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C" w:rsidRDefault="006143FC" w:rsidP="005F6300">
      <w:bookmarkStart w:id="0" w:name="_GoBack"/>
      <w:bookmarkEnd w:id="0"/>
      <w:r>
        <w:rPr>
          <w:lang w:val="sq-AL"/>
        </w:rPr>
        <w:t>Në bazë të nenit 123, pika 3 e Kushtetutës së Republikës së Serbisë, dhe në lidhje me nenin 119 të Ligjit mbi Këshillat kombëtare për pakicat kombëtare (“Fletorja zyrtare e RS-së”, nr. 72/09, 20/14 – Kushtetuta e Serbisë dhe 55/14)</w:t>
      </w:r>
      <w:r>
        <w:t>,</w:t>
      </w:r>
    </w:p>
    <w:p w:rsidR="006143FC" w:rsidRDefault="006143FC" w:rsidP="005F6300">
      <w:r>
        <w:t>Qeveria nxjerr</w:t>
      </w:r>
    </w:p>
    <w:p w:rsidR="006143FC" w:rsidRDefault="006143FC" w:rsidP="005F6300">
      <w:pPr>
        <w:jc w:val="center"/>
      </w:pPr>
    </w:p>
    <w:p w:rsidR="006143FC" w:rsidRDefault="006143FC" w:rsidP="005F6300">
      <w:pPr>
        <w:jc w:val="center"/>
        <w:rPr>
          <w:b/>
          <w:bCs/>
        </w:rPr>
      </w:pPr>
      <w:r>
        <w:rPr>
          <w:b/>
          <w:bCs/>
        </w:rPr>
        <w:t>DISPOZITËN</w:t>
      </w:r>
    </w:p>
    <w:p w:rsidR="006143FC" w:rsidRPr="005F6300" w:rsidRDefault="006143FC" w:rsidP="005F6300">
      <w:pPr>
        <w:jc w:val="center"/>
        <w:rPr>
          <w:b/>
          <w:bCs/>
        </w:rPr>
      </w:pPr>
      <w:r>
        <w:rPr>
          <w:b/>
          <w:bCs/>
        </w:rPr>
        <w:t xml:space="preserve">MBI PROCEDURËN E SHPËRNDARJES SË </w:t>
      </w:r>
      <w:r w:rsidR="003451C0">
        <w:rPr>
          <w:b/>
          <w:bCs/>
        </w:rPr>
        <w:t>MJETEVE FINANCIARE</w:t>
      </w:r>
      <w:r>
        <w:rPr>
          <w:b/>
          <w:bCs/>
        </w:rPr>
        <w:t xml:space="preserve"> NGA FONDI BUXHETOR PËR PAKICAT KOMBËTARE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9B1955" w:rsidRDefault="006143FC" w:rsidP="00E17275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Neni</w:t>
            </w:r>
            <w:r>
              <w:rPr>
                <w:lang w:val="sr-Cyrl-CS"/>
              </w:rPr>
              <w:t xml:space="preserve"> 1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Me anë të kësaj dispozite përcaktohen më afër kriteret, kushtet, mënyra dhe procedura e shpërndarjes së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eve për programet dhe projektet në fushën e kulturës, arsimit, informimit dhe përdorimit zyrtar të gjuhëve dhe të të shkruarit të pakicave kombëtare nga Fondi buxhetor për pakicat kombëtare (në tekstin e mëtejshëm: Fond</w:t>
            </w:r>
            <w:r w:rsidR="009B6AEB">
              <w:rPr>
                <w:lang w:val="sq-AL"/>
              </w:rPr>
              <w:t>), të cilat menaxhohen në ndarjen</w:t>
            </w:r>
            <w:r>
              <w:rPr>
                <w:lang w:val="sq-AL"/>
              </w:rPr>
              <w:t xml:space="preserve"> e veçantë</w:t>
            </w:r>
            <w:r w:rsidR="009B6AEB">
              <w:rPr>
                <w:lang w:val="sq-AL"/>
              </w:rPr>
              <w:t xml:space="preserve"> të buxhetit</w:t>
            </w:r>
            <w:r>
              <w:rPr>
                <w:lang w:val="sq-AL"/>
              </w:rPr>
              <w:t xml:space="preserve"> të Ministrisë së Administrimit Shtetëror dhe qeverisjes vendore (Në tekstin e mëtejshëm: Ministria)</w:t>
            </w:r>
            <w:r w:rsidRPr="00E17275">
              <w:rPr>
                <w:lang w:val="sr-Cyrl-CS"/>
              </w:rPr>
              <w:t xml:space="preserve">. </w:t>
            </w:r>
          </w:p>
          <w:p w:rsidR="006143FC" w:rsidRPr="00E17275" w:rsidRDefault="006143FC" w:rsidP="00E17275">
            <w:pPr>
              <w:ind w:right="33" w:firstLine="720"/>
              <w:jc w:val="both"/>
            </w:pPr>
            <w:r>
              <w:rPr>
                <w:lang w:val="sq-AL"/>
              </w:rPr>
              <w:t>Fondi i paragrafit 1 të këtij neni mund të financohet edhe nga donacionet</w:t>
            </w:r>
            <w:r w:rsidRPr="00E17275">
              <w:rPr>
                <w:lang w:val="sr-Cyrl-CS"/>
              </w:rPr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3561AE" w:rsidRDefault="006143FC" w:rsidP="00E17275">
            <w:pPr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2.</w:t>
            </w:r>
          </w:p>
          <w:p w:rsidR="006143FC" w:rsidRPr="00E17275" w:rsidRDefault="003451C0" w:rsidP="00E17275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>Mjet</w:t>
            </w:r>
            <w:r w:rsidR="006143FC">
              <w:rPr>
                <w:lang w:val="sq-AL"/>
              </w:rPr>
              <w:t>et nga Fondi jepen për programet dhe projektet nga fusha e kulturës, arsimit, informimit dhe përdorimit zyrtar të gjuhëve dhe të të shkruarit të pakicave kombëtare</w:t>
            </w:r>
            <w:r w:rsidR="006143FC" w:rsidRPr="00E17275">
              <w:rPr>
                <w:lang w:val="sr-Cyrl-CS"/>
              </w:rPr>
              <w:t>,</w:t>
            </w:r>
            <w:r w:rsidR="006143FC" w:rsidRPr="003561AE">
              <w:rPr>
                <w:lang w:val="sr-Cyrl-CS"/>
              </w:rPr>
              <w:t xml:space="preserve"> </w:t>
            </w:r>
            <w:r w:rsidR="006143FC">
              <w:rPr>
                <w:lang w:val="sq-AL"/>
              </w:rPr>
              <w:t xml:space="preserve">dhe sipas Programit të cilin e sjell Ministri, në fillim të vitit kalendarik për vitin për të cilin jepen </w:t>
            </w:r>
            <w:r>
              <w:rPr>
                <w:lang w:val="sq-AL"/>
              </w:rPr>
              <w:t>mjet</w:t>
            </w:r>
            <w:r w:rsidR="006143FC">
              <w:rPr>
                <w:lang w:val="sq-AL"/>
              </w:rPr>
              <w:t xml:space="preserve">et nga neni 1 të kësaj Dispozite, me </w:t>
            </w:r>
            <w:r>
              <w:rPr>
                <w:lang w:val="sq-AL"/>
              </w:rPr>
              <w:t>propozim</w:t>
            </w:r>
            <w:r w:rsidR="006143FC">
              <w:rPr>
                <w:lang w:val="sq-AL"/>
              </w:rPr>
              <w:t xml:space="preserve"> të Këshillit për Pakicat Kombëtare.</w:t>
            </w:r>
            <w:r w:rsidR="006143FC" w:rsidRPr="00E17275">
              <w:rPr>
                <w:lang w:val="sr-Cyrl-CS"/>
              </w:rPr>
              <w:t xml:space="preserve"> 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sr-Cyrl-CS"/>
              </w:rPr>
            </w:pPr>
            <w:r w:rsidRPr="00E17275">
              <w:rPr>
                <w:lang w:val="sr-Cyrl-CS"/>
              </w:rPr>
              <w:t> </w:t>
            </w:r>
            <w:r w:rsidR="003451C0">
              <w:rPr>
                <w:lang w:val="sq-AL"/>
              </w:rPr>
              <w:t>Propozim</w:t>
            </w:r>
            <w:r>
              <w:rPr>
                <w:lang w:val="sq-AL"/>
              </w:rPr>
              <w:t xml:space="preserve">i i Këshillit për Pakicat Kombëtare nga paragrafi 1 të këtij neni përmban fushën </w:t>
            </w:r>
            <w:r w:rsidR="003451C0">
              <w:rPr>
                <w:lang w:val="sq-AL"/>
              </w:rPr>
              <w:t>prioritare</w:t>
            </w:r>
            <w:r>
              <w:rPr>
                <w:lang w:val="sq-AL"/>
              </w:rPr>
              <w:t xml:space="preserve"> në të cilën realizohen programet dhe projektet, </w:t>
            </w:r>
            <w:r w:rsidR="003451C0">
              <w:rPr>
                <w:lang w:val="sq-AL"/>
              </w:rPr>
              <w:t>qëllimet</w:t>
            </w:r>
            <w:r>
              <w:rPr>
                <w:lang w:val="sq-AL"/>
              </w:rPr>
              <w:t xml:space="preserve"> që arrihen, lartësinë e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eve dhe periudhën për të cilën ato jepen.</w:t>
            </w:r>
            <w:r w:rsidRPr="003561AE">
              <w:rPr>
                <w:lang w:val="sr-Cyrl-CS"/>
              </w:rPr>
              <w:t xml:space="preserve"> 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>Ministria mban përgjegjësinë për zbatimin e Programit nga paragrafi 1 të këtij neni</w:t>
            </w:r>
            <w:r w:rsidRPr="00E17275">
              <w:rPr>
                <w:lang w:val="sr-Cyrl-CS"/>
              </w:rPr>
              <w:t xml:space="preserve">. </w:t>
            </w:r>
          </w:p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3561AE" w:rsidRDefault="006143FC" w:rsidP="00E17275">
            <w:pPr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3.</w:t>
            </w:r>
          </w:p>
          <w:p w:rsidR="006143FC" w:rsidRPr="00E17275" w:rsidRDefault="003451C0" w:rsidP="00E17275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>Mjet</w:t>
            </w:r>
            <w:r w:rsidR="006143FC">
              <w:rPr>
                <w:lang w:val="sq-AL"/>
              </w:rPr>
              <w:t>et nga neni 1 të kësaj Dispozite jepen me anë të konkursit publik (në tekstin e mëtejshëm: konkurs) të cilin e shpall Ministria dhe e njofton në faqen zyrtare të Ministrisë, Zyrës për të Drejtat e Njeriut dhe të Pakicave</w:t>
            </w:r>
            <w:r w:rsidR="006143FC">
              <w:t>, Zyrës për Bashkëpunim me Shoqërinë Civile dhe Portalit të e-Administratës</w:t>
            </w:r>
            <w:r w:rsidR="006143FC" w:rsidRPr="00E17275">
              <w:rPr>
                <w:lang w:val="sr-Cyrl-CS"/>
              </w:rPr>
              <w:t>.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Njoftimi i konkursit përmban: </w:t>
            </w:r>
            <w:r w:rsidR="003451C0">
              <w:rPr>
                <w:lang w:val="sq-AL"/>
              </w:rPr>
              <w:t>qëllimet</w:t>
            </w:r>
            <w:r>
              <w:rPr>
                <w:lang w:val="sq-AL"/>
              </w:rPr>
              <w:t xml:space="preserve"> e programeve dhe projekteve, fushën për të cilën shpallet (kultura, arsimi, informimi dhe përdorimi zyrtar i gjuhëve dhe të të shkruarit të pakicave kombëtare)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 xml:space="preserve">lartësinë e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eve që jepen; afatin e paraqitjes së aplikimeve të konkursit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>kushtet për paraqitjen e aplikimit, masat më të afërta dhe kriteret shtesë, si edhe të dhenat e tjera të rëndësishme për zbatimin e konkursit</w:t>
            </w:r>
            <w:r w:rsidRPr="00E17275">
              <w:rPr>
                <w:lang w:val="sr-Cyrl-CS"/>
              </w:rPr>
              <w:t>.</w:t>
            </w:r>
          </w:p>
          <w:p w:rsidR="006143FC" w:rsidRPr="00E17275" w:rsidRDefault="006143FC" w:rsidP="005A1854">
            <w:pPr>
              <w:ind w:right="33" w:firstLine="709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Komisioni përcakton </w:t>
            </w:r>
            <w:r w:rsidR="003451C0">
              <w:rPr>
                <w:lang w:val="sq-AL"/>
              </w:rPr>
              <w:t>qëllimet</w:t>
            </w:r>
            <w:r>
              <w:rPr>
                <w:lang w:val="sq-AL"/>
              </w:rPr>
              <w:t xml:space="preserve"> specifike të programeve dhe projekteve për të cilat shpallet konkursi, si edhe masat më të afërta dhe kriteret shtesë</w:t>
            </w:r>
            <w:r w:rsidRPr="00E17275">
              <w:rPr>
                <w:lang w:val="sr-Cyrl-CS"/>
              </w:rPr>
              <w:t xml:space="preserve"> </w:t>
            </w:r>
            <w:r>
              <w:rPr>
                <w:lang w:val="sq-AL"/>
              </w:rPr>
              <w:t>nga paragrafi 2 të këtij neni për zgjedhjen e programeve dhe projekteve që janë specifike për fushën e caktuar, me konsultimet paraprake me Këshillat kombëtare të pakicave kombëtare</w:t>
            </w:r>
            <w:r w:rsidRPr="00E17275">
              <w:rPr>
                <w:lang w:val="sr-Cyrl-CS"/>
              </w:rPr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4.</w:t>
            </w:r>
          </w:p>
          <w:p w:rsidR="006143FC" w:rsidRPr="003561AE" w:rsidRDefault="006143FC" w:rsidP="00C83BA1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Të drejtën e pjesëmarrjes në konkursin e kanë institucionet, shoqatat, fondacionet, shoqatat ekonomike dhe organizatat e tjera themeluesit të të cilëve janë Këshillat kombëtare të pakicave kombëtare dhe organizatat e shoqërisë civile, të regjistruara në regjistrin përkatës, </w:t>
            </w:r>
            <w:r w:rsidR="003451C0">
              <w:rPr>
                <w:lang w:val="sq-AL"/>
              </w:rPr>
              <w:t>qëllimet</w:t>
            </w:r>
            <w:r w:rsidR="006F4962">
              <w:rPr>
                <w:lang w:val="sq-AL"/>
              </w:rPr>
              <w:t xml:space="preserve"> të të cilëve, sipas rregullimeve</w:t>
            </w:r>
            <w:r>
              <w:rPr>
                <w:lang w:val="sq-AL"/>
              </w:rPr>
              <w:t xml:space="preserve"> të statutit, realizohen në fushën e mbrojtjes dhe avancimit të të drejtave dhe pozicionit të anëtarëve të pakicave kombëtare, </w:t>
            </w:r>
            <w:r>
              <w:rPr>
                <w:lang w:val="sq-AL"/>
              </w:rPr>
              <w:lastRenderedPageBreak/>
              <w:t>me selinë në territorin e Republikës së Serbisë</w:t>
            </w:r>
            <w:r w:rsidRPr="00E17275">
              <w:rPr>
                <w:lang w:val="sr-Cyrl-CS"/>
              </w:rPr>
              <w:t xml:space="preserve">, </w:t>
            </w:r>
            <w:r>
              <w:rPr>
                <w:lang w:val="sq-AL"/>
              </w:rPr>
              <w:t xml:space="preserve">si edhe </w:t>
            </w:r>
            <w:r>
              <w:rPr>
                <w:lang w:val="en-US"/>
              </w:rPr>
              <w:t>foncadionet</w:t>
            </w:r>
            <w:r w:rsidRPr="003561AE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dhe</w:t>
            </w:r>
            <w:r w:rsidRPr="003561AE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konferencat</w:t>
            </w:r>
            <w:r w:rsidRPr="003561AE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e</w:t>
            </w:r>
            <w:r w:rsidRPr="003561AE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universiteteve</w:t>
            </w:r>
            <w:r w:rsidRPr="003561AE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ose</w:t>
            </w:r>
            <w:r w:rsidRPr="003561AE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akademive</w:t>
            </w:r>
            <w:r w:rsidRPr="003561AE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t</w:t>
            </w:r>
            <w:r>
              <w:rPr>
                <w:lang w:val="sq-AL"/>
              </w:rPr>
              <w:t>ë studimeve profesionale</w:t>
            </w:r>
            <w:r w:rsidRPr="00E17275">
              <w:t xml:space="preserve"> </w:t>
            </w:r>
            <w:r w:rsidRPr="00E17275">
              <w:rPr>
                <w:lang w:val="sr-Cyrl-CS"/>
              </w:rPr>
              <w:t>(</w:t>
            </w:r>
            <w:r>
              <w:rPr>
                <w:lang w:val="sq-AL"/>
              </w:rPr>
              <w:t>në tekstin e mëtejshëm: pjesëmarrësi i konkursit</w:t>
            </w:r>
            <w:r w:rsidRPr="00E17275">
              <w:rPr>
                <w:lang w:val="sr-Cyrl-CS"/>
              </w:rPr>
              <w:t>)</w:t>
            </w:r>
            <w:r w:rsidRPr="003561AE">
              <w:rPr>
                <w:lang w:val="sr-Cyrl-CS"/>
              </w:rPr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5.</w:t>
            </w:r>
          </w:p>
          <w:p w:rsidR="006143FC" w:rsidRPr="00E17275" w:rsidRDefault="006143FC" w:rsidP="00E17275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Procedurën e dhënies së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 xml:space="preserve">eve nga neni 1 të kësaj Dispozite e zbaton komisioni i konkursit </w:t>
            </w:r>
            <w:r w:rsidRPr="00E17275">
              <w:rPr>
                <w:lang w:val="sr-Cyrl-CS"/>
              </w:rPr>
              <w:t>(</w:t>
            </w:r>
            <w:r>
              <w:rPr>
                <w:lang w:val="sq-AL"/>
              </w:rPr>
              <w:t>në tekstin e mëtejshëm: Komisioni)</w:t>
            </w:r>
            <w:r w:rsidRPr="00E17275">
              <w:rPr>
                <w:lang w:val="sr-Cyrl-CS"/>
              </w:rPr>
              <w:t>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>Në Komisionin detyrimisht emërohet një numër i caktuar anëtarësh – përfaqësuesish të ministrisë në fushëveprimin e së cilës janë programet dhe projektet që shqyrtohen nga Komisioni në bazë të konkursit, si edhe përfaqësuesish së Ministrisë së Administrimit Shtetëror dhë Qeverisjes vendore dhe Zyrës për të Drejtat e Njeriut dhe të Pakicave</w:t>
            </w:r>
            <w:r w:rsidRPr="00E17275">
              <w:t>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>Drejtuesi i organit në fush</w:t>
            </w:r>
            <w:r w:rsidR="00740A9C">
              <w:t>ë</w:t>
            </w:r>
            <w:r>
              <w:t>veprimin e të cilit gjendet fusha për të cilin shpallet konkursi, mund të sugjerojë dhe përfaqësuesin e publikut profesional për anëtarin e Komisionit</w:t>
            </w:r>
            <w:r w:rsidRPr="00E17275">
              <w:t xml:space="preserve">. </w:t>
            </w:r>
          </w:p>
          <w:p w:rsidR="006143FC" w:rsidRPr="00E17275" w:rsidRDefault="006143FC" w:rsidP="00E17275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Ministri i Administrimit Shtetëror dhe Qeverisjes Vendore </w:t>
            </w:r>
            <w:r w:rsidRPr="00E17275">
              <w:rPr>
                <w:lang w:val="sr-Cyrl-CS"/>
              </w:rPr>
              <w:t>(</w:t>
            </w:r>
            <w:r>
              <w:rPr>
                <w:lang w:val="sq-AL"/>
              </w:rPr>
              <w:t>në tekstin e mëtejshëm: Ministri</w:t>
            </w:r>
            <w:r w:rsidRPr="00E17275">
              <w:rPr>
                <w:lang w:val="sr-Cyrl-CS"/>
              </w:rPr>
              <w:t xml:space="preserve">) </w:t>
            </w:r>
            <w:r>
              <w:rPr>
                <w:lang w:val="sq-AL"/>
              </w:rPr>
              <w:t>nxjerr udhëzimin me anë të cilit përcaktohet më afër mënyra e përcaktimit të përmbajtjes dhe numrit të anëtarëve të Komisionit, si edhe çështjet e tjera të rëndësishme për punën e Komisionit</w:t>
            </w:r>
            <w:r w:rsidRPr="00E17275">
              <w:t xml:space="preserve">. </w:t>
            </w:r>
          </w:p>
          <w:p w:rsidR="006143FC" w:rsidRPr="00E17275" w:rsidRDefault="006143FC" w:rsidP="00E17275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Komisioni formohet nga Ministri me anë të vendimit, në përputhje me fushën </w:t>
            </w:r>
            <w:r w:rsidR="003451C0">
              <w:rPr>
                <w:lang w:val="sq-AL"/>
              </w:rPr>
              <w:t>prioritare</w:t>
            </w:r>
            <w:r>
              <w:rPr>
                <w:lang w:val="sq-AL"/>
              </w:rPr>
              <w:t xml:space="preserve"> të financimit, e përcaktuar nga Programi i nenit 2 të kësaj Dispozite</w:t>
            </w:r>
            <w:r w:rsidRPr="00E17275">
              <w:rPr>
                <w:lang w:val="sr-Cyrl-CS"/>
              </w:rPr>
              <w:t xml:space="preserve">. </w:t>
            </w:r>
          </w:p>
          <w:p w:rsidR="006143FC" w:rsidRPr="00E17275" w:rsidRDefault="006143FC" w:rsidP="00E17275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>Komisioni sjell Rregulloren e Punës</w:t>
            </w:r>
            <w:r w:rsidRPr="00E17275">
              <w:rPr>
                <w:lang w:val="sr-Cyrl-CS"/>
              </w:rPr>
              <w:t>.</w:t>
            </w:r>
          </w:p>
          <w:p w:rsidR="006143FC" w:rsidRPr="003561AE" w:rsidRDefault="006143FC" w:rsidP="00E17275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Mbështejen administrative-teknike Komisionit ia ofrojnë Ministria dhe Zyra </w:t>
            </w:r>
            <w:r>
              <w:t>për të Drejtat e Njeriut dhe të Pakicave</w:t>
            </w:r>
            <w:r w:rsidRPr="003561AE">
              <w:rPr>
                <w:lang w:val="sr-Cyrl-CS"/>
              </w:rPr>
              <w:t>.</w:t>
            </w:r>
          </w:p>
          <w:p w:rsidR="006143FC" w:rsidRPr="003561AE" w:rsidRDefault="006143FC" w:rsidP="00E17275">
            <w:pPr>
              <w:ind w:firstLine="720"/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ind w:firstLine="720"/>
              <w:jc w:val="both"/>
            </w:pPr>
            <w:r w:rsidRPr="003561AE">
              <w:rPr>
                <w:b/>
                <w:bCs/>
                <w:lang w:val="sr-Cyrl-CS"/>
              </w:rPr>
              <w:t xml:space="preserve">                                                      </w:t>
            </w:r>
            <w:r>
              <w:rPr>
                <w:lang w:val="sq-AL"/>
              </w:rPr>
              <w:t>Neni</w:t>
            </w:r>
            <w:r w:rsidRPr="003561AE">
              <w:rPr>
                <w:lang w:val="sr-Cyrl-CS"/>
              </w:rPr>
              <w:t xml:space="preserve"> 6.</w:t>
            </w:r>
          </w:p>
          <w:p w:rsidR="006143FC" w:rsidRPr="00E17275" w:rsidRDefault="00740A9C" w:rsidP="00E17275">
            <w:pPr>
              <w:ind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>Aplikimi për konkurs</w:t>
            </w:r>
            <w:r w:rsidR="006143FC">
              <w:rPr>
                <w:lang w:val="sq-AL"/>
              </w:rPr>
              <w:t xml:space="preserve"> paraqitet pranë Ministrisë brënda afatit jo më shumë se 30 ditesh nga dita e shpalljes së konkursit, në formulari</w:t>
            </w:r>
            <w:r>
              <w:rPr>
                <w:lang w:val="sq-AL"/>
              </w:rPr>
              <w:t>n e aplikimit i cili është pjesë</w:t>
            </w:r>
            <w:r w:rsidR="006143FC">
              <w:rPr>
                <w:lang w:val="sq-AL"/>
              </w:rPr>
              <w:t xml:space="preserve"> përbërëse të dokumentacionit të konkursit.</w:t>
            </w:r>
            <w:r w:rsidR="006143FC" w:rsidRPr="00E17275">
              <w:rPr>
                <w:lang w:val="sr-Cyrl-CS"/>
              </w:rPr>
              <w:t xml:space="preserve"> </w:t>
            </w:r>
          </w:p>
          <w:p w:rsidR="006143FC" w:rsidRPr="00E17275" w:rsidRDefault="006143FC" w:rsidP="00E17275">
            <w:pPr>
              <w:ind w:firstLine="720"/>
              <w:jc w:val="both"/>
              <w:rPr>
                <w:lang w:val="sr-Cyrl-CS"/>
              </w:rPr>
            </w:pPr>
            <w:r>
              <w:t>Formularin e aplikimit e përcakton Ministria dhe e shpall në faqen zyrtare e Ministrisë, Zyrës për të Drejtat e Njeriut dhe të Pakicave, Zyrës për Bashkëpunim me Shoqërinë Civile dhe Portalit e-Administratë.</w:t>
            </w:r>
          </w:p>
          <w:p w:rsidR="006143FC" w:rsidRPr="00E17275" w:rsidRDefault="006143FC" w:rsidP="003451C0">
            <w:pPr>
              <w:ind w:firstLine="720"/>
              <w:jc w:val="both"/>
              <w:rPr>
                <w:b/>
                <w:bCs/>
              </w:rPr>
            </w:pPr>
            <w:r>
              <w:rPr>
                <w:lang w:val="sq-AL"/>
              </w:rPr>
              <w:t xml:space="preserve">Formulari i aplikimit përmban: të dhënat e përgjithshme për paraqitësin e </w:t>
            </w:r>
            <w:r w:rsidR="003451C0">
              <w:rPr>
                <w:lang w:val="sq-AL"/>
              </w:rPr>
              <w:t>propozim</w:t>
            </w:r>
            <w:r>
              <w:rPr>
                <w:lang w:val="sq-AL"/>
              </w:rPr>
              <w:t>it të programit dhe projektit; të dhënat rreth përfaqësuesit të paraqitësit të programit dhe projektit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>të dhënat rreth kapacitetit për menaxhim dhe realizim të programit dhe projektit, duke përfshirë dhe rezultatet e deshmuara në të kaluarën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 xml:space="preserve">përshkrimi i programit dhe projektit; të dhënat rreth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 xml:space="preserve">eve të duhura financiare për realizimin e programit dhe projektit të sugjeruar dhe një përshkrim të shkruar (narativ) dhe </w:t>
            </w:r>
            <w:r w:rsidR="003451C0">
              <w:rPr>
                <w:lang w:val="sq-AL"/>
              </w:rPr>
              <w:t>me tabela</w:t>
            </w:r>
            <w:r>
              <w:rPr>
                <w:lang w:val="sq-AL"/>
              </w:rPr>
              <w:t xml:space="preserve"> të buxhetit të programit dhe projektit, si edhe të dhëna të tjera </w:t>
            </w:r>
            <w:r w:rsidR="003451C0">
              <w:rPr>
                <w:lang w:val="sq-AL"/>
              </w:rPr>
              <w:t>të rëndësishme</w:t>
            </w:r>
            <w:r>
              <w:rPr>
                <w:lang w:val="sq-AL"/>
              </w:rPr>
              <w:t xml:space="preserve"> për të siguruar që </w:t>
            </w:r>
            <w:r w:rsidR="003451C0">
              <w:rPr>
                <w:lang w:val="sq-AL"/>
              </w:rPr>
              <w:t>qëllimet</w:t>
            </w:r>
            <w:r>
              <w:rPr>
                <w:lang w:val="sq-AL"/>
              </w:rPr>
              <w:t xml:space="preserve"> e vendosura do të realizohen</w:t>
            </w:r>
            <w:r w:rsidRPr="00E17275"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ind w:firstLine="720"/>
              <w:jc w:val="both"/>
            </w:pP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</w:t>
            </w:r>
            <w:r w:rsidRPr="00E17275">
              <w:t>7.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rPr>
                <w:lang w:val="sq-AL"/>
              </w:rPr>
              <w:t xml:space="preserve">Zgjedhja e programeve dhe projekteve që do të financohen me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et e Fondit, kryhet me anë të zbatimit të kritereve në vijim:</w:t>
            </w:r>
            <w:r w:rsidRPr="00E17275">
              <w:rPr>
                <w:lang w:val="sr-Cyrl-CS"/>
              </w:rPr>
              <w:t xml:space="preserve"> </w:t>
            </w:r>
            <w:r>
              <w:rPr>
                <w:lang w:val="sq-AL"/>
              </w:rPr>
              <w:t xml:space="preserve">sa përshtatet programi dhe projekti i përshkruar me realizimin e </w:t>
            </w:r>
            <w:r w:rsidR="003451C0">
              <w:rPr>
                <w:lang w:val="sq-AL"/>
              </w:rPr>
              <w:t>qëllimëve</w:t>
            </w:r>
            <w:r>
              <w:rPr>
                <w:lang w:val="sq-AL"/>
              </w:rPr>
              <w:t xml:space="preserve"> të programeve dhe projekteve të vendosura në procedurën e konkursit, kohëzgjatja, mundësia e zhvil</w:t>
            </w:r>
            <w:r w:rsidR="00740A9C">
              <w:rPr>
                <w:lang w:val="sq-AL"/>
              </w:rPr>
              <w:t>l</w:t>
            </w:r>
            <w:r>
              <w:rPr>
                <w:lang w:val="sq-AL"/>
              </w:rPr>
              <w:t>imit të mëtejshëm dhe qëndrueshmëria e programit dhe projektit</w:t>
            </w:r>
            <w:r w:rsidRPr="00E17275">
              <w:t>,</w:t>
            </w:r>
            <w:r w:rsidRPr="00E17275">
              <w:rPr>
                <w:lang w:val="sr-Cyrl-CS"/>
              </w:rPr>
              <w:t xml:space="preserve"> </w:t>
            </w:r>
            <w:r>
              <w:rPr>
                <w:lang w:val="sq-AL"/>
              </w:rPr>
              <w:t>masa në të cilën arrihet deri te grupet e dëshiruara për të cilat është projektuar programi</w:t>
            </w:r>
            <w:r w:rsidRPr="00E17275">
              <w:rPr>
                <w:lang w:val="sr-Cyrl-CS"/>
              </w:rPr>
              <w:t>;</w:t>
            </w:r>
            <w:r>
              <w:t xml:space="preserve"> masa në të cilën kapaciteti i organizimit përshtatet me realizimin e </w:t>
            </w:r>
            <w:r w:rsidR="003451C0">
              <w:t>qëllimëve</w:t>
            </w:r>
            <w:r>
              <w:t>, si edhe justifikueshmëria e buxhetit të programit dhe projektit</w:t>
            </w:r>
            <w:r w:rsidRPr="00E17275">
              <w:t>.</w:t>
            </w:r>
          </w:p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jc w:val="center"/>
            </w:pPr>
            <w:r>
              <w:rPr>
                <w:lang w:val="sq-AL"/>
              </w:rPr>
              <w:lastRenderedPageBreak/>
              <w:t>Neni</w:t>
            </w:r>
            <w:r w:rsidRPr="00E17275">
              <w:rPr>
                <w:lang w:val="sr-Cyrl-CS"/>
              </w:rPr>
              <w:t xml:space="preserve"> </w:t>
            </w:r>
            <w:r w:rsidRPr="00E17275">
              <w:t>8.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>Komisioni shqyrton aplikimet e konkursit të cilat janë paraqitur në kohë dhe dokumentacionin e depozituar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>përcakton përmbushjen e kushteve formale të parashikuara me konkursin dhe përcakton Listen e vleresimit dhe renditjes së programeve dhe projekteve të aplikuara</w:t>
            </w:r>
            <w:r w:rsidRPr="00E17275">
              <w:rPr>
                <w:lang w:val="sr-Cyrl-CS"/>
              </w:rPr>
              <w:t>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rPr>
                <w:lang w:val="sq-AL"/>
              </w:rPr>
              <w:t>Komisioni nuk do të shqyrtojë aplikimet e paraqitura jashtë afatit dhe ato që janë plotesuar në mënyrë të gabuar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>aplikimet me dokumentacionin e paplotë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>aplikimet që nuk janë paraqitur në formularin përkatës dhe aplikimet që përmbajnë mungesa të tjera për shkak të cilave nuk është e mundur të përcaktohet përmbajtja reale e aplikimit ose aplikimet tek të cilat nuk është i mundur vler</w:t>
            </w:r>
            <w:r w:rsidR="00755861">
              <w:rPr>
                <w:lang w:val="sq-AL"/>
              </w:rPr>
              <w:t>ë</w:t>
            </w:r>
            <w:r>
              <w:rPr>
                <w:lang w:val="sq-AL"/>
              </w:rPr>
              <w:t>simi sipas kritereve të vendosura</w:t>
            </w:r>
            <w:r w:rsidRPr="00E17275">
              <w:t xml:space="preserve">; </w:t>
            </w:r>
            <w:r>
              <w:t>aplikimet e paraqitësve që nuk kanë të drejtë të marrin pjesë në konkursin</w:t>
            </w:r>
            <w:r w:rsidRPr="00E17275">
              <w:rPr>
                <w:lang w:val="sr-Cyrl-CS"/>
              </w:rPr>
              <w:t xml:space="preserve">; </w:t>
            </w:r>
            <w:r>
              <w:rPr>
                <w:lang w:val="sq-AL"/>
              </w:rPr>
              <w:t xml:space="preserve">aplikimet që nuk janë paraqitur nga personat e autorizuara dhe aplikimet që përmbajnë projektet dhe programet që nuk janë në përputhje me qëllimin e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eve të përcaktuara me anë të kësaj dispozite</w:t>
            </w:r>
            <w:r w:rsidRPr="00E17275">
              <w:rPr>
                <w:lang w:val="sr-Cyrl-CS"/>
              </w:rPr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jc w:val="center"/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9</w:t>
            </w:r>
            <w:r w:rsidRPr="00E17275">
              <w:t>.</w:t>
            </w:r>
          </w:p>
          <w:p w:rsidR="006143FC" w:rsidRPr="00E17275" w:rsidRDefault="006143FC" w:rsidP="00E17275">
            <w:pPr>
              <w:ind w:right="33" w:firstLine="720"/>
              <w:jc w:val="both"/>
            </w:pPr>
            <w:r>
              <w:t>Komisioni përcaktion Listën e vlerësimit dhe renditjes së programeve dhe projekteve të aplikuara</w:t>
            </w:r>
            <w:r w:rsidRPr="00E17275">
              <w:t xml:space="preserve">, </w:t>
            </w:r>
            <w:r>
              <w:t>në afatin jo më gjatë se 60 ditë nga dita e skadimit të afatit për paraqitjen e aplikimeve</w:t>
            </w:r>
            <w:r w:rsidRPr="00E17275">
              <w:t xml:space="preserve">. </w:t>
            </w:r>
          </w:p>
          <w:p w:rsidR="006143FC" w:rsidRPr="00E17275" w:rsidRDefault="006143FC" w:rsidP="00E17275">
            <w:pPr>
              <w:ind w:right="33" w:firstLine="720"/>
              <w:jc w:val="both"/>
            </w:pPr>
            <w:r>
              <w:t>Lista nga paragrafi 1 të këtij neni shpallet në faqen zyrtare të Ministrisë, Zyrës për të Drejtat e Njeriut dhe të Pakicave</w:t>
            </w:r>
            <w:r w:rsidRPr="00E17275">
              <w:t xml:space="preserve">, </w:t>
            </w:r>
            <w:r>
              <w:t>Zyrës për Bashëpunim me Shoqërinë Civile dhe Portalit të e-Administratës</w:t>
            </w:r>
            <w:r w:rsidRPr="00E17275">
              <w:rPr>
                <w:lang w:val="sr-Cyrl-CS"/>
              </w:rPr>
              <w:t>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>Pjesëmarrësit e konkursit kanë të drejtën e qasjes në aplikimet e paraqitura dhe dokumentacionin e depozituar</w:t>
            </w:r>
            <w:r w:rsidRPr="00E17275">
              <w:t xml:space="preserve">, </w:t>
            </w:r>
            <w:r>
              <w:t>si edhe të drejtën e ankimimit brënda tre ditësh nga dita e shpalljes së Listes nga paragrafi 1 të këtij neni.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>Vendimin e ankimimit Komisioni e merr brenda 15 ditësh nga dita e marrjes së tij</w:t>
            </w:r>
            <w:r w:rsidRPr="00E17275">
              <w:t>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 xml:space="preserve">Vendimin e shpërndarjes së </w:t>
            </w:r>
            <w:r w:rsidR="003451C0">
              <w:t>mjet</w:t>
            </w:r>
            <w:r>
              <w:t xml:space="preserve">eve nga Fondi </w:t>
            </w:r>
            <w:r w:rsidR="00376916">
              <w:t>e merr Ministri në bazë të Listë</w:t>
            </w:r>
            <w:r>
              <w:t>s nga paragrafi 1 të këtij neni, brenda afatit prej 30 ditësh nga dita e përcaktimit të Listës</w:t>
            </w:r>
            <w:r w:rsidRPr="00E17275"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</w:t>
            </w:r>
            <w:r w:rsidRPr="00E17275">
              <w:t>10</w:t>
            </w:r>
            <w:r w:rsidRPr="00E17275">
              <w:rPr>
                <w:lang w:val="sr-Cyrl-CS"/>
              </w:rPr>
              <w:t>.</w:t>
            </w:r>
          </w:p>
          <w:p w:rsidR="006143FC" w:rsidRPr="00E17275" w:rsidRDefault="006143FC" w:rsidP="00E17275">
            <w:pPr>
              <w:ind w:right="33" w:firstLine="720"/>
              <w:jc w:val="both"/>
            </w:pPr>
            <w:r w:rsidRPr="00E17275">
              <w:t xml:space="preserve"> </w:t>
            </w:r>
            <w:r w:rsidR="003451C0">
              <w:t>Mjet</w:t>
            </w:r>
            <w:r>
              <w:t xml:space="preserve">et të cilat miratohen për realizimin e programit dhe projektit, në përputhje me këtë Dispozitë, janë </w:t>
            </w:r>
            <w:r w:rsidR="003451C0">
              <w:t>mjet</w:t>
            </w:r>
            <w:r>
              <w:t xml:space="preserve">et e dedikuara dhe mund të përdoren vetë për realizimin e projektit dhe programit konkret në përputhje me kontratën e cila lidhet midis Ministrisë dhe përdoruesit të </w:t>
            </w:r>
            <w:r w:rsidR="003451C0">
              <w:t>mjet</w:t>
            </w:r>
            <w:r>
              <w:t>eve</w:t>
            </w:r>
            <w:r w:rsidRPr="00E17275">
              <w:t>.</w:t>
            </w:r>
          </w:p>
          <w:p w:rsidR="006143FC" w:rsidRPr="00E17275" w:rsidRDefault="006143FC" w:rsidP="00E17275">
            <w:pPr>
              <w:ind w:right="33" w:firstLine="720"/>
              <w:jc w:val="both"/>
            </w:pPr>
            <w:r>
              <w:t>Më anë të kësaj kontrate rregullohen të drejtat e anasjellta, detyrimet dhe përgjegjësitë e palëve kontraktuese</w:t>
            </w:r>
            <w:r w:rsidRPr="00E17275"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ind w:right="33"/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ind w:right="33"/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11.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 xml:space="preserve">Përdoruesi i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 xml:space="preserve">eve detyrohet t’i paraqesë Ministrisë raportin narativ dhe financiar mbi realizimin e programit dhe projektit me provën e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eve të shpenzuara për qëllimin e përcaktuar.</w:t>
            </w:r>
            <w:r>
              <w:rPr>
                <w:lang w:val="sr-Cyrl-CS"/>
              </w:rPr>
              <w:t xml:space="preserve"> (</w:t>
            </w:r>
            <w:r>
              <w:rPr>
                <w:lang w:val="sq-AL"/>
              </w:rPr>
              <w:t>Në tekstin e mëtejshëm: raporti</w:t>
            </w:r>
            <w:r w:rsidRPr="00E17275">
              <w:rPr>
                <w:lang w:val="sr-Cyrl-CS"/>
              </w:rPr>
              <w:t xml:space="preserve">). 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sr-Cyrl-CS"/>
              </w:rPr>
            </w:pPr>
            <w:r>
              <w:rPr>
                <w:lang w:val="sq-AL"/>
              </w:rPr>
              <w:t>Raporti dorëzohet çdo tre muaj, si edhe pas realizimit të programit dhe projektit</w:t>
            </w:r>
            <w:r w:rsidRPr="00E17275">
              <w:rPr>
                <w:lang w:val="sr-Cyrl-CS"/>
              </w:rPr>
              <w:t>.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hu-HU"/>
              </w:rPr>
            </w:pPr>
            <w:r>
              <w:rPr>
                <w:lang w:val="sq-AL"/>
              </w:rPr>
              <w:t xml:space="preserve">Përdoruesi i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eve detyrohet të theksojë në mënyrë të përshtatshme që Ministria ka marrë pjesë në financimin ose bashkëfinancimin e programit dhe projektit të relizuar.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tabs>
                <w:tab w:val="left" w:pos="4320"/>
              </w:tabs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tabs>
                <w:tab w:val="left" w:pos="4320"/>
              </w:tabs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12.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 xml:space="preserve">Ministria ndjek mënyrën e shpenzimit të </w:t>
            </w:r>
            <w:r w:rsidR="003451C0">
              <w:t>mjet</w:t>
            </w:r>
            <w:r>
              <w:t xml:space="preserve">eve si edhe realizimin e </w:t>
            </w:r>
            <w:r w:rsidR="003451C0">
              <w:t>qëllimëve</w:t>
            </w:r>
            <w:r>
              <w:t xml:space="preserve"> për realizimin e të cilave janë shpërndarë </w:t>
            </w:r>
            <w:r w:rsidR="003451C0">
              <w:t>mjet</w:t>
            </w:r>
            <w:r>
              <w:t>et në bazë të raportit nga neni 11 të kësaj dispozite</w:t>
            </w:r>
            <w:r w:rsidRPr="00E17275">
              <w:t>.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 xml:space="preserve">Me qëllim ndjekjen e realizimit të </w:t>
            </w:r>
            <w:r w:rsidR="003451C0">
              <w:t>qëllimëve</w:t>
            </w:r>
            <w:r>
              <w:t xml:space="preserve"> nga paragrafi 1 të këtij neni, Ministria detyrimisht merr mendimin e ministrive në fushëveprimin e të cilave gjendet fusha e </w:t>
            </w:r>
            <w:r>
              <w:lastRenderedPageBreak/>
              <w:t>programit ose projektit për të cilin paraqitet raporti</w:t>
            </w:r>
            <w:r w:rsidRPr="00E17275">
              <w:t xml:space="preserve">.  </w:t>
            </w:r>
          </w:p>
          <w:p w:rsidR="006143FC" w:rsidRPr="00E17275" w:rsidRDefault="00B45800" w:rsidP="00E17275">
            <w:pPr>
              <w:ind w:firstLine="720"/>
              <w:jc w:val="both"/>
            </w:pPr>
            <w:r>
              <w:t xml:space="preserve">Përdoruesi i </w:t>
            </w:r>
            <w:r w:rsidR="003451C0">
              <w:t>mjet</w:t>
            </w:r>
            <w:r>
              <w:t>eve detyro</w:t>
            </w:r>
            <w:r w:rsidR="006143FC">
              <w:t>het t’i mundësojë Ministrisë në çdo moment kontrollin e realizimit të programit dhe projektit dhe qasje</w:t>
            </w:r>
            <w:r w:rsidR="005B477F">
              <w:t>n në gjithë dokumentacionin e ne</w:t>
            </w:r>
            <w:r w:rsidR="006143FC">
              <w:t>vojshëm</w:t>
            </w:r>
            <w:r w:rsidR="006143FC" w:rsidRPr="00E17275">
              <w:t xml:space="preserve">. </w:t>
            </w:r>
            <w:r w:rsidR="006143FC">
              <w:t>Ministria, me qëllim marrjen e mendimit, sipas nevojës ia siguron qasjen</w:t>
            </w:r>
            <w:r w:rsidR="005B477F">
              <w:t xml:space="preserve"> në dokumentacion ministrisë ko</w:t>
            </w:r>
            <w:r w:rsidR="006143FC">
              <w:t>petente</w:t>
            </w:r>
            <w:r w:rsidR="006143FC" w:rsidRPr="00E17275">
              <w:t xml:space="preserve">. </w:t>
            </w:r>
          </w:p>
          <w:p w:rsidR="006143FC" w:rsidRPr="00E17275" w:rsidRDefault="006143FC" w:rsidP="00E17275">
            <w:pPr>
              <w:ind w:firstLine="720"/>
              <w:jc w:val="both"/>
            </w:pPr>
            <w:r>
              <w:t xml:space="preserve">Në qoftë se përdoruesi i </w:t>
            </w:r>
            <w:r w:rsidR="003451C0">
              <w:t>mjet</w:t>
            </w:r>
            <w:r>
              <w:t>eve nuk e bën të mundur kontrollin e realizimit të programit dhe projektit ose gjatë kontrol</w:t>
            </w:r>
            <w:r w:rsidR="005B477F">
              <w:t>l</w:t>
            </w:r>
            <w:r>
              <w:t xml:space="preserve">it mësohet shpenzimi i </w:t>
            </w:r>
            <w:r w:rsidR="003451C0">
              <w:t>mjet</w:t>
            </w:r>
            <w:r>
              <w:t xml:space="preserve">eve jashtë qëllimit, Ministria do të prishë kontratën dhe përdoruesi i </w:t>
            </w:r>
            <w:r w:rsidR="003451C0">
              <w:t>mjet</w:t>
            </w:r>
            <w:r>
              <w:t xml:space="preserve">eve detyrohet t’i kthejë </w:t>
            </w:r>
            <w:r w:rsidR="003451C0">
              <w:t>mjet</w:t>
            </w:r>
            <w:r>
              <w:t>et e paguara, bashkë me kamatëvonesën</w:t>
            </w:r>
            <w:r w:rsidRPr="00E17275"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13.</w:t>
            </w:r>
          </w:p>
          <w:p w:rsidR="006143FC" w:rsidRPr="00E17275" w:rsidRDefault="006143FC" w:rsidP="00E17275">
            <w:pPr>
              <w:ind w:right="33" w:firstLine="720"/>
              <w:jc w:val="both"/>
              <w:rPr>
                <w:lang w:val="hu-HU"/>
              </w:rPr>
            </w:pPr>
            <w:r>
              <w:rPr>
                <w:lang w:val="sq-AL"/>
              </w:rPr>
              <w:t>Përdorue</w:t>
            </w:r>
            <w:r w:rsidR="00352343">
              <w:rPr>
                <w:lang w:val="sq-AL"/>
              </w:rPr>
              <w:t xml:space="preserve">si i </w:t>
            </w:r>
            <w:r w:rsidR="003451C0">
              <w:rPr>
                <w:lang w:val="sq-AL"/>
              </w:rPr>
              <w:t>mjet</w:t>
            </w:r>
            <w:r w:rsidR="00352343">
              <w:rPr>
                <w:lang w:val="sq-AL"/>
              </w:rPr>
              <w:t>eve për të cilin vërtetohet</w:t>
            </w:r>
            <w:r w:rsidRPr="00352343">
              <w:rPr>
                <w:b/>
                <w:lang w:val="sq-AL"/>
              </w:rPr>
              <w:t xml:space="preserve"> </w:t>
            </w:r>
            <w:r>
              <w:rPr>
                <w:lang w:val="sq-AL"/>
              </w:rPr>
              <w:t xml:space="preserve">të këtë shpenzuar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 xml:space="preserve">et jashtë qëllimit, humbet të drejtën e pjesëmarrjes në konkurset e mëtejshme për dhënien e </w:t>
            </w:r>
            <w:r w:rsidR="003451C0">
              <w:rPr>
                <w:lang w:val="sq-AL"/>
              </w:rPr>
              <w:t>mjet</w:t>
            </w:r>
            <w:r>
              <w:rPr>
                <w:lang w:val="sq-AL"/>
              </w:rPr>
              <w:t>eve të Fondit</w:t>
            </w:r>
            <w:r w:rsidRPr="00E17275">
              <w:rPr>
                <w:lang w:val="sr-Cyrl-CS"/>
              </w:rPr>
              <w:t>.</w:t>
            </w:r>
          </w:p>
        </w:tc>
      </w:tr>
      <w:tr w:rsidR="006143FC" w:rsidRPr="00133F7A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E17275">
            <w:pPr>
              <w:jc w:val="center"/>
              <w:rPr>
                <w:b/>
                <w:bCs/>
                <w:lang w:val="sr-Cyrl-CS"/>
              </w:rPr>
            </w:pPr>
          </w:p>
          <w:p w:rsidR="006143FC" w:rsidRPr="00E17275" w:rsidRDefault="006143FC" w:rsidP="00E17275">
            <w:pPr>
              <w:jc w:val="center"/>
              <w:rPr>
                <w:lang w:val="sr-Cyrl-CS"/>
              </w:rPr>
            </w:pPr>
            <w:r>
              <w:rPr>
                <w:lang w:val="sq-AL"/>
              </w:rPr>
              <w:t>Neni</w:t>
            </w:r>
            <w:r w:rsidRPr="00E17275">
              <w:rPr>
                <w:lang w:val="sr-Cyrl-CS"/>
              </w:rPr>
              <w:t xml:space="preserve"> 14.</w:t>
            </w:r>
          </w:p>
          <w:p w:rsidR="006143FC" w:rsidRPr="00E17275" w:rsidRDefault="006143FC" w:rsidP="00E17275">
            <w:pPr>
              <w:ind w:right="33" w:firstLine="720"/>
              <w:jc w:val="both"/>
            </w:pPr>
            <w:r>
              <w:rPr>
                <w:lang w:val="sq-AL"/>
              </w:rPr>
              <w:t>Kjo dispozitë hyn në fuqi ditën e tetë pas shpalljes në “Fletorën Zyrtare të Republikës së Serbisë”</w:t>
            </w:r>
            <w:r w:rsidRPr="00E17275">
              <w:rPr>
                <w:lang w:val="sr-Cyrl-CS"/>
              </w:rPr>
              <w:t>.</w:t>
            </w:r>
          </w:p>
        </w:tc>
      </w:tr>
    </w:tbl>
    <w:p w:rsidR="006143FC" w:rsidRPr="00133F7A" w:rsidRDefault="006143FC" w:rsidP="003561AE">
      <w:pPr>
        <w:spacing w:beforeLines="100" w:before="240"/>
        <w:ind w:right="33" w:firstLine="720"/>
        <w:rPr>
          <w:b/>
          <w:bCs/>
        </w:rPr>
      </w:pPr>
    </w:p>
    <w:p w:rsidR="006143FC" w:rsidRPr="0052472D" w:rsidRDefault="006143FC" w:rsidP="003561AE">
      <w:pPr>
        <w:spacing w:beforeLines="100" w:before="240"/>
        <w:jc w:val="center"/>
        <w:rPr>
          <w:b/>
          <w:bCs/>
          <w:lang w:val="en-US"/>
        </w:rPr>
      </w:pPr>
      <w:r>
        <w:rPr>
          <w:b/>
          <w:bCs/>
        </w:rPr>
        <w:t>Q E V E R I A</w:t>
      </w:r>
    </w:p>
    <w:p w:rsidR="006143FC" w:rsidRPr="00133F7A" w:rsidRDefault="006143FC" w:rsidP="003561AE">
      <w:pPr>
        <w:spacing w:beforeLines="100" w:before="240"/>
        <w:ind w:right="33" w:firstLine="720"/>
        <w:jc w:val="center"/>
        <w:rPr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6143FC" w:rsidRPr="00133F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3561AE">
            <w:pPr>
              <w:spacing w:beforeLines="100" w:before="240"/>
              <w:ind w:right="33"/>
              <w:jc w:val="both"/>
              <w:rPr>
                <w:lang w:val="sr-Cyrl-CS"/>
              </w:rPr>
            </w:pPr>
            <w:r w:rsidRPr="00E17275">
              <w:rPr>
                <w:lang w:val="sr-Cyrl-CS"/>
              </w:rPr>
              <w:t xml:space="preserve">05 </w:t>
            </w:r>
            <w:r>
              <w:rPr>
                <w:lang w:val="sq-AL"/>
              </w:rPr>
              <w:t>Numër</w:t>
            </w:r>
            <w:r w:rsidRPr="00E17275">
              <w:rPr>
                <w:lang w:val="sr-Cyrl-CS"/>
              </w:rPr>
              <w:t>:</w:t>
            </w:r>
          </w:p>
          <w:p w:rsidR="006143FC" w:rsidRPr="00E17275" w:rsidRDefault="006143FC" w:rsidP="003561AE">
            <w:pPr>
              <w:spacing w:beforeLines="100" w:before="240"/>
            </w:pPr>
            <w:r>
              <w:rPr>
                <w:lang w:val="sq-AL"/>
              </w:rPr>
              <w:t>Në</w:t>
            </w:r>
            <w:r w:rsidRPr="00E17275">
              <w:rPr>
                <w:lang w:val="sr-Cyrl-CS"/>
              </w:rPr>
              <w:t xml:space="preserve"> </w:t>
            </w:r>
            <w:r>
              <w:rPr>
                <w:lang w:val="sq-AL"/>
              </w:rPr>
              <w:t>Beograd</w:t>
            </w:r>
            <w:r w:rsidRPr="00E17275">
              <w:rPr>
                <w:lang w:val="sr-Cyrl-CS"/>
              </w:rPr>
              <w:t xml:space="preserve">,  </w:t>
            </w:r>
            <w:r>
              <w:rPr>
                <w:lang w:val="sq-AL"/>
              </w:rPr>
              <w:t xml:space="preserve">viti </w:t>
            </w:r>
            <w:r w:rsidRPr="00E17275">
              <w:rPr>
                <w:lang w:val="sr-Cyrl-CS"/>
              </w:rPr>
              <w:t>201</w:t>
            </w:r>
            <w:r w:rsidRPr="00E17275">
              <w:t>6</w:t>
            </w:r>
            <w:r w:rsidRPr="00E17275">
              <w:rPr>
                <w:lang w:val="sr-Cyrl-CS"/>
              </w:rPr>
              <w:t xml:space="preserve">            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143FC" w:rsidRPr="00E17275" w:rsidRDefault="006143FC" w:rsidP="003561AE">
            <w:pPr>
              <w:spacing w:beforeLines="100" w:before="240"/>
              <w:jc w:val="center"/>
              <w:rPr>
                <w:lang w:val="sr-Cyrl-CS"/>
              </w:rPr>
            </w:pPr>
          </w:p>
          <w:p w:rsidR="006143FC" w:rsidRPr="00E17275" w:rsidRDefault="006143FC" w:rsidP="003561AE">
            <w:pPr>
              <w:spacing w:beforeLines="100" w:before="240"/>
              <w:jc w:val="center"/>
              <w:rPr>
                <w:lang w:val="sr-Cyrl-CS"/>
              </w:rPr>
            </w:pPr>
          </w:p>
          <w:p w:rsidR="006143FC" w:rsidRPr="003F0037" w:rsidRDefault="006143FC" w:rsidP="003561AE">
            <w:pPr>
              <w:spacing w:beforeLines="100" w:before="240"/>
              <w:jc w:val="center"/>
              <w:rPr>
                <w:lang w:val="sq-AL"/>
              </w:rPr>
            </w:pPr>
            <w:r w:rsidRPr="00E17275">
              <w:rPr>
                <w:lang w:val="sr-Cyrl-CS"/>
              </w:rPr>
              <w:t xml:space="preserve">         </w:t>
            </w:r>
            <w:r>
              <w:rPr>
                <w:lang w:val="sq-AL"/>
              </w:rPr>
              <w:t>KRYETARI</w:t>
            </w:r>
          </w:p>
        </w:tc>
      </w:tr>
    </w:tbl>
    <w:p w:rsidR="006143FC" w:rsidRPr="00133F7A" w:rsidRDefault="006143FC" w:rsidP="00ED544D">
      <w:pPr>
        <w:pStyle w:val="NormalWeb"/>
        <w:spacing w:beforeLines="100" w:before="240"/>
      </w:pPr>
    </w:p>
    <w:sectPr w:rsidR="006143FC" w:rsidRPr="00133F7A" w:rsidSect="00247417"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FC" w:rsidRDefault="006143FC" w:rsidP="00247417">
      <w:r>
        <w:separator/>
      </w:r>
    </w:p>
  </w:endnote>
  <w:endnote w:type="continuationSeparator" w:id="0">
    <w:p w:rsidR="006143FC" w:rsidRDefault="006143FC" w:rsidP="002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FC" w:rsidRDefault="006143FC" w:rsidP="00247417">
      <w:r>
        <w:separator/>
      </w:r>
    </w:p>
  </w:footnote>
  <w:footnote w:type="continuationSeparator" w:id="0">
    <w:p w:rsidR="006143FC" w:rsidRDefault="006143FC" w:rsidP="002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FC" w:rsidRDefault="003561A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578">
      <w:rPr>
        <w:noProof/>
      </w:rPr>
      <w:t>2</w:t>
    </w:r>
    <w:r>
      <w:rPr>
        <w:noProof/>
      </w:rPr>
      <w:fldChar w:fldCharType="end"/>
    </w:r>
  </w:p>
  <w:p w:rsidR="006143FC" w:rsidRDefault="00614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E48"/>
    <w:multiLevelType w:val="hybridMultilevel"/>
    <w:tmpl w:val="01D6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77C"/>
    <w:multiLevelType w:val="hybridMultilevel"/>
    <w:tmpl w:val="52AE72B4"/>
    <w:lvl w:ilvl="0" w:tplc="EDC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868"/>
    <w:multiLevelType w:val="hybridMultilevel"/>
    <w:tmpl w:val="22ACA4F4"/>
    <w:lvl w:ilvl="0" w:tplc="443631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7C54E9B"/>
    <w:multiLevelType w:val="hybridMultilevel"/>
    <w:tmpl w:val="5D34125E"/>
    <w:lvl w:ilvl="0" w:tplc="A502F0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D6672"/>
    <w:multiLevelType w:val="hybridMultilevel"/>
    <w:tmpl w:val="DD70B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D177A5"/>
    <w:multiLevelType w:val="hybridMultilevel"/>
    <w:tmpl w:val="200A6E1E"/>
    <w:lvl w:ilvl="0" w:tplc="0C3EE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D3B1BD5"/>
    <w:multiLevelType w:val="hybridMultilevel"/>
    <w:tmpl w:val="FF96B7FC"/>
    <w:lvl w:ilvl="0" w:tplc="BD62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411"/>
    <w:rsid w:val="00004466"/>
    <w:rsid w:val="00013566"/>
    <w:rsid w:val="00025418"/>
    <w:rsid w:val="00031F1E"/>
    <w:rsid w:val="00034D1E"/>
    <w:rsid w:val="000351AC"/>
    <w:rsid w:val="00040F36"/>
    <w:rsid w:val="00046843"/>
    <w:rsid w:val="000479B6"/>
    <w:rsid w:val="00063909"/>
    <w:rsid w:val="0006618A"/>
    <w:rsid w:val="00066DBF"/>
    <w:rsid w:val="00071105"/>
    <w:rsid w:val="000837D9"/>
    <w:rsid w:val="000906A5"/>
    <w:rsid w:val="00090C9B"/>
    <w:rsid w:val="000913DF"/>
    <w:rsid w:val="00091C57"/>
    <w:rsid w:val="00094887"/>
    <w:rsid w:val="00096055"/>
    <w:rsid w:val="00096E31"/>
    <w:rsid w:val="000A5692"/>
    <w:rsid w:val="000B6129"/>
    <w:rsid w:val="000D3B69"/>
    <w:rsid w:val="000D4D81"/>
    <w:rsid w:val="000D63B3"/>
    <w:rsid w:val="000E17FE"/>
    <w:rsid w:val="000E2F33"/>
    <w:rsid w:val="000E3A90"/>
    <w:rsid w:val="000E4969"/>
    <w:rsid w:val="000E6938"/>
    <w:rsid w:val="001064E6"/>
    <w:rsid w:val="00112B95"/>
    <w:rsid w:val="00126954"/>
    <w:rsid w:val="00132009"/>
    <w:rsid w:val="001322B4"/>
    <w:rsid w:val="00133F7A"/>
    <w:rsid w:val="0014737E"/>
    <w:rsid w:val="001475F3"/>
    <w:rsid w:val="00153930"/>
    <w:rsid w:val="00154FBC"/>
    <w:rsid w:val="00161D33"/>
    <w:rsid w:val="00161EDD"/>
    <w:rsid w:val="00165CE8"/>
    <w:rsid w:val="0016647E"/>
    <w:rsid w:val="0017314E"/>
    <w:rsid w:val="0017443A"/>
    <w:rsid w:val="00174DDC"/>
    <w:rsid w:val="00175F9A"/>
    <w:rsid w:val="00186F00"/>
    <w:rsid w:val="00193ECA"/>
    <w:rsid w:val="0019483F"/>
    <w:rsid w:val="00195720"/>
    <w:rsid w:val="00197D88"/>
    <w:rsid w:val="001A140B"/>
    <w:rsid w:val="001A76BE"/>
    <w:rsid w:val="001B02E7"/>
    <w:rsid w:val="001B287B"/>
    <w:rsid w:val="001B5D0D"/>
    <w:rsid w:val="001B728B"/>
    <w:rsid w:val="001D1D7B"/>
    <w:rsid w:val="001D6454"/>
    <w:rsid w:val="001D67F3"/>
    <w:rsid w:val="001F25B7"/>
    <w:rsid w:val="00200087"/>
    <w:rsid w:val="00205525"/>
    <w:rsid w:val="00206342"/>
    <w:rsid w:val="00207357"/>
    <w:rsid w:val="00211B12"/>
    <w:rsid w:val="00221D0D"/>
    <w:rsid w:val="00224CA3"/>
    <w:rsid w:val="00226CB1"/>
    <w:rsid w:val="00226E4E"/>
    <w:rsid w:val="00230D76"/>
    <w:rsid w:val="002320B0"/>
    <w:rsid w:val="002345BE"/>
    <w:rsid w:val="00241AC5"/>
    <w:rsid w:val="00244E70"/>
    <w:rsid w:val="002454B2"/>
    <w:rsid w:val="00247417"/>
    <w:rsid w:val="00253405"/>
    <w:rsid w:val="0026595C"/>
    <w:rsid w:val="002667BF"/>
    <w:rsid w:val="002706DF"/>
    <w:rsid w:val="002726BE"/>
    <w:rsid w:val="00275630"/>
    <w:rsid w:val="00285D62"/>
    <w:rsid w:val="002A0E6C"/>
    <w:rsid w:val="002A574F"/>
    <w:rsid w:val="002B58A9"/>
    <w:rsid w:val="002B7F99"/>
    <w:rsid w:val="002C15FC"/>
    <w:rsid w:val="002C455C"/>
    <w:rsid w:val="002C65E0"/>
    <w:rsid w:val="002C6B1A"/>
    <w:rsid w:val="002D1DDE"/>
    <w:rsid w:val="002D60B9"/>
    <w:rsid w:val="002D6B5C"/>
    <w:rsid w:val="002F483C"/>
    <w:rsid w:val="003017D3"/>
    <w:rsid w:val="0030749B"/>
    <w:rsid w:val="00312F97"/>
    <w:rsid w:val="00314FE7"/>
    <w:rsid w:val="003153AA"/>
    <w:rsid w:val="00321690"/>
    <w:rsid w:val="00322D1B"/>
    <w:rsid w:val="00322DDF"/>
    <w:rsid w:val="0032554C"/>
    <w:rsid w:val="003451C0"/>
    <w:rsid w:val="00347E76"/>
    <w:rsid w:val="00352343"/>
    <w:rsid w:val="00352734"/>
    <w:rsid w:val="00353195"/>
    <w:rsid w:val="003561AE"/>
    <w:rsid w:val="003565A1"/>
    <w:rsid w:val="00357680"/>
    <w:rsid w:val="00363CC0"/>
    <w:rsid w:val="003710A5"/>
    <w:rsid w:val="0037546F"/>
    <w:rsid w:val="00376916"/>
    <w:rsid w:val="00377F04"/>
    <w:rsid w:val="00382E23"/>
    <w:rsid w:val="00384AF3"/>
    <w:rsid w:val="0039418A"/>
    <w:rsid w:val="00394D2B"/>
    <w:rsid w:val="003A4186"/>
    <w:rsid w:val="003B473B"/>
    <w:rsid w:val="003C3293"/>
    <w:rsid w:val="003C5297"/>
    <w:rsid w:val="003E0656"/>
    <w:rsid w:val="003E1374"/>
    <w:rsid w:val="003E6276"/>
    <w:rsid w:val="003E7F40"/>
    <w:rsid w:val="003F0037"/>
    <w:rsid w:val="00414D31"/>
    <w:rsid w:val="00416A25"/>
    <w:rsid w:val="004225CE"/>
    <w:rsid w:val="00423C87"/>
    <w:rsid w:val="004304A7"/>
    <w:rsid w:val="00432D8A"/>
    <w:rsid w:val="00434509"/>
    <w:rsid w:val="0043712A"/>
    <w:rsid w:val="004422A3"/>
    <w:rsid w:val="004441D3"/>
    <w:rsid w:val="004553F6"/>
    <w:rsid w:val="0047081D"/>
    <w:rsid w:val="00473917"/>
    <w:rsid w:val="004778A5"/>
    <w:rsid w:val="00481636"/>
    <w:rsid w:val="0048323A"/>
    <w:rsid w:val="00483620"/>
    <w:rsid w:val="00490A22"/>
    <w:rsid w:val="00496AAF"/>
    <w:rsid w:val="004B0F18"/>
    <w:rsid w:val="004C114D"/>
    <w:rsid w:val="004C172F"/>
    <w:rsid w:val="004C364E"/>
    <w:rsid w:val="004C55D7"/>
    <w:rsid w:val="004D154F"/>
    <w:rsid w:val="004D5AD4"/>
    <w:rsid w:val="004D7E16"/>
    <w:rsid w:val="004E02AA"/>
    <w:rsid w:val="004E0645"/>
    <w:rsid w:val="004E4BAE"/>
    <w:rsid w:val="0050132B"/>
    <w:rsid w:val="00503D26"/>
    <w:rsid w:val="00506FBB"/>
    <w:rsid w:val="00507A60"/>
    <w:rsid w:val="005111A7"/>
    <w:rsid w:val="00512BA3"/>
    <w:rsid w:val="00516C37"/>
    <w:rsid w:val="00522FCF"/>
    <w:rsid w:val="005243C4"/>
    <w:rsid w:val="0052472D"/>
    <w:rsid w:val="00527CC3"/>
    <w:rsid w:val="00531AE2"/>
    <w:rsid w:val="005361CA"/>
    <w:rsid w:val="005424AA"/>
    <w:rsid w:val="00551FF1"/>
    <w:rsid w:val="0055596D"/>
    <w:rsid w:val="00556150"/>
    <w:rsid w:val="00564A7B"/>
    <w:rsid w:val="0056508B"/>
    <w:rsid w:val="00567933"/>
    <w:rsid w:val="00572D39"/>
    <w:rsid w:val="00573C18"/>
    <w:rsid w:val="00574B18"/>
    <w:rsid w:val="0058286F"/>
    <w:rsid w:val="005835DD"/>
    <w:rsid w:val="00586F34"/>
    <w:rsid w:val="00587BF5"/>
    <w:rsid w:val="00587C63"/>
    <w:rsid w:val="005921F0"/>
    <w:rsid w:val="0059514E"/>
    <w:rsid w:val="005976C5"/>
    <w:rsid w:val="005A1854"/>
    <w:rsid w:val="005B477F"/>
    <w:rsid w:val="005B499A"/>
    <w:rsid w:val="005C254F"/>
    <w:rsid w:val="005C3CCD"/>
    <w:rsid w:val="005D663F"/>
    <w:rsid w:val="005E0955"/>
    <w:rsid w:val="005F6300"/>
    <w:rsid w:val="005F735A"/>
    <w:rsid w:val="00601EA5"/>
    <w:rsid w:val="00602D96"/>
    <w:rsid w:val="00606173"/>
    <w:rsid w:val="006062C4"/>
    <w:rsid w:val="0061035C"/>
    <w:rsid w:val="0061124B"/>
    <w:rsid w:val="006143FC"/>
    <w:rsid w:val="006202C9"/>
    <w:rsid w:val="006378C3"/>
    <w:rsid w:val="006547F1"/>
    <w:rsid w:val="0066287B"/>
    <w:rsid w:val="00665905"/>
    <w:rsid w:val="00666FC9"/>
    <w:rsid w:val="006765C6"/>
    <w:rsid w:val="00680779"/>
    <w:rsid w:val="00690AEE"/>
    <w:rsid w:val="00693791"/>
    <w:rsid w:val="00694694"/>
    <w:rsid w:val="00697F9C"/>
    <w:rsid w:val="006A789C"/>
    <w:rsid w:val="006B4CDB"/>
    <w:rsid w:val="006B67BD"/>
    <w:rsid w:val="006B716D"/>
    <w:rsid w:val="006B7B04"/>
    <w:rsid w:val="006D0636"/>
    <w:rsid w:val="006D453C"/>
    <w:rsid w:val="006D4BB9"/>
    <w:rsid w:val="006D518A"/>
    <w:rsid w:val="006E0CA7"/>
    <w:rsid w:val="006E1C74"/>
    <w:rsid w:val="006E1DB0"/>
    <w:rsid w:val="006E1E1D"/>
    <w:rsid w:val="006E3968"/>
    <w:rsid w:val="006F34BC"/>
    <w:rsid w:val="006F3565"/>
    <w:rsid w:val="006F4962"/>
    <w:rsid w:val="006F76E0"/>
    <w:rsid w:val="006F7AAE"/>
    <w:rsid w:val="007022B4"/>
    <w:rsid w:val="007204F2"/>
    <w:rsid w:val="00721E1B"/>
    <w:rsid w:val="007239AC"/>
    <w:rsid w:val="00731A11"/>
    <w:rsid w:val="0073363D"/>
    <w:rsid w:val="0073680E"/>
    <w:rsid w:val="00740A9C"/>
    <w:rsid w:val="007466D5"/>
    <w:rsid w:val="007477F3"/>
    <w:rsid w:val="0074799F"/>
    <w:rsid w:val="00753DF7"/>
    <w:rsid w:val="00755861"/>
    <w:rsid w:val="00755FBF"/>
    <w:rsid w:val="007718A9"/>
    <w:rsid w:val="007766AF"/>
    <w:rsid w:val="00780E1E"/>
    <w:rsid w:val="00783460"/>
    <w:rsid w:val="0078389F"/>
    <w:rsid w:val="0079386D"/>
    <w:rsid w:val="00795E3E"/>
    <w:rsid w:val="007A207B"/>
    <w:rsid w:val="007B21C9"/>
    <w:rsid w:val="007B21F1"/>
    <w:rsid w:val="007B4619"/>
    <w:rsid w:val="007B72B3"/>
    <w:rsid w:val="007C3903"/>
    <w:rsid w:val="007C6E0A"/>
    <w:rsid w:val="007E0411"/>
    <w:rsid w:val="007E276F"/>
    <w:rsid w:val="007E424A"/>
    <w:rsid w:val="007E70C7"/>
    <w:rsid w:val="007F08C0"/>
    <w:rsid w:val="008075C9"/>
    <w:rsid w:val="008164EC"/>
    <w:rsid w:val="008167F1"/>
    <w:rsid w:val="0082554A"/>
    <w:rsid w:val="00827645"/>
    <w:rsid w:val="0082776F"/>
    <w:rsid w:val="00827AC9"/>
    <w:rsid w:val="00836A5B"/>
    <w:rsid w:val="00837F94"/>
    <w:rsid w:val="00842008"/>
    <w:rsid w:val="008475C6"/>
    <w:rsid w:val="008502C7"/>
    <w:rsid w:val="008515B8"/>
    <w:rsid w:val="00861924"/>
    <w:rsid w:val="00865B5B"/>
    <w:rsid w:val="00867262"/>
    <w:rsid w:val="008714A2"/>
    <w:rsid w:val="00883D8E"/>
    <w:rsid w:val="00890826"/>
    <w:rsid w:val="00895074"/>
    <w:rsid w:val="008955B3"/>
    <w:rsid w:val="008A1E48"/>
    <w:rsid w:val="008A29D8"/>
    <w:rsid w:val="008A4191"/>
    <w:rsid w:val="008A70E5"/>
    <w:rsid w:val="008B7FBA"/>
    <w:rsid w:val="008C4405"/>
    <w:rsid w:val="008C66FD"/>
    <w:rsid w:val="008C72BE"/>
    <w:rsid w:val="008D38D3"/>
    <w:rsid w:val="008F06E3"/>
    <w:rsid w:val="008F2B3C"/>
    <w:rsid w:val="008F3B5B"/>
    <w:rsid w:val="009002B3"/>
    <w:rsid w:val="009061EC"/>
    <w:rsid w:val="00907540"/>
    <w:rsid w:val="00914118"/>
    <w:rsid w:val="009176CC"/>
    <w:rsid w:val="00924965"/>
    <w:rsid w:val="00927961"/>
    <w:rsid w:val="009500DF"/>
    <w:rsid w:val="00950807"/>
    <w:rsid w:val="00950BC6"/>
    <w:rsid w:val="00952744"/>
    <w:rsid w:val="00960A75"/>
    <w:rsid w:val="00965F5A"/>
    <w:rsid w:val="0097690D"/>
    <w:rsid w:val="00991CD9"/>
    <w:rsid w:val="009B1955"/>
    <w:rsid w:val="009B255A"/>
    <w:rsid w:val="009B2F0F"/>
    <w:rsid w:val="009B4343"/>
    <w:rsid w:val="009B6AEB"/>
    <w:rsid w:val="009B7928"/>
    <w:rsid w:val="009E2475"/>
    <w:rsid w:val="009E47F0"/>
    <w:rsid w:val="009F1387"/>
    <w:rsid w:val="009F3107"/>
    <w:rsid w:val="00A01950"/>
    <w:rsid w:val="00A01C88"/>
    <w:rsid w:val="00A01E22"/>
    <w:rsid w:val="00A15399"/>
    <w:rsid w:val="00A1694C"/>
    <w:rsid w:val="00A2022B"/>
    <w:rsid w:val="00A22011"/>
    <w:rsid w:val="00A477E8"/>
    <w:rsid w:val="00A50EDD"/>
    <w:rsid w:val="00A540AC"/>
    <w:rsid w:val="00A54527"/>
    <w:rsid w:val="00A60034"/>
    <w:rsid w:val="00A601C6"/>
    <w:rsid w:val="00A74849"/>
    <w:rsid w:val="00A76092"/>
    <w:rsid w:val="00A91CF6"/>
    <w:rsid w:val="00A92A59"/>
    <w:rsid w:val="00AA21F9"/>
    <w:rsid w:val="00AA7F6B"/>
    <w:rsid w:val="00AB40CB"/>
    <w:rsid w:val="00AC109A"/>
    <w:rsid w:val="00AC19CA"/>
    <w:rsid w:val="00AC3A5F"/>
    <w:rsid w:val="00AD0AF5"/>
    <w:rsid w:val="00AD4342"/>
    <w:rsid w:val="00AE79B1"/>
    <w:rsid w:val="00B02DC5"/>
    <w:rsid w:val="00B0305F"/>
    <w:rsid w:val="00B1361C"/>
    <w:rsid w:val="00B177FC"/>
    <w:rsid w:val="00B213F9"/>
    <w:rsid w:val="00B23408"/>
    <w:rsid w:val="00B23635"/>
    <w:rsid w:val="00B4004E"/>
    <w:rsid w:val="00B4243F"/>
    <w:rsid w:val="00B42A86"/>
    <w:rsid w:val="00B431B2"/>
    <w:rsid w:val="00B455FE"/>
    <w:rsid w:val="00B45800"/>
    <w:rsid w:val="00B535C2"/>
    <w:rsid w:val="00B540CB"/>
    <w:rsid w:val="00B63348"/>
    <w:rsid w:val="00B65686"/>
    <w:rsid w:val="00B6774F"/>
    <w:rsid w:val="00B71ABF"/>
    <w:rsid w:val="00B721D9"/>
    <w:rsid w:val="00B85B2E"/>
    <w:rsid w:val="00B905E7"/>
    <w:rsid w:val="00B91A3D"/>
    <w:rsid w:val="00B921AA"/>
    <w:rsid w:val="00B96B84"/>
    <w:rsid w:val="00B9795F"/>
    <w:rsid w:val="00BA7D63"/>
    <w:rsid w:val="00BB78FD"/>
    <w:rsid w:val="00BC13C6"/>
    <w:rsid w:val="00BC181A"/>
    <w:rsid w:val="00BC4453"/>
    <w:rsid w:val="00BC54AD"/>
    <w:rsid w:val="00BD3B94"/>
    <w:rsid w:val="00BD3D24"/>
    <w:rsid w:val="00BD4488"/>
    <w:rsid w:val="00BE6C9E"/>
    <w:rsid w:val="00BF249C"/>
    <w:rsid w:val="00BF382B"/>
    <w:rsid w:val="00BF4159"/>
    <w:rsid w:val="00BF6039"/>
    <w:rsid w:val="00C01514"/>
    <w:rsid w:val="00C16E9E"/>
    <w:rsid w:val="00C22597"/>
    <w:rsid w:val="00C22DFC"/>
    <w:rsid w:val="00C23806"/>
    <w:rsid w:val="00C45D78"/>
    <w:rsid w:val="00C4676F"/>
    <w:rsid w:val="00C51409"/>
    <w:rsid w:val="00C62B28"/>
    <w:rsid w:val="00C63370"/>
    <w:rsid w:val="00C65754"/>
    <w:rsid w:val="00C769C3"/>
    <w:rsid w:val="00C8058F"/>
    <w:rsid w:val="00C81D0E"/>
    <w:rsid w:val="00C83BA1"/>
    <w:rsid w:val="00C91C5B"/>
    <w:rsid w:val="00C94388"/>
    <w:rsid w:val="00CA0ED9"/>
    <w:rsid w:val="00CA261B"/>
    <w:rsid w:val="00CA4059"/>
    <w:rsid w:val="00CA4AA9"/>
    <w:rsid w:val="00CA7411"/>
    <w:rsid w:val="00CB0F84"/>
    <w:rsid w:val="00CB7315"/>
    <w:rsid w:val="00CC05C9"/>
    <w:rsid w:val="00CC4723"/>
    <w:rsid w:val="00CC5042"/>
    <w:rsid w:val="00CC61A3"/>
    <w:rsid w:val="00CC7088"/>
    <w:rsid w:val="00CC7D45"/>
    <w:rsid w:val="00CD21A0"/>
    <w:rsid w:val="00CE0B24"/>
    <w:rsid w:val="00D01867"/>
    <w:rsid w:val="00D020C7"/>
    <w:rsid w:val="00D04A0F"/>
    <w:rsid w:val="00D0693A"/>
    <w:rsid w:val="00D078AB"/>
    <w:rsid w:val="00D103B8"/>
    <w:rsid w:val="00D1383F"/>
    <w:rsid w:val="00D17EA9"/>
    <w:rsid w:val="00D25400"/>
    <w:rsid w:val="00D267A3"/>
    <w:rsid w:val="00D313F6"/>
    <w:rsid w:val="00D328EC"/>
    <w:rsid w:val="00D3367D"/>
    <w:rsid w:val="00D362FA"/>
    <w:rsid w:val="00D365C8"/>
    <w:rsid w:val="00D4044D"/>
    <w:rsid w:val="00D41195"/>
    <w:rsid w:val="00D41822"/>
    <w:rsid w:val="00D45665"/>
    <w:rsid w:val="00D46B8B"/>
    <w:rsid w:val="00D51FF3"/>
    <w:rsid w:val="00D57B22"/>
    <w:rsid w:val="00D71498"/>
    <w:rsid w:val="00D72603"/>
    <w:rsid w:val="00D76A98"/>
    <w:rsid w:val="00D76CF5"/>
    <w:rsid w:val="00D86F64"/>
    <w:rsid w:val="00DA1026"/>
    <w:rsid w:val="00DB3477"/>
    <w:rsid w:val="00DB696F"/>
    <w:rsid w:val="00DC35DF"/>
    <w:rsid w:val="00DD3184"/>
    <w:rsid w:val="00DE4252"/>
    <w:rsid w:val="00E01B23"/>
    <w:rsid w:val="00E04C2C"/>
    <w:rsid w:val="00E0616F"/>
    <w:rsid w:val="00E061BA"/>
    <w:rsid w:val="00E16A62"/>
    <w:rsid w:val="00E17275"/>
    <w:rsid w:val="00E2554E"/>
    <w:rsid w:val="00E26872"/>
    <w:rsid w:val="00E311E7"/>
    <w:rsid w:val="00E359CC"/>
    <w:rsid w:val="00E40911"/>
    <w:rsid w:val="00E44277"/>
    <w:rsid w:val="00E51C5D"/>
    <w:rsid w:val="00E52F81"/>
    <w:rsid w:val="00E53379"/>
    <w:rsid w:val="00E76110"/>
    <w:rsid w:val="00E761C6"/>
    <w:rsid w:val="00E76DC2"/>
    <w:rsid w:val="00E828E1"/>
    <w:rsid w:val="00E86D2E"/>
    <w:rsid w:val="00E921E5"/>
    <w:rsid w:val="00E94CFA"/>
    <w:rsid w:val="00EA3E4F"/>
    <w:rsid w:val="00EA4C9F"/>
    <w:rsid w:val="00EA5C48"/>
    <w:rsid w:val="00EB394F"/>
    <w:rsid w:val="00EB78AB"/>
    <w:rsid w:val="00ED2B53"/>
    <w:rsid w:val="00ED544D"/>
    <w:rsid w:val="00ED5697"/>
    <w:rsid w:val="00ED691A"/>
    <w:rsid w:val="00ED753D"/>
    <w:rsid w:val="00EE4C1E"/>
    <w:rsid w:val="00EE73A2"/>
    <w:rsid w:val="00EF2578"/>
    <w:rsid w:val="00EF502C"/>
    <w:rsid w:val="00F019A3"/>
    <w:rsid w:val="00F07384"/>
    <w:rsid w:val="00F158AA"/>
    <w:rsid w:val="00F1657B"/>
    <w:rsid w:val="00F31FD7"/>
    <w:rsid w:val="00F40201"/>
    <w:rsid w:val="00F5096E"/>
    <w:rsid w:val="00F50C00"/>
    <w:rsid w:val="00F677E3"/>
    <w:rsid w:val="00F83A22"/>
    <w:rsid w:val="00F932ED"/>
    <w:rsid w:val="00FA1BA0"/>
    <w:rsid w:val="00FA2FA1"/>
    <w:rsid w:val="00FA2FA9"/>
    <w:rsid w:val="00FB2496"/>
    <w:rsid w:val="00FB4D0D"/>
    <w:rsid w:val="00FB6404"/>
    <w:rsid w:val="00FC06E5"/>
    <w:rsid w:val="00FD3A51"/>
    <w:rsid w:val="00FD6BA1"/>
    <w:rsid w:val="00FE6148"/>
    <w:rsid w:val="00FE7FDD"/>
    <w:rsid w:val="00FF2CEE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rPr>
      <w:rFonts w:eastAsia="Times New Roman"/>
      <w:sz w:val="24"/>
      <w:szCs w:val="24"/>
      <w:lang w:val="sr-Latn-CS"/>
    </w:rPr>
  </w:style>
  <w:style w:type="paragraph" w:styleId="Heading1">
    <w:name w:val="heading 1"/>
    <w:basedOn w:val="Normal"/>
    <w:link w:val="Heading1Char"/>
    <w:uiPriority w:val="99"/>
    <w:qFormat/>
    <w:rsid w:val="000D63B3"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0D63B3"/>
    <w:pPr>
      <w:spacing w:before="300" w:after="225"/>
      <w:jc w:val="center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3B3"/>
    <w:rPr>
      <w:rFonts w:eastAsia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63B3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E04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383F"/>
    <w:pPr>
      <w:ind w:left="720"/>
    </w:pPr>
  </w:style>
  <w:style w:type="paragraph" w:styleId="NormalWeb">
    <w:name w:val="Normal (Web)"/>
    <w:basedOn w:val="Normal"/>
    <w:uiPriority w:val="99"/>
    <w:rsid w:val="000D63B3"/>
    <w:pPr>
      <w:spacing w:after="90"/>
    </w:pPr>
    <w:rPr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b/>
      <w:bCs/>
      <w:color w:val="006633"/>
      <w:lang w:val="en-US"/>
    </w:rPr>
  </w:style>
  <w:style w:type="paragraph" w:customStyle="1" w:styleId="Default">
    <w:name w:val="Default"/>
    <w:uiPriority w:val="99"/>
    <w:rsid w:val="00312F9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387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3CCD"/>
    <w:rPr>
      <w:rFonts w:eastAsia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CCD"/>
    <w:rPr>
      <w:rFonts w:eastAsia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417"/>
    <w:rPr>
      <w:rFonts w:eastAsia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417"/>
    <w:rPr>
      <w:rFonts w:eastAsia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1630</Words>
  <Characters>8857</Characters>
  <Application>Microsoft Office Word</Application>
  <DocSecurity>0</DocSecurity>
  <Lines>180</Lines>
  <Paragraphs>71</Paragraphs>
  <ScaleCrop>false</ScaleCrop>
  <Company>Hewlett-Packard Company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Në bazë të nenit 123, pika 3 të Kushtetutës së Republikës së Serbisë, dhe në lidhje me nenin 119 të Ligjit mbi Këshillat kombëtare për pakicat kombëtare (“Fletorja zyrtare e RS-së”, nr</dc:title>
  <dc:subject/>
  <dc:creator>MDULS</dc:creator>
  <cp:keywords/>
  <dc:description/>
  <cp:lastModifiedBy>jelena</cp:lastModifiedBy>
  <cp:revision>18</cp:revision>
  <cp:lastPrinted>2016-03-02T09:22:00Z</cp:lastPrinted>
  <dcterms:created xsi:type="dcterms:W3CDTF">2016-03-09T10:41:00Z</dcterms:created>
  <dcterms:modified xsi:type="dcterms:W3CDTF">2016-03-10T09:44:00Z</dcterms:modified>
</cp:coreProperties>
</file>