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50CD" w14:textId="77777777" w:rsidR="00E11F8A" w:rsidRPr="00E11F8A" w:rsidRDefault="00D73369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Јавни позив за акредитацију </w:t>
      </w:r>
      <w:bookmarkStart w:id="0" w:name="_Hlk530653226"/>
      <w:r w:rsidR="00E11F8A">
        <w:rPr>
          <w:rFonts w:eastAsia="Times New Roman" w:cs="Times New Roman"/>
          <w:b/>
          <w:color w:val="000000" w:themeColor="text1"/>
          <w:sz w:val="28"/>
          <w:szCs w:val="28"/>
        </w:rPr>
        <w:t>спроводилаца</w:t>
      </w:r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програма стручног усавршавања у јавној управи</w:t>
      </w:r>
      <w:bookmarkEnd w:id="0"/>
    </w:p>
    <w:p w14:paraId="1191B8B8" w14:textId="5488EE82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На основу </w:t>
      </w:r>
      <w:r w:rsidR="006C0856">
        <w:rPr>
          <w:rFonts w:eastAsia="Times New Roman" w:cs="Times New Roman"/>
          <w:color w:val="000000" w:themeColor="text1"/>
          <w:sz w:val="24"/>
          <w:szCs w:val="24"/>
        </w:rPr>
        <w:t>члана</w:t>
      </w:r>
      <w:r w:rsidR="00E11F8A">
        <w:rPr>
          <w:rFonts w:eastAsia="Times New Roman" w:cs="Times New Roman"/>
          <w:color w:val="000000" w:themeColor="text1"/>
          <w:sz w:val="24"/>
          <w:szCs w:val="24"/>
        </w:rPr>
        <w:t xml:space="preserve"> 7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E11F8A">
        <w:rPr>
          <w:rFonts w:eastAsia="Times New Roman" w:cs="Times New Roman"/>
          <w:color w:val="000000" w:themeColor="text1"/>
          <w:sz w:val="24"/>
          <w:szCs w:val="24"/>
        </w:rPr>
        <w:t xml:space="preserve">став 1. </w:t>
      </w:r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Уредбe о акредитацији, начину ангажовања и накнадама реализатора и спроводилаца програма стручног усавршавања у јавној управи</w:t>
      </w:r>
      <w:r w:rsidR="00133845" w:rsidRPr="00133845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(„Службени гласник</w:t>
      </w:r>
      <w:r w:rsidR="002E3C2B">
        <w:rPr>
          <w:rFonts w:eastAsia="Times New Roman" w:cs="Times New Roman"/>
          <w:color w:val="000000" w:themeColor="text1"/>
          <w:sz w:val="24"/>
          <w:szCs w:val="24"/>
        </w:rPr>
        <w:t xml:space="preserve"> РС”, </w:t>
      </w:r>
      <w:r w:rsidR="007C34F4" w:rsidRPr="007C34F4">
        <w:rPr>
          <w:rFonts w:eastAsia="Times New Roman" w:cs="Times New Roman"/>
          <w:color w:val="000000" w:themeColor="text1"/>
          <w:sz w:val="24"/>
          <w:szCs w:val="24"/>
        </w:rPr>
        <w:t>бр. 90/18 и 71/19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F20B64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Национална академија за јавну управу (у даљем тексту: Национална академија) објављује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јавни позив за </w:t>
      </w:r>
      <w:r w:rsidR="00D56103">
        <w:rPr>
          <w:rFonts w:eastAsia="Times New Roman" w:cs="Times New Roman"/>
          <w:color w:val="000000" w:themeColor="text1"/>
          <w:sz w:val="24"/>
          <w:szCs w:val="24"/>
        </w:rPr>
        <w:t xml:space="preserve">акредитацију </w:t>
      </w:r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>спроводилаца програма струч</w:t>
      </w:r>
      <w:r w:rsidR="006C0856">
        <w:rPr>
          <w:rFonts w:eastAsia="Times New Roman" w:cs="Times New Roman"/>
          <w:color w:val="000000" w:themeColor="text1"/>
          <w:sz w:val="24"/>
          <w:szCs w:val="24"/>
        </w:rPr>
        <w:t>ног усавршавања у јавној управи</w:t>
      </w:r>
      <w:r w:rsidR="00441C37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1E682238" w14:textId="211EF9EC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Овај позив објављује се на </w:t>
      </w:r>
      <w:r w:rsidR="007C34F4" w:rsidRPr="007C34F4">
        <w:rPr>
          <w:rFonts w:eastAsia="Times New Roman" w:cs="Times New Roman"/>
          <w:color w:val="000000" w:themeColor="text1"/>
          <w:sz w:val="24"/>
          <w:szCs w:val="24"/>
        </w:rPr>
        <w:t xml:space="preserve">веб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презентацији 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ационалне академије,</w:t>
      </w:r>
      <w:r w:rsidR="00770DBB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hyperlink r:id="rId6" w:tgtFrame="_blank" w:history="1"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Министарства државне управе и локалне самоуправе</w:t>
        </w:r>
      </w:hyperlink>
      <w:r w:rsidR="00D5610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 xml:space="preserve">и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на </w:t>
      </w:r>
      <w:hyperlink r:id="rId7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Порталу еУправа</w:t>
        </w:r>
      </w:hyperlink>
      <w:r w:rsidR="005325A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33726792" w14:textId="40AB387F" w:rsidR="00D8456A" w:rsidRDefault="00D8456A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Јавни позив за акредитацију спроводилаца расписује се за следеће области стручног усавршавања:</w:t>
      </w:r>
    </w:p>
    <w:p w14:paraId="03F3BFA0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Систем јавне управе</w:t>
      </w:r>
    </w:p>
    <w:p w14:paraId="390AFF71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Управљање у јавној управи</w:t>
      </w:r>
    </w:p>
    <w:p w14:paraId="75F6733B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Јавне финансије</w:t>
      </w:r>
    </w:p>
    <w:p w14:paraId="0AAF8ED4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Управљање међународном развојном помоћи и фондовима ЕУ</w:t>
      </w:r>
    </w:p>
    <w:p w14:paraId="0C07202E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Е-управа и дигитализација</w:t>
      </w:r>
    </w:p>
    <w:p w14:paraId="086A2AEE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Европске интеграције и међународна сарадња</w:t>
      </w:r>
    </w:p>
    <w:p w14:paraId="6BFD91FF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Лични развој и вештине</w:t>
      </w:r>
    </w:p>
    <w:p w14:paraId="79D6E3E9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Страни језици</w:t>
      </w:r>
    </w:p>
    <w:p w14:paraId="43F260A6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Тренинг тренера</w:t>
      </w:r>
    </w:p>
    <w:p w14:paraId="447295A6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Локални развој и инвестиције у локалној самоуправи; </w:t>
      </w:r>
    </w:p>
    <w:p w14:paraId="7AE3D6DF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Обављање и развој комуналних делатности;</w:t>
      </w:r>
    </w:p>
    <w:p w14:paraId="11B7137D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Становање и стамбена подршка;</w:t>
      </w:r>
    </w:p>
    <w:p w14:paraId="37735A3C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Друштвене делатности у локалној самоуправи;</w:t>
      </w:r>
    </w:p>
    <w:p w14:paraId="5F596FA2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Заштита животне средине;</w:t>
      </w:r>
    </w:p>
    <w:p w14:paraId="051C90C4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Пољопривреда и рурални развој;</w:t>
      </w:r>
    </w:p>
    <w:p w14:paraId="33EA6CCC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Управљање општинском имовином;</w:t>
      </w:r>
    </w:p>
    <w:p w14:paraId="435C8D6D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Безбедност у локалној заједници;</w:t>
      </w:r>
    </w:p>
    <w:p w14:paraId="50AA54BB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Нормативни процес и уређивање рада органа и служби јединице локалне самоуправе;</w:t>
      </w:r>
    </w:p>
    <w:p w14:paraId="31816460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Планирање у локалној самоуправи;</w:t>
      </w:r>
    </w:p>
    <w:p w14:paraId="4BF47391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Матичне књиге;</w:t>
      </w:r>
    </w:p>
    <w:p w14:paraId="656B029E" w14:textId="77777777" w:rsidR="00816EFE" w:rsidRPr="00816EFE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Царински </w:t>
      </w:r>
      <w:proofErr w:type="gramStart"/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систем</w:t>
      </w:r>
      <w:r w:rsidR="00816EFE">
        <w:rPr>
          <w:rFonts w:eastAsia="Times New Roman" w:cs="Times New Roman"/>
          <w:b/>
          <w:bCs/>
          <w:sz w:val="24"/>
          <w:szCs w:val="24"/>
          <w:lang w:val="sr-Cyrl-RS" w:eastAsia="sr-Latn-RS"/>
        </w:rPr>
        <w:t>;</w:t>
      </w:r>
      <w:proofErr w:type="gramEnd"/>
    </w:p>
    <w:p w14:paraId="7C026075" w14:textId="1A624962" w:rsidR="007C34F4" w:rsidRPr="00DC1E19" w:rsidRDefault="00816EFE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>
        <w:rPr>
          <w:rFonts w:eastAsia="Times New Roman" w:cs="Times New Roman"/>
          <w:b/>
          <w:bCs/>
          <w:sz w:val="24"/>
          <w:szCs w:val="24"/>
          <w:lang w:val="sr-Cyrl-RS" w:eastAsia="sr-Latn-RS"/>
        </w:rPr>
        <w:t>Бирачки спискови</w:t>
      </w:r>
      <w:r w:rsidR="007C34F4"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.</w:t>
      </w:r>
    </w:p>
    <w:p w14:paraId="46C12236" w14:textId="42596738" w:rsidR="00F20B64" w:rsidRDefault="00F20B64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Објашњење области стручног усавршавања је доступно на интернет презентацији Националне академије на </w:t>
      </w:r>
      <w:hyperlink r:id="rId8" w:history="1">
        <w:r w:rsidR="007C34F4" w:rsidRPr="00DC1E19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линку</w:t>
        </w:r>
      </w:hyperlink>
    </w:p>
    <w:p w14:paraId="708E9B0E" w14:textId="5EDC1504" w:rsidR="00F20B64" w:rsidRPr="00025021" w:rsidRDefault="00F20B64" w:rsidP="00F20B64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Акредитација спроводилаца се спроводи по пријави овлашћеног лица подносиоца пријаве, са назнаком 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једне или више </w:t>
      </w:r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 стручног усавршавања за коју се врши акредитација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Број области за које се може поднети пријава није ограничен.</w:t>
      </w:r>
    </w:p>
    <w:p w14:paraId="4C29B2E3" w14:textId="71F107B2" w:rsidR="006B70F8" w:rsidRDefault="00E11F8A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Акредитација спроводилаца се врши на основу оцене испуњености услова у погледу потребних кадрова, простора, опреме и средстава</w:t>
      </w:r>
      <w:r w:rsidR="006B70F8"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76C07A24" w14:textId="77777777" w:rsidR="006B70F8" w:rsidRPr="00AD7D40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Услови за селекцију </w:t>
      </w:r>
      <w:r w:rsidR="00E11F8A"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спроводилаца</w:t>
      </w:r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511AA273" w14:textId="77777777" w:rsidR="00D844A1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Кадровски ресурси спроводилаца</w:t>
      </w:r>
    </w:p>
    <w:p w14:paraId="05D6FADC" w14:textId="77777777" w:rsidR="00D844A1" w:rsidRDefault="00D844A1" w:rsidP="00D844A1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23627EAC" w14:textId="77777777" w:rsidR="006B70F8" w:rsidRPr="009C082D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9C082D">
        <w:rPr>
          <w:rFonts w:eastAsia="Times New Roman" w:cs="Times New Roman"/>
          <w:color w:val="000000" w:themeColor="text1"/>
          <w:sz w:val="24"/>
          <w:szCs w:val="24"/>
        </w:rPr>
        <w:t>Простор за спровођење програма обуке</w:t>
      </w:r>
    </w:p>
    <w:p w14:paraId="14A26188" w14:textId="77777777" w:rsidR="006B70F8" w:rsidRDefault="006B70F8" w:rsidP="006B70F8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484581A" w14:textId="77777777" w:rsidR="006B70F8" w:rsidRPr="009C082D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Опрема и средства потребна за спровођење програма обук</w:t>
      </w:r>
      <w:r w:rsidR="00D844A1" w:rsidRPr="009C082D">
        <w:rPr>
          <w:rFonts w:eastAsia="Times New Roman" w:cs="Times New Roman"/>
          <w:color w:val="000000" w:themeColor="text1"/>
          <w:sz w:val="24"/>
          <w:szCs w:val="24"/>
        </w:rPr>
        <w:t>е</w:t>
      </w:r>
    </w:p>
    <w:p w14:paraId="5434B20A" w14:textId="77777777" w:rsidR="00D844A1" w:rsidRPr="00AD7D40" w:rsidRDefault="00D844A1" w:rsidP="00D844A1">
      <w:pPr>
        <w:pStyle w:val="ListParagrap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049F0640" w14:textId="77777777" w:rsidR="00D844A1" w:rsidRPr="00AD7D40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Докази који се прилажу уз пријаву</w:t>
      </w:r>
    </w:p>
    <w:p w14:paraId="63BF65D8" w14:textId="77777777" w:rsidR="009C082D" w:rsidRDefault="009C082D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0B2E9D5" w14:textId="77777777" w:rsidR="007B33D7" w:rsidRDefault="009C082D" w:rsidP="009C082D">
      <w:pPr>
        <w:spacing w:after="0" w:line="270" w:lineRule="atLeast"/>
        <w:jc w:val="both"/>
        <w:textAlignment w:val="baseline"/>
        <w:rPr>
          <w:color w:val="000000" w:themeColor="text1"/>
          <w:sz w:val="24"/>
        </w:rPr>
      </w:pPr>
      <w:r w:rsidRP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Уверење којим се потврђује запослење реализатора код подносиоца пријаве, односно уговор о ангажовању акредитованог реализатора за потребе спровођења програма обуке</w:t>
      </w:r>
      <w:r w:rsidR="00AC1E22" w:rsidRP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2AC16C78" w14:textId="77777777" w:rsidR="007B33D7" w:rsidRDefault="007B33D7" w:rsidP="009C082D">
      <w:pPr>
        <w:spacing w:after="0" w:line="270" w:lineRule="atLeast"/>
        <w:jc w:val="both"/>
        <w:textAlignment w:val="baseline"/>
        <w:rPr>
          <w:color w:val="000000" w:themeColor="text1"/>
          <w:sz w:val="24"/>
        </w:rPr>
      </w:pPr>
    </w:p>
    <w:p w14:paraId="219B4FA2" w14:textId="09C54B65" w:rsidR="007C34F4" w:rsidRDefault="00AC1E22" w:rsidP="00710C2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Уговор о ангажовању нарочито садржи податке о: врсти ангажовања (предавач, ментор, коуч и сл.), акредитацији лица за реализатора програма обуке у Националној академији (број и датум решења</w:t>
      </w:r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односно </w:t>
      </w:r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ИБР </w:t>
      </w:r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 Централне евиденције програма стручног усавршавања у јавној управи</w:t>
      </w:r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 стручног усавршавања за коју је акредитован, и сл.), област стручног усавршавања за коју се ангажује, период за који се уговор закључује, са одредбом о доступности за реализацију програма обуке у било ком тренутку, уз обавештење дато у разумном року</w:t>
      </w:r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Модел уговора који садржи наведене по</w:t>
      </w:r>
      <w:r w:rsidR="007C34F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датке можете преузети на </w:t>
      </w:r>
      <w:hyperlink r:id="rId9" w:history="1">
        <w:r w:rsidR="00212939" w:rsidRPr="00BA1333">
          <w:rPr>
            <w:rStyle w:val="Hyperlink"/>
            <w:rFonts w:eastAsia="Times New Roman" w:cs="Times New Roman"/>
            <w:b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</w:p>
    <w:p w14:paraId="7654CE3B" w14:textId="77777777" w:rsidR="007C34F4" w:rsidRDefault="007C34F4" w:rsidP="00710C2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7724B38F" w14:textId="7C30987A" w:rsidR="00710C29" w:rsidRDefault="00710C29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  <w:r w:rsidRPr="004E66EA">
        <w:rPr>
          <w:rStyle w:val="normaltextrunscxw230272141"/>
          <w:color w:val="000000" w:themeColor="text1"/>
          <w:sz w:val="24"/>
          <w:szCs w:val="24"/>
        </w:rPr>
        <w:t xml:space="preserve">Услов у погледу кадрова сматра се испуњеним ако су достављани докази о ангажовању најмање једног реализатора са Сталне листе предавача и других реализатора програма </w:t>
      </w:r>
      <w:r w:rsidRPr="00212939">
        <w:rPr>
          <w:rStyle w:val="normaltextrunscxw230272141"/>
          <w:color w:val="000000" w:themeColor="text1"/>
          <w:sz w:val="24"/>
          <w:szCs w:val="24"/>
        </w:rPr>
        <w:t>обука</w:t>
      </w:r>
      <w:r w:rsidR="00D56103" w:rsidRPr="00212939">
        <w:rPr>
          <w:rStyle w:val="normaltextrunscxw230272141"/>
          <w:color w:val="000000" w:themeColor="text1"/>
          <w:sz w:val="24"/>
          <w:szCs w:val="24"/>
        </w:rPr>
        <w:t>,</w:t>
      </w:r>
      <w:r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r w:rsidR="00B03515" w:rsidRPr="00212939">
        <w:rPr>
          <w:rStyle w:val="normaltextrunscxw230272141"/>
          <w:color w:val="000000" w:themeColor="text1"/>
          <w:sz w:val="24"/>
          <w:szCs w:val="24"/>
          <w:lang w:val="sr-Cyrl-RS"/>
        </w:rPr>
        <w:t>односно</w:t>
      </w:r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друге реализаторе обуке ангажоване из реда запослених у високошколским установама које су акредитоване у складу са прописима о високом образовању или из реда запослених у научноистраживачким организацијама акредитованим у складу са прописима о научноистраживачкој делатности или из реда запослених у другим јавно признатим организаторима активности образовања одраслих или реализаторе обуке који имају најмање исти ниво и врсту образовања као и запослени који су полазници обуке, односно одговарајућег програма и који поседују стручно, радно и предавачко искуство у области у којој се програм спроводи, односно објављене радове из релевантне стручне области</w:t>
      </w:r>
      <w:r w:rsidR="007B33D7" w:rsidRPr="00212939">
        <w:rPr>
          <w:rStyle w:val="normaltextrunscxw230272141"/>
          <w:color w:val="000000" w:themeColor="text1"/>
          <w:sz w:val="24"/>
          <w:szCs w:val="24"/>
        </w:rPr>
        <w:t>.</w:t>
      </w:r>
    </w:p>
    <w:p w14:paraId="4F38EA88" w14:textId="77777777" w:rsidR="00F20B64" w:rsidRDefault="00F20B64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</w:p>
    <w:p w14:paraId="560974C7" w14:textId="563F66E4" w:rsidR="007B33D7" w:rsidRDefault="007B33D7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  <w:r>
        <w:rPr>
          <w:rStyle w:val="normaltextrunscxw230272141"/>
          <w:color w:val="000000" w:themeColor="text1"/>
          <w:sz w:val="24"/>
          <w:szCs w:val="24"/>
        </w:rPr>
        <w:t xml:space="preserve">Стална листа предавача и других реализатора са ИБР бројем </w:t>
      </w:r>
      <w:r w:rsidRPr="00212939">
        <w:rPr>
          <w:rStyle w:val="normaltextrunscxw230272141"/>
          <w:color w:val="000000" w:themeColor="text1"/>
          <w:sz w:val="24"/>
          <w:szCs w:val="24"/>
        </w:rPr>
        <w:t xml:space="preserve">из Централне евиденције </w:t>
      </w:r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 стручног усавршавања у јавној управи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се налази на интернет презентацији Националне академије на </w:t>
      </w:r>
      <w:hyperlink r:id="rId10" w:history="1">
        <w:r w:rsidRPr="007A5AF1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</w:hyperlink>
      <w:r w:rsidR="007A5AF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43D1CBA3" w14:textId="77777777" w:rsidR="00AD7D40" w:rsidRDefault="00AD7D40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</w:p>
    <w:p w14:paraId="627E01C8" w14:textId="45A9AF7A" w:rsidR="00E37381" w:rsidRDefault="00982FAF" w:rsidP="00982FAF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оказ о власништву, закупу или коришћењу простора, који није мањи од 2m² по полазнику за предвиђену намену спровођења програма стручног усавршавања за најмање 25 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полазника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програма по једној обуци</w:t>
      </w:r>
      <w:r w:rsidR="007B18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r w:rsidR="007B18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поседовање просторије од минимум 50</w:t>
      </w:r>
      <w:r w:rsidR="007B1881" w:rsidRPr="0027512C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B1881"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m²</w:t>
      </w:r>
      <w:r w:rsidR="007B18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 </w:t>
      </w:r>
    </w:p>
    <w:p w14:paraId="17174022" w14:textId="77777777" w:rsidR="00710C29" w:rsidRDefault="00710C29" w:rsidP="00982FAF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0EA6E51" w14:textId="35B96D46" w:rsidR="00C6070E" w:rsidRDefault="00A25552" w:rsidP="00025021">
      <w:pPr>
        <w:spacing w:after="0" w:line="270" w:lineRule="atLeast"/>
        <w:jc w:val="both"/>
        <w:textAlignment w:val="baseline"/>
        <w:rPr>
          <w:rFonts w:cs="Times New Roman"/>
          <w:sz w:val="24"/>
          <w:szCs w:val="24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Списак опреме 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средстава </w:t>
      </w:r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најмање два рачунара и један пројектор или таблу за презентацију</w:t>
      </w:r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,</w:t>
      </w:r>
      <w:r w:rsid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инвентар намештаја за простор 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предвиђен 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спровођењ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програма стручног усавршавања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који обезбеђује истовремено учешће најмање 25 учесника програма обуке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као и д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ругу опрему и средства неопходна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 несметану реализацију обуке, са њиховом техничком спецификацијом</w:t>
      </w:r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  Изузетно, за спровођење информатичких обука потребно је истовремено обезбедити рачунар за сваког полазника обуке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r w:rsidR="00025021" w:rsidRPr="009E6AC5">
        <w:rPr>
          <w:rFonts w:cs="Times New Roman"/>
          <w:sz w:val="24"/>
          <w:szCs w:val="24"/>
        </w:rPr>
        <w:t>Изјава која садржи списак опреме и средстава</w:t>
      </w:r>
      <w:r w:rsidR="00025021">
        <w:rPr>
          <w:rFonts w:cs="Times New Roman"/>
          <w:sz w:val="24"/>
          <w:szCs w:val="24"/>
        </w:rPr>
        <w:t xml:space="preserve"> </w:t>
      </w:r>
      <w:r w:rsidR="007C34F4">
        <w:rPr>
          <w:rFonts w:cs="Times New Roman"/>
          <w:sz w:val="24"/>
          <w:szCs w:val="24"/>
          <w:lang w:val="sr-Cyrl-RS"/>
        </w:rPr>
        <w:t xml:space="preserve">је доступна на </w:t>
      </w:r>
      <w:hyperlink r:id="rId11" w:history="1">
        <w:r w:rsidR="00212939" w:rsidRPr="00CE79EC">
          <w:rPr>
            <w:rStyle w:val="Hyperlink"/>
            <w:rFonts w:cs="Times New Roman"/>
            <w:b/>
            <w:sz w:val="24"/>
            <w:szCs w:val="24"/>
            <w:lang w:val="sr-Cyrl-RS"/>
          </w:rPr>
          <w:t>линку</w:t>
        </w:r>
      </w:hyperlink>
    </w:p>
    <w:p w14:paraId="060047AD" w14:textId="77777777" w:rsidR="00025021" w:rsidRDefault="00025021" w:rsidP="0002502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5C96EE2B" w14:textId="77777777" w:rsidR="00BE1391" w:rsidRPr="00446941" w:rsidRDefault="00BE1391" w:rsidP="00BE139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r w:rsidRPr="00446941">
        <w:rPr>
          <w:rFonts w:eastAsia="Times New Roman" w:cs="Times New Roman"/>
          <w:b/>
          <w:sz w:val="24"/>
          <w:szCs w:val="24"/>
          <w:u w:val="single"/>
        </w:rPr>
        <w:t>Пријава на позив:</w:t>
      </w:r>
    </w:p>
    <w:p w14:paraId="64ADFD4B" w14:textId="4BDBF18D" w:rsidR="007C34F4" w:rsidRDefault="007C34F4" w:rsidP="00915634">
      <w:pPr>
        <w:rPr>
          <w:sz w:val="24"/>
          <w:szCs w:val="24"/>
        </w:rPr>
      </w:pPr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Пријаве на овај јавни позив подносе се искључиво путем услуге електронске управе која је објављена на Порталу еУправа на </w:t>
      </w:r>
      <w:hyperlink r:id="rId12" w:history="1">
        <w:r w:rsidRPr="00167181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</w:hyperlink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, попуњавањем електронског обрасца. </w:t>
      </w:r>
      <w:r w:rsidR="00090A24" w:rsidRPr="0053454F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Напомињемо да се пријава подноси искључиво са налога одговорног лица (лица овлашћеног за заступање).</w:t>
      </w:r>
      <w:r w:rsidR="00090A2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Електронски образац попуњава се ћириличким писмом.</w:t>
      </w:r>
    </w:p>
    <w:p w14:paraId="14936A84" w14:textId="77777777" w:rsidR="00212939" w:rsidRDefault="00212939" w:rsidP="0021293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bookmarkStart w:id="1" w:name="_Hlk62472646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Сваки од доказа се прилаже уз пријаву у електронском облику у ПДФ формату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(уколико имате више докумената којима се доказује испуњење једног услова морате их скенирати као један ПДФ фајл и тек онда приложити на одговарајућа места у електронском обрасцу)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.</w:t>
      </w:r>
    </w:p>
    <w:bookmarkEnd w:id="1"/>
    <w:p w14:paraId="67480948" w14:textId="77777777" w:rsidR="004E66EA" w:rsidRPr="004E66EA" w:rsidRDefault="004E66EA" w:rsidP="004E66EA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</w:p>
    <w:p w14:paraId="6C25997D" w14:textId="2DC67FEF" w:rsidR="004E66EA" w:rsidRDefault="004E66EA" w:rsidP="004E66EA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З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а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несметано 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покретање услуге на порталу е-Управа и прилагање документације, потребно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је 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користити најновију верзију прегледача Internet Explorer верзија 7 или новија. </w:t>
      </w:r>
      <w:r>
        <w:rPr>
          <w:rFonts w:eastAsia="Times New Roman" w:cs="Times New Roman"/>
          <w:noProof/>
          <w:sz w:val="24"/>
          <w:szCs w:val="24"/>
          <w:u w:val="single"/>
          <w:bdr w:val="none" w:sz="0" w:space="0" w:color="auto" w:frame="1"/>
          <w:lang w:val="sr-Latn-RS" w:eastAsia="sr-Latn-RS"/>
        </w:rPr>
        <w:drawing>
          <wp:inline distT="0" distB="0" distL="0" distR="0" wp14:anchorId="70C65B3A" wp14:editId="601123F2">
            <wp:extent cx="481330" cy="481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43C351" w14:textId="0C4AEB5B" w:rsidR="004E66EA" w:rsidRPr="004E66EA" w:rsidRDefault="004E66EA" w:rsidP="00B035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lastRenderedPageBreak/>
        <w:t>Видео у</w:t>
      </w:r>
      <w:r w:rsidRPr="00DC1E19">
        <w:rPr>
          <w:rFonts w:eastAsia="Times New Roman" w:cs="Times New Roman"/>
          <w:sz w:val="24"/>
          <w:szCs w:val="24"/>
          <w:lang w:eastAsia="sr-Latn-RS"/>
        </w:rPr>
        <w:t>путство за пријављивање, као и одговоре на често постављена питања мо</w:t>
      </w:r>
      <w:r w:rsidR="00B03515">
        <w:rPr>
          <w:rFonts w:eastAsia="Times New Roman" w:cs="Times New Roman"/>
          <w:sz w:val="24"/>
          <w:szCs w:val="24"/>
          <w:lang w:eastAsia="sr-Latn-RS"/>
        </w:rPr>
        <w:t xml:space="preserve">жете пронаћи на следећем </w:t>
      </w:r>
      <w:hyperlink r:id="rId14" w:history="1">
        <w:r w:rsidR="00B03515" w:rsidRPr="00B03515">
          <w:rPr>
            <w:rStyle w:val="Hyperlink"/>
            <w:rFonts w:eastAsia="Times New Roman" w:cs="Times New Roman"/>
            <w:sz w:val="24"/>
            <w:szCs w:val="24"/>
            <w:lang w:eastAsia="sr-Latn-RS"/>
          </w:rPr>
          <w:t>линку</w:t>
        </w:r>
      </w:hyperlink>
      <w:r w:rsidR="00B03515">
        <w:rPr>
          <w:rFonts w:eastAsia="Times New Roman" w:cs="Times New Roman"/>
          <w:sz w:val="24"/>
          <w:szCs w:val="24"/>
          <w:lang w:eastAsia="sr-Latn-RS"/>
        </w:rPr>
        <w:t>.</w:t>
      </w:r>
    </w:p>
    <w:p w14:paraId="1B381020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</w:rPr>
      </w:pPr>
      <w:r w:rsidRPr="00446941">
        <w:rPr>
          <w:rFonts w:eastAsia="Times New Roman" w:cs="Times New Roman"/>
          <w:b/>
          <w:sz w:val="24"/>
          <w:szCs w:val="24"/>
          <w:u w:val="single"/>
        </w:rPr>
        <w:t>Рок за подношење пријава:</w:t>
      </w:r>
    </w:p>
    <w:p w14:paraId="50CF6C52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14:paraId="407B77AE" w14:textId="7DB77943" w:rsidR="00BE1391" w:rsidRPr="00446941" w:rsidRDefault="004E66EA" w:rsidP="00BE1391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Рок за подношење пријава је 30 дана од дана објављивања на интернет презентацији Националне академије. Последњи дан за подношење пријаве је </w:t>
      </w:r>
      <w:r w:rsidR="00464BD8">
        <w:rPr>
          <w:rFonts w:eastAsia="Times New Roman" w:cs="Times New Roman"/>
          <w:sz w:val="24"/>
          <w:szCs w:val="24"/>
          <w:lang w:eastAsia="sr-Latn-RS"/>
        </w:rPr>
        <w:t>20</w:t>
      </w:r>
      <w:r w:rsidRPr="00DC1E19">
        <w:rPr>
          <w:rFonts w:eastAsia="Times New Roman" w:cs="Times New Roman"/>
          <w:sz w:val="24"/>
          <w:szCs w:val="24"/>
          <w:lang w:eastAsia="sr-Latn-RS"/>
        </w:rPr>
        <w:t>.</w:t>
      </w:r>
      <w:r w:rsidR="004D4921">
        <w:rPr>
          <w:rFonts w:eastAsia="Times New Roman" w:cs="Times New Roman"/>
          <w:sz w:val="24"/>
          <w:szCs w:val="24"/>
          <w:lang w:val="sr-Cyrl-RS" w:eastAsia="sr-Latn-RS"/>
        </w:rPr>
        <w:t>0</w:t>
      </w:r>
      <w:r w:rsidR="00816EFE">
        <w:rPr>
          <w:rFonts w:eastAsia="Times New Roman" w:cs="Times New Roman"/>
          <w:sz w:val="24"/>
          <w:szCs w:val="24"/>
          <w:lang w:val="sr-Cyrl-RS" w:eastAsia="sr-Latn-RS"/>
        </w:rPr>
        <w:t>4</w:t>
      </w:r>
      <w:r w:rsidRPr="00DC1E19">
        <w:rPr>
          <w:rFonts w:eastAsia="Times New Roman" w:cs="Times New Roman"/>
          <w:sz w:val="24"/>
          <w:szCs w:val="24"/>
          <w:lang w:eastAsia="sr-Latn-RS"/>
        </w:rPr>
        <w:t>.</w:t>
      </w:r>
      <w:r w:rsidR="004D4921">
        <w:rPr>
          <w:rFonts w:eastAsia="Times New Roman" w:cs="Times New Roman"/>
          <w:sz w:val="24"/>
          <w:szCs w:val="24"/>
          <w:lang w:val="sr-Cyrl-RS" w:eastAsia="sr-Latn-RS"/>
        </w:rPr>
        <w:t>202</w:t>
      </w:r>
      <w:r w:rsidR="00816EFE">
        <w:rPr>
          <w:rFonts w:eastAsia="Times New Roman" w:cs="Times New Roman"/>
          <w:sz w:val="24"/>
          <w:szCs w:val="24"/>
          <w:lang w:val="sr-Cyrl-RS" w:eastAsia="sr-Latn-RS"/>
        </w:rPr>
        <w:t>2</w:t>
      </w:r>
      <w:r w:rsidR="004D4921">
        <w:rPr>
          <w:rFonts w:eastAsia="Times New Roman" w:cs="Times New Roman"/>
          <w:sz w:val="24"/>
          <w:szCs w:val="24"/>
          <w:lang w:val="sr-Cyrl-RS" w:eastAsia="sr-Latn-RS"/>
        </w:rPr>
        <w:t>.</w:t>
      </w:r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године до 23:59</w:t>
      </w:r>
      <w:r w:rsidR="00BE1391" w:rsidRPr="00446941">
        <w:rPr>
          <w:rFonts w:eastAsia="Times New Roman" w:cs="Times New Roman"/>
          <w:sz w:val="24"/>
          <w:szCs w:val="24"/>
        </w:rPr>
        <w:t>.</w:t>
      </w:r>
    </w:p>
    <w:p w14:paraId="04C19553" w14:textId="77777777" w:rsidR="002D539F" w:rsidRPr="00446941" w:rsidRDefault="002D539F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50B64630" w14:textId="77777777" w:rsidR="00BE1391" w:rsidRPr="00446941" w:rsidRDefault="00BE1391" w:rsidP="00BE1391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r w:rsidRPr="00446941">
        <w:rPr>
          <w:rFonts w:eastAsia="Times New Roman" w:cs="Times New Roman"/>
          <w:b/>
          <w:sz w:val="24"/>
          <w:szCs w:val="24"/>
          <w:u w:val="single"/>
        </w:rPr>
        <w:t>Напомена</w:t>
      </w:r>
    </w:p>
    <w:p w14:paraId="7BAF72D4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14D53597" w14:textId="77777777" w:rsidR="00BE1391" w:rsidRPr="00446941" w:rsidRDefault="00BE1391" w:rsidP="00BE1391">
      <w:pPr>
        <w:spacing w:after="0" w:line="259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446941">
        <w:rPr>
          <w:rFonts w:eastAsia="Times New Roman" w:cs="Times New Roman"/>
          <w:sz w:val="24"/>
          <w:szCs w:val="24"/>
        </w:rPr>
        <w:t>Обавештења о јавном позиву можете добити путем електронске поште: </w:t>
      </w:r>
      <w:hyperlink r:id="rId15" w:history="1">
        <w:r w:rsidRPr="00446941">
          <w:rPr>
            <w:rStyle w:val="Hyperlink"/>
            <w:rFonts w:eastAsia="Times New Roman" w:cs="Times New Roman"/>
            <w:color w:val="auto"/>
            <w:sz w:val="24"/>
            <w:szCs w:val="24"/>
            <w:bdr w:val="none" w:sz="0" w:space="0" w:color="auto" w:frame="1"/>
          </w:rPr>
          <w:t>akreditacija@napa.gov.rs</w:t>
        </w:r>
      </w:hyperlink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</w:p>
    <w:p w14:paraId="4C8C3471" w14:textId="77777777" w:rsidR="00B03515" w:rsidRPr="00DC1E19" w:rsidRDefault="00B03515" w:rsidP="00B035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Решење којим се одлучује о захтеву доставља се подносиоцу електронским путем у Јединствени електронски сандучић подносиоца на Порталу еУправа.</w:t>
      </w:r>
    </w:p>
    <w:p w14:paraId="5B32F274" w14:textId="77777777" w:rsidR="00B03515" w:rsidRPr="00446941" w:rsidRDefault="00B03515" w:rsidP="00BE1391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</w:p>
    <w:sectPr w:rsidR="00B03515" w:rsidRPr="00446941" w:rsidSect="00717E8C">
      <w:pgSz w:w="11906" w:h="16838" w:code="9"/>
      <w:pgMar w:top="720" w:right="864" w:bottom="576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C28"/>
    <w:multiLevelType w:val="hybridMultilevel"/>
    <w:tmpl w:val="0CF21866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E1C"/>
    <w:multiLevelType w:val="hybridMultilevel"/>
    <w:tmpl w:val="07CA4430"/>
    <w:lvl w:ilvl="0" w:tplc="69B6D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43E1"/>
    <w:multiLevelType w:val="multilevel"/>
    <w:tmpl w:val="B6EA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18B6"/>
    <w:multiLevelType w:val="hybridMultilevel"/>
    <w:tmpl w:val="4AE6C27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F21DF"/>
    <w:multiLevelType w:val="hybridMultilevel"/>
    <w:tmpl w:val="B9CAEE1A"/>
    <w:lvl w:ilvl="0" w:tplc="78ACC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A3B3E"/>
    <w:multiLevelType w:val="hybridMultilevel"/>
    <w:tmpl w:val="8AF0B644"/>
    <w:lvl w:ilvl="0" w:tplc="727A4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56D5"/>
    <w:multiLevelType w:val="hybridMultilevel"/>
    <w:tmpl w:val="E2AC85D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369"/>
    <w:rsid w:val="00025021"/>
    <w:rsid w:val="00031AD2"/>
    <w:rsid w:val="00090A24"/>
    <w:rsid w:val="00111C20"/>
    <w:rsid w:val="00133845"/>
    <w:rsid w:val="00167181"/>
    <w:rsid w:val="0016734B"/>
    <w:rsid w:val="001710F6"/>
    <w:rsid w:val="00172E9F"/>
    <w:rsid w:val="00183728"/>
    <w:rsid w:val="00212939"/>
    <w:rsid w:val="00273CA8"/>
    <w:rsid w:val="00274CF5"/>
    <w:rsid w:val="002947B1"/>
    <w:rsid w:val="002D539F"/>
    <w:rsid w:val="002E3C2B"/>
    <w:rsid w:val="00352B76"/>
    <w:rsid w:val="003533EA"/>
    <w:rsid w:val="003747B7"/>
    <w:rsid w:val="0037492A"/>
    <w:rsid w:val="00425F63"/>
    <w:rsid w:val="00441C37"/>
    <w:rsid w:val="00446941"/>
    <w:rsid w:val="00451E6A"/>
    <w:rsid w:val="00464BD8"/>
    <w:rsid w:val="004A24DE"/>
    <w:rsid w:val="004C614A"/>
    <w:rsid w:val="004D4921"/>
    <w:rsid w:val="004D5310"/>
    <w:rsid w:val="004E66EA"/>
    <w:rsid w:val="005325A2"/>
    <w:rsid w:val="0053454F"/>
    <w:rsid w:val="005C7667"/>
    <w:rsid w:val="00614DA3"/>
    <w:rsid w:val="00661B36"/>
    <w:rsid w:val="006B0FA2"/>
    <w:rsid w:val="006B37DD"/>
    <w:rsid w:val="006B70F8"/>
    <w:rsid w:val="006C0856"/>
    <w:rsid w:val="00710C29"/>
    <w:rsid w:val="00717E8C"/>
    <w:rsid w:val="00770DBB"/>
    <w:rsid w:val="00796B13"/>
    <w:rsid w:val="007A5AF1"/>
    <w:rsid w:val="007B1881"/>
    <w:rsid w:val="007B33D7"/>
    <w:rsid w:val="007C34F4"/>
    <w:rsid w:val="007C6432"/>
    <w:rsid w:val="007E3B67"/>
    <w:rsid w:val="00815DC2"/>
    <w:rsid w:val="00816EFE"/>
    <w:rsid w:val="00834CBF"/>
    <w:rsid w:val="008436C8"/>
    <w:rsid w:val="00915634"/>
    <w:rsid w:val="00982FAF"/>
    <w:rsid w:val="009C082D"/>
    <w:rsid w:val="009E6AC5"/>
    <w:rsid w:val="009F7C28"/>
    <w:rsid w:val="00A12729"/>
    <w:rsid w:val="00A25552"/>
    <w:rsid w:val="00A51D9D"/>
    <w:rsid w:val="00A95A4D"/>
    <w:rsid w:val="00AC1E22"/>
    <w:rsid w:val="00AD7D40"/>
    <w:rsid w:val="00B03515"/>
    <w:rsid w:val="00BB3618"/>
    <w:rsid w:val="00BE1391"/>
    <w:rsid w:val="00C4643B"/>
    <w:rsid w:val="00C6070E"/>
    <w:rsid w:val="00CE7FCE"/>
    <w:rsid w:val="00D56103"/>
    <w:rsid w:val="00D73369"/>
    <w:rsid w:val="00D844A1"/>
    <w:rsid w:val="00D8456A"/>
    <w:rsid w:val="00DF768F"/>
    <w:rsid w:val="00E11F8A"/>
    <w:rsid w:val="00E12CB5"/>
    <w:rsid w:val="00E1310E"/>
    <w:rsid w:val="00E37381"/>
    <w:rsid w:val="00EF7DED"/>
    <w:rsid w:val="00F00D19"/>
    <w:rsid w:val="00F20B64"/>
    <w:rsid w:val="00F23F24"/>
    <w:rsid w:val="00FE38A1"/>
    <w:rsid w:val="00FE4938"/>
    <w:rsid w:val="00FF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C39501"/>
  <w15:docId w15:val="{CCA42CF3-7651-4819-94C4-A9CE186A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character" w:customStyle="1" w:styleId="normaltextrunscxw230272141">
    <w:name w:val="normaltextrun scxw230272141"/>
    <w:basedOn w:val="DefaultParagraphFont"/>
    <w:rsid w:val="009C082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0B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34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ja.info/materijal/javnipoziv032022/1.%20Objasnjenje%20oblasti%20strucnog%20usavrsavanja.docx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euprava.gov.rs/eusluge/" TargetMode="External"/><Relationship Id="rId12" Type="http://schemas.openxmlformats.org/officeDocument/2006/relationships/hyperlink" Target="https://euprava.gov.rs/usluge/484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hyperlink" Target="https://akademija.info/materijal/2.%20izjava%20o%20posedovanju%20oprem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kreditacija@napa.gov.rs" TargetMode="External"/><Relationship Id="rId10" Type="http://schemas.openxmlformats.org/officeDocument/2006/relationships/hyperlink" Target="https://www.napa.gov.rs/lista-akreditovanih-trenera/144/stalna-lista-predavaca-i-drugih-realizatora-obuk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ademija.info/materijal/1.%20model%20ugovora%20o%20angazovanju.docx" TargetMode="External"/><Relationship Id="rId14" Type="http://schemas.openxmlformats.org/officeDocument/2006/relationships/hyperlink" Target="https://www.napa.gov.rs/tekst/55/osnovne-informacij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0938-FECF-4CAE-96D3-4DB3EB96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NAJU</cp:lastModifiedBy>
  <cp:revision>26</cp:revision>
  <cp:lastPrinted>2019-03-28T08:37:00Z</cp:lastPrinted>
  <dcterms:created xsi:type="dcterms:W3CDTF">2019-03-28T07:34:00Z</dcterms:created>
  <dcterms:modified xsi:type="dcterms:W3CDTF">2022-03-21T12:01:00Z</dcterms:modified>
</cp:coreProperties>
</file>