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:rsidR="00CB74F7" w:rsidRPr="00CB74F7" w:rsidRDefault="008C305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793FED" w:rsidRPr="00793FED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="00793FED" w:rsidRPr="00793FED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B59C9">
        <w:rPr>
          <w:rFonts w:ascii="Times New Roman" w:hAnsi="Times New Roman"/>
          <w:color w:val="212529"/>
          <w:szCs w:val="24"/>
          <w:lang w:val="sr-Cyrl-RS"/>
        </w:rPr>
        <w:t xml:space="preserve">промоцију активности </w:t>
      </w:r>
      <w:r w:rsidR="00583932">
        <w:rPr>
          <w:rFonts w:ascii="Times New Roman" w:hAnsi="Times New Roman"/>
          <w:color w:val="212529"/>
          <w:szCs w:val="24"/>
          <w:lang w:val="sr-Cyrl-RS"/>
        </w:rPr>
        <w:t xml:space="preserve">Министарства, у звању саветник, Одсек за јавност рада,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Министарство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државне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управе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и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локалне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самоуправе</w:t>
      </w:r>
      <w:proofErr w:type="spellEnd"/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235B81" w:rsidRPr="00CB74F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D576BA" w:rsidRDefault="00DB59C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8Ј2409252ИН9</w:t>
            </w:r>
            <w:bookmarkStart w:id="0" w:name="_GoBack"/>
            <w:bookmarkEnd w:id="0"/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8B74CB" w:rsidRPr="00DB59C9" w:rsidRDefault="00DB59C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Душан Герић</w:t>
            </w:r>
          </w:p>
        </w:tc>
      </w:tr>
    </w:tbl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43E91"/>
    <w:rsid w:val="000D692B"/>
    <w:rsid w:val="00101B8C"/>
    <w:rsid w:val="00162E7F"/>
    <w:rsid w:val="00206DA5"/>
    <w:rsid w:val="00235B81"/>
    <w:rsid w:val="00263274"/>
    <w:rsid w:val="002A45A2"/>
    <w:rsid w:val="00382959"/>
    <w:rsid w:val="003B5F71"/>
    <w:rsid w:val="0047563D"/>
    <w:rsid w:val="00583932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CB74F7"/>
    <w:rsid w:val="00CE6849"/>
    <w:rsid w:val="00D576BA"/>
    <w:rsid w:val="00DB59C9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FA0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Nataša Lukić</cp:lastModifiedBy>
  <cp:revision>28</cp:revision>
  <cp:lastPrinted>2023-09-29T11:20:00Z</cp:lastPrinted>
  <dcterms:created xsi:type="dcterms:W3CDTF">2023-09-25T08:09:00Z</dcterms:created>
  <dcterms:modified xsi:type="dcterms:W3CDTF">2025-11-20T13:55:00Z</dcterms:modified>
</cp:coreProperties>
</file>