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27C1" w14:textId="77777777" w:rsidR="00C572FB" w:rsidRDefault="00000000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комуналној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49/19),</w:t>
      </w:r>
    </w:p>
    <w:p w14:paraId="3D3919F0" w14:textId="77777777" w:rsidR="00C572FB" w:rsidRDefault="00000000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14:paraId="52A4EBB8" w14:textId="77777777" w:rsidR="00C572FB" w:rsidRDefault="00000000">
      <w:pPr>
        <w:spacing w:after="225"/>
        <w:jc w:val="center"/>
      </w:pPr>
      <w:r>
        <w:rPr>
          <w:b/>
          <w:color w:val="000000"/>
        </w:rPr>
        <w:t>ПРАВИЛНИК</w:t>
      </w:r>
    </w:p>
    <w:p w14:paraId="1BF3E263" w14:textId="77777777" w:rsidR="00C572FB" w:rsidRDefault="00000000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поступку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вршења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контроле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комуналне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милиције</w:t>
      </w:r>
      <w:proofErr w:type="spellEnd"/>
    </w:p>
    <w:p w14:paraId="7640C30F" w14:textId="77777777" w:rsidR="00C572FB" w:rsidRDefault="00000000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13.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2020.</w:t>
      </w:r>
    </w:p>
    <w:p w14:paraId="2D880126" w14:textId="77777777" w:rsidR="00C572FB" w:rsidRDefault="00000000">
      <w:pPr>
        <w:spacing w:after="120"/>
        <w:jc w:val="center"/>
      </w:pPr>
      <w:r>
        <w:rPr>
          <w:color w:val="000000"/>
        </w:rPr>
        <w:t>I. УВОДНЕ ОДРЕДБЕ</w:t>
      </w:r>
    </w:p>
    <w:p w14:paraId="55A0DB75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14:paraId="170FEA61" w14:textId="77777777" w:rsidR="00C572FB" w:rsidRDefault="00000000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незаконитом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неправилном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повређена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>.</w:t>
      </w:r>
    </w:p>
    <w:p w14:paraId="589F3AAB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14:paraId="6F9A8B22" w14:textId="77777777" w:rsidR="00C572FB" w:rsidRDefault="00000000">
      <w:pPr>
        <w:spacing w:after="150"/>
      </w:pP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подразумевају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везивање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распршивач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надражујућим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дејством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службена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палица</w:t>
      </w:r>
      <w:proofErr w:type="spellEnd"/>
      <w:r>
        <w:rPr>
          <w:color w:val="000000"/>
        </w:rPr>
        <w:t>.</w:t>
      </w:r>
    </w:p>
    <w:p w14:paraId="16D88F77" w14:textId="77777777" w:rsidR="00C572FB" w:rsidRDefault="00000000">
      <w:pPr>
        <w:spacing w:after="150"/>
      </w:pP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подразумевају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14:paraId="0D04824E" w14:textId="77777777" w:rsidR="00C572FB" w:rsidRDefault="00000000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упозорење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наређење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идентитета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довођење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заустављање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одузимање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аудио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употреба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прикупљање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комуналној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милицији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proofErr w:type="gramStart"/>
      <w:r>
        <w:rPr>
          <w:color w:val="000000"/>
        </w:rPr>
        <w:t>);</w:t>
      </w:r>
      <w:proofErr w:type="gramEnd"/>
    </w:p>
    <w:p w14:paraId="0107950D" w14:textId="77777777" w:rsidR="00C572FB" w:rsidRDefault="0000000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издавање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прекршајног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учињено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прекршајног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обавештавање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надлежности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.</w:t>
      </w:r>
    </w:p>
    <w:p w14:paraId="1AEDB55E" w14:textId="77777777" w:rsidR="00C572FB" w:rsidRDefault="00000000">
      <w:pPr>
        <w:spacing w:after="120"/>
        <w:jc w:val="center"/>
      </w:pPr>
      <w:r>
        <w:rPr>
          <w:color w:val="000000"/>
        </w:rPr>
        <w:t>II. КОНТРОЛА УПОТРЕБЕ СРЕДСТАВА ПРИНУДЕ</w:t>
      </w:r>
    </w:p>
    <w:p w14:paraId="2C539FFB" w14:textId="77777777" w:rsidR="00C572FB" w:rsidRDefault="00000000">
      <w:pPr>
        <w:spacing w:after="120"/>
        <w:jc w:val="center"/>
      </w:pP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Извештавање</w:t>
      </w:r>
      <w:proofErr w:type="spellEnd"/>
    </w:p>
    <w:p w14:paraId="1F2D3471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14:paraId="2441A37D" w14:textId="77777777" w:rsidR="00C572FB" w:rsidRDefault="00000000">
      <w:pPr>
        <w:spacing w:after="150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свакој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одмах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начелнику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начелник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правилност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>).</w:t>
      </w:r>
    </w:p>
    <w:p w14:paraId="0529B8BC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4.</w:t>
      </w:r>
    </w:p>
    <w:p w14:paraId="2CA0B69D" w14:textId="77777777" w:rsidR="00C572FB" w:rsidRDefault="00000000">
      <w:pPr>
        <w:spacing w:after="150"/>
      </w:pP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употребљеном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времену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употребљено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последици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разлозима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чињеницама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околностима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правилности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14:paraId="2C8A6A9C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14:paraId="55289C07" w14:textId="77777777" w:rsidR="00C572FB" w:rsidRDefault="00000000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комунални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употреби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тежег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везивање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распршивач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надражујућим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дејством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најтежег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службена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палица</w:t>
      </w:r>
      <w:proofErr w:type="spellEnd"/>
      <w:r>
        <w:rPr>
          <w:color w:val="000000"/>
        </w:rPr>
        <w:t xml:space="preserve">), у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лакших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>.</w:t>
      </w:r>
    </w:p>
    <w:p w14:paraId="11F6A754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14:paraId="3E7DF72A" w14:textId="77777777" w:rsidR="00C572FB" w:rsidRDefault="00000000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датој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комунални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понаособ</w:t>
      </w:r>
      <w:proofErr w:type="spellEnd"/>
      <w:r>
        <w:rPr>
          <w:color w:val="000000"/>
        </w:rPr>
        <w:t>.</w:t>
      </w:r>
    </w:p>
    <w:p w14:paraId="017FE233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14:paraId="22156D23" w14:textId="77777777" w:rsidR="00C572FB" w:rsidRDefault="00000000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датој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сваки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>.</w:t>
      </w:r>
    </w:p>
    <w:p w14:paraId="2B088A72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14:paraId="01B3F546" w14:textId="77777777" w:rsidR="00C572FB" w:rsidRDefault="00000000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наређењу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извештају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наређењу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поступано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наређењу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припадник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издао</w:t>
      </w:r>
      <w:proofErr w:type="spellEnd"/>
      <w:r>
        <w:rPr>
          <w:color w:val="000000"/>
        </w:rPr>
        <w:t>.</w:t>
      </w:r>
    </w:p>
    <w:p w14:paraId="6FD51C96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14:paraId="5DB697BF" w14:textId="77777777" w:rsidR="00C572FB" w:rsidRDefault="00000000">
      <w:pPr>
        <w:spacing w:after="150"/>
      </w:pPr>
      <w:proofErr w:type="spellStart"/>
      <w:r>
        <w:rPr>
          <w:color w:val="000000"/>
        </w:rPr>
        <w:t>Примерак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комунални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претпостављеном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руководиоцу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оправданости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правилности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правилности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>.</w:t>
      </w:r>
    </w:p>
    <w:p w14:paraId="40E86D41" w14:textId="77777777" w:rsidR="00C572FB" w:rsidRDefault="00000000">
      <w:pPr>
        <w:spacing w:after="150"/>
      </w:pP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шеф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претпостављени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разматрања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употреби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употребио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чињеничног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>.</w:t>
      </w:r>
    </w:p>
    <w:p w14:paraId="2FB41B8C" w14:textId="77777777" w:rsidR="00C572FB" w:rsidRDefault="00000000">
      <w:pPr>
        <w:spacing w:after="150"/>
      </w:pPr>
      <w:proofErr w:type="spellStart"/>
      <w:r>
        <w:rPr>
          <w:color w:val="000000"/>
        </w:rPr>
        <w:lastRenderedPageBreak/>
        <w:t>Мишљење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14:paraId="2B91A7E5" w14:textId="77777777" w:rsidR="00C572FB" w:rsidRDefault="00000000">
      <w:pPr>
        <w:spacing w:after="120"/>
        <w:jc w:val="center"/>
      </w:pP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Оцена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оправданости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правилности</w:t>
      </w:r>
      <w:proofErr w:type="spellEnd"/>
    </w:p>
    <w:p w14:paraId="0DE2D476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14:paraId="51FD654B" w14:textId="77777777" w:rsidR="00C572FB" w:rsidRDefault="00000000">
      <w:pPr>
        <w:spacing w:after="150"/>
      </w:pP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употреби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правилности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кojeм</w:t>
      </w:r>
      <w:proofErr w:type="spellEnd"/>
      <w:r>
        <w:rPr>
          <w:color w:val="000000"/>
        </w:rPr>
        <w:t>:</w:t>
      </w:r>
    </w:p>
    <w:p w14:paraId="0123D175" w14:textId="77777777" w:rsidR="00C572FB" w:rsidRDefault="00000000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разматра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употреби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правилника</w:t>
      </w:r>
      <w:proofErr w:type="spellEnd"/>
      <w:r>
        <w:rPr>
          <w:color w:val="000000"/>
        </w:rPr>
        <w:t>;</w:t>
      </w:r>
      <w:proofErr w:type="gramEnd"/>
    </w:p>
    <w:p w14:paraId="5627157F" w14:textId="77777777" w:rsidR="00C572FB" w:rsidRDefault="0000000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правилника</w:t>
      </w:r>
      <w:proofErr w:type="spellEnd"/>
      <w:r>
        <w:rPr>
          <w:color w:val="000000"/>
        </w:rPr>
        <w:t>;</w:t>
      </w:r>
      <w:proofErr w:type="gramEnd"/>
    </w:p>
    <w:p w14:paraId="3470987B" w14:textId="77777777" w:rsidR="00C572FB" w:rsidRDefault="00000000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прикупља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, о </w:t>
      </w:r>
      <w:proofErr w:type="spellStart"/>
      <w:r>
        <w:rPr>
          <w:color w:val="000000"/>
        </w:rPr>
        <w:t>чему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белешку</w:t>
      </w:r>
      <w:proofErr w:type="spellEnd"/>
      <w:r>
        <w:rPr>
          <w:color w:val="000000"/>
        </w:rPr>
        <w:t>;</w:t>
      </w:r>
      <w:proofErr w:type="gramEnd"/>
    </w:p>
    <w:p w14:paraId="5E9688D7" w14:textId="77777777" w:rsidR="00C572FB" w:rsidRDefault="00000000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употребљено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о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изјаснила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принуде</w:t>
      </w:r>
      <w:proofErr w:type="spellEnd"/>
      <w:r>
        <w:rPr>
          <w:color w:val="000000"/>
        </w:rPr>
        <w:t>;</w:t>
      </w:r>
      <w:proofErr w:type="gramEnd"/>
    </w:p>
    <w:p w14:paraId="500C77FF" w14:textId="77777777" w:rsidR="00C572FB" w:rsidRDefault="00000000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прибавља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разјашњењу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чињеница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околности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правилности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принуде</w:t>
      </w:r>
      <w:proofErr w:type="spellEnd"/>
      <w:r>
        <w:rPr>
          <w:color w:val="000000"/>
        </w:rPr>
        <w:t>;</w:t>
      </w:r>
      <w:proofErr w:type="gramEnd"/>
    </w:p>
    <w:p w14:paraId="09644DF4" w14:textId="77777777" w:rsidR="00C572FB" w:rsidRDefault="00000000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прибавља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налаз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лекара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врсти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степену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наступиле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принуде</w:t>
      </w:r>
      <w:proofErr w:type="spellEnd"/>
      <w:r>
        <w:rPr>
          <w:color w:val="000000"/>
        </w:rPr>
        <w:t>;</w:t>
      </w:r>
      <w:proofErr w:type="gramEnd"/>
    </w:p>
    <w:p w14:paraId="680F34B9" w14:textId="77777777" w:rsidR="00C572FB" w:rsidRDefault="00000000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предузима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чињеничног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>.</w:t>
      </w:r>
    </w:p>
    <w:p w14:paraId="2A66880E" w14:textId="77777777" w:rsidR="00C572FB" w:rsidRDefault="00000000">
      <w:pPr>
        <w:spacing w:after="150"/>
      </w:pPr>
      <w:proofErr w:type="spellStart"/>
      <w:r>
        <w:rPr>
          <w:color w:val="000000"/>
        </w:rPr>
        <w:t>Начелник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дисциплинске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прекршајне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одмах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начелника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општинске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чијем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>.</w:t>
      </w:r>
    </w:p>
    <w:p w14:paraId="3A7E5BAD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</w:p>
    <w:p w14:paraId="1C8FC67B" w14:textId="77777777" w:rsidR="00C572FB" w:rsidRDefault="00000000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чињеничног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утврђеног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спроведеном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правилности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>.</w:t>
      </w:r>
    </w:p>
    <w:p w14:paraId="52BE0CDD" w14:textId="77777777" w:rsidR="00C572FB" w:rsidRDefault="00000000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правилно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употребљена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дисциплинске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прекршајне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>.</w:t>
      </w:r>
    </w:p>
    <w:p w14:paraId="60004C41" w14:textId="77777777" w:rsidR="00C572FB" w:rsidRDefault="00000000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правилности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14:paraId="067A4EE1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12.</w:t>
      </w:r>
    </w:p>
    <w:p w14:paraId="1D30CB7B" w14:textId="77777777" w:rsidR="00C572FB" w:rsidRDefault="00000000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оправданости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правилности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одлагања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употреби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начелнику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општинске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чијем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>.</w:t>
      </w:r>
    </w:p>
    <w:p w14:paraId="73FAFAEF" w14:textId="77777777" w:rsidR="00C572FB" w:rsidRDefault="00000000">
      <w:pPr>
        <w:spacing w:after="150"/>
      </w:pPr>
      <w:proofErr w:type="spellStart"/>
      <w:r>
        <w:rPr>
          <w:color w:val="000000"/>
        </w:rPr>
        <w:t>Кад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чињеничног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заснива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произлази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учинио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оправданости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правилности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Комисији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хоризонталне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координације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милиције</w:t>
      </w:r>
      <w:proofErr w:type="spellEnd"/>
      <w:r>
        <w:rPr>
          <w:color w:val="000000"/>
        </w:rPr>
        <w:t>.</w:t>
      </w:r>
    </w:p>
    <w:p w14:paraId="7E798713" w14:textId="77777777" w:rsidR="00C572FB" w:rsidRDefault="00000000">
      <w:pPr>
        <w:spacing w:after="120"/>
        <w:jc w:val="center"/>
      </w:pPr>
      <w:r>
        <w:rPr>
          <w:color w:val="000000"/>
        </w:rPr>
        <w:t>III. КОНТРОЛА РЕШАВАЊЕМ ПРИТУЖБИ</w:t>
      </w:r>
    </w:p>
    <w:p w14:paraId="173FE59B" w14:textId="77777777" w:rsidR="00C572FB" w:rsidRDefault="00000000">
      <w:pPr>
        <w:spacing w:after="120"/>
        <w:jc w:val="center"/>
      </w:pP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Подношење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пријем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притужбе</w:t>
      </w:r>
      <w:proofErr w:type="spellEnd"/>
    </w:p>
    <w:p w14:paraId="09582EF9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13.</w:t>
      </w:r>
    </w:p>
    <w:p w14:paraId="170EBAC3" w14:textId="77777777" w:rsidR="00C572FB" w:rsidRDefault="00000000">
      <w:pPr>
        <w:spacing w:after="150"/>
      </w:pPr>
      <w:proofErr w:type="spellStart"/>
      <w:r>
        <w:rPr>
          <w:color w:val="000000"/>
        </w:rPr>
        <w:t>Притужбу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незаконите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неправилне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повређена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дошло</w:t>
      </w:r>
      <w:proofErr w:type="spellEnd"/>
      <w:r>
        <w:rPr>
          <w:color w:val="000000"/>
        </w:rPr>
        <w:t>.</w:t>
      </w:r>
    </w:p>
    <w:p w14:paraId="2B1F7613" w14:textId="77777777" w:rsidR="00C572FB" w:rsidRDefault="00000000">
      <w:pPr>
        <w:spacing w:after="150"/>
      </w:pP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начелнику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начелник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>).</w:t>
      </w:r>
    </w:p>
    <w:p w14:paraId="71018952" w14:textId="77777777" w:rsidR="00C572FB" w:rsidRDefault="00000000">
      <w:pPr>
        <w:spacing w:after="150"/>
      </w:pP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32.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решавају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одредаба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представкама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поднесцима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.</w:t>
      </w:r>
    </w:p>
    <w:p w14:paraId="62FE077F" w14:textId="77777777" w:rsidR="00C572FB" w:rsidRDefault="00000000">
      <w:pPr>
        <w:spacing w:after="150"/>
      </w:pPr>
      <w:proofErr w:type="spellStart"/>
      <w:r>
        <w:rPr>
          <w:color w:val="000000"/>
        </w:rPr>
        <w:t>Независно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притужилац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располагању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слобода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14:paraId="467284F4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14.</w:t>
      </w:r>
    </w:p>
    <w:p w14:paraId="32635B1C" w14:textId="77777777" w:rsidR="00C572FB" w:rsidRDefault="00000000">
      <w:pPr>
        <w:spacing w:after="150"/>
      </w:pPr>
      <w:proofErr w:type="spellStart"/>
      <w:r>
        <w:rPr>
          <w:color w:val="000000"/>
        </w:rPr>
        <w:t>Притужилац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усменим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>.</w:t>
      </w:r>
    </w:p>
    <w:p w14:paraId="28AB0C2D" w14:textId="77777777" w:rsidR="00C572FB" w:rsidRDefault="00000000">
      <w:pPr>
        <w:spacing w:after="150"/>
      </w:pPr>
      <w:proofErr w:type="spellStart"/>
      <w:r>
        <w:rPr>
          <w:color w:val="000000"/>
        </w:rPr>
        <w:lastRenderedPageBreak/>
        <w:t>Притужба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разумљива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притужиоца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пропуста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повређена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слободе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притужиоца</w:t>
      </w:r>
      <w:proofErr w:type="spellEnd"/>
      <w:r>
        <w:rPr>
          <w:color w:val="000000"/>
        </w:rPr>
        <w:t>.</w:t>
      </w:r>
    </w:p>
    <w:p w14:paraId="44FEED5E" w14:textId="77777777" w:rsidR="00C572FB" w:rsidRDefault="00000000">
      <w:pPr>
        <w:spacing w:after="150"/>
      </w:pPr>
      <w:proofErr w:type="spellStart"/>
      <w:r>
        <w:rPr>
          <w:color w:val="000000"/>
        </w:rPr>
        <w:t>Усмена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притужилац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копија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притужиоцу</w:t>
      </w:r>
      <w:proofErr w:type="spellEnd"/>
      <w:r>
        <w:rPr>
          <w:color w:val="000000"/>
        </w:rPr>
        <w:t>.</w:t>
      </w:r>
    </w:p>
    <w:p w14:paraId="02E512E2" w14:textId="77777777" w:rsidR="00C572FB" w:rsidRDefault="00000000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притужиоцу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примљеној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>.</w:t>
      </w:r>
    </w:p>
    <w:p w14:paraId="29121283" w14:textId="77777777" w:rsidR="00C572FB" w:rsidRDefault="00000000">
      <w:pPr>
        <w:spacing w:after="150"/>
      </w:pPr>
      <w:proofErr w:type="spellStart"/>
      <w:r>
        <w:rPr>
          <w:color w:val="000000"/>
        </w:rPr>
        <w:t>Потписником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примљене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потписник</w:t>
      </w:r>
      <w:proofErr w:type="spellEnd"/>
      <w:r>
        <w:rPr>
          <w:color w:val="000000"/>
        </w:rPr>
        <w:t>.</w:t>
      </w:r>
    </w:p>
    <w:p w14:paraId="355CFE17" w14:textId="77777777" w:rsidR="00C572FB" w:rsidRDefault="00000000">
      <w:pPr>
        <w:spacing w:after="150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поднеска</w:t>
      </w:r>
      <w:proofErr w:type="spellEnd"/>
      <w:r>
        <w:rPr>
          <w:color w:val="000000"/>
        </w:rPr>
        <w:t>.</w:t>
      </w:r>
    </w:p>
    <w:p w14:paraId="4B8C824F" w14:textId="77777777" w:rsidR="00C572FB" w:rsidRDefault="00000000">
      <w:pPr>
        <w:spacing w:after="150"/>
      </w:pP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>.</w:t>
      </w:r>
    </w:p>
    <w:p w14:paraId="686FF540" w14:textId="77777777" w:rsidR="00C572FB" w:rsidRDefault="00000000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непотпуна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неразумљива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писаном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притужиоцу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отклони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недостатке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>.</w:t>
      </w:r>
    </w:p>
    <w:p w14:paraId="2A208F50" w14:textId="77777777" w:rsidR="00C572FB" w:rsidRDefault="00000000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притужба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одбацује</w:t>
      </w:r>
      <w:proofErr w:type="spellEnd"/>
      <w:r>
        <w:rPr>
          <w:color w:val="000000"/>
        </w:rPr>
        <w:t xml:space="preserve">, о </w:t>
      </w:r>
      <w:proofErr w:type="spellStart"/>
      <w:r>
        <w:rPr>
          <w:color w:val="000000"/>
        </w:rPr>
        <w:t>чему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</w:t>
      </w:r>
      <w:proofErr w:type="spellEnd"/>
      <w:r>
        <w:rPr>
          <w:color w:val="000000"/>
        </w:rPr>
        <w:t>.</w:t>
      </w:r>
    </w:p>
    <w:p w14:paraId="3E26BB97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15.</w:t>
      </w:r>
    </w:p>
    <w:p w14:paraId="6EF76D4A" w14:textId="77777777" w:rsidR="00C572FB" w:rsidRDefault="00000000">
      <w:pPr>
        <w:spacing w:after="150"/>
      </w:pP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одлагања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градоначелника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милиције</w:t>
      </w:r>
      <w:proofErr w:type="spellEnd"/>
      <w:r>
        <w:rPr>
          <w:color w:val="000000"/>
        </w:rPr>
        <w:t>:</w:t>
      </w:r>
    </w:p>
    <w:p w14:paraId="25289D21" w14:textId="77777777" w:rsidR="00C572FB" w:rsidRDefault="00000000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дошло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питању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смрт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лица</w:t>
      </w:r>
      <w:proofErr w:type="spellEnd"/>
      <w:r>
        <w:rPr>
          <w:color w:val="000000"/>
        </w:rPr>
        <w:t>;</w:t>
      </w:r>
      <w:proofErr w:type="gramEnd"/>
    </w:p>
    <w:p w14:paraId="2220CE89" w14:textId="77777777" w:rsidR="00C572FB" w:rsidRDefault="0000000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употребљено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принуде</w:t>
      </w:r>
      <w:proofErr w:type="spellEnd"/>
      <w:r>
        <w:rPr>
          <w:color w:val="000000"/>
        </w:rPr>
        <w:t>;</w:t>
      </w:r>
      <w:proofErr w:type="gramEnd"/>
    </w:p>
    <w:p w14:paraId="5FA0258D" w14:textId="77777777" w:rsidR="00C572FB" w:rsidRDefault="00000000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извршена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ширег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разматрања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обавештавања</w:t>
      </w:r>
      <w:proofErr w:type="spellEnd"/>
      <w:r>
        <w:rPr>
          <w:color w:val="000000"/>
        </w:rPr>
        <w:t>.</w:t>
      </w:r>
    </w:p>
    <w:p w14:paraId="1DCD6C83" w14:textId="77777777" w:rsidR="00C572FB" w:rsidRDefault="00000000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градоначелника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тражено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и о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.</w:t>
      </w:r>
    </w:p>
    <w:p w14:paraId="6CC8B2B5" w14:textId="77777777" w:rsidR="00C572FB" w:rsidRDefault="00000000">
      <w:pPr>
        <w:spacing w:after="120"/>
        <w:jc w:val="center"/>
      </w:pP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Провера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притужбе</w:t>
      </w:r>
      <w:proofErr w:type="spellEnd"/>
    </w:p>
    <w:p w14:paraId="6A7CB0C7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16.</w:t>
      </w:r>
    </w:p>
    <w:p w14:paraId="4C96B934" w14:textId="77777777" w:rsidR="00C572FB" w:rsidRDefault="00000000">
      <w:pPr>
        <w:spacing w:after="150"/>
      </w:pPr>
      <w:proofErr w:type="spellStart"/>
      <w:r>
        <w:rPr>
          <w:color w:val="000000"/>
        </w:rPr>
        <w:lastRenderedPageBreak/>
        <w:t>Провера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релевантне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чињенице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околности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дејства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последице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радњи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>.</w:t>
      </w:r>
    </w:p>
    <w:p w14:paraId="4D4BE3D8" w14:textId="77777777" w:rsidR="00C572FB" w:rsidRDefault="00000000">
      <w:pPr>
        <w:spacing w:after="150"/>
      </w:pPr>
      <w:proofErr w:type="spellStart"/>
      <w:r>
        <w:rPr>
          <w:color w:val="000000"/>
        </w:rPr>
        <w:t>Проверу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>.</w:t>
      </w:r>
    </w:p>
    <w:p w14:paraId="7370BB25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17.</w:t>
      </w:r>
    </w:p>
    <w:p w14:paraId="46C866F0" w14:textId="77777777" w:rsidR="00C572FB" w:rsidRDefault="00000000">
      <w:pPr>
        <w:spacing w:after="150"/>
      </w:pP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обуставља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>:</w:t>
      </w:r>
    </w:p>
    <w:p w14:paraId="1121DFA1" w14:textId="77777777" w:rsidR="00C572FB" w:rsidRDefault="00000000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притужилац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одустао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и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записник</w:t>
      </w:r>
      <w:proofErr w:type="spellEnd"/>
      <w:r>
        <w:rPr>
          <w:color w:val="000000"/>
        </w:rPr>
        <w:t>;</w:t>
      </w:r>
      <w:proofErr w:type="gramEnd"/>
    </w:p>
    <w:p w14:paraId="5B8CE02E" w14:textId="77777777" w:rsidR="00C572FB" w:rsidRDefault="00000000">
      <w:pPr>
        <w:spacing w:after="150"/>
      </w:pPr>
      <w:r>
        <w:rPr>
          <w:color w:val="000000"/>
        </w:rPr>
        <w:t xml:space="preserve">2) о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одлучено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притужбе</w:t>
      </w:r>
      <w:proofErr w:type="spellEnd"/>
      <w:r>
        <w:rPr>
          <w:color w:val="000000"/>
        </w:rPr>
        <w:t>;</w:t>
      </w:r>
      <w:proofErr w:type="gramEnd"/>
    </w:p>
    <w:p w14:paraId="4681237F" w14:textId="77777777" w:rsidR="00C572FB" w:rsidRDefault="00000000">
      <w:pPr>
        <w:spacing w:after="150"/>
      </w:pPr>
      <w:r>
        <w:rPr>
          <w:color w:val="000000"/>
        </w:rPr>
        <w:t xml:space="preserve">3) о </w:t>
      </w:r>
      <w:proofErr w:type="spellStart"/>
      <w:r>
        <w:rPr>
          <w:color w:val="000000"/>
        </w:rPr>
        <w:t>суштини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правноснажно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органом</w:t>
      </w:r>
      <w:proofErr w:type="spellEnd"/>
      <w:r>
        <w:rPr>
          <w:color w:val="000000"/>
        </w:rPr>
        <w:t>;</w:t>
      </w:r>
      <w:proofErr w:type="gramEnd"/>
    </w:p>
    <w:p w14:paraId="633B905B" w14:textId="77777777" w:rsidR="00C572FB" w:rsidRDefault="00000000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притужба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рока</w:t>
      </w:r>
      <w:proofErr w:type="spellEnd"/>
      <w:r>
        <w:rPr>
          <w:color w:val="000000"/>
        </w:rPr>
        <w:t>;</w:t>
      </w:r>
      <w:proofErr w:type="gramEnd"/>
    </w:p>
    <w:p w14:paraId="7F1DEF5C" w14:textId="77777777" w:rsidR="00C572FB" w:rsidRDefault="00000000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притужбу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>.</w:t>
      </w:r>
    </w:p>
    <w:p w14:paraId="3A74A9BD" w14:textId="77777777" w:rsidR="00C572FB" w:rsidRDefault="00000000">
      <w:pPr>
        <w:spacing w:after="150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обустављању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притужилац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притуженик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руководилац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притуженик</w:t>
      </w:r>
      <w:proofErr w:type="spellEnd"/>
      <w:r>
        <w:rPr>
          <w:color w:val="000000"/>
        </w:rPr>
        <w:t>.</w:t>
      </w:r>
    </w:p>
    <w:p w14:paraId="28A08151" w14:textId="77777777" w:rsidR="00C572FB" w:rsidRDefault="00000000">
      <w:pPr>
        <w:spacing w:after="120"/>
        <w:jc w:val="center"/>
      </w:pPr>
      <w:r>
        <w:rPr>
          <w:b/>
          <w:color w:val="000000"/>
        </w:rPr>
        <w:t xml:space="preserve">3. </w:t>
      </w:r>
      <w:proofErr w:type="spellStart"/>
      <w:r>
        <w:rPr>
          <w:b/>
          <w:color w:val="000000"/>
        </w:rPr>
        <w:t>Поступање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решавању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притужби</w:t>
      </w:r>
      <w:proofErr w:type="spellEnd"/>
    </w:p>
    <w:p w14:paraId="308DC91C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18.</w:t>
      </w:r>
    </w:p>
    <w:p w14:paraId="4A68F1FE" w14:textId="77777777" w:rsidR="00C572FB" w:rsidRDefault="00000000">
      <w:pPr>
        <w:spacing w:after="150"/>
      </w:pPr>
      <w:proofErr w:type="spellStart"/>
      <w:r>
        <w:rPr>
          <w:color w:val="000000"/>
        </w:rPr>
        <w:t>Поднету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>.</w:t>
      </w:r>
    </w:p>
    <w:p w14:paraId="3718674E" w14:textId="77777777" w:rsidR="00C572FB" w:rsidRDefault="00000000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притужилац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комунални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поднета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притуженик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трошку</w:t>
      </w:r>
      <w:proofErr w:type="spellEnd"/>
      <w:r>
        <w:rPr>
          <w:color w:val="000000"/>
        </w:rPr>
        <w:t>.</w:t>
      </w:r>
    </w:p>
    <w:p w14:paraId="3E3FE07F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19.</w:t>
      </w:r>
    </w:p>
    <w:p w14:paraId="339434B7" w14:textId="77777777" w:rsidR="00C572FB" w:rsidRDefault="00000000">
      <w:pPr>
        <w:spacing w:after="150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разматрању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>.</w:t>
      </w:r>
    </w:p>
    <w:p w14:paraId="57B71C62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20.</w:t>
      </w:r>
    </w:p>
    <w:p w14:paraId="26C8B584" w14:textId="77777777" w:rsidR="00C572FB" w:rsidRDefault="00000000">
      <w:pPr>
        <w:spacing w:after="150"/>
      </w:pP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изјашњења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>.</w:t>
      </w:r>
    </w:p>
    <w:p w14:paraId="7CE86197" w14:textId="77777777" w:rsidR="00C572FB" w:rsidRDefault="00000000">
      <w:pPr>
        <w:spacing w:after="150"/>
      </w:pPr>
      <w:proofErr w:type="spellStart"/>
      <w:r>
        <w:rPr>
          <w:color w:val="000000"/>
        </w:rPr>
        <w:t>Притуженику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разговора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њим</w:t>
      </w:r>
      <w:proofErr w:type="spellEnd"/>
      <w:r>
        <w:rPr>
          <w:color w:val="000000"/>
        </w:rPr>
        <w:t>.</w:t>
      </w:r>
    </w:p>
    <w:p w14:paraId="79F4D97C" w14:textId="77777777" w:rsidR="00C572FB" w:rsidRDefault="00000000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скратити</w:t>
      </w:r>
      <w:proofErr w:type="spellEnd"/>
      <w:r>
        <w:rPr>
          <w:color w:val="000000"/>
        </w:rPr>
        <w:t>.</w:t>
      </w:r>
    </w:p>
    <w:p w14:paraId="41485F29" w14:textId="77777777" w:rsidR="00C572FB" w:rsidRDefault="00000000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позиву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одазове</w:t>
      </w:r>
      <w:proofErr w:type="spellEnd"/>
      <w:r>
        <w:rPr>
          <w:color w:val="000000"/>
        </w:rPr>
        <w:t>.</w:t>
      </w:r>
    </w:p>
    <w:p w14:paraId="10777E24" w14:textId="77777777" w:rsidR="00C572FB" w:rsidRDefault="00000000">
      <w:pPr>
        <w:spacing w:after="150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разговору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притужеником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притуженик</w:t>
      </w:r>
      <w:proofErr w:type="spellEnd"/>
      <w:r>
        <w:rPr>
          <w:color w:val="000000"/>
        </w:rPr>
        <w:t>.</w:t>
      </w:r>
    </w:p>
    <w:p w14:paraId="532EE12D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21.</w:t>
      </w:r>
    </w:p>
    <w:p w14:paraId="48815ABB" w14:textId="77777777" w:rsidR="00C572FB" w:rsidRDefault="00000000">
      <w:pPr>
        <w:spacing w:after="150"/>
      </w:pP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притужиоцу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>.</w:t>
      </w:r>
    </w:p>
    <w:p w14:paraId="25829A8B" w14:textId="77777777" w:rsidR="00C572FB" w:rsidRDefault="00000000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позиву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одазове</w:t>
      </w:r>
      <w:proofErr w:type="spellEnd"/>
      <w:r>
        <w:rPr>
          <w:color w:val="000000"/>
        </w:rPr>
        <w:t>.</w:t>
      </w:r>
    </w:p>
    <w:p w14:paraId="1E6F7B79" w14:textId="77777777" w:rsidR="00C572FB" w:rsidRDefault="00000000">
      <w:pPr>
        <w:spacing w:after="150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разговору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притужиоцем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притужилац</w:t>
      </w:r>
      <w:proofErr w:type="spellEnd"/>
      <w:r>
        <w:rPr>
          <w:color w:val="000000"/>
        </w:rPr>
        <w:t>.</w:t>
      </w:r>
    </w:p>
    <w:p w14:paraId="35E0948B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22.</w:t>
      </w:r>
    </w:p>
    <w:p w14:paraId="03AF6C32" w14:textId="77777777" w:rsidR="00C572FB" w:rsidRDefault="00000000">
      <w:pPr>
        <w:spacing w:after="150"/>
      </w:pPr>
      <w:proofErr w:type="spellStart"/>
      <w:r>
        <w:rPr>
          <w:color w:val="000000"/>
        </w:rPr>
        <w:t>Притужилац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притуженик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доказе</w:t>
      </w:r>
      <w:proofErr w:type="spellEnd"/>
      <w:r>
        <w:rPr>
          <w:color w:val="000000"/>
        </w:rPr>
        <w:t>.</w:t>
      </w:r>
    </w:p>
    <w:p w14:paraId="7BD66984" w14:textId="77777777" w:rsidR="00C572FB" w:rsidRDefault="00000000">
      <w:pPr>
        <w:spacing w:after="150"/>
      </w:pPr>
      <w:proofErr w:type="spellStart"/>
      <w:r>
        <w:rPr>
          <w:color w:val="000000"/>
        </w:rPr>
        <w:t>Исправе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притужиоца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притуженика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дужно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њих</w:t>
      </w:r>
      <w:proofErr w:type="spellEnd"/>
      <w:r>
        <w:rPr>
          <w:color w:val="000000"/>
        </w:rPr>
        <w:t>.</w:t>
      </w:r>
    </w:p>
    <w:p w14:paraId="6B9AE55C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23.</w:t>
      </w:r>
    </w:p>
    <w:p w14:paraId="305DF6BB" w14:textId="77777777" w:rsidR="00C572FB" w:rsidRDefault="00000000">
      <w:pPr>
        <w:spacing w:after="150"/>
      </w:pPr>
      <w:proofErr w:type="spellStart"/>
      <w:r>
        <w:rPr>
          <w:color w:val="000000"/>
        </w:rPr>
        <w:t>Руководиоци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општинској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документа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општинска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копирање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преписивање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докумената</w:t>
      </w:r>
      <w:proofErr w:type="spellEnd"/>
      <w:r>
        <w:rPr>
          <w:color w:val="000000"/>
        </w:rPr>
        <w:t>.</w:t>
      </w:r>
    </w:p>
    <w:p w14:paraId="1FCF2499" w14:textId="77777777" w:rsidR="00C572FB" w:rsidRDefault="00000000">
      <w:pPr>
        <w:spacing w:after="150"/>
      </w:pPr>
      <w:proofErr w:type="spellStart"/>
      <w:r>
        <w:rPr>
          <w:color w:val="000000"/>
        </w:rPr>
        <w:t>Документе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поверљивости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присуству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овласти</w:t>
      </w:r>
      <w:proofErr w:type="spellEnd"/>
      <w:r>
        <w:rPr>
          <w:color w:val="000000"/>
        </w:rPr>
        <w:t>.</w:t>
      </w:r>
    </w:p>
    <w:p w14:paraId="68BBD20E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24.</w:t>
      </w:r>
    </w:p>
    <w:p w14:paraId="08764013" w14:textId="77777777" w:rsidR="00C572FB" w:rsidRDefault="00000000">
      <w:pPr>
        <w:spacing w:after="150"/>
      </w:pP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>:</w:t>
      </w:r>
    </w:p>
    <w:p w14:paraId="3B84DC57" w14:textId="77777777" w:rsidR="00C572FB" w:rsidRDefault="00000000">
      <w:pPr>
        <w:spacing w:after="150"/>
      </w:pPr>
      <w:r>
        <w:rPr>
          <w:color w:val="000000"/>
        </w:rPr>
        <w:t xml:space="preserve">1) у </w:t>
      </w:r>
      <w:proofErr w:type="spellStart"/>
      <w:r>
        <w:rPr>
          <w:color w:val="000000"/>
        </w:rPr>
        <w:t>комуналној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притужбу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притужбени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proofErr w:type="gramStart"/>
      <w:r>
        <w:rPr>
          <w:color w:val="000000"/>
        </w:rPr>
        <w:t>);</w:t>
      </w:r>
      <w:proofErr w:type="gramEnd"/>
    </w:p>
    <w:p w14:paraId="7305BB5C" w14:textId="77777777" w:rsidR="00C572FB" w:rsidRDefault="0000000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обави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притужиоцем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притужеником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комуналним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догађаја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сазнања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суочи</w:t>
      </w:r>
      <w:proofErr w:type="spellEnd"/>
      <w:r>
        <w:rPr>
          <w:color w:val="000000"/>
        </w:rPr>
        <w:t>;</w:t>
      </w:r>
      <w:proofErr w:type="gramEnd"/>
    </w:p>
    <w:p w14:paraId="3DF1BCBF" w14:textId="77777777" w:rsidR="00C572FB" w:rsidRDefault="00000000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добије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мишљења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питањима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притужбени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предмет</w:t>
      </w:r>
      <w:proofErr w:type="spellEnd"/>
      <w:r>
        <w:rPr>
          <w:color w:val="000000"/>
        </w:rPr>
        <w:t>;</w:t>
      </w:r>
      <w:proofErr w:type="gramEnd"/>
    </w:p>
    <w:p w14:paraId="7DE2BCD5" w14:textId="77777777" w:rsidR="00C572FB" w:rsidRDefault="00000000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преслушавање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аудио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притужбе</w:t>
      </w:r>
      <w:proofErr w:type="spellEnd"/>
      <w:r>
        <w:rPr>
          <w:color w:val="000000"/>
        </w:rPr>
        <w:t>;</w:t>
      </w:r>
      <w:proofErr w:type="gramEnd"/>
    </w:p>
    <w:p w14:paraId="7E732239" w14:textId="77777777" w:rsidR="00C572FB" w:rsidRDefault="00000000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разјашњавања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>.</w:t>
      </w:r>
    </w:p>
    <w:p w14:paraId="21F4E5D0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25.</w:t>
      </w:r>
    </w:p>
    <w:p w14:paraId="4B210ED7" w14:textId="77777777" w:rsidR="00C572FB" w:rsidRDefault="00000000">
      <w:pPr>
        <w:spacing w:after="150"/>
      </w:pPr>
      <w:r>
        <w:rPr>
          <w:color w:val="000000"/>
        </w:rPr>
        <w:lastRenderedPageBreak/>
        <w:t xml:space="preserve">У </w:t>
      </w:r>
      <w:proofErr w:type="spellStart"/>
      <w:r>
        <w:rPr>
          <w:color w:val="000000"/>
        </w:rPr>
        <w:t>записник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разматрању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евентуалне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предузело</w:t>
      </w:r>
      <w:proofErr w:type="spellEnd"/>
      <w:r>
        <w:rPr>
          <w:color w:val="000000"/>
        </w:rPr>
        <w:t>.</w:t>
      </w:r>
    </w:p>
    <w:p w14:paraId="4E432360" w14:textId="77777777" w:rsidR="00C572FB" w:rsidRDefault="00000000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записнику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>.</w:t>
      </w:r>
    </w:p>
    <w:p w14:paraId="00B0E87B" w14:textId="77777777" w:rsidR="00C572FB" w:rsidRDefault="00000000">
      <w:pPr>
        <w:spacing w:after="150"/>
      </w:pP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изведени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притужиоца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притуженика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разговори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њима</w:t>
      </w:r>
      <w:proofErr w:type="spellEnd"/>
      <w:r>
        <w:rPr>
          <w:color w:val="000000"/>
        </w:rPr>
        <w:t>.</w:t>
      </w:r>
    </w:p>
    <w:p w14:paraId="1DD3588E" w14:textId="77777777" w:rsidR="00C572FB" w:rsidRDefault="00000000">
      <w:pPr>
        <w:spacing w:after="150"/>
      </w:pPr>
      <w:proofErr w:type="spellStart"/>
      <w:r>
        <w:rPr>
          <w:color w:val="000000"/>
        </w:rPr>
        <w:t>Записник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 и,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присутан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притужилац</w:t>
      </w:r>
      <w:proofErr w:type="spellEnd"/>
      <w:r>
        <w:rPr>
          <w:color w:val="000000"/>
        </w:rPr>
        <w:t>.</w:t>
      </w:r>
    </w:p>
    <w:p w14:paraId="4FF8F6F5" w14:textId="77777777" w:rsidR="00C572FB" w:rsidRDefault="00000000">
      <w:pPr>
        <w:spacing w:after="150"/>
      </w:pPr>
      <w:proofErr w:type="spellStart"/>
      <w:r>
        <w:rPr>
          <w:color w:val="000000"/>
        </w:rPr>
        <w:t>Потписивањем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окончан</w:t>
      </w:r>
      <w:proofErr w:type="spellEnd"/>
      <w:r>
        <w:rPr>
          <w:color w:val="000000"/>
        </w:rPr>
        <w:t>.</w:t>
      </w:r>
    </w:p>
    <w:p w14:paraId="1D270343" w14:textId="77777777" w:rsidR="00C572FB" w:rsidRDefault="00000000">
      <w:pPr>
        <w:spacing w:after="150"/>
      </w:pPr>
      <w:proofErr w:type="spellStart"/>
      <w:r>
        <w:rPr>
          <w:color w:val="000000"/>
        </w:rPr>
        <w:t>Притужбени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архиви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>.</w:t>
      </w:r>
    </w:p>
    <w:p w14:paraId="7CB4F2DC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26.</w:t>
      </w:r>
    </w:p>
    <w:p w14:paraId="44D5D3BD" w14:textId="77777777" w:rsidR="00C572FB" w:rsidRDefault="00000000">
      <w:pPr>
        <w:spacing w:after="150"/>
      </w:pP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18.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25.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окончава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доношењем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, о </w:t>
      </w:r>
      <w:proofErr w:type="spellStart"/>
      <w:r>
        <w:rPr>
          <w:color w:val="000000"/>
        </w:rPr>
        <w:t>чему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притужилац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>.</w:t>
      </w:r>
    </w:p>
    <w:p w14:paraId="5A28D033" w14:textId="77777777" w:rsidR="00C572FB" w:rsidRDefault="00000000">
      <w:pPr>
        <w:spacing w:after="150"/>
      </w:pPr>
      <w:proofErr w:type="spellStart"/>
      <w:r>
        <w:rPr>
          <w:color w:val="000000"/>
        </w:rPr>
        <w:t>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коначно</w:t>
      </w:r>
      <w:proofErr w:type="spellEnd"/>
      <w:r>
        <w:rPr>
          <w:color w:val="000000"/>
        </w:rPr>
        <w:t>.</w:t>
      </w:r>
    </w:p>
    <w:p w14:paraId="6AC82CDC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27.</w:t>
      </w:r>
    </w:p>
    <w:p w14:paraId="1C6DE930" w14:textId="77777777" w:rsidR="00C572FB" w:rsidRDefault="00000000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учинио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прикупљеним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>.</w:t>
      </w:r>
    </w:p>
    <w:p w14:paraId="3F979441" w14:textId="77777777" w:rsidR="00C572FB" w:rsidRDefault="00000000">
      <w:pPr>
        <w:spacing w:after="120"/>
        <w:jc w:val="center"/>
      </w:pPr>
      <w:r>
        <w:rPr>
          <w:b/>
          <w:color w:val="000000"/>
        </w:rPr>
        <w:t xml:space="preserve">4. </w:t>
      </w:r>
      <w:proofErr w:type="spellStart"/>
      <w:r>
        <w:rPr>
          <w:b/>
          <w:color w:val="000000"/>
        </w:rPr>
        <w:t>Поступање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Комисије</w:t>
      </w:r>
      <w:proofErr w:type="spellEnd"/>
    </w:p>
    <w:p w14:paraId="351F55D5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28.</w:t>
      </w:r>
    </w:p>
    <w:p w14:paraId="0E2CAC84" w14:textId="77777777" w:rsidR="00C572FB" w:rsidRDefault="00000000">
      <w:pPr>
        <w:spacing w:after="150"/>
      </w:pPr>
      <w:proofErr w:type="spellStart"/>
      <w:r>
        <w:rPr>
          <w:color w:val="000000"/>
        </w:rPr>
        <w:t>Комисију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начелник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>).</w:t>
      </w:r>
    </w:p>
    <w:p w14:paraId="62E2F927" w14:textId="77777777" w:rsidR="00C572FB" w:rsidRDefault="00000000">
      <w:pPr>
        <w:spacing w:after="150"/>
      </w:pP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собом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већином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.</w:t>
      </w:r>
    </w:p>
    <w:p w14:paraId="387D25A9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29.</w:t>
      </w:r>
    </w:p>
    <w:p w14:paraId="341A8BBA" w14:textId="77777777" w:rsidR="00C572FB" w:rsidRDefault="00000000">
      <w:pPr>
        <w:spacing w:after="150"/>
      </w:pPr>
      <w:proofErr w:type="spellStart"/>
      <w:r>
        <w:rPr>
          <w:color w:val="000000"/>
        </w:rPr>
        <w:t>Притужбени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размотри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спровело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>.</w:t>
      </w:r>
    </w:p>
    <w:p w14:paraId="796F3569" w14:textId="77777777" w:rsidR="00C572FB" w:rsidRDefault="00000000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спроведен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разјашњена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дилеме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позива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известилац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.</w:t>
      </w:r>
    </w:p>
    <w:p w14:paraId="3A60EAFD" w14:textId="77777777" w:rsidR="00C572FB" w:rsidRDefault="00000000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разјашњење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чињеница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доказа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прикупити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разјашњавању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чињеничног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поновити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>.</w:t>
      </w:r>
    </w:p>
    <w:p w14:paraId="3323D0D7" w14:textId="77777777" w:rsidR="00C572FB" w:rsidRDefault="00000000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припреми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разматрање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известилац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.</w:t>
      </w:r>
    </w:p>
    <w:p w14:paraId="000F9549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30.</w:t>
      </w:r>
    </w:p>
    <w:p w14:paraId="70DEC870" w14:textId="77777777" w:rsidR="00C572FB" w:rsidRDefault="00000000">
      <w:pPr>
        <w:spacing w:after="150"/>
      </w:pPr>
      <w:proofErr w:type="spellStart"/>
      <w:r>
        <w:rPr>
          <w:color w:val="000000"/>
        </w:rPr>
        <w:t>Седнице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заказује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Комисијом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.</w:t>
      </w:r>
    </w:p>
    <w:p w14:paraId="2DBC765D" w14:textId="77777777" w:rsidR="00C572FB" w:rsidRDefault="00000000">
      <w:pPr>
        <w:spacing w:after="150"/>
      </w:pPr>
      <w:proofErr w:type="spellStart"/>
      <w:r>
        <w:rPr>
          <w:color w:val="000000"/>
        </w:rPr>
        <w:t>Седница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седнице</w:t>
      </w:r>
      <w:proofErr w:type="spellEnd"/>
      <w:r>
        <w:rPr>
          <w:color w:val="000000"/>
        </w:rPr>
        <w:t>.</w:t>
      </w:r>
    </w:p>
    <w:p w14:paraId="321590D9" w14:textId="77777777" w:rsidR="00C572FB" w:rsidRDefault="00000000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позиву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притужбени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разматран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седници</w:t>
      </w:r>
      <w:proofErr w:type="spellEnd"/>
      <w:r>
        <w:rPr>
          <w:color w:val="000000"/>
        </w:rPr>
        <w:t>.</w:t>
      </w:r>
    </w:p>
    <w:p w14:paraId="00629E1E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31.</w:t>
      </w:r>
    </w:p>
    <w:p w14:paraId="62588ABC" w14:textId="77777777" w:rsidR="00C572FB" w:rsidRDefault="00000000">
      <w:pPr>
        <w:spacing w:after="150"/>
      </w:pPr>
      <w:proofErr w:type="spellStart"/>
      <w:r>
        <w:rPr>
          <w:color w:val="000000"/>
        </w:rPr>
        <w:t>Седницe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>.</w:t>
      </w:r>
    </w:p>
    <w:p w14:paraId="79CF4415" w14:textId="77777777" w:rsidR="00C572FB" w:rsidRDefault="00000000">
      <w:pPr>
        <w:spacing w:after="150"/>
      </w:pP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поверљивих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>.</w:t>
      </w:r>
    </w:p>
    <w:p w14:paraId="1F73D689" w14:textId="77777777" w:rsidR="00C572FB" w:rsidRDefault="00000000">
      <w:pPr>
        <w:spacing w:after="150"/>
      </w:pPr>
      <w:proofErr w:type="spellStart"/>
      <w:r>
        <w:rPr>
          <w:color w:val="000000"/>
        </w:rPr>
        <w:t>Сви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учесници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приступу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поверљивих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прописе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личности</w:t>
      </w:r>
      <w:proofErr w:type="spellEnd"/>
      <w:r>
        <w:rPr>
          <w:color w:val="000000"/>
        </w:rPr>
        <w:t>.</w:t>
      </w:r>
    </w:p>
    <w:p w14:paraId="39FA17D1" w14:textId="77777777" w:rsidR="00C572FB" w:rsidRDefault="00000000">
      <w:pPr>
        <w:spacing w:after="150"/>
      </w:pPr>
      <w:proofErr w:type="spellStart"/>
      <w:r>
        <w:rPr>
          <w:color w:val="000000"/>
        </w:rPr>
        <w:t>Административно-техничке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>.</w:t>
      </w:r>
    </w:p>
    <w:p w14:paraId="4A7082CB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32.</w:t>
      </w:r>
    </w:p>
    <w:p w14:paraId="595685BA" w14:textId="77777777" w:rsidR="00C572FB" w:rsidRDefault="00000000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позивају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притужилац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притуженик</w:t>
      </w:r>
      <w:proofErr w:type="spellEnd"/>
      <w:r>
        <w:rPr>
          <w:color w:val="000000"/>
        </w:rPr>
        <w:t>.</w:t>
      </w:r>
    </w:p>
    <w:p w14:paraId="6755248F" w14:textId="77777777" w:rsidR="00C572FB" w:rsidRDefault="00000000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позиву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одазову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поднетој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одлучивати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неодазивања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сами</w:t>
      </w:r>
      <w:proofErr w:type="spellEnd"/>
      <w:r>
        <w:rPr>
          <w:color w:val="000000"/>
        </w:rPr>
        <w:t>.</w:t>
      </w:r>
    </w:p>
    <w:p w14:paraId="486862AE" w14:textId="77777777" w:rsidR="00C572FB" w:rsidRDefault="00000000">
      <w:pPr>
        <w:spacing w:after="150"/>
      </w:pPr>
      <w:proofErr w:type="spellStart"/>
      <w:r>
        <w:rPr>
          <w:color w:val="000000"/>
        </w:rPr>
        <w:t>Позив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.</w:t>
      </w:r>
    </w:p>
    <w:p w14:paraId="679E9A28" w14:textId="77777777" w:rsidR="00C572FB" w:rsidRDefault="00000000">
      <w:pPr>
        <w:spacing w:after="150"/>
      </w:pP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појашњења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стручњаци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>.</w:t>
      </w:r>
    </w:p>
    <w:p w14:paraId="4A8CCE6B" w14:textId="77777777" w:rsidR="00C572FB" w:rsidRDefault="00000000">
      <w:pPr>
        <w:spacing w:after="150"/>
      </w:pPr>
      <w:proofErr w:type="spellStart"/>
      <w:r>
        <w:rPr>
          <w:color w:val="000000"/>
        </w:rPr>
        <w:lastRenderedPageBreak/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стручњаци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општинској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руководиоци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.</w:t>
      </w:r>
    </w:p>
    <w:p w14:paraId="16D7A934" w14:textId="77777777" w:rsidR="00C572FB" w:rsidRDefault="00000000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известилац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записничар</w:t>
      </w:r>
      <w:proofErr w:type="spellEnd"/>
      <w:r>
        <w:rPr>
          <w:color w:val="000000"/>
        </w:rPr>
        <w:t>.</w:t>
      </w:r>
    </w:p>
    <w:p w14:paraId="6A82EA8F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33.</w:t>
      </w:r>
    </w:p>
    <w:p w14:paraId="3B6D5268" w14:textId="77777777" w:rsidR="00C572FB" w:rsidRDefault="00000000">
      <w:pPr>
        <w:spacing w:after="150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размотри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преиспита</w:t>
      </w:r>
      <w:proofErr w:type="spellEnd"/>
      <w:r>
        <w:rPr>
          <w:color w:val="000000"/>
        </w:rPr>
        <w:t>.</w:t>
      </w:r>
    </w:p>
    <w:p w14:paraId="6BFF2D2E" w14:textId="77777777" w:rsidR="00C572FB" w:rsidRDefault="00000000">
      <w:pPr>
        <w:spacing w:after="150"/>
      </w:pPr>
      <w:proofErr w:type="spellStart"/>
      <w:r>
        <w:rPr>
          <w:color w:val="000000"/>
        </w:rPr>
        <w:t>Известилац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садржају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резултатима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>.</w:t>
      </w:r>
    </w:p>
    <w:p w14:paraId="37752FE7" w14:textId="77777777" w:rsidR="00C572FB" w:rsidRDefault="00000000">
      <w:pPr>
        <w:spacing w:after="150"/>
      </w:pP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садржини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притужилац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притуженик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.</w:t>
      </w:r>
    </w:p>
    <w:p w14:paraId="25BB83DE" w14:textId="77777777" w:rsidR="00C572FB" w:rsidRDefault="00000000">
      <w:pPr>
        <w:spacing w:after="150"/>
      </w:pPr>
      <w:proofErr w:type="spellStart"/>
      <w:r>
        <w:rPr>
          <w:color w:val="000000"/>
        </w:rPr>
        <w:t>Сви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изјаснити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разлозима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њиховој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основаности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постављати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известиоцу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стручњацима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притужиоцу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притуженику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вршити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притужбени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предлагати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чињеничног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>.</w:t>
      </w:r>
    </w:p>
    <w:p w14:paraId="25BE920C" w14:textId="77777777" w:rsidR="00C572FB" w:rsidRDefault="00000000">
      <w:pPr>
        <w:spacing w:after="150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разматрање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>.</w:t>
      </w:r>
    </w:p>
    <w:p w14:paraId="1AF5AB41" w14:textId="77777777" w:rsidR="00C572FB" w:rsidRDefault="00000000">
      <w:pPr>
        <w:spacing w:after="150"/>
      </w:pPr>
      <w:proofErr w:type="spellStart"/>
      <w:r>
        <w:rPr>
          <w:color w:val="000000"/>
        </w:rPr>
        <w:t>Кад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прекид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разматрања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усвојен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већином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известиоцу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околности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чињеница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>.</w:t>
      </w:r>
    </w:p>
    <w:p w14:paraId="5DB7AEBC" w14:textId="77777777" w:rsidR="00C572FB" w:rsidRDefault="00000000">
      <w:pPr>
        <w:spacing w:after="150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известиоца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доказе</w:t>
      </w:r>
      <w:proofErr w:type="spellEnd"/>
      <w:r>
        <w:rPr>
          <w:color w:val="000000"/>
        </w:rPr>
        <w:t>.</w:t>
      </w:r>
    </w:p>
    <w:p w14:paraId="6AB73F21" w14:textId="77777777" w:rsidR="00C572FB" w:rsidRDefault="00000000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разматрања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и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присутне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напомену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благовремено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</w:t>
      </w:r>
      <w:proofErr w:type="spellEnd"/>
      <w:r>
        <w:rPr>
          <w:color w:val="000000"/>
        </w:rPr>
        <w:t>.</w:t>
      </w:r>
    </w:p>
    <w:p w14:paraId="12FDD737" w14:textId="77777777" w:rsidR="00C572FB" w:rsidRDefault="00000000">
      <w:pPr>
        <w:spacing w:after="150"/>
      </w:pPr>
      <w:proofErr w:type="spellStart"/>
      <w:r>
        <w:rPr>
          <w:color w:val="000000"/>
        </w:rPr>
        <w:t>Позвана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присуствовала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.</w:t>
      </w:r>
    </w:p>
    <w:p w14:paraId="2F3626FB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34.</w:t>
      </w:r>
    </w:p>
    <w:p w14:paraId="4B824865" w14:textId="77777777" w:rsidR="00C572FB" w:rsidRDefault="00000000">
      <w:pPr>
        <w:spacing w:after="150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седници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записник</w:t>
      </w:r>
      <w:proofErr w:type="spellEnd"/>
      <w:r>
        <w:rPr>
          <w:color w:val="000000"/>
        </w:rPr>
        <w:t>.</w:t>
      </w:r>
    </w:p>
    <w:p w14:paraId="60202308" w14:textId="77777777" w:rsidR="00C572FB" w:rsidRDefault="00000000">
      <w:pPr>
        <w:spacing w:after="150"/>
      </w:pPr>
      <w:proofErr w:type="spellStart"/>
      <w:r>
        <w:rPr>
          <w:color w:val="000000"/>
        </w:rPr>
        <w:t>Записник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14:paraId="4BECC9AA" w14:textId="77777777" w:rsidR="00C572FB" w:rsidRDefault="00000000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краја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седнице</w:t>
      </w:r>
      <w:proofErr w:type="spellEnd"/>
      <w:r>
        <w:rPr>
          <w:color w:val="000000"/>
        </w:rPr>
        <w:t>;</w:t>
      </w:r>
      <w:proofErr w:type="gramEnd"/>
    </w:p>
    <w:p w14:paraId="56015DD7" w14:textId="77777777" w:rsidR="00C572FB" w:rsidRDefault="0000000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састав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присутност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позваних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лица</w:t>
      </w:r>
      <w:proofErr w:type="spellEnd"/>
      <w:r>
        <w:rPr>
          <w:color w:val="000000"/>
        </w:rPr>
        <w:t>;</w:t>
      </w:r>
      <w:proofErr w:type="gramEnd"/>
    </w:p>
    <w:p w14:paraId="0D79EE34" w14:textId="77777777" w:rsidR="00C572FB" w:rsidRDefault="00000000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упозорење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и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поверљивих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података</w:t>
      </w:r>
      <w:proofErr w:type="spellEnd"/>
      <w:r>
        <w:rPr>
          <w:color w:val="000000"/>
        </w:rPr>
        <w:t>;</w:t>
      </w:r>
      <w:proofErr w:type="gramEnd"/>
    </w:p>
    <w:p w14:paraId="19B4065A" w14:textId="77777777" w:rsidR="00C572FB" w:rsidRDefault="00000000">
      <w:pPr>
        <w:spacing w:after="150"/>
      </w:pPr>
      <w:r>
        <w:rPr>
          <w:color w:val="000000"/>
        </w:rPr>
        <w:lastRenderedPageBreak/>
        <w:t xml:space="preserve">4)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разматрању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притужбе</w:t>
      </w:r>
      <w:proofErr w:type="spellEnd"/>
      <w:r>
        <w:rPr>
          <w:color w:val="000000"/>
        </w:rPr>
        <w:t>;</w:t>
      </w:r>
      <w:proofErr w:type="gramEnd"/>
    </w:p>
    <w:p w14:paraId="2A646CC9" w14:textId="77777777" w:rsidR="00C572FB" w:rsidRDefault="00000000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изведеним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доказима</w:t>
      </w:r>
      <w:proofErr w:type="spellEnd"/>
      <w:r>
        <w:rPr>
          <w:color w:val="000000"/>
        </w:rPr>
        <w:t>;</w:t>
      </w:r>
      <w:proofErr w:type="gramEnd"/>
    </w:p>
    <w:p w14:paraId="69AE166F" w14:textId="77777777" w:rsidR="00C572FB" w:rsidRDefault="00000000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значајних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proofErr w:type="gramStart"/>
      <w:r>
        <w:rPr>
          <w:color w:val="000000"/>
        </w:rPr>
        <w:t>притужби</w:t>
      </w:r>
      <w:proofErr w:type="spellEnd"/>
      <w:r>
        <w:rPr>
          <w:color w:val="000000"/>
        </w:rPr>
        <w:t>;</w:t>
      </w:r>
      <w:proofErr w:type="gramEnd"/>
    </w:p>
    <w:p w14:paraId="569FA219" w14:textId="77777777" w:rsidR="00C572FB" w:rsidRDefault="00000000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мишљења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предлоге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Комисије</w:t>
      </w:r>
      <w:proofErr w:type="spellEnd"/>
      <w:r>
        <w:rPr>
          <w:color w:val="000000"/>
        </w:rPr>
        <w:t>;</w:t>
      </w:r>
      <w:proofErr w:type="gramEnd"/>
    </w:p>
    <w:p w14:paraId="451A8A00" w14:textId="77777777" w:rsidR="00C572FB" w:rsidRDefault="00000000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евентуалну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прекиду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расправе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радњи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Комисије</w:t>
      </w:r>
      <w:proofErr w:type="spellEnd"/>
      <w:r>
        <w:rPr>
          <w:color w:val="000000"/>
        </w:rPr>
        <w:t>;</w:t>
      </w:r>
      <w:proofErr w:type="gramEnd"/>
    </w:p>
    <w:p w14:paraId="262CF193" w14:textId="77777777" w:rsidR="00C572FB" w:rsidRDefault="00000000">
      <w:pPr>
        <w:spacing w:after="150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основаности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кратким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навођењем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уважене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одлучивању</w:t>
      </w:r>
      <w:proofErr w:type="spellEnd"/>
      <w:r>
        <w:rPr>
          <w:color w:val="000000"/>
        </w:rPr>
        <w:t>;</w:t>
      </w:r>
      <w:proofErr w:type="gramEnd"/>
    </w:p>
    <w:p w14:paraId="253C6A7F" w14:textId="77777777" w:rsidR="00C572FB" w:rsidRDefault="00000000">
      <w:pPr>
        <w:spacing w:after="150"/>
      </w:pPr>
      <w:r>
        <w:rPr>
          <w:color w:val="000000"/>
        </w:rPr>
        <w:t xml:space="preserve">10) </w:t>
      </w:r>
      <w:proofErr w:type="spellStart"/>
      <w:r>
        <w:rPr>
          <w:color w:val="000000"/>
        </w:rPr>
        <w:t>евентуалну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констатацију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записника</w:t>
      </w:r>
      <w:proofErr w:type="spellEnd"/>
      <w:r>
        <w:rPr>
          <w:color w:val="000000"/>
        </w:rPr>
        <w:t>.</w:t>
      </w:r>
    </w:p>
    <w:p w14:paraId="19CE58AA" w14:textId="77777777" w:rsidR="00C572FB" w:rsidRDefault="00000000">
      <w:pPr>
        <w:spacing w:after="150"/>
      </w:pPr>
      <w:proofErr w:type="spellStart"/>
      <w:r>
        <w:rPr>
          <w:color w:val="000000"/>
        </w:rPr>
        <w:t>Записник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притужилац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притуженик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записничар</w:t>
      </w:r>
      <w:proofErr w:type="spellEnd"/>
      <w:r>
        <w:rPr>
          <w:color w:val="000000"/>
        </w:rPr>
        <w:t>.</w:t>
      </w:r>
    </w:p>
    <w:p w14:paraId="1C2C3306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35.</w:t>
      </w:r>
    </w:p>
    <w:p w14:paraId="66AE28AC" w14:textId="77777777" w:rsidR="00C572FB" w:rsidRDefault="00000000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спроведеног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утврђених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чињеница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околности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доказа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изведених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одлучује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основаности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>.</w:t>
      </w:r>
    </w:p>
    <w:p w14:paraId="425B30DE" w14:textId="77777777" w:rsidR="00C572FB" w:rsidRDefault="00000000">
      <w:pPr>
        <w:spacing w:after="150"/>
      </w:pP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.</w:t>
      </w:r>
    </w:p>
    <w:p w14:paraId="3F6E7B15" w14:textId="77777777" w:rsidR="00C572FB" w:rsidRDefault="00000000">
      <w:pPr>
        <w:spacing w:after="150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образложи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писаном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14:paraId="0C74A495" w14:textId="77777777" w:rsidR="00C572FB" w:rsidRDefault="00000000">
      <w:pPr>
        <w:spacing w:after="150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присутне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донетој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упознаје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околностима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уважене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одлучивању</w:t>
      </w:r>
      <w:proofErr w:type="spellEnd"/>
      <w:r>
        <w:rPr>
          <w:color w:val="000000"/>
        </w:rPr>
        <w:t>.</w:t>
      </w:r>
    </w:p>
    <w:p w14:paraId="71DA9455" w14:textId="77777777" w:rsidR="00C572FB" w:rsidRDefault="00000000">
      <w:pPr>
        <w:spacing w:after="150"/>
      </w:pP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коначна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притужилац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</w:t>
      </w:r>
      <w:proofErr w:type="spellEnd"/>
      <w:r>
        <w:rPr>
          <w:color w:val="000000"/>
        </w:rPr>
        <w:t>.</w:t>
      </w:r>
    </w:p>
    <w:p w14:paraId="69798786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36.</w:t>
      </w:r>
    </w:p>
    <w:p w14:paraId="76510940" w14:textId="77777777" w:rsidR="00C572FB" w:rsidRDefault="00000000">
      <w:pPr>
        <w:spacing w:after="150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образложена</w:t>
      </w:r>
      <w:proofErr w:type="spellEnd"/>
      <w:r>
        <w:rPr>
          <w:color w:val="000000"/>
        </w:rPr>
        <w:t>.</w:t>
      </w:r>
    </w:p>
    <w:p w14:paraId="1DDCD9D5" w14:textId="77777777" w:rsidR="00C572FB" w:rsidRDefault="00000000">
      <w:pPr>
        <w:spacing w:after="150"/>
      </w:pP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притужиоцу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релевантне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разумне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тврдње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средству</w:t>
      </w:r>
      <w:proofErr w:type="spellEnd"/>
      <w:r>
        <w:rPr>
          <w:color w:val="000000"/>
        </w:rPr>
        <w:t>.</w:t>
      </w:r>
    </w:p>
    <w:p w14:paraId="3C9D8457" w14:textId="77777777" w:rsidR="00C572FB" w:rsidRDefault="00000000">
      <w:pPr>
        <w:spacing w:after="150"/>
      </w:pP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коначно</w:t>
      </w:r>
      <w:proofErr w:type="spellEnd"/>
      <w:r>
        <w:rPr>
          <w:color w:val="000000"/>
        </w:rPr>
        <w:t>.</w:t>
      </w:r>
    </w:p>
    <w:p w14:paraId="01EACDC8" w14:textId="77777777" w:rsidR="00C572FB" w:rsidRDefault="00000000">
      <w:pPr>
        <w:spacing w:after="150"/>
      </w:pPr>
      <w:proofErr w:type="spellStart"/>
      <w:r>
        <w:rPr>
          <w:color w:val="000000"/>
        </w:rPr>
        <w:lastRenderedPageBreak/>
        <w:t>Примерак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налазу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известиоца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уручује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притуженику</w:t>
      </w:r>
      <w:proofErr w:type="spellEnd"/>
      <w:r>
        <w:rPr>
          <w:color w:val="000000"/>
        </w:rPr>
        <w:t>.</w:t>
      </w:r>
    </w:p>
    <w:p w14:paraId="27E532C5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37.</w:t>
      </w:r>
    </w:p>
    <w:p w14:paraId="1ED9837E" w14:textId="77777777" w:rsidR="00C572FB" w:rsidRDefault="00000000">
      <w:pPr>
        <w:spacing w:after="150"/>
      </w:pPr>
      <w:proofErr w:type="spellStart"/>
      <w:r>
        <w:rPr>
          <w:color w:val="000000"/>
        </w:rPr>
        <w:t>Члановима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дневнице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.</w:t>
      </w:r>
    </w:p>
    <w:p w14:paraId="19962DAD" w14:textId="77777777" w:rsidR="00C572FB" w:rsidRDefault="00000000">
      <w:pPr>
        <w:spacing w:after="150"/>
      </w:pPr>
      <w:proofErr w:type="spellStart"/>
      <w:r>
        <w:rPr>
          <w:color w:val="000000"/>
        </w:rPr>
        <w:t>Члановима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долазак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превоз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аутомобилом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.</w:t>
      </w:r>
    </w:p>
    <w:p w14:paraId="31630277" w14:textId="77777777" w:rsidR="00C572FB" w:rsidRDefault="00000000">
      <w:pPr>
        <w:spacing w:after="150"/>
      </w:pP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учесницима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запослени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стручњаци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.)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повраћај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каквих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упозоравају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позиву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разговору</w:t>
      </w:r>
      <w:proofErr w:type="spellEnd"/>
      <w:r>
        <w:rPr>
          <w:color w:val="000000"/>
        </w:rPr>
        <w:t>.</w:t>
      </w:r>
    </w:p>
    <w:p w14:paraId="3E62670C" w14:textId="77777777" w:rsidR="00C572FB" w:rsidRDefault="00000000">
      <w:pPr>
        <w:spacing w:after="150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појединачном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образложење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начелнику</w:t>
      </w:r>
      <w:proofErr w:type="spellEnd"/>
      <w:r>
        <w:rPr>
          <w:color w:val="000000"/>
        </w:rPr>
        <w:t>.</w:t>
      </w:r>
    </w:p>
    <w:p w14:paraId="60180CB3" w14:textId="77777777" w:rsidR="00C572FB" w:rsidRDefault="00000000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одредаба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милиције</w:t>
      </w:r>
      <w:proofErr w:type="spellEnd"/>
      <w:r>
        <w:rPr>
          <w:color w:val="000000"/>
        </w:rPr>
        <w:t>.</w:t>
      </w:r>
    </w:p>
    <w:p w14:paraId="15AC2AF6" w14:textId="77777777" w:rsidR="00C572FB" w:rsidRDefault="00000000">
      <w:pPr>
        <w:spacing w:after="120"/>
        <w:jc w:val="center"/>
      </w:pPr>
      <w:r>
        <w:rPr>
          <w:color w:val="000000"/>
        </w:rPr>
        <w:t>IV. ЕВИДЕНЦИЈА</w:t>
      </w:r>
    </w:p>
    <w:p w14:paraId="08F8E37B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38.</w:t>
      </w:r>
    </w:p>
    <w:p w14:paraId="4F3B9D6E" w14:textId="77777777" w:rsidR="00C572FB" w:rsidRDefault="00000000">
      <w:pPr>
        <w:spacing w:after="150"/>
      </w:pP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примљене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садржини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уништавању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>.</w:t>
      </w:r>
    </w:p>
    <w:p w14:paraId="3D136432" w14:textId="77777777" w:rsidR="00C572FB" w:rsidRDefault="00000000">
      <w:pPr>
        <w:spacing w:after="120"/>
        <w:jc w:val="center"/>
      </w:pPr>
      <w:r>
        <w:rPr>
          <w:color w:val="000000"/>
        </w:rPr>
        <w:t>V. ЗАВРШНЕ ОДРЕДБЕ</w:t>
      </w:r>
    </w:p>
    <w:p w14:paraId="2BF7A6D6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39.</w:t>
      </w:r>
    </w:p>
    <w:p w14:paraId="56C81CF5" w14:textId="77777777" w:rsidR="00C572FB" w:rsidRDefault="00000000">
      <w:pPr>
        <w:spacing w:after="150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полиције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РСˮ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106/09).</w:t>
      </w:r>
    </w:p>
    <w:p w14:paraId="560BCC34" w14:textId="77777777" w:rsidR="00C572FB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40.</w:t>
      </w:r>
    </w:p>
    <w:p w14:paraId="1DA5C1A2" w14:textId="77777777" w:rsidR="00C572FB" w:rsidRDefault="00000000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14:paraId="7B02160D" w14:textId="77777777" w:rsidR="00C572FB" w:rsidRDefault="00000000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110-00-00409/2019-24</w:t>
      </w:r>
    </w:p>
    <w:p w14:paraId="1A14E563" w14:textId="77777777" w:rsidR="00C572FB" w:rsidRDefault="00000000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5.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</w:p>
    <w:p w14:paraId="2EB0D9C3" w14:textId="77777777" w:rsidR="00C572FB" w:rsidRDefault="00000000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14:paraId="519EDCAA" w14:textId="77777777" w:rsidR="00C572FB" w:rsidRDefault="00000000">
      <w:pPr>
        <w:spacing w:after="150"/>
        <w:jc w:val="right"/>
      </w:pPr>
      <w:proofErr w:type="spellStart"/>
      <w:r>
        <w:rPr>
          <w:b/>
          <w:color w:val="000000"/>
        </w:rPr>
        <w:t>Бранко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Ружић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14:paraId="568442E5" w14:textId="77777777" w:rsidR="00C572FB" w:rsidRDefault="00000000">
      <w:pPr>
        <w:spacing w:after="120"/>
        <w:jc w:val="right"/>
      </w:pPr>
      <w:proofErr w:type="spellStart"/>
      <w:r>
        <w:rPr>
          <w:color w:val="000000"/>
        </w:rPr>
        <w:lastRenderedPageBreak/>
        <w:t>Прилози</w:t>
      </w:r>
      <w:proofErr w:type="spellEnd"/>
    </w:p>
    <w:p w14:paraId="2B071C91" w14:textId="77777777" w:rsidR="00C572FB" w:rsidRDefault="00000000">
      <w:pPr>
        <w:spacing w:after="150"/>
      </w:pPr>
      <w:hyperlink r:id="rId4">
        <w:proofErr w:type="spellStart"/>
        <w:r>
          <w:rPr>
            <w:rStyle w:val="Hyperlink"/>
            <w:color w:val="008000"/>
          </w:rPr>
          <w:t>Образац</w:t>
        </w:r>
        <w:proofErr w:type="spellEnd"/>
        <w:r>
          <w:rPr>
            <w:rStyle w:val="Hyperlink"/>
            <w:color w:val="008000"/>
          </w:rPr>
          <w:t xml:space="preserve"> 1 - </w:t>
        </w:r>
        <w:proofErr w:type="spellStart"/>
        <w:r>
          <w:rPr>
            <w:rStyle w:val="Hyperlink"/>
            <w:color w:val="008000"/>
          </w:rPr>
          <w:t>Извештај</w:t>
        </w:r>
        <w:proofErr w:type="spellEnd"/>
        <w:r>
          <w:rPr>
            <w:rStyle w:val="Hyperlink"/>
            <w:color w:val="008000"/>
          </w:rPr>
          <w:t xml:space="preserve"> о </w:t>
        </w:r>
        <w:proofErr w:type="spellStart"/>
        <w:r>
          <w:rPr>
            <w:rStyle w:val="Hyperlink"/>
            <w:color w:val="008000"/>
          </w:rPr>
          <w:t>употреби</w:t>
        </w:r>
        <w:proofErr w:type="spellEnd"/>
      </w:hyperlink>
    </w:p>
    <w:p w14:paraId="4ADFA431" w14:textId="77777777" w:rsidR="00C572FB" w:rsidRDefault="00000000">
      <w:pPr>
        <w:spacing w:after="150"/>
      </w:pPr>
      <w:hyperlink r:id="rId5">
        <w:proofErr w:type="spellStart"/>
        <w:r>
          <w:rPr>
            <w:rStyle w:val="Hyperlink"/>
            <w:color w:val="008000"/>
          </w:rPr>
          <w:t>Образац</w:t>
        </w:r>
        <w:proofErr w:type="spellEnd"/>
        <w:r>
          <w:rPr>
            <w:rStyle w:val="Hyperlink"/>
            <w:color w:val="008000"/>
          </w:rPr>
          <w:t xml:space="preserve"> 2 - </w:t>
        </w:r>
        <w:proofErr w:type="spellStart"/>
        <w:r>
          <w:rPr>
            <w:rStyle w:val="Hyperlink"/>
            <w:color w:val="008000"/>
          </w:rPr>
          <w:t>Мишљење</w:t>
        </w:r>
        <w:proofErr w:type="spellEnd"/>
        <w:r>
          <w:rPr>
            <w:rStyle w:val="Hyperlink"/>
            <w:color w:val="008000"/>
          </w:rPr>
          <w:t xml:space="preserve"> и </w:t>
        </w:r>
        <w:proofErr w:type="spellStart"/>
        <w:r>
          <w:rPr>
            <w:rStyle w:val="Hyperlink"/>
            <w:color w:val="008000"/>
          </w:rPr>
          <w:t>предлог</w:t>
        </w:r>
        <w:proofErr w:type="spellEnd"/>
      </w:hyperlink>
    </w:p>
    <w:p w14:paraId="00AACA84" w14:textId="77777777" w:rsidR="00C572FB" w:rsidRDefault="00000000">
      <w:pPr>
        <w:spacing w:after="150"/>
      </w:pPr>
      <w:hyperlink r:id="rId6">
        <w:proofErr w:type="spellStart"/>
        <w:r>
          <w:rPr>
            <w:rStyle w:val="Hyperlink"/>
            <w:color w:val="008000"/>
          </w:rPr>
          <w:t>Образац</w:t>
        </w:r>
        <w:proofErr w:type="spellEnd"/>
        <w:r>
          <w:rPr>
            <w:rStyle w:val="Hyperlink"/>
            <w:color w:val="008000"/>
          </w:rPr>
          <w:t xml:space="preserve"> 3 - </w:t>
        </w:r>
        <w:proofErr w:type="spellStart"/>
        <w:r>
          <w:rPr>
            <w:rStyle w:val="Hyperlink"/>
            <w:color w:val="008000"/>
          </w:rPr>
          <w:t>Оцена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оправданости</w:t>
        </w:r>
        <w:proofErr w:type="spellEnd"/>
        <w:r>
          <w:rPr>
            <w:rStyle w:val="Hyperlink"/>
            <w:color w:val="008000"/>
          </w:rPr>
          <w:t xml:space="preserve"> и </w:t>
        </w:r>
        <w:proofErr w:type="spellStart"/>
        <w:r>
          <w:rPr>
            <w:rStyle w:val="Hyperlink"/>
            <w:color w:val="008000"/>
          </w:rPr>
          <w:t>правилности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употребе</w:t>
        </w:r>
        <w:proofErr w:type="spellEnd"/>
      </w:hyperlink>
    </w:p>
    <w:sectPr w:rsidR="00C572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FB"/>
    <w:rsid w:val="00C572FB"/>
    <w:rsid w:val="00E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B189"/>
  <w15:docId w15:val="{9E126395-CCA5-42CF-AD6B-C7011D5F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3.html&amp;doctype=reg&amp;x-filename=true&amp;regactid=430104" TargetMode="External"/><Relationship Id="rId5" Type="http://schemas.openxmlformats.org/officeDocument/2006/relationships/hyperlink" Target="http://www.pravno-informacioni-sistem.rs/SlGlasnikPortal/prilozi/2.html&amp;doctype=reg&amp;x-filename=true&amp;regactid=430104" TargetMode="External"/><Relationship Id="rId4" Type="http://schemas.openxmlformats.org/officeDocument/2006/relationships/hyperlink" Target="http://www.pravno-informacioni-sistem.rs/SlGlasnikPortal/prilozi/1.html&amp;doctype=reg&amp;x-filename=true&amp;regactid=430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3377</Words>
  <Characters>19255</Characters>
  <Application>Microsoft Office Word</Application>
  <DocSecurity>0</DocSecurity>
  <Lines>160</Lines>
  <Paragraphs>45</Paragraphs>
  <ScaleCrop>false</ScaleCrop>
  <Company/>
  <LinksUpToDate>false</LinksUpToDate>
  <CharactersWithSpaces>22587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Tomić</dc:creator>
  <cp:lastModifiedBy>Marija Peruničić</cp:lastModifiedBy>
  <cp:revision>2</cp:revision>
  <dcterms:created xsi:type="dcterms:W3CDTF">2022-11-25T14:14:00Z</dcterms:created>
  <dcterms:modified xsi:type="dcterms:W3CDTF">2022-11-25T14:14:00Z</dcterms:modified>
</cp:coreProperties>
</file>