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27" w:rsidRDefault="00A63FD9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61A27" w:rsidRDefault="00A63FD9">
      <w:pPr>
        <w:spacing w:after="150"/>
      </w:pPr>
      <w:r>
        <w:rPr>
          <w:color w:val="000000"/>
        </w:rPr>
        <w:t>На основу члана 9. став 10. и члана 10. став 7. Закона о инспекцијском надзору („Службени гласник РС”, бр. 36/15 и 44/18 – др. закон),</w:t>
      </w:r>
    </w:p>
    <w:p w:rsidR="00461A27" w:rsidRDefault="00A63FD9">
      <w:pPr>
        <w:spacing w:after="150"/>
      </w:pPr>
      <w:r>
        <w:rPr>
          <w:color w:val="000000"/>
        </w:rPr>
        <w:t>Mинистар државне управе и локалне самоуправе доноси</w:t>
      </w:r>
    </w:p>
    <w:p w:rsidR="00461A27" w:rsidRDefault="00A63FD9">
      <w:pPr>
        <w:spacing w:after="225"/>
        <w:jc w:val="center"/>
      </w:pPr>
      <w:r>
        <w:rPr>
          <w:b/>
          <w:color w:val="000000"/>
        </w:rPr>
        <w:t>ПРАВИЛНИК</w:t>
      </w:r>
    </w:p>
    <w:p w:rsidR="00461A27" w:rsidRDefault="00A63FD9">
      <w:pPr>
        <w:spacing w:after="225"/>
        <w:jc w:val="center"/>
      </w:pPr>
      <w:r>
        <w:rPr>
          <w:b/>
          <w:color w:val="000000"/>
        </w:rPr>
        <w:t>о посебним елементима, односно критеријумима за процену ризика, учесталости вршења инспекцијског надзора на основу процене ризика и посебним елементима плана инспекцијског надзора у области упра</w:t>
      </w:r>
      <w:r>
        <w:rPr>
          <w:b/>
          <w:color w:val="000000"/>
        </w:rPr>
        <w:t>вне инспекције</w:t>
      </w:r>
    </w:p>
    <w:p w:rsidR="00461A27" w:rsidRDefault="00A63FD9">
      <w:pPr>
        <w:spacing w:after="150"/>
        <w:jc w:val="center"/>
      </w:pPr>
      <w:r>
        <w:rPr>
          <w:color w:val="000000"/>
        </w:rPr>
        <w:t>"Службени гласник РС", број 61 од 8. августа 2018.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t>Предмет</w:t>
      </w:r>
    </w:p>
    <w:p w:rsidR="00461A27" w:rsidRDefault="00A63FD9">
      <w:pPr>
        <w:spacing w:after="120"/>
        <w:jc w:val="center"/>
      </w:pPr>
      <w:r>
        <w:rPr>
          <w:color w:val="000000"/>
        </w:rPr>
        <w:t>Члан 1.</w:t>
      </w:r>
    </w:p>
    <w:p w:rsidR="00461A27" w:rsidRDefault="00A63FD9">
      <w:pPr>
        <w:spacing w:after="150"/>
      </w:pPr>
      <w:r>
        <w:rPr>
          <w:color w:val="000000"/>
        </w:rPr>
        <w:t>Овим правилником прописују се посебни елементи односно критеријуми за процену ризика, учесталост вршења инспекцијског надзора на основу процене ризика и посебни елементи план</w:t>
      </w:r>
      <w:r>
        <w:rPr>
          <w:color w:val="000000"/>
        </w:rPr>
        <w:t>а инспекцијског надзора у области управне инспекције.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t>Посебни елементи односно критеријуми за процену ризика</w:t>
      </w:r>
    </w:p>
    <w:p w:rsidR="00461A27" w:rsidRDefault="00A63FD9">
      <w:pPr>
        <w:spacing w:after="120"/>
        <w:jc w:val="center"/>
      </w:pPr>
      <w:r>
        <w:rPr>
          <w:color w:val="000000"/>
        </w:rPr>
        <w:t>Члан 2.</w:t>
      </w:r>
    </w:p>
    <w:p w:rsidR="00461A27" w:rsidRDefault="00A63FD9">
      <w:pPr>
        <w:spacing w:after="150"/>
      </w:pPr>
      <w:r>
        <w:rPr>
          <w:color w:val="000000"/>
        </w:rPr>
        <w:t>Преглед посебних елемената, односно критеријума за процену ризика у областима, односно подобластима под надзором управне инспекције и матри</w:t>
      </w:r>
      <w:r>
        <w:rPr>
          <w:color w:val="000000"/>
        </w:rPr>
        <w:t>ца ризика дати су у прилогу овог правилника.</w:t>
      </w:r>
    </w:p>
    <w:p w:rsidR="00461A27" w:rsidRDefault="00A63FD9">
      <w:pPr>
        <w:spacing w:after="150"/>
      </w:pPr>
      <w:r>
        <w:rPr>
          <w:color w:val="000000"/>
        </w:rPr>
        <w:t>Прилог је одштампан уз овај правилник и чини његов саставни део.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t>Процена ризика за ванредни управни инспекцијски надзор</w:t>
      </w:r>
    </w:p>
    <w:p w:rsidR="00461A27" w:rsidRDefault="00A63FD9">
      <w:pPr>
        <w:spacing w:after="120"/>
        <w:jc w:val="center"/>
      </w:pPr>
      <w:r>
        <w:rPr>
          <w:color w:val="000000"/>
        </w:rPr>
        <w:t>Члан 3.</w:t>
      </w:r>
    </w:p>
    <w:p w:rsidR="00461A27" w:rsidRDefault="00A63FD9">
      <w:pPr>
        <w:spacing w:after="150"/>
      </w:pPr>
      <w:r>
        <w:rPr>
          <w:color w:val="000000"/>
        </w:rPr>
        <w:t xml:space="preserve">Процена ризика за ванредни управни инспекцијски надзор врши се на основу елемената </w:t>
      </w:r>
      <w:r>
        <w:rPr>
          <w:color w:val="000000"/>
        </w:rPr>
        <w:t>односно критеријума за процену ризика за редован управни инспекцијски надзор и оцене колико је опасност по поштовање начела законитости конкретна и колика је јачина угрожавања или повреде закона и других прописа чију примену надзире управна инспекција.</w:t>
      </w:r>
    </w:p>
    <w:p w:rsidR="00461A27" w:rsidRDefault="00A63FD9">
      <w:pPr>
        <w:spacing w:after="150"/>
      </w:pPr>
      <w:r>
        <w:rPr>
          <w:color w:val="000000"/>
        </w:rPr>
        <w:t>Осн</w:t>
      </w:r>
      <w:r>
        <w:rPr>
          <w:color w:val="000000"/>
        </w:rPr>
        <w:t>ов сумње да је учињено кажњиво дело непосредно повлачи критичан ризик, без упуштања у даљу процену ризика на основу осталих критеријума и елемената.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t>Учесталост вршења инспекцијског надзора на основу процене ризика</w:t>
      </w:r>
    </w:p>
    <w:p w:rsidR="00461A27" w:rsidRDefault="00A63FD9">
      <w:pPr>
        <w:spacing w:after="120"/>
        <w:jc w:val="center"/>
      </w:pPr>
      <w:r>
        <w:rPr>
          <w:color w:val="000000"/>
        </w:rPr>
        <w:t>Члан 4.</w:t>
      </w:r>
    </w:p>
    <w:p w:rsidR="00461A27" w:rsidRDefault="00A63FD9">
      <w:pPr>
        <w:spacing w:after="150"/>
      </w:pPr>
      <w:r>
        <w:rPr>
          <w:color w:val="000000"/>
        </w:rPr>
        <w:lastRenderedPageBreak/>
        <w:t>У области, односно подобласти у ко</w:t>
      </w:r>
      <w:r>
        <w:rPr>
          <w:color w:val="000000"/>
        </w:rPr>
        <w:t>јој је процењен критичан или висок ризик, инспекцијски надзор врши се најмање једном годишње, а по потреби и чешће, како би се степен ризика смањио испод високог ризика.</w:t>
      </w:r>
    </w:p>
    <w:p w:rsidR="00461A27" w:rsidRDefault="00A63FD9">
      <w:pPr>
        <w:spacing w:after="150"/>
      </w:pPr>
      <w:r>
        <w:rPr>
          <w:color w:val="000000"/>
        </w:rPr>
        <w:t>У области, односно подобласти у којој је процењен средњи ризик, инспекцијски надзор вр</w:t>
      </w:r>
      <w:r>
        <w:rPr>
          <w:color w:val="000000"/>
        </w:rPr>
        <w:t>ши се најмање једном у две године, како би се степен ризика смањио испод средњег ризика.</w:t>
      </w:r>
    </w:p>
    <w:p w:rsidR="00461A27" w:rsidRDefault="00A63FD9">
      <w:pPr>
        <w:spacing w:after="150"/>
      </w:pPr>
      <w:r>
        <w:rPr>
          <w:color w:val="000000"/>
        </w:rPr>
        <w:t>У области, односно подобласти у којој је процењен низак ризик, инспекцијски надзор врши се најмање једном у четири године.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t>Посебни елементи плана управног инспекцијско</w:t>
      </w:r>
      <w:r>
        <w:rPr>
          <w:b/>
          <w:color w:val="000000"/>
        </w:rPr>
        <w:t>г надзора</w:t>
      </w:r>
    </w:p>
    <w:p w:rsidR="00461A27" w:rsidRDefault="00A63FD9">
      <w:pPr>
        <w:spacing w:after="120"/>
        <w:jc w:val="center"/>
      </w:pPr>
      <w:r>
        <w:rPr>
          <w:color w:val="000000"/>
        </w:rPr>
        <w:t>Члан 5.</w:t>
      </w:r>
    </w:p>
    <w:p w:rsidR="00461A27" w:rsidRDefault="00A63FD9">
      <w:pPr>
        <w:spacing w:after="150"/>
      </w:pPr>
      <w:r>
        <w:rPr>
          <w:color w:val="000000"/>
        </w:rPr>
        <w:t>План управног инспекцијског надзора (годишњи програм рада управне инспекције – Управног инспектората), поред обавезних елемената, садржи и:</w:t>
      </w:r>
    </w:p>
    <w:p w:rsidR="00461A27" w:rsidRDefault="00A63FD9">
      <w:pPr>
        <w:spacing w:after="150"/>
      </w:pPr>
      <w:r>
        <w:rPr>
          <w:color w:val="000000"/>
        </w:rPr>
        <w:t>1) мере и активности за постизање циљева;</w:t>
      </w:r>
    </w:p>
    <w:p w:rsidR="00461A27" w:rsidRDefault="00A63FD9">
      <w:pPr>
        <w:spacing w:after="150"/>
      </w:pPr>
      <w:r>
        <w:rPr>
          <w:color w:val="000000"/>
        </w:rPr>
        <w:t>2) рок за завршетак предвиђених мера и активности;</w:t>
      </w:r>
    </w:p>
    <w:p w:rsidR="00461A27" w:rsidRDefault="00A63FD9">
      <w:pPr>
        <w:spacing w:after="150"/>
      </w:pPr>
      <w:r>
        <w:rPr>
          <w:color w:val="000000"/>
        </w:rPr>
        <w:t xml:space="preserve">3) </w:t>
      </w:r>
      <w:r>
        <w:rPr>
          <w:color w:val="000000"/>
        </w:rPr>
        <w:t>показатеље учинака на нивоу мера и на нивоу активности.</w:t>
      </w:r>
    </w:p>
    <w:p w:rsidR="00461A27" w:rsidRDefault="00A63FD9">
      <w:pPr>
        <w:spacing w:after="150"/>
      </w:pPr>
      <w:r>
        <w:rPr>
          <w:color w:val="000000"/>
        </w:rPr>
        <w:t>У годишњем програму рада управне инспекције – Управног инспектората утврђују се годишњи циљеви инспекцијског надзора у областима, односно подобластима под надзором управне инспекције и исказују у ефек</w:t>
      </w:r>
      <w:r>
        <w:rPr>
          <w:color w:val="000000"/>
        </w:rPr>
        <w:t>тима за које Управни инспекторат планира да буду остварени.</w:t>
      </w:r>
    </w:p>
    <w:p w:rsidR="00461A27" w:rsidRDefault="00A63FD9">
      <w:pPr>
        <w:spacing w:after="150"/>
      </w:pPr>
      <w:r>
        <w:rPr>
          <w:color w:val="000000"/>
        </w:rPr>
        <w:t>Годишњим програмом рада управне инспекције – Управног инспектората активности управне инспекције усмеравају се првенствено ка областима, односно подобластима са високим степеном вероватноће настан</w:t>
      </w:r>
      <w:r>
        <w:rPr>
          <w:color w:val="000000"/>
        </w:rPr>
        <w:t>ка штетних последица, односно са повећаним ризиком одступања од начела законитости у раду, као и ка областима, односно подобластима у којима у претходној години, односно претходним годинама није вршен надзор.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t>Завршнa одредбa</w:t>
      </w:r>
    </w:p>
    <w:p w:rsidR="00461A27" w:rsidRDefault="00A63FD9">
      <w:pPr>
        <w:spacing w:after="120"/>
        <w:jc w:val="center"/>
      </w:pPr>
      <w:r>
        <w:rPr>
          <w:color w:val="000000"/>
        </w:rPr>
        <w:t>Члан 6.</w:t>
      </w:r>
    </w:p>
    <w:p w:rsidR="00461A27" w:rsidRDefault="00A63FD9">
      <w:pPr>
        <w:spacing w:after="150"/>
      </w:pPr>
      <w:r>
        <w:rPr>
          <w:color w:val="000000"/>
        </w:rPr>
        <w:t>Овај правилник ступа на</w:t>
      </w:r>
      <w:r>
        <w:rPr>
          <w:color w:val="000000"/>
        </w:rPr>
        <w:t xml:space="preserve"> снагу осмог дана од дана објављивања у „Службеном гласнику Републике Србије”.</w:t>
      </w:r>
    </w:p>
    <w:p w:rsidR="00461A27" w:rsidRDefault="00A63FD9">
      <w:pPr>
        <w:spacing w:after="150"/>
        <w:jc w:val="right"/>
      </w:pPr>
      <w:r>
        <w:rPr>
          <w:color w:val="000000"/>
        </w:rPr>
        <w:t>Број 110-00-151/2018-05</w:t>
      </w:r>
    </w:p>
    <w:p w:rsidR="00461A27" w:rsidRDefault="00A63FD9">
      <w:pPr>
        <w:spacing w:after="150"/>
        <w:jc w:val="right"/>
      </w:pPr>
      <w:r>
        <w:rPr>
          <w:color w:val="000000"/>
        </w:rPr>
        <w:t>У Београду, 26. јула 2018. године</w:t>
      </w:r>
    </w:p>
    <w:p w:rsidR="00461A27" w:rsidRDefault="00A63FD9">
      <w:pPr>
        <w:spacing w:after="150"/>
        <w:jc w:val="right"/>
      </w:pPr>
      <w:r>
        <w:rPr>
          <w:color w:val="000000"/>
        </w:rPr>
        <w:t>Министар,</w:t>
      </w:r>
    </w:p>
    <w:p w:rsidR="00461A27" w:rsidRDefault="00A63FD9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461A27" w:rsidRDefault="00A63FD9">
      <w:pPr>
        <w:spacing w:after="120"/>
        <w:jc w:val="right"/>
      </w:pPr>
      <w:r>
        <w:rPr>
          <w:color w:val="000000"/>
        </w:rPr>
        <w:t>Прилог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lastRenderedPageBreak/>
        <w:t xml:space="preserve">ПРЕГЛЕД ПОСЕБНИХ ЕЛЕМЕНАТА ОДНОСНО КРИТЕРИЈУМА ЗА ПРОЦЕНУ РИЗИКА У ОБЛАСТИМА, </w:t>
      </w:r>
      <w:r>
        <w:rPr>
          <w:b/>
          <w:color w:val="000000"/>
        </w:rPr>
        <w:t>ОДНОСНО ПОДОБЛАСТИМА ПОД НАДЗОРОМ УПРАВНЕ ИНСПЕКЦИЈЕ И МАТРИЦА РИЗИКА</w:t>
      </w:r>
    </w:p>
    <w:p w:rsidR="00461A27" w:rsidRDefault="00A63FD9">
      <w:pPr>
        <w:spacing w:after="120"/>
        <w:jc w:val="center"/>
      </w:pPr>
      <w:r>
        <w:rPr>
          <w:b/>
          <w:color w:val="000000"/>
        </w:rPr>
        <w:t>I. Посебни критеријуми за процену ризика</w:t>
      </w:r>
    </w:p>
    <w:p w:rsidR="00461A27" w:rsidRDefault="00A63FD9">
      <w:pPr>
        <w:spacing w:after="150"/>
      </w:pPr>
      <w:r>
        <w:rPr>
          <w:b/>
          <w:color w:val="000000"/>
        </w:rPr>
        <w:t>1.</w:t>
      </w:r>
      <w:r>
        <w:rPr>
          <w:color w:val="000000"/>
        </w:rPr>
        <w:t xml:space="preserve"> </w:t>
      </w:r>
      <w:r>
        <w:rPr>
          <w:b/>
          <w:color w:val="000000"/>
        </w:rPr>
        <w:t>Природa штетне последице у областима, односно подобластима под надзором управне инспекције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80"/>
        <w:gridCol w:w="5618"/>
        <w:gridCol w:w="1630"/>
      </w:tblGrid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Редни број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Област под надзором управне инспекције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умеричка</w:t>
            </w:r>
            <w:r>
              <w:br/>
            </w:r>
            <w:r>
              <w:rPr>
                <w:b/>
                <w:color w:val="000000"/>
              </w:rPr>
              <w:t xml:space="preserve">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Државна управа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Радни односи у државним органима, органима аутономних покрајина и органима јединица локалне самоуправе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2.1.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Радни односи у државним органима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2.2.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Радни односи у органима аутономних покрајина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2.3.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 xml:space="preserve">Радни </w:t>
            </w:r>
            <w:r>
              <w:rPr>
                <w:color w:val="000000"/>
              </w:rPr>
              <w:t>односи у органима јединица локалне самоуправе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Општи управни поступак и посебни управни поступци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3.1.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Надзор над применом Закона о општем управном поступку и закона којима се уређују посебни управни поступци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3.2.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Надзор над применом Закона о инс</w:t>
            </w:r>
            <w:r>
              <w:rPr>
                <w:color w:val="000000"/>
              </w:rPr>
              <w:t>пекцијском надзору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Изглед и употреба грба, заставе и химне Републике Србије, службена употреба језика и писама, службена употреба печата државних и других органа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4.1.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Изглед и употреба грба, заставе и химне Републике Србије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4.2.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 xml:space="preserve">Службена </w:t>
            </w:r>
            <w:r>
              <w:rPr>
                <w:color w:val="000000"/>
              </w:rPr>
              <w:t>употреба језика и писама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4.3.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Службена употреба печата државних и других органа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Бирачки спискови и матичне књиге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5.1.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Бирачки спискови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lastRenderedPageBreak/>
              <w:t>5.2.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Матичне књиге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Политичке странке и удружења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6.1.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Политичке странке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6.2.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Удружења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Слободан приступ информацијама од јавног значаја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10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Друге области у којима је посебним законом утврђена надлежност управне инспекције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</w:tbl>
    <w:p w:rsidR="00461A27" w:rsidRDefault="00A63FD9">
      <w:pPr>
        <w:spacing w:after="150"/>
      </w:pPr>
      <w:r>
        <w:rPr>
          <w:b/>
          <w:color w:val="000000"/>
        </w:rPr>
        <w:t>2. Проценa обима штетних последица у областима, односно подобластима под надзором управне инспекције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91"/>
        <w:gridCol w:w="5507"/>
        <w:gridCol w:w="1630"/>
      </w:tblGrid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Редни број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Надз</w:t>
            </w:r>
            <w:r>
              <w:rPr>
                <w:b/>
                <w:color w:val="000000"/>
              </w:rPr>
              <w:t>ирани орган и други надзирани субјекат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Нумеричка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Републички органи и организације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1.1.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Органи државне управе и републичке организације којима су поверени послови државне управе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1.2.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Правосудни органи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 xml:space="preserve">Органи и организације </w:t>
            </w:r>
            <w:r>
              <w:rPr>
                <w:color w:val="000000"/>
              </w:rPr>
              <w:t>аутономних покрајина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461A27"/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2.1.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Поверени послови код којих незаконитост, неправилност и недостатак у раду узрокује штетне последице по целу Републику Србију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2.2.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 xml:space="preserve">Изворни послови и поверени послови код којих незаконитост, неправилност и недостатак у раду не </w:t>
            </w:r>
            <w:r>
              <w:rPr>
                <w:color w:val="000000"/>
              </w:rPr>
              <w:t>узрокује штетне последице по целу Републику Србију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Органи и организације јединица локалне самоуправе и градских општина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461A27"/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3.1.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 xml:space="preserve">Поверени послови код којих незаконитост, неправилност и недостатак у раду узрокује штетне последице по целу Републику </w:t>
            </w:r>
            <w:r>
              <w:rPr>
                <w:color w:val="000000"/>
              </w:rPr>
              <w:t>Србију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3.2.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Изворни послови и поверени послови код којих незаконитост, неправилност и недостатак у раду не узрокује штетне последице по целу Републику Србију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Други субјекти под надзором управне инспекције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461A27"/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4.1.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Други субјекти под надзором управне</w:t>
            </w:r>
            <w:r>
              <w:rPr>
                <w:color w:val="000000"/>
              </w:rPr>
              <w:t xml:space="preserve"> инспекције републичког нивоа и утицаја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4.2.</w:t>
            </w:r>
          </w:p>
        </w:tc>
        <w:tc>
          <w:tcPr>
            <w:tcW w:w="9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Други субјекти под надзором управне инспекције који нису републичког нивоа и утицаја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</w:tbl>
    <w:p w:rsidR="00461A27" w:rsidRDefault="00A63FD9">
      <w:pPr>
        <w:spacing w:after="150"/>
      </w:pPr>
      <w:r>
        <w:rPr>
          <w:b/>
          <w:color w:val="000000"/>
        </w:rPr>
        <w:t>3. Тежина штетних последица у областима, односно подобластима под надзором управне инспекције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11"/>
        <w:gridCol w:w="3679"/>
        <w:gridCol w:w="2738"/>
      </w:tblGrid>
      <w:tr w:rsidR="00461A27">
        <w:trPr>
          <w:trHeight w:val="45"/>
          <w:tblCellSpacing w:w="0" w:type="auto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Тежина штетних последица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Распон бодова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Нумеричка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Мала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10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15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Велика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20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Изразито велика</w:t>
            </w:r>
          </w:p>
        </w:tc>
        <w:tc>
          <w:tcPr>
            <w:tcW w:w="6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25</w:t>
            </w:r>
          </w:p>
        </w:tc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</w:tbl>
    <w:p w:rsidR="00461A27" w:rsidRDefault="00A63FD9">
      <w:pPr>
        <w:spacing w:after="150"/>
      </w:pPr>
      <w:r>
        <w:rPr>
          <w:b/>
          <w:color w:val="000000"/>
        </w:rPr>
        <w:t>4. Вероватноћа настанка штетних последица у областима, односно подобластима под надзором управне инспекције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71"/>
        <w:gridCol w:w="3704"/>
        <w:gridCol w:w="151"/>
        <w:gridCol w:w="1632"/>
        <w:gridCol w:w="1470"/>
      </w:tblGrid>
      <w:tr w:rsidR="00461A2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1) Ризик утврђен у претходном надзору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у односу на </w:t>
            </w:r>
            <w:r>
              <w:rPr>
                <w:b/>
                <w:color w:val="000000"/>
              </w:rPr>
              <w:t>одређену област, односно подобласт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Степен ризика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Опис вероватноће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Нумеричка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Незнатан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Занемарљива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Низак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Мала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Средњи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Висок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Велика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Критичан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Изразито велика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 xml:space="preserve">2) Дужина примене одређеног прописа у одређеној области, односно </w:t>
            </w:r>
            <w:r>
              <w:rPr>
                <w:b/>
                <w:color w:val="000000"/>
              </w:rPr>
              <w:t>подобласти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Пропис је у примени: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Опис вероватноће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Нумеричка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Више од три године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Мала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Од једне до три године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lastRenderedPageBreak/>
              <w:t>Годину дана или мање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Велика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3) Стање законитости у одређеној области,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односно подобласти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Поступање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Опис вероватноће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Нумеричка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Није било предложених мера/Извршење мера предложених записником о инспекцијском надзору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Занемарљива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Извршење мера изречених решењем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Мала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Управно извршење изречених мера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Захтев за покретање прекршајног поступка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Велика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Кривична пријава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Изразито велика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4) Број и структура представки које се односе на одређену област, односно подобласт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У последњих годину дана: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Опис вероватноће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Нумеричка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Није било представки које се односе на одређену област, односно подобласт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Занемарљива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Представке које се односе на одређену област, односно подобласт претежно су подносила физичка лица (грађани)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Мала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 xml:space="preserve">Представке које се односе на одређену област, односно подобласт претежно су подносили предузетници, привредна друштва и </w:t>
            </w:r>
            <w:r>
              <w:rPr>
                <w:color w:val="000000"/>
              </w:rPr>
              <w:t>друга правна лица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Представке које се односе на одређену област, односно подобласт претежно су подносили државни органи, органи аутономне покрајине и јединица локалне самоуправе, као и други субјекти са јавним овлашћењима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Велика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Вероватноћа нас</w:t>
            </w:r>
            <w:r>
              <w:rPr>
                <w:b/>
                <w:color w:val="000000"/>
              </w:rPr>
              <w:t>танка штетних последица</w:t>
            </w:r>
          </w:p>
        </w:tc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Распон бодова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Нумеричка вредност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Занемарљива</w:t>
            </w:r>
          </w:p>
        </w:tc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1–2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lastRenderedPageBreak/>
              <w:t>Мала</w:t>
            </w:r>
          </w:p>
        </w:tc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3–8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9–53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Велика</w:t>
            </w:r>
          </w:p>
        </w:tc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54–192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Изразито велика</w:t>
            </w:r>
          </w:p>
        </w:tc>
        <w:tc>
          <w:tcPr>
            <w:tcW w:w="9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193–300</w:t>
            </w:r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</w:tbl>
    <w:p w:rsidR="00461A27" w:rsidRDefault="00A63FD9">
      <w:pPr>
        <w:spacing w:after="120"/>
        <w:jc w:val="center"/>
      </w:pPr>
      <w:r>
        <w:rPr>
          <w:b/>
          <w:color w:val="000000"/>
        </w:rPr>
        <w:t>II. Матрица ризика и метод за процену ризика</w:t>
      </w:r>
    </w:p>
    <w:p w:rsidR="00461A27" w:rsidRDefault="00A63FD9">
      <w:pPr>
        <w:spacing w:after="150"/>
      </w:pPr>
      <w:r>
        <w:rPr>
          <w:color w:val="000000"/>
        </w:rPr>
        <w:t>Овде је приказана метода 5x5 (Табела 1).</w:t>
      </w:r>
    </w:p>
    <w:p w:rsidR="00461A27" w:rsidRDefault="00A63FD9">
      <w:pPr>
        <w:spacing w:after="150"/>
      </w:pPr>
      <w:r>
        <w:rPr>
          <w:color w:val="000000"/>
        </w:rPr>
        <w:t xml:space="preserve">За примену ове методе </w:t>
      </w:r>
      <w:r>
        <w:rPr>
          <w:color w:val="000000"/>
        </w:rPr>
        <w:t>потребно је за области, односно подобласти под надзором управне инспекције, које се анализирају применом ове методе, утврдити:</w:t>
      </w:r>
    </w:p>
    <w:p w:rsidR="00461A27" w:rsidRDefault="00A63FD9">
      <w:pPr>
        <w:spacing w:after="150"/>
      </w:pPr>
      <w:r>
        <w:rPr>
          <w:color w:val="000000"/>
        </w:rPr>
        <w:t>– вероватноћу настанка штетних последица и</w:t>
      </w:r>
    </w:p>
    <w:p w:rsidR="00461A27" w:rsidRDefault="00A63FD9">
      <w:pPr>
        <w:spacing w:after="150"/>
      </w:pPr>
      <w:r>
        <w:rPr>
          <w:color w:val="000000"/>
        </w:rPr>
        <w:t>– тежину могућих штетних последица.</w:t>
      </w:r>
    </w:p>
    <w:p w:rsidR="00461A27" w:rsidRDefault="00A63FD9">
      <w:pPr>
        <w:spacing w:after="150"/>
      </w:pPr>
      <w:r>
        <w:rPr>
          <w:color w:val="000000"/>
        </w:rPr>
        <w:t>За утврђену вероватноћу настанка штетних последица</w:t>
      </w:r>
      <w:r>
        <w:rPr>
          <w:color w:val="000000"/>
        </w:rPr>
        <w:t xml:space="preserve"> и тежину штетних последица, на основу Табеле 2. утврђује се степен ризика области, односно подобласти под надзором управне инспекције (одредити степен ризика од 1 до 25).</w:t>
      </w:r>
    </w:p>
    <w:p w:rsidR="00461A27" w:rsidRDefault="00A63FD9">
      <w:pPr>
        <w:spacing w:after="150"/>
      </w:pPr>
      <w:r>
        <w:rPr>
          <w:b/>
          <w:color w:val="000000"/>
        </w:rPr>
        <w:t>Табела 1: Матрица ризика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19"/>
        <w:gridCol w:w="1159"/>
        <w:gridCol w:w="789"/>
        <w:gridCol w:w="1240"/>
        <w:gridCol w:w="1240"/>
        <w:gridCol w:w="1240"/>
        <w:gridCol w:w="1241"/>
      </w:tblGrid>
      <w:tr w:rsidR="00461A27">
        <w:trPr>
          <w:trHeight w:val="4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Вероватноћа настанка штетних последица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Тежина штетних после</w:t>
            </w:r>
            <w:r>
              <w:rPr>
                <w:b/>
                <w:color w:val="000000"/>
              </w:rPr>
              <w:t>дица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A27" w:rsidRDefault="00461A27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Занемарљива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Мала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10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15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Велика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20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Изразито велика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25</w:t>
            </w:r>
          </w:p>
        </w:tc>
      </w:tr>
    </w:tbl>
    <w:p w:rsidR="00461A27" w:rsidRDefault="00A63FD9">
      <w:pPr>
        <w:spacing w:after="150"/>
      </w:pPr>
      <w:r>
        <w:rPr>
          <w:b/>
          <w:color w:val="000000"/>
        </w:rPr>
        <w:t>Табела 2: Степен ризика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25"/>
        <w:gridCol w:w="2003"/>
      </w:tblGrid>
      <w:tr w:rsidR="00461A27">
        <w:trPr>
          <w:trHeight w:val="45"/>
          <w:tblCellSpacing w:w="0" w:type="auto"/>
        </w:trPr>
        <w:tc>
          <w:tcPr>
            <w:tcW w:w="1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Бројчана вредност ризика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b/>
                <w:color w:val="000000"/>
              </w:rPr>
              <w:t>Квалитативни опис ризика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1, 2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Незнатан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3, 4, 5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Низак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6, 8, 9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Средњи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10, 12, 15, 16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Висок</w:t>
            </w:r>
          </w:p>
        </w:tc>
      </w:tr>
      <w:tr w:rsidR="00461A27">
        <w:trPr>
          <w:trHeight w:val="45"/>
          <w:tblCellSpacing w:w="0" w:type="auto"/>
        </w:trPr>
        <w:tc>
          <w:tcPr>
            <w:tcW w:w="1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20, 25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A27" w:rsidRDefault="00A63FD9">
            <w:pPr>
              <w:spacing w:after="150"/>
            </w:pPr>
            <w:r>
              <w:rPr>
                <w:color w:val="000000"/>
              </w:rPr>
              <w:t>Критичан</w:t>
            </w:r>
          </w:p>
        </w:tc>
      </w:tr>
    </w:tbl>
    <w:p w:rsidR="00A63FD9" w:rsidRDefault="00A63FD9"/>
    <w:sectPr w:rsidR="00A63F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27"/>
    <w:rsid w:val="00461A27"/>
    <w:rsid w:val="00A63FD9"/>
    <w:rsid w:val="00D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903E3-B43B-4873-87D4-DA7D06E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Miladinović</dc:creator>
  <cp:lastModifiedBy>Sandra Miladinović</cp:lastModifiedBy>
  <cp:revision>2</cp:revision>
  <dcterms:created xsi:type="dcterms:W3CDTF">2022-08-30T08:26:00Z</dcterms:created>
  <dcterms:modified xsi:type="dcterms:W3CDTF">2022-08-30T08:26:00Z</dcterms:modified>
</cp:coreProperties>
</file>