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0680B" w14:textId="16688430" w:rsidR="00842575" w:rsidRPr="00127C2A" w:rsidRDefault="00842575" w:rsidP="003E7BC9">
      <w:pPr>
        <w:jc w:val="center"/>
        <w:rPr>
          <w:rStyle w:val="pronadjen"/>
        </w:rPr>
      </w:pPr>
    </w:p>
    <w:p w14:paraId="42A3EFB1" w14:textId="77777777" w:rsidR="00DF2739" w:rsidRPr="00A021B7" w:rsidRDefault="00DF2739" w:rsidP="003E7BC9">
      <w:pPr>
        <w:jc w:val="center"/>
        <w:rPr>
          <w:rFonts w:ascii="Arial" w:hAnsi="Arial" w:cs="Arial"/>
          <w:b/>
          <w:bCs/>
          <w:sz w:val="28"/>
          <w:szCs w:val="28"/>
          <w:lang w:val="sr-Cyrl-RS"/>
        </w:rPr>
      </w:pPr>
    </w:p>
    <w:p w14:paraId="4912B6B2" w14:textId="6DF7A480" w:rsidR="00842575" w:rsidRPr="00A021B7" w:rsidRDefault="00842575" w:rsidP="003E7BC9">
      <w:pPr>
        <w:jc w:val="center"/>
        <w:rPr>
          <w:rFonts w:ascii="Arial" w:hAnsi="Arial" w:cs="Arial"/>
          <w:b/>
          <w:bCs/>
          <w:sz w:val="28"/>
          <w:szCs w:val="28"/>
          <w:lang w:val="sr-Cyrl-RS"/>
        </w:rPr>
      </w:pPr>
    </w:p>
    <w:p w14:paraId="506EBA89" w14:textId="77777777" w:rsidR="00842575" w:rsidRPr="00A021B7" w:rsidRDefault="00842575" w:rsidP="003E7BC9">
      <w:pPr>
        <w:jc w:val="center"/>
        <w:rPr>
          <w:rFonts w:ascii="Arial" w:hAnsi="Arial" w:cs="Arial"/>
          <w:b/>
          <w:bCs/>
          <w:sz w:val="28"/>
          <w:szCs w:val="28"/>
          <w:lang w:val="sr-Cyrl-RS"/>
        </w:rPr>
      </w:pPr>
    </w:p>
    <w:p w14:paraId="57F8FB8A" w14:textId="77777777" w:rsidR="00842575" w:rsidRPr="00A021B7" w:rsidRDefault="00842575" w:rsidP="003E7BC9">
      <w:pPr>
        <w:jc w:val="center"/>
        <w:rPr>
          <w:rFonts w:ascii="Arial" w:hAnsi="Arial" w:cs="Arial"/>
          <w:b/>
          <w:bCs/>
          <w:sz w:val="36"/>
          <w:szCs w:val="36"/>
          <w:lang w:val="sr-Cyrl-RS"/>
        </w:rPr>
      </w:pPr>
      <w:r w:rsidRPr="00A021B7">
        <w:rPr>
          <w:rFonts w:ascii="Arial" w:hAnsi="Arial" w:cs="Arial"/>
          <w:b/>
          <w:bCs/>
          <w:sz w:val="36"/>
          <w:szCs w:val="36"/>
          <w:lang w:val="sr-Cyrl-RS"/>
        </w:rPr>
        <w:t>РЕПУБЛИКА СРБИЈА</w:t>
      </w:r>
    </w:p>
    <w:p w14:paraId="08F0B695" w14:textId="77777777" w:rsidR="00842575" w:rsidRPr="00A021B7" w:rsidRDefault="00842575" w:rsidP="003E7BC9">
      <w:pPr>
        <w:jc w:val="center"/>
        <w:rPr>
          <w:rFonts w:ascii="Arial" w:hAnsi="Arial" w:cs="Arial"/>
          <w:b/>
          <w:bCs/>
          <w:sz w:val="28"/>
          <w:szCs w:val="28"/>
          <w:lang w:val="sr-Cyrl-RS"/>
        </w:rPr>
      </w:pPr>
    </w:p>
    <w:p w14:paraId="2EDD01A3" w14:textId="77777777" w:rsidR="00842575" w:rsidRPr="00A021B7" w:rsidRDefault="00842575" w:rsidP="003E7BC9">
      <w:pPr>
        <w:jc w:val="center"/>
        <w:rPr>
          <w:rFonts w:ascii="Arial" w:hAnsi="Arial" w:cs="Arial"/>
          <w:b/>
          <w:bCs/>
          <w:sz w:val="28"/>
          <w:szCs w:val="28"/>
          <w:lang w:val="sr-Cyrl-RS"/>
        </w:rPr>
      </w:pPr>
    </w:p>
    <w:p w14:paraId="3391C854" w14:textId="77777777" w:rsidR="00842575" w:rsidRPr="00A021B7" w:rsidRDefault="00842575" w:rsidP="003E7BC9">
      <w:pPr>
        <w:jc w:val="center"/>
        <w:rPr>
          <w:rFonts w:ascii="Arial" w:hAnsi="Arial" w:cs="Arial"/>
          <w:b/>
          <w:bCs/>
          <w:sz w:val="28"/>
          <w:szCs w:val="28"/>
          <w:lang w:val="sr-Cyrl-RS"/>
        </w:rPr>
      </w:pPr>
    </w:p>
    <w:p w14:paraId="0FBA30DF" w14:textId="77777777" w:rsidR="00842575" w:rsidRPr="00A021B7" w:rsidRDefault="00842575" w:rsidP="003E7BC9">
      <w:pPr>
        <w:jc w:val="center"/>
        <w:rPr>
          <w:rFonts w:ascii="Arial" w:hAnsi="Arial" w:cs="Arial"/>
          <w:b/>
          <w:bCs/>
          <w:sz w:val="28"/>
          <w:szCs w:val="28"/>
          <w:lang w:val="sr-Cyrl-RS"/>
        </w:rPr>
      </w:pPr>
    </w:p>
    <w:p w14:paraId="16E0F9DD" w14:textId="77777777" w:rsidR="00842575" w:rsidRPr="00A021B7" w:rsidRDefault="00842575" w:rsidP="003E7BC9">
      <w:pPr>
        <w:pStyle w:val="Heading1"/>
        <w:spacing w:before="0"/>
        <w:ind w:left="1077"/>
        <w:jc w:val="both"/>
        <w:rPr>
          <w:rFonts w:ascii="Arial" w:hAnsi="Arial" w:cs="Arial"/>
          <w:b/>
          <w:bCs/>
          <w:sz w:val="28"/>
          <w:szCs w:val="28"/>
          <w:lang w:val="sr-Cyrl-RS"/>
        </w:rPr>
      </w:pPr>
    </w:p>
    <w:p w14:paraId="1FB49CD7" w14:textId="77777777" w:rsidR="00842575" w:rsidRPr="00A021B7" w:rsidRDefault="00842575" w:rsidP="003E7BC9">
      <w:pPr>
        <w:jc w:val="center"/>
        <w:rPr>
          <w:rFonts w:ascii="Arial" w:hAnsi="Arial" w:cs="Arial"/>
          <w:b/>
          <w:bCs/>
          <w:sz w:val="28"/>
          <w:szCs w:val="28"/>
          <w:lang w:val="sr-Cyrl-RS"/>
        </w:rPr>
      </w:pPr>
    </w:p>
    <w:p w14:paraId="455100CD" w14:textId="77777777" w:rsidR="00842575" w:rsidRPr="00A021B7" w:rsidRDefault="00842575" w:rsidP="003E7BC9">
      <w:pPr>
        <w:jc w:val="center"/>
        <w:rPr>
          <w:rFonts w:ascii="Arial" w:hAnsi="Arial" w:cs="Arial"/>
          <w:b/>
          <w:bCs/>
          <w:sz w:val="28"/>
          <w:szCs w:val="28"/>
          <w:lang w:val="sr-Cyrl-RS"/>
        </w:rPr>
      </w:pPr>
    </w:p>
    <w:p w14:paraId="2B265941" w14:textId="77777777" w:rsidR="00842575" w:rsidRPr="00A021B7" w:rsidRDefault="00842575" w:rsidP="003E7BC9">
      <w:pPr>
        <w:jc w:val="center"/>
        <w:rPr>
          <w:rFonts w:ascii="Arial" w:hAnsi="Arial" w:cs="Arial"/>
          <w:b/>
          <w:bCs/>
          <w:sz w:val="28"/>
          <w:szCs w:val="28"/>
          <w:lang w:val="sr-Cyrl-RS"/>
        </w:rPr>
      </w:pPr>
    </w:p>
    <w:p w14:paraId="5D3965A0" w14:textId="4F989203" w:rsidR="00962CCF" w:rsidRPr="00A021B7" w:rsidRDefault="00962CCF" w:rsidP="003E7BC9">
      <w:pPr>
        <w:jc w:val="center"/>
        <w:rPr>
          <w:rFonts w:ascii="Arial" w:hAnsi="Arial" w:cs="Arial"/>
          <w:b/>
          <w:bCs/>
          <w:sz w:val="28"/>
          <w:szCs w:val="28"/>
          <w:lang w:val="sr-Cyrl-RS"/>
        </w:rPr>
      </w:pPr>
      <w:r w:rsidRPr="00A021B7">
        <w:rPr>
          <w:rFonts w:ascii="Arial" w:hAnsi="Arial" w:cs="Arial"/>
          <w:b/>
          <w:bCs/>
          <w:sz w:val="28"/>
          <w:szCs w:val="28"/>
          <w:lang w:val="sr-Cyrl-RS"/>
        </w:rPr>
        <w:t xml:space="preserve">ПРОГРАМ </w:t>
      </w:r>
    </w:p>
    <w:p w14:paraId="7DFCA5B4" w14:textId="77777777" w:rsidR="0022561D" w:rsidRPr="00A021B7" w:rsidRDefault="00962CCF" w:rsidP="003E7BC9">
      <w:pPr>
        <w:jc w:val="center"/>
        <w:rPr>
          <w:rFonts w:ascii="Arial" w:hAnsi="Arial" w:cs="Arial"/>
          <w:b/>
          <w:bCs/>
          <w:sz w:val="28"/>
          <w:szCs w:val="28"/>
          <w:lang w:val="sr-Cyrl-RS"/>
        </w:rPr>
      </w:pPr>
      <w:r w:rsidRPr="00A021B7">
        <w:rPr>
          <w:rFonts w:ascii="Arial" w:hAnsi="Arial" w:cs="Arial"/>
          <w:b/>
          <w:bCs/>
          <w:sz w:val="28"/>
          <w:szCs w:val="28"/>
          <w:lang w:val="sr-Cyrl-RS"/>
        </w:rPr>
        <w:t xml:space="preserve">ЗА РЕФОРМУ СИСТЕМА ЛОКАЛНЕ САМОУПРАВЕ </w:t>
      </w:r>
    </w:p>
    <w:p w14:paraId="606DF0E3" w14:textId="77777777" w:rsidR="002B4FC3" w:rsidRPr="00A021B7" w:rsidRDefault="0022561D" w:rsidP="003E7BC9">
      <w:pPr>
        <w:jc w:val="center"/>
        <w:rPr>
          <w:rFonts w:ascii="Arial" w:hAnsi="Arial" w:cs="Arial"/>
          <w:b/>
          <w:bCs/>
          <w:sz w:val="28"/>
          <w:szCs w:val="28"/>
          <w:lang w:val="sr-Cyrl-RS"/>
        </w:rPr>
      </w:pPr>
      <w:r w:rsidRPr="00A021B7">
        <w:rPr>
          <w:rFonts w:ascii="Arial" w:hAnsi="Arial" w:cs="Arial"/>
          <w:b/>
          <w:bCs/>
          <w:sz w:val="28"/>
          <w:szCs w:val="28"/>
          <w:lang w:val="sr-Cyrl-RS"/>
        </w:rPr>
        <w:t>У РЕПУБЛИЦИ СРБИЈИ</w:t>
      </w:r>
    </w:p>
    <w:p w14:paraId="74BF1019" w14:textId="4C0CD87F" w:rsidR="006575EE" w:rsidRPr="00A021B7" w:rsidRDefault="006575EE" w:rsidP="003E7BC9">
      <w:pPr>
        <w:jc w:val="center"/>
        <w:rPr>
          <w:rFonts w:ascii="Arial" w:hAnsi="Arial" w:cs="Arial"/>
          <w:b/>
          <w:bCs/>
          <w:sz w:val="28"/>
          <w:szCs w:val="28"/>
          <w:lang w:val="sr-Cyrl-RS"/>
        </w:rPr>
      </w:pPr>
    </w:p>
    <w:p w14:paraId="23DA5003" w14:textId="093C4EB2" w:rsidR="00842575" w:rsidRPr="00A021B7" w:rsidRDefault="00842575" w:rsidP="003E7BC9">
      <w:pPr>
        <w:jc w:val="center"/>
        <w:rPr>
          <w:rFonts w:ascii="Arial" w:hAnsi="Arial" w:cs="Arial"/>
          <w:b/>
          <w:bCs/>
          <w:sz w:val="28"/>
          <w:szCs w:val="28"/>
          <w:lang w:val="sr-Cyrl-RS"/>
        </w:rPr>
      </w:pPr>
    </w:p>
    <w:p w14:paraId="69A3C0B4" w14:textId="4A24A284" w:rsidR="00842575" w:rsidRPr="00A021B7" w:rsidRDefault="00842575" w:rsidP="003E7BC9">
      <w:pPr>
        <w:jc w:val="center"/>
        <w:rPr>
          <w:rFonts w:ascii="Arial" w:hAnsi="Arial" w:cs="Arial"/>
          <w:b/>
          <w:bCs/>
          <w:sz w:val="28"/>
          <w:szCs w:val="28"/>
          <w:lang w:val="sr-Cyrl-RS"/>
        </w:rPr>
      </w:pPr>
    </w:p>
    <w:p w14:paraId="7A7B75B8" w14:textId="6D6016E4" w:rsidR="00842575" w:rsidRPr="00A021B7" w:rsidRDefault="00842575" w:rsidP="003E7BC9">
      <w:pPr>
        <w:jc w:val="center"/>
        <w:rPr>
          <w:rFonts w:ascii="Arial" w:hAnsi="Arial" w:cs="Arial"/>
          <w:b/>
          <w:bCs/>
          <w:sz w:val="28"/>
          <w:szCs w:val="28"/>
          <w:lang w:val="sr-Cyrl-RS"/>
        </w:rPr>
      </w:pPr>
    </w:p>
    <w:p w14:paraId="1A5B1D32" w14:textId="347BBE16" w:rsidR="00842575" w:rsidRPr="00A021B7" w:rsidRDefault="00842575" w:rsidP="003E7BC9">
      <w:pPr>
        <w:jc w:val="center"/>
        <w:rPr>
          <w:rFonts w:ascii="Arial" w:hAnsi="Arial" w:cs="Arial"/>
          <w:b/>
          <w:bCs/>
          <w:sz w:val="28"/>
          <w:szCs w:val="28"/>
          <w:lang w:val="sr-Cyrl-RS"/>
        </w:rPr>
      </w:pPr>
    </w:p>
    <w:p w14:paraId="0A38314E" w14:textId="28C8329D" w:rsidR="00842575" w:rsidRPr="00A021B7" w:rsidRDefault="00842575" w:rsidP="003E7BC9">
      <w:pPr>
        <w:jc w:val="center"/>
        <w:rPr>
          <w:rFonts w:ascii="Arial" w:hAnsi="Arial" w:cs="Arial"/>
          <w:b/>
          <w:bCs/>
          <w:sz w:val="28"/>
          <w:szCs w:val="28"/>
          <w:lang w:val="sr-Cyrl-RS"/>
        </w:rPr>
      </w:pPr>
    </w:p>
    <w:p w14:paraId="234A6A22" w14:textId="78D65D8F" w:rsidR="00842575" w:rsidRPr="00A021B7" w:rsidRDefault="00842575" w:rsidP="003E7BC9">
      <w:pPr>
        <w:jc w:val="center"/>
        <w:rPr>
          <w:rFonts w:ascii="Arial" w:hAnsi="Arial" w:cs="Arial"/>
          <w:b/>
          <w:bCs/>
          <w:sz w:val="28"/>
          <w:szCs w:val="28"/>
          <w:lang w:val="sr-Cyrl-RS"/>
        </w:rPr>
      </w:pPr>
    </w:p>
    <w:p w14:paraId="52D03487" w14:textId="187C095E" w:rsidR="00842575" w:rsidRPr="00A021B7" w:rsidRDefault="00842575" w:rsidP="003E7BC9">
      <w:pPr>
        <w:jc w:val="center"/>
        <w:rPr>
          <w:rFonts w:ascii="Arial" w:hAnsi="Arial" w:cs="Arial"/>
          <w:b/>
          <w:bCs/>
          <w:sz w:val="28"/>
          <w:szCs w:val="28"/>
          <w:lang w:val="sr-Cyrl-RS"/>
        </w:rPr>
      </w:pPr>
    </w:p>
    <w:p w14:paraId="69802B52" w14:textId="750AD043" w:rsidR="00842575" w:rsidRPr="00A021B7" w:rsidRDefault="00842575" w:rsidP="003E7BC9">
      <w:pPr>
        <w:jc w:val="center"/>
        <w:rPr>
          <w:rFonts w:ascii="Arial" w:hAnsi="Arial" w:cs="Arial"/>
          <w:b/>
          <w:bCs/>
          <w:sz w:val="28"/>
          <w:szCs w:val="28"/>
          <w:lang w:val="sr-Cyrl-RS"/>
        </w:rPr>
      </w:pPr>
    </w:p>
    <w:p w14:paraId="3AE494A0" w14:textId="6E268262" w:rsidR="00842575" w:rsidRPr="00A021B7" w:rsidRDefault="00842575" w:rsidP="003E7BC9">
      <w:pPr>
        <w:jc w:val="center"/>
        <w:rPr>
          <w:rFonts w:ascii="Arial" w:hAnsi="Arial" w:cs="Arial"/>
          <w:b/>
          <w:bCs/>
          <w:sz w:val="28"/>
          <w:szCs w:val="28"/>
          <w:lang w:val="sr-Cyrl-RS"/>
        </w:rPr>
      </w:pPr>
    </w:p>
    <w:p w14:paraId="5664D5A6" w14:textId="75651871" w:rsidR="00842575" w:rsidRPr="00A021B7" w:rsidRDefault="00842575" w:rsidP="003E7BC9">
      <w:pPr>
        <w:jc w:val="center"/>
        <w:rPr>
          <w:rFonts w:ascii="Arial" w:hAnsi="Arial" w:cs="Arial"/>
          <w:b/>
          <w:bCs/>
          <w:sz w:val="28"/>
          <w:szCs w:val="28"/>
          <w:lang w:val="sr-Cyrl-RS"/>
        </w:rPr>
      </w:pPr>
    </w:p>
    <w:p w14:paraId="4267B0C5" w14:textId="1EF54A03" w:rsidR="00842575" w:rsidRPr="00A021B7" w:rsidRDefault="00842575" w:rsidP="003E7BC9">
      <w:pPr>
        <w:jc w:val="center"/>
        <w:rPr>
          <w:rFonts w:ascii="Arial" w:hAnsi="Arial" w:cs="Arial"/>
          <w:b/>
          <w:bCs/>
          <w:sz w:val="28"/>
          <w:szCs w:val="28"/>
          <w:lang w:val="sr-Cyrl-RS"/>
        </w:rPr>
      </w:pPr>
    </w:p>
    <w:p w14:paraId="432523C4" w14:textId="77777777" w:rsidR="00842575" w:rsidRPr="00A021B7" w:rsidRDefault="00842575" w:rsidP="003E7BC9">
      <w:pPr>
        <w:jc w:val="center"/>
        <w:rPr>
          <w:rFonts w:ascii="Arial" w:hAnsi="Arial" w:cs="Arial"/>
          <w:b/>
          <w:bCs/>
          <w:sz w:val="28"/>
          <w:szCs w:val="28"/>
          <w:lang w:val="sr-Cyrl-RS"/>
        </w:rPr>
      </w:pPr>
    </w:p>
    <w:p w14:paraId="02D9A3F6" w14:textId="2F9AA3C4" w:rsidR="00842575" w:rsidRPr="00A021B7" w:rsidRDefault="00842575" w:rsidP="003E7BC9">
      <w:pPr>
        <w:pStyle w:val="TOCHeading"/>
        <w:spacing w:before="0" w:line="240" w:lineRule="auto"/>
        <w:rPr>
          <w:rFonts w:ascii="Arial" w:eastAsiaTheme="minorHAnsi" w:hAnsi="Arial" w:cs="Arial"/>
          <w:color w:val="auto"/>
          <w:sz w:val="24"/>
          <w:szCs w:val="24"/>
          <w:lang w:val="sr-Cyrl-RS"/>
        </w:rPr>
      </w:pPr>
    </w:p>
    <w:p w14:paraId="5A8970DD" w14:textId="47222A4D" w:rsidR="00842575" w:rsidRPr="00A021B7" w:rsidRDefault="00842575" w:rsidP="003E7BC9">
      <w:pPr>
        <w:rPr>
          <w:rFonts w:ascii="Arial" w:hAnsi="Arial" w:cs="Arial"/>
          <w:lang w:val="sr-Cyrl-RS"/>
        </w:rPr>
      </w:pPr>
    </w:p>
    <w:p w14:paraId="04BD9D46" w14:textId="79473CF9" w:rsidR="003E7BC9" w:rsidRPr="00A021B7" w:rsidRDefault="003E7BC9" w:rsidP="003E7BC9">
      <w:pPr>
        <w:rPr>
          <w:rFonts w:ascii="Arial" w:hAnsi="Arial" w:cs="Arial"/>
          <w:lang w:val="sr-Cyrl-RS"/>
        </w:rPr>
      </w:pPr>
    </w:p>
    <w:p w14:paraId="3CFB25A7" w14:textId="09E041A0" w:rsidR="003E7BC9" w:rsidRPr="00A021B7" w:rsidRDefault="003E7BC9" w:rsidP="003E7BC9">
      <w:pPr>
        <w:rPr>
          <w:rFonts w:ascii="Arial" w:hAnsi="Arial" w:cs="Arial"/>
          <w:lang w:val="sr-Cyrl-RS"/>
        </w:rPr>
      </w:pPr>
    </w:p>
    <w:p w14:paraId="7B425550" w14:textId="3ACFD520" w:rsidR="003E7BC9" w:rsidRPr="00A021B7" w:rsidRDefault="003E7BC9" w:rsidP="003E7BC9">
      <w:pPr>
        <w:rPr>
          <w:rFonts w:ascii="Arial" w:hAnsi="Arial" w:cs="Arial"/>
          <w:lang w:val="sr-Cyrl-RS"/>
        </w:rPr>
      </w:pPr>
    </w:p>
    <w:p w14:paraId="522FF83A" w14:textId="77777777" w:rsidR="003E7BC9" w:rsidRPr="00A021B7" w:rsidRDefault="003E7BC9" w:rsidP="003E7BC9">
      <w:pPr>
        <w:rPr>
          <w:rFonts w:ascii="Arial" w:hAnsi="Arial" w:cs="Arial"/>
          <w:lang w:val="sr-Cyrl-RS"/>
        </w:rPr>
      </w:pPr>
    </w:p>
    <w:p w14:paraId="6FB1314E" w14:textId="7BBD760B" w:rsidR="00842575" w:rsidRPr="00A021B7" w:rsidRDefault="00842575" w:rsidP="003E7BC9">
      <w:pPr>
        <w:rPr>
          <w:rFonts w:ascii="Arial" w:hAnsi="Arial" w:cs="Arial"/>
          <w:lang w:val="sr-Cyrl-RS"/>
        </w:rPr>
      </w:pPr>
    </w:p>
    <w:p w14:paraId="2E6675D0" w14:textId="2BC2831B" w:rsidR="00842575" w:rsidRPr="00A021B7" w:rsidRDefault="00842575" w:rsidP="003E7BC9">
      <w:pPr>
        <w:rPr>
          <w:rFonts w:ascii="Arial" w:hAnsi="Arial" w:cs="Arial"/>
          <w:lang w:val="sr-Cyrl-RS"/>
        </w:rPr>
      </w:pPr>
    </w:p>
    <w:p w14:paraId="602C74C7" w14:textId="2488EB8F" w:rsidR="00842575" w:rsidRPr="00A021B7" w:rsidRDefault="00842575" w:rsidP="003E7BC9">
      <w:pPr>
        <w:rPr>
          <w:rFonts w:ascii="Arial" w:hAnsi="Arial" w:cs="Arial"/>
          <w:lang w:val="sr-Cyrl-RS"/>
        </w:rPr>
      </w:pPr>
    </w:p>
    <w:p w14:paraId="33C18AB1" w14:textId="22F2758E" w:rsidR="00842575" w:rsidRPr="00A021B7" w:rsidRDefault="00842575" w:rsidP="003E7BC9">
      <w:pPr>
        <w:rPr>
          <w:rFonts w:ascii="Arial" w:hAnsi="Arial" w:cs="Arial"/>
          <w:lang w:val="sr-Cyrl-RS"/>
        </w:rPr>
      </w:pPr>
    </w:p>
    <w:p w14:paraId="4A94867A" w14:textId="3EF7D182" w:rsidR="00842575" w:rsidRPr="00A021B7" w:rsidRDefault="00842575" w:rsidP="003E7BC9">
      <w:pPr>
        <w:rPr>
          <w:rFonts w:ascii="Arial" w:hAnsi="Arial" w:cs="Arial"/>
          <w:lang w:val="sr-Cyrl-RS"/>
        </w:rPr>
      </w:pPr>
    </w:p>
    <w:p w14:paraId="442D443D" w14:textId="2B506E92" w:rsidR="00842575" w:rsidRPr="00A021B7" w:rsidRDefault="00842575" w:rsidP="003E7BC9">
      <w:pPr>
        <w:rPr>
          <w:rFonts w:ascii="Arial" w:hAnsi="Arial" w:cs="Arial"/>
          <w:lang w:val="sr-Cyrl-RS"/>
        </w:rPr>
      </w:pPr>
    </w:p>
    <w:p w14:paraId="47AEB141" w14:textId="13D2D8C4" w:rsidR="00842575" w:rsidRPr="00A021B7" w:rsidRDefault="00842575" w:rsidP="003E7BC9">
      <w:pPr>
        <w:rPr>
          <w:rFonts w:ascii="Arial" w:hAnsi="Arial" w:cs="Arial"/>
          <w:lang w:val="sr-Cyrl-RS"/>
        </w:rPr>
      </w:pPr>
    </w:p>
    <w:p w14:paraId="1AD29BFD" w14:textId="762648EA" w:rsidR="00842575" w:rsidRPr="00A021B7" w:rsidRDefault="00842575" w:rsidP="003E7BC9">
      <w:pPr>
        <w:rPr>
          <w:rFonts w:ascii="Arial" w:hAnsi="Arial" w:cs="Arial"/>
          <w:lang w:val="sr-Cyrl-RS"/>
        </w:rPr>
      </w:pPr>
    </w:p>
    <w:p w14:paraId="35C82727" w14:textId="5A92DD9B" w:rsidR="00842575" w:rsidRPr="00A021B7" w:rsidRDefault="00842575" w:rsidP="003E7BC9">
      <w:pPr>
        <w:rPr>
          <w:rFonts w:ascii="Arial" w:hAnsi="Arial" w:cs="Arial"/>
          <w:lang w:val="sr-Cyrl-RS"/>
        </w:rPr>
      </w:pPr>
    </w:p>
    <w:p w14:paraId="4F4C665D" w14:textId="257AA111" w:rsidR="00842575" w:rsidRPr="00A021B7" w:rsidRDefault="00842575" w:rsidP="003E7BC9">
      <w:pPr>
        <w:rPr>
          <w:rFonts w:ascii="Arial" w:hAnsi="Arial" w:cs="Arial"/>
          <w:lang w:val="sr-Cyrl-RS"/>
        </w:rPr>
      </w:pPr>
    </w:p>
    <w:p w14:paraId="6C81D274" w14:textId="02F8224D" w:rsidR="00842575" w:rsidRPr="00A021B7" w:rsidRDefault="00842575" w:rsidP="00F077C6">
      <w:pPr>
        <w:tabs>
          <w:tab w:val="left" w:pos="3888"/>
        </w:tabs>
        <w:rPr>
          <w:rFonts w:ascii="Arial" w:hAnsi="Arial" w:cs="Arial"/>
          <w:lang w:val="sr-Cyrl-RS"/>
        </w:rPr>
      </w:pPr>
    </w:p>
    <w:p w14:paraId="2D9C5541" w14:textId="77777777" w:rsidR="00842575" w:rsidRPr="00A021B7" w:rsidRDefault="00842575" w:rsidP="003E7BC9">
      <w:pPr>
        <w:rPr>
          <w:rFonts w:ascii="Arial" w:hAnsi="Arial" w:cs="Arial"/>
          <w:lang w:val="sr-Cyrl-RS"/>
        </w:rPr>
      </w:pPr>
    </w:p>
    <w:sdt>
      <w:sdtPr>
        <w:rPr>
          <w:rFonts w:ascii="Times New Roman" w:eastAsia="Times New Roman" w:hAnsi="Times New Roman" w:cs="Times New Roman"/>
          <w:color w:val="auto"/>
          <w:sz w:val="28"/>
          <w:szCs w:val="24"/>
          <w:lang w:val="sr-Cyrl-RS"/>
        </w:rPr>
        <w:id w:val="-1444528814"/>
        <w:docPartObj>
          <w:docPartGallery w:val="Table of Contents"/>
          <w:docPartUnique/>
        </w:docPartObj>
      </w:sdtPr>
      <w:sdtEndPr>
        <w:rPr>
          <w:b/>
          <w:bCs/>
          <w:sz w:val="24"/>
        </w:rPr>
      </w:sdtEndPr>
      <w:sdtContent>
        <w:p w14:paraId="27C9FFF3" w14:textId="5DE3434E" w:rsidR="004D4848" w:rsidRPr="00A021B7" w:rsidRDefault="004D4848">
          <w:pPr>
            <w:pStyle w:val="TOCHeading"/>
            <w:rPr>
              <w:rFonts w:ascii="Times New Roman" w:hAnsi="Times New Roman" w:cs="Times New Roman"/>
              <w:color w:val="auto"/>
              <w:sz w:val="28"/>
              <w:lang w:val="sr-Cyrl-RS"/>
            </w:rPr>
          </w:pPr>
          <w:r w:rsidRPr="00A021B7">
            <w:rPr>
              <w:rFonts w:ascii="Times New Roman" w:hAnsi="Times New Roman" w:cs="Times New Roman"/>
              <w:color w:val="auto"/>
              <w:sz w:val="28"/>
              <w:lang w:val="sr-Cyrl-RS"/>
            </w:rPr>
            <w:t>САДРЖАЈ:</w:t>
          </w:r>
        </w:p>
        <w:p w14:paraId="66E99D2E" w14:textId="08AFF69A" w:rsidR="004D4848" w:rsidRPr="00A021B7" w:rsidRDefault="004D4848">
          <w:pPr>
            <w:pStyle w:val="TOC1"/>
            <w:tabs>
              <w:tab w:val="left" w:pos="480"/>
            </w:tabs>
            <w:rPr>
              <w:rFonts w:asciiTheme="minorHAnsi" w:eastAsiaTheme="minorEastAsia" w:hAnsiTheme="minorHAnsi" w:cstheme="minorBidi"/>
              <w:noProof/>
              <w:sz w:val="22"/>
              <w:szCs w:val="22"/>
              <w:lang w:val="sr-Cyrl-RS" w:eastAsia="en-US"/>
            </w:rPr>
          </w:pPr>
          <w:r w:rsidRPr="00A021B7">
            <w:rPr>
              <w:lang w:val="sr-Cyrl-RS"/>
            </w:rPr>
            <w:fldChar w:fldCharType="begin"/>
          </w:r>
          <w:r w:rsidRPr="00A021B7">
            <w:rPr>
              <w:lang w:val="sr-Cyrl-RS"/>
            </w:rPr>
            <w:instrText xml:space="preserve"> TOC \o "1-3" \h \z \u </w:instrText>
          </w:r>
          <w:r w:rsidRPr="00A021B7">
            <w:rPr>
              <w:lang w:val="sr-Cyrl-RS"/>
            </w:rPr>
            <w:fldChar w:fldCharType="separate"/>
          </w:r>
          <w:hyperlink w:anchor="_Toc60136060" w:history="1">
            <w:r w:rsidRPr="00A021B7">
              <w:rPr>
                <w:rStyle w:val="Hyperlink"/>
                <w:noProof/>
                <w:lang w:val="sr-Cyrl-RS"/>
              </w:rPr>
              <w:t>I.</w:t>
            </w:r>
            <w:r w:rsidRPr="00A021B7">
              <w:rPr>
                <w:rFonts w:asciiTheme="minorHAnsi" w:eastAsiaTheme="minorEastAsia" w:hAnsiTheme="minorHAnsi" w:cstheme="minorBidi"/>
                <w:noProof/>
                <w:sz w:val="22"/>
                <w:szCs w:val="22"/>
                <w:lang w:val="sr-Cyrl-RS" w:eastAsia="en-US"/>
              </w:rPr>
              <w:tab/>
            </w:r>
            <w:r w:rsidRPr="00A021B7">
              <w:rPr>
                <w:rStyle w:val="Hyperlink"/>
                <w:noProof/>
                <w:lang w:val="sr-Cyrl-RS"/>
              </w:rPr>
              <w:t>УВОД</w:t>
            </w:r>
            <w:r w:rsidRPr="00A021B7">
              <w:rPr>
                <w:noProof/>
                <w:webHidden/>
                <w:lang w:val="sr-Cyrl-RS"/>
              </w:rPr>
              <w:tab/>
            </w:r>
            <w:r w:rsidRPr="00A021B7">
              <w:rPr>
                <w:noProof/>
                <w:webHidden/>
                <w:lang w:val="sr-Cyrl-RS"/>
              </w:rPr>
              <w:fldChar w:fldCharType="begin"/>
            </w:r>
            <w:r w:rsidRPr="00A021B7">
              <w:rPr>
                <w:noProof/>
                <w:webHidden/>
                <w:lang w:val="sr-Cyrl-RS"/>
              </w:rPr>
              <w:instrText xml:space="preserve"> PAGEREF _Toc60136060 \h </w:instrText>
            </w:r>
            <w:r w:rsidRPr="00A021B7">
              <w:rPr>
                <w:noProof/>
                <w:webHidden/>
                <w:lang w:val="sr-Cyrl-RS"/>
              </w:rPr>
            </w:r>
            <w:r w:rsidRPr="00A021B7">
              <w:rPr>
                <w:noProof/>
                <w:webHidden/>
                <w:lang w:val="sr-Cyrl-RS"/>
              </w:rPr>
              <w:fldChar w:fldCharType="separate"/>
            </w:r>
            <w:r w:rsidR="00D71B74">
              <w:rPr>
                <w:noProof/>
                <w:webHidden/>
                <w:lang w:val="sr-Cyrl-RS"/>
              </w:rPr>
              <w:t>4</w:t>
            </w:r>
            <w:r w:rsidRPr="00A021B7">
              <w:rPr>
                <w:noProof/>
                <w:webHidden/>
                <w:lang w:val="sr-Cyrl-RS"/>
              </w:rPr>
              <w:fldChar w:fldCharType="end"/>
            </w:r>
          </w:hyperlink>
        </w:p>
        <w:p w14:paraId="2B3FD0D8" w14:textId="2B3FEBDB" w:rsidR="004D4848" w:rsidRPr="00A021B7" w:rsidRDefault="00FB2452">
          <w:pPr>
            <w:pStyle w:val="TOC1"/>
            <w:tabs>
              <w:tab w:val="left" w:pos="480"/>
            </w:tabs>
            <w:rPr>
              <w:rFonts w:asciiTheme="minorHAnsi" w:eastAsiaTheme="minorEastAsia" w:hAnsiTheme="minorHAnsi" w:cstheme="minorBidi"/>
              <w:noProof/>
              <w:sz w:val="22"/>
              <w:szCs w:val="22"/>
              <w:lang w:val="sr-Cyrl-RS" w:eastAsia="en-US"/>
            </w:rPr>
          </w:pPr>
          <w:hyperlink w:anchor="_Toc60136061" w:history="1">
            <w:r w:rsidR="004D4848" w:rsidRPr="00A021B7">
              <w:rPr>
                <w:rStyle w:val="Hyperlink"/>
                <w:noProof/>
                <w:lang w:val="sr-Cyrl-RS"/>
              </w:rPr>
              <w:t>II.</w:t>
            </w:r>
            <w:r w:rsidR="004D4848" w:rsidRPr="00A021B7">
              <w:rPr>
                <w:rFonts w:asciiTheme="minorHAnsi" w:eastAsiaTheme="minorEastAsia" w:hAnsiTheme="minorHAnsi" w:cstheme="minorBidi"/>
                <w:noProof/>
                <w:sz w:val="22"/>
                <w:szCs w:val="22"/>
                <w:lang w:val="sr-Cyrl-RS" w:eastAsia="en-US"/>
              </w:rPr>
              <w:tab/>
            </w:r>
            <w:r w:rsidR="004D4848" w:rsidRPr="00A021B7">
              <w:rPr>
                <w:rStyle w:val="Hyperlink"/>
                <w:noProof/>
                <w:lang w:val="sr-Cyrl-RS"/>
              </w:rPr>
              <w:t>КЉУЧНИ МЕЂУНАРОДНИ, УСТАВНИ И ЗАКОНСКИ ОКВИР СИСТЕМА ЛОКАЛНЕ САМОУПРАВЕ У РЕПУБЛИЦИ СРБИЈИ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_Toc60136061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5</w:t>
            </w:r>
            <w:r w:rsidR="004D4848" w:rsidRPr="00A021B7">
              <w:rPr>
                <w:noProof/>
                <w:webHidden/>
                <w:lang w:val="sr-Cyrl-RS"/>
              </w:rPr>
              <w:fldChar w:fldCharType="end"/>
            </w:r>
          </w:hyperlink>
        </w:p>
        <w:p w14:paraId="6E899E05" w14:textId="18D7F5DA" w:rsidR="004D4848" w:rsidRPr="00A021B7" w:rsidRDefault="00FB2452">
          <w:pPr>
            <w:pStyle w:val="TOC1"/>
            <w:tabs>
              <w:tab w:val="left" w:pos="660"/>
            </w:tabs>
            <w:rPr>
              <w:rFonts w:asciiTheme="minorHAnsi" w:eastAsiaTheme="minorEastAsia" w:hAnsiTheme="minorHAnsi" w:cstheme="minorBidi"/>
              <w:noProof/>
              <w:sz w:val="22"/>
              <w:szCs w:val="22"/>
              <w:lang w:val="sr-Cyrl-RS" w:eastAsia="en-US"/>
            </w:rPr>
          </w:pPr>
          <w:hyperlink w:anchor="_Toc60136063" w:history="1">
            <w:r w:rsidR="004D4848" w:rsidRPr="00A021B7">
              <w:rPr>
                <w:rStyle w:val="Hyperlink"/>
                <w:noProof/>
                <w:lang w:val="sr-Cyrl-RS"/>
              </w:rPr>
              <w:t>III.</w:t>
            </w:r>
            <w:r w:rsidR="004D4848" w:rsidRPr="00A021B7">
              <w:rPr>
                <w:rFonts w:asciiTheme="minorHAnsi" w:eastAsiaTheme="minorEastAsia" w:hAnsiTheme="minorHAnsi" w:cstheme="minorBidi"/>
                <w:noProof/>
                <w:sz w:val="22"/>
                <w:szCs w:val="22"/>
                <w:lang w:val="sr-Cyrl-RS" w:eastAsia="en-US"/>
              </w:rPr>
              <w:tab/>
            </w:r>
            <w:r w:rsidR="004D4848" w:rsidRPr="00A021B7">
              <w:rPr>
                <w:rStyle w:val="Hyperlink"/>
                <w:noProof/>
                <w:lang w:val="sr-Cyrl-RS"/>
              </w:rPr>
              <w:t>ИСТОРИЈСКИ ПРЕГЛЕД СИСТЕМА ЛОКАЛНЕ САМОУПРАВЕ У РЕПУБЛИЦИ СРБИЈИ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_Toc60136063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8</w:t>
            </w:r>
            <w:r w:rsidR="004D4848" w:rsidRPr="00A021B7">
              <w:rPr>
                <w:noProof/>
                <w:webHidden/>
                <w:lang w:val="sr-Cyrl-RS"/>
              </w:rPr>
              <w:fldChar w:fldCharType="end"/>
            </w:r>
          </w:hyperlink>
        </w:p>
        <w:p w14:paraId="30802280" w14:textId="63DA0654" w:rsidR="004D4848" w:rsidRPr="00A021B7" w:rsidRDefault="00FB2452">
          <w:pPr>
            <w:pStyle w:val="TOC1"/>
            <w:tabs>
              <w:tab w:val="left" w:pos="660"/>
            </w:tabs>
            <w:rPr>
              <w:rFonts w:asciiTheme="minorHAnsi" w:eastAsiaTheme="minorEastAsia" w:hAnsiTheme="minorHAnsi" w:cstheme="minorBidi"/>
              <w:noProof/>
              <w:sz w:val="22"/>
              <w:szCs w:val="22"/>
              <w:lang w:val="sr-Cyrl-RS" w:eastAsia="en-US"/>
            </w:rPr>
          </w:pPr>
          <w:hyperlink w:anchor="_Toc60136064" w:history="1">
            <w:r w:rsidR="004D4848" w:rsidRPr="00A021B7">
              <w:rPr>
                <w:rStyle w:val="Hyperlink"/>
                <w:noProof/>
                <w:lang w:val="sr-Cyrl-RS"/>
              </w:rPr>
              <w:t>IV.</w:t>
            </w:r>
            <w:r w:rsidR="004D4848" w:rsidRPr="00A021B7">
              <w:rPr>
                <w:rFonts w:asciiTheme="minorHAnsi" w:eastAsiaTheme="minorEastAsia" w:hAnsiTheme="minorHAnsi" w:cstheme="minorBidi"/>
                <w:noProof/>
                <w:sz w:val="22"/>
                <w:szCs w:val="22"/>
                <w:lang w:val="sr-Cyrl-RS" w:eastAsia="en-US"/>
              </w:rPr>
              <w:tab/>
            </w:r>
            <w:r w:rsidR="004D4848" w:rsidRPr="00A021B7">
              <w:rPr>
                <w:rStyle w:val="Hyperlink"/>
                <w:noProof/>
                <w:lang w:val="sr-Cyrl-RS"/>
              </w:rPr>
              <w:t>ОПИС ПОСТОЈЕЋЕГ СТАЊА И КЉУЧНИХ ИЗАЗОВА У СИСТЕМУ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_Toc60136064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10</w:t>
            </w:r>
            <w:r w:rsidR="004D4848" w:rsidRPr="00A021B7">
              <w:rPr>
                <w:noProof/>
                <w:webHidden/>
                <w:lang w:val="sr-Cyrl-RS"/>
              </w:rPr>
              <w:fldChar w:fldCharType="end"/>
            </w:r>
          </w:hyperlink>
        </w:p>
        <w:p w14:paraId="3EB84591" w14:textId="58FF3B33"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65" w:history="1">
            <w:r w:rsidR="004D4848" w:rsidRPr="00A021B7">
              <w:rPr>
                <w:rStyle w:val="Hyperlink"/>
                <w:noProof/>
                <w:lang w:val="sr-Cyrl-RS"/>
              </w:rPr>
              <w:t>IV.1. Положај и организација локалне самоуправе у систему јавне власти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_Toc60136065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10</w:t>
            </w:r>
            <w:r w:rsidR="004D4848" w:rsidRPr="00A021B7">
              <w:rPr>
                <w:noProof/>
                <w:webHidden/>
                <w:lang w:val="sr-Cyrl-RS"/>
              </w:rPr>
              <w:fldChar w:fldCharType="end"/>
            </w:r>
          </w:hyperlink>
        </w:p>
        <w:p w14:paraId="3E51A6F0" w14:textId="74CF0602"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66" w:history="1">
            <w:r w:rsidR="004D4848" w:rsidRPr="00A021B7">
              <w:rPr>
                <w:rStyle w:val="Hyperlink"/>
                <w:noProof/>
                <w:lang w:val="sr-Cyrl-RS"/>
              </w:rPr>
              <w:t>IV.2. Локални изборни систем</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_Toc60136066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17</w:t>
            </w:r>
            <w:r w:rsidR="004D4848" w:rsidRPr="00A021B7">
              <w:rPr>
                <w:noProof/>
                <w:webHidden/>
                <w:lang w:val="sr-Cyrl-RS"/>
              </w:rPr>
              <w:fldChar w:fldCharType="end"/>
            </w:r>
          </w:hyperlink>
        </w:p>
        <w:p w14:paraId="5D7E282B" w14:textId="4FD44834"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67" w:history="1">
            <w:r w:rsidR="004D4848" w:rsidRPr="00A021B7">
              <w:rPr>
                <w:rStyle w:val="Hyperlink"/>
                <w:noProof/>
                <w:lang w:val="sr-Cyrl-RS"/>
              </w:rPr>
              <w:t>IV.3. Организовање и рад органа, установа и предузећа у локалној самоуправи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_Toc60136067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18</w:t>
            </w:r>
            <w:r w:rsidR="004D4848" w:rsidRPr="00A021B7">
              <w:rPr>
                <w:noProof/>
                <w:webHidden/>
                <w:lang w:val="sr-Cyrl-RS"/>
              </w:rPr>
              <w:fldChar w:fldCharType="end"/>
            </w:r>
          </w:hyperlink>
        </w:p>
        <w:p w14:paraId="4BD7D170" w14:textId="45E068A4"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68" w:history="1">
            <w:r w:rsidR="004D4848" w:rsidRPr="00A021B7">
              <w:rPr>
                <w:rStyle w:val="Hyperlink"/>
                <w:noProof/>
                <w:lang w:val="sr-Cyrl-RS"/>
              </w:rPr>
              <w:t>IV.3.1. Организација и рад органа ЈЛС, градских општина и месних заједница</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_Toc60136068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19</w:t>
            </w:r>
            <w:r w:rsidR="004D4848" w:rsidRPr="00A021B7">
              <w:rPr>
                <w:noProof/>
                <w:webHidden/>
                <w:lang w:val="sr-Cyrl-RS"/>
              </w:rPr>
              <w:fldChar w:fldCharType="end"/>
            </w:r>
          </w:hyperlink>
        </w:p>
        <w:p w14:paraId="318A8B08" w14:textId="3D86DD85"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69" w:history="1">
            <w:r w:rsidR="004D4848" w:rsidRPr="00A021B7">
              <w:rPr>
                <w:rStyle w:val="Hyperlink"/>
                <w:noProof/>
                <w:lang w:val="sr-Cyrl-RS"/>
              </w:rPr>
              <w:t>IV.3.2. Организација и рад јавних установа које оснива ЈЛС</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_Toc60136069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24</w:t>
            </w:r>
            <w:r w:rsidR="004D4848" w:rsidRPr="00A021B7">
              <w:rPr>
                <w:noProof/>
                <w:webHidden/>
                <w:lang w:val="sr-Cyrl-RS"/>
              </w:rPr>
              <w:fldChar w:fldCharType="end"/>
            </w:r>
          </w:hyperlink>
        </w:p>
        <w:p w14:paraId="2B04877A" w14:textId="29D0E36F"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70" w:history="1">
            <w:r w:rsidR="004D4848" w:rsidRPr="00A021B7">
              <w:rPr>
                <w:rStyle w:val="Hyperlink"/>
                <w:noProof/>
                <w:lang w:val="sr-Cyrl-RS"/>
              </w:rPr>
              <w:t>IV.3.3. Организација и рад јавних предузећа које оснива ЈЛС</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_Toc60136070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26</w:t>
            </w:r>
            <w:r w:rsidR="004D4848" w:rsidRPr="00A021B7">
              <w:rPr>
                <w:noProof/>
                <w:webHidden/>
                <w:lang w:val="sr-Cyrl-RS"/>
              </w:rPr>
              <w:fldChar w:fldCharType="end"/>
            </w:r>
          </w:hyperlink>
        </w:p>
        <w:p w14:paraId="67CE176E" w14:textId="354ED491"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71" w:history="1">
            <w:r w:rsidR="004D4848" w:rsidRPr="00A021B7">
              <w:rPr>
                <w:rStyle w:val="Hyperlink"/>
                <w:noProof/>
                <w:lang w:val="sr-Cyrl-RS"/>
              </w:rPr>
              <w:t>IV.3.4 Изазови типологије организационих облика у ЈЛС</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_Toc60136071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28</w:t>
            </w:r>
            <w:r w:rsidR="004D4848" w:rsidRPr="00A021B7">
              <w:rPr>
                <w:noProof/>
                <w:webHidden/>
                <w:lang w:val="sr-Cyrl-RS"/>
              </w:rPr>
              <w:fldChar w:fldCharType="end"/>
            </w:r>
          </w:hyperlink>
        </w:p>
        <w:p w14:paraId="6865B512" w14:textId="25474C25"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72" w:history="1">
            <w:r w:rsidR="004D4848" w:rsidRPr="00A021B7">
              <w:rPr>
                <w:rStyle w:val="Hyperlink"/>
                <w:noProof/>
                <w:lang w:val="sr-Cyrl-RS"/>
              </w:rPr>
              <w:t>IV.4. Надлежности, послови и услуге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_Toc60136072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31</w:t>
            </w:r>
            <w:r w:rsidR="004D4848" w:rsidRPr="00A021B7">
              <w:rPr>
                <w:noProof/>
                <w:webHidden/>
                <w:lang w:val="sr-Cyrl-RS"/>
              </w:rPr>
              <w:fldChar w:fldCharType="end"/>
            </w:r>
          </w:hyperlink>
        </w:p>
        <w:p w14:paraId="20E052C6" w14:textId="0C158B78"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73" w:history="1">
            <w:r w:rsidR="004D4848" w:rsidRPr="00A021B7">
              <w:rPr>
                <w:rStyle w:val="Hyperlink"/>
                <w:noProof/>
                <w:lang w:val="sr-Cyrl-RS"/>
              </w:rPr>
              <w:t>IV.5. Систем финансирања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_Toc60136073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40</w:t>
            </w:r>
            <w:r w:rsidR="004D4848" w:rsidRPr="00A021B7">
              <w:rPr>
                <w:noProof/>
                <w:webHidden/>
                <w:lang w:val="sr-Cyrl-RS"/>
              </w:rPr>
              <w:fldChar w:fldCharType="end"/>
            </w:r>
          </w:hyperlink>
        </w:p>
        <w:p w14:paraId="58D44A99" w14:textId="09DEF75B"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74" w:history="1">
            <w:r w:rsidR="004D4848" w:rsidRPr="00A021B7">
              <w:rPr>
                <w:rStyle w:val="Hyperlink"/>
                <w:noProof/>
                <w:lang w:val="sr-Cyrl-RS"/>
              </w:rPr>
              <w:t>IV.5.1. Приходи јединица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_Toc60136074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41</w:t>
            </w:r>
            <w:r w:rsidR="004D4848" w:rsidRPr="00A021B7">
              <w:rPr>
                <w:noProof/>
                <w:webHidden/>
                <w:lang w:val="sr-Cyrl-RS"/>
              </w:rPr>
              <w:fldChar w:fldCharType="end"/>
            </w:r>
          </w:hyperlink>
        </w:p>
        <w:p w14:paraId="633EB329" w14:textId="43921F1F"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75" w:history="1">
            <w:r w:rsidR="004D4848" w:rsidRPr="00A021B7">
              <w:rPr>
                <w:rStyle w:val="Hyperlink"/>
                <w:noProof/>
                <w:lang w:val="sr-Cyrl-RS"/>
              </w:rPr>
              <w:t>IV.5.2. Расходи и издаци јединица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_Toc60136075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45</w:t>
            </w:r>
            <w:r w:rsidR="004D4848" w:rsidRPr="00A021B7">
              <w:rPr>
                <w:noProof/>
                <w:webHidden/>
                <w:lang w:val="sr-Cyrl-RS"/>
              </w:rPr>
              <w:fldChar w:fldCharType="end"/>
            </w:r>
          </w:hyperlink>
        </w:p>
        <w:p w14:paraId="776C1517" w14:textId="7EC3C397"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76" w:history="1">
            <w:r w:rsidR="004D4848" w:rsidRPr="00A021B7">
              <w:rPr>
                <w:rStyle w:val="Hyperlink"/>
                <w:noProof/>
                <w:lang w:val="sr-Cyrl-RS"/>
              </w:rPr>
              <w:t xml:space="preserve">IV.5.3. Приходи и расходи </w:t>
            </w:r>
            <w:r w:rsidR="00D5565F">
              <w:rPr>
                <w:rStyle w:val="Hyperlink"/>
                <w:noProof/>
                <w:lang w:val="sr-Cyrl-RS"/>
              </w:rPr>
              <w:t>–</w:t>
            </w:r>
            <w:r w:rsidR="004D4848" w:rsidRPr="00A021B7">
              <w:rPr>
                <w:rStyle w:val="Hyperlink"/>
                <w:noProof/>
                <w:lang w:val="sr-Cyrl-RS"/>
              </w:rPr>
              <w:t xml:space="preserve"> упоредни преглед Републике Србије и земаља у региону и ЕУ</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_Toc60136076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48</w:t>
            </w:r>
            <w:r w:rsidR="004D4848" w:rsidRPr="00A021B7">
              <w:rPr>
                <w:noProof/>
                <w:webHidden/>
                <w:lang w:val="sr-Cyrl-RS"/>
              </w:rPr>
              <w:fldChar w:fldCharType="end"/>
            </w:r>
          </w:hyperlink>
        </w:p>
        <w:p w14:paraId="08721476" w14:textId="7F896E28"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77" w:history="1">
            <w:r w:rsidR="004D4848" w:rsidRPr="00A021B7">
              <w:rPr>
                <w:rStyle w:val="Hyperlink"/>
                <w:noProof/>
                <w:lang w:val="sr-Cyrl-RS"/>
              </w:rPr>
              <w:t>IV.5.4. Управљање јавним финансијама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_Toc60136077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50</w:t>
            </w:r>
            <w:r w:rsidR="004D4848" w:rsidRPr="00A021B7">
              <w:rPr>
                <w:noProof/>
                <w:webHidden/>
                <w:lang w:val="sr-Cyrl-RS"/>
              </w:rPr>
              <w:fldChar w:fldCharType="end"/>
            </w:r>
          </w:hyperlink>
        </w:p>
        <w:p w14:paraId="1B87A526" w14:textId="791087E3"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078" w:history="1">
            <w:r w:rsidR="004D4848" w:rsidRPr="00A021B7">
              <w:rPr>
                <w:rStyle w:val="Hyperlink"/>
                <w:noProof/>
                <w:lang w:val="sr-Cyrl-RS"/>
              </w:rPr>
              <w:t>IV.5.5. Изазови у систему финансирања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_Toc60136078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52</w:t>
            </w:r>
            <w:r w:rsidR="004D4848" w:rsidRPr="00A021B7">
              <w:rPr>
                <w:noProof/>
                <w:webHidden/>
                <w:lang w:val="sr-Cyrl-RS"/>
              </w:rPr>
              <w:fldChar w:fldCharType="end"/>
            </w:r>
          </w:hyperlink>
        </w:p>
        <w:p w14:paraId="3DD751B6" w14:textId="48C519A0"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79" w:history="1">
            <w:r w:rsidR="004D4848" w:rsidRPr="00A021B7">
              <w:rPr>
                <w:rStyle w:val="Hyperlink"/>
                <w:noProof/>
                <w:lang w:val="sr-Cyrl-RS"/>
              </w:rPr>
              <w:t>IV.6. Управљање људским ресурсима у локалној управи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_Toc60136079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57</w:t>
            </w:r>
            <w:r w:rsidR="004D4848" w:rsidRPr="00A021B7">
              <w:rPr>
                <w:noProof/>
                <w:webHidden/>
                <w:lang w:val="sr-Cyrl-RS"/>
              </w:rPr>
              <w:fldChar w:fldCharType="end"/>
            </w:r>
          </w:hyperlink>
        </w:p>
        <w:p w14:paraId="086681B8" w14:textId="704DFBAF"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0" w:history="1">
            <w:r w:rsidR="004D4848" w:rsidRPr="00A021B7">
              <w:rPr>
                <w:rStyle w:val="Hyperlink"/>
                <w:noProof/>
                <w:lang w:val="sr-Cyrl-RS"/>
              </w:rPr>
              <w:t>IV.7. Добро управљање у систему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_Toc60136080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67</w:t>
            </w:r>
            <w:r w:rsidR="004D4848" w:rsidRPr="00A021B7">
              <w:rPr>
                <w:noProof/>
                <w:webHidden/>
                <w:lang w:val="sr-Cyrl-RS"/>
              </w:rPr>
              <w:fldChar w:fldCharType="end"/>
            </w:r>
          </w:hyperlink>
        </w:p>
        <w:p w14:paraId="5F8B3813" w14:textId="65EDA882"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1" w:history="1">
            <w:r w:rsidR="004D4848" w:rsidRPr="00A021B7">
              <w:rPr>
                <w:rStyle w:val="Hyperlink"/>
                <w:noProof/>
                <w:lang w:val="sr-Cyrl-RS"/>
              </w:rPr>
              <w:t>IV.8. Електронска управа у јединицама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_Toc60136081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73</w:t>
            </w:r>
            <w:r w:rsidR="004D4848" w:rsidRPr="00A021B7">
              <w:rPr>
                <w:noProof/>
                <w:webHidden/>
                <w:lang w:val="sr-Cyrl-RS"/>
              </w:rPr>
              <w:fldChar w:fldCharType="end"/>
            </w:r>
          </w:hyperlink>
        </w:p>
        <w:p w14:paraId="7AF30EA2" w14:textId="669F44A5"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2" w:history="1">
            <w:r w:rsidR="004D4848" w:rsidRPr="00A021B7">
              <w:rPr>
                <w:rStyle w:val="Hyperlink"/>
                <w:noProof/>
                <w:lang w:val="sr-Cyrl-RS"/>
              </w:rPr>
              <w:t>IV.9. Однос републичких и покрајинских органа и органа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_Toc60136082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79</w:t>
            </w:r>
            <w:r w:rsidR="004D4848" w:rsidRPr="00A021B7">
              <w:rPr>
                <w:noProof/>
                <w:webHidden/>
                <w:lang w:val="sr-Cyrl-RS"/>
              </w:rPr>
              <w:fldChar w:fldCharType="end"/>
            </w:r>
          </w:hyperlink>
        </w:p>
        <w:p w14:paraId="598565F8" w14:textId="1C65EDF9"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3" w:history="1">
            <w:r w:rsidR="004D4848" w:rsidRPr="00A021B7">
              <w:rPr>
                <w:rStyle w:val="Hyperlink"/>
                <w:noProof/>
                <w:lang w:val="sr-Cyrl-RS"/>
              </w:rPr>
              <w:t>IV.10. Међуопштинска сарадња у обављању послова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_Toc60136083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83</w:t>
            </w:r>
            <w:r w:rsidR="004D4848" w:rsidRPr="00A021B7">
              <w:rPr>
                <w:noProof/>
                <w:webHidden/>
                <w:lang w:val="sr-Cyrl-RS"/>
              </w:rPr>
              <w:fldChar w:fldCharType="end"/>
            </w:r>
          </w:hyperlink>
        </w:p>
        <w:p w14:paraId="6DA5C484" w14:textId="48A2D5B2"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4" w:history="1">
            <w:r w:rsidR="004D4848" w:rsidRPr="00A021B7">
              <w:rPr>
                <w:rStyle w:val="Hyperlink"/>
                <w:noProof/>
                <w:lang w:val="sr-Cyrl-RS"/>
              </w:rPr>
              <w:t>IV.11. Локална самоуправа и процес приступања Европској унији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_Toc60136084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89</w:t>
            </w:r>
            <w:r w:rsidR="004D4848" w:rsidRPr="00A021B7">
              <w:rPr>
                <w:noProof/>
                <w:webHidden/>
                <w:lang w:val="sr-Cyrl-RS"/>
              </w:rPr>
              <w:fldChar w:fldCharType="end"/>
            </w:r>
          </w:hyperlink>
        </w:p>
        <w:p w14:paraId="0B70EB9A" w14:textId="32B9AFE5" w:rsidR="004D4848" w:rsidRPr="00A021B7" w:rsidRDefault="00FB2452">
          <w:pPr>
            <w:pStyle w:val="TOC1"/>
            <w:tabs>
              <w:tab w:val="left" w:pos="480"/>
            </w:tabs>
            <w:rPr>
              <w:rFonts w:asciiTheme="minorHAnsi" w:eastAsiaTheme="minorEastAsia" w:hAnsiTheme="minorHAnsi" w:cstheme="minorBidi"/>
              <w:noProof/>
              <w:sz w:val="22"/>
              <w:szCs w:val="22"/>
              <w:lang w:val="sr-Cyrl-RS" w:eastAsia="en-US"/>
            </w:rPr>
          </w:pPr>
          <w:hyperlink w:anchor="_Toc60136085" w:history="1">
            <w:r w:rsidR="004D4848" w:rsidRPr="00A021B7">
              <w:rPr>
                <w:rStyle w:val="Hyperlink"/>
                <w:noProof/>
                <w:lang w:val="sr-Cyrl-RS"/>
              </w:rPr>
              <w:t>V.</w:t>
            </w:r>
            <w:r w:rsidR="004D4848" w:rsidRPr="00A021B7">
              <w:rPr>
                <w:rFonts w:asciiTheme="minorHAnsi" w:eastAsiaTheme="minorEastAsia" w:hAnsiTheme="minorHAnsi" w:cstheme="minorBidi"/>
                <w:noProof/>
                <w:sz w:val="22"/>
                <w:szCs w:val="22"/>
                <w:lang w:val="sr-Cyrl-RS" w:eastAsia="en-US"/>
              </w:rPr>
              <w:tab/>
            </w:r>
            <w:r w:rsidR="004D4848" w:rsidRPr="00A021B7">
              <w:rPr>
                <w:rStyle w:val="Hyperlink"/>
                <w:noProof/>
                <w:lang w:val="sr-Cyrl-RS"/>
              </w:rPr>
              <w:t>УПОРЕДНИ ПРЕГЛЕД КЉУЧНИХ ОДРЕДНИЦА СИСТЕМА ЛОКАЛНЕ САМОУПРАВЕ У ЕВРОПСКИМ ЗЕМЉАМА</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_Toc60136085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94</w:t>
            </w:r>
            <w:r w:rsidR="004D4848" w:rsidRPr="00A021B7">
              <w:rPr>
                <w:noProof/>
                <w:webHidden/>
                <w:lang w:val="sr-Cyrl-RS"/>
              </w:rPr>
              <w:fldChar w:fldCharType="end"/>
            </w:r>
          </w:hyperlink>
        </w:p>
        <w:p w14:paraId="060B18F0" w14:textId="4BAC70EE"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6" w:history="1">
            <w:r w:rsidR="004D4848" w:rsidRPr="00A021B7">
              <w:rPr>
                <w:rStyle w:val="Hyperlink"/>
                <w:noProof/>
                <w:lang w:val="sr-Cyrl-RS"/>
              </w:rPr>
              <w:t>V.1. Положај и организација система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_Toc60136086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94</w:t>
            </w:r>
            <w:r w:rsidR="004D4848" w:rsidRPr="00A021B7">
              <w:rPr>
                <w:noProof/>
                <w:webHidden/>
                <w:lang w:val="sr-Cyrl-RS"/>
              </w:rPr>
              <w:fldChar w:fldCharType="end"/>
            </w:r>
          </w:hyperlink>
        </w:p>
        <w:p w14:paraId="72C8662F" w14:textId="1F37F8A6"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7" w:history="1">
            <w:r w:rsidR="004D4848" w:rsidRPr="00A021B7">
              <w:rPr>
                <w:rStyle w:val="Hyperlink"/>
                <w:noProof/>
                <w:lang w:val="sr-Cyrl-RS"/>
              </w:rPr>
              <w:t>V.2. Структура органа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_Toc60136087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95</w:t>
            </w:r>
            <w:r w:rsidR="004D4848" w:rsidRPr="00A021B7">
              <w:rPr>
                <w:noProof/>
                <w:webHidden/>
                <w:lang w:val="sr-Cyrl-RS"/>
              </w:rPr>
              <w:fldChar w:fldCharType="end"/>
            </w:r>
          </w:hyperlink>
        </w:p>
        <w:p w14:paraId="0D04FF5B" w14:textId="75A7ED50"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8" w:history="1">
            <w:r w:rsidR="004D4848" w:rsidRPr="00A021B7">
              <w:rPr>
                <w:rStyle w:val="Hyperlink"/>
                <w:noProof/>
                <w:lang w:val="sr-Cyrl-RS"/>
              </w:rPr>
              <w:t>V.3. Изборни системи за представничке и извршне органе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_Toc60136088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96</w:t>
            </w:r>
            <w:r w:rsidR="004D4848" w:rsidRPr="00A021B7">
              <w:rPr>
                <w:noProof/>
                <w:webHidden/>
                <w:lang w:val="sr-Cyrl-RS"/>
              </w:rPr>
              <w:fldChar w:fldCharType="end"/>
            </w:r>
          </w:hyperlink>
        </w:p>
        <w:p w14:paraId="13C4F74A" w14:textId="29F150FD"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89" w:history="1">
            <w:r w:rsidR="004D4848" w:rsidRPr="00A021B7">
              <w:rPr>
                <w:rStyle w:val="Hyperlink"/>
                <w:noProof/>
                <w:lang w:val="sr-Cyrl-RS"/>
              </w:rPr>
              <w:t>V.4. Однос локалне самоуправе и грађана</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_Toc60136089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97</w:t>
            </w:r>
            <w:r w:rsidR="004D4848" w:rsidRPr="00A021B7">
              <w:rPr>
                <w:noProof/>
                <w:webHidden/>
                <w:lang w:val="sr-Cyrl-RS"/>
              </w:rPr>
              <w:fldChar w:fldCharType="end"/>
            </w:r>
          </w:hyperlink>
        </w:p>
        <w:p w14:paraId="064F9253" w14:textId="13326284"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90" w:history="1">
            <w:r w:rsidR="004D4848" w:rsidRPr="00A021B7">
              <w:rPr>
                <w:rStyle w:val="Hyperlink"/>
                <w:noProof/>
                <w:lang w:val="sr-Cyrl-RS"/>
              </w:rPr>
              <w:t>V.5. Надлежности локалне самоуправе и основни начини њихове реализације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_Toc60136090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97</w:t>
            </w:r>
            <w:r w:rsidR="004D4848" w:rsidRPr="00A021B7">
              <w:rPr>
                <w:noProof/>
                <w:webHidden/>
                <w:lang w:val="sr-Cyrl-RS"/>
              </w:rPr>
              <w:fldChar w:fldCharType="end"/>
            </w:r>
          </w:hyperlink>
        </w:p>
        <w:p w14:paraId="35AD35B9" w14:textId="7A3684BB"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91" w:history="1">
            <w:r w:rsidR="004D4848" w:rsidRPr="00A021B7">
              <w:rPr>
                <w:rStyle w:val="Hyperlink"/>
                <w:noProof/>
                <w:lang w:val="sr-Cyrl-RS"/>
              </w:rPr>
              <w:t>V.6. Систем финансирања локалне самоуправе – приходи, расходи и удео у укупном јавном трошку</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_Toc60136091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98</w:t>
            </w:r>
            <w:r w:rsidR="004D4848" w:rsidRPr="00A021B7">
              <w:rPr>
                <w:noProof/>
                <w:webHidden/>
                <w:lang w:val="sr-Cyrl-RS"/>
              </w:rPr>
              <w:fldChar w:fldCharType="end"/>
            </w:r>
          </w:hyperlink>
        </w:p>
        <w:p w14:paraId="50F2BD31" w14:textId="2F47A499"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92" w:history="1">
            <w:r w:rsidR="004D4848" w:rsidRPr="00A021B7">
              <w:rPr>
                <w:rStyle w:val="Hyperlink"/>
                <w:noProof/>
                <w:lang w:val="sr-Cyrl-RS"/>
              </w:rPr>
              <w:t>V.7. Односи локалне самоуправе и виших нивоа власти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_Toc60136092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98</w:t>
            </w:r>
            <w:r w:rsidR="004D4848" w:rsidRPr="00A021B7">
              <w:rPr>
                <w:noProof/>
                <w:webHidden/>
                <w:lang w:val="sr-Cyrl-RS"/>
              </w:rPr>
              <w:fldChar w:fldCharType="end"/>
            </w:r>
          </w:hyperlink>
        </w:p>
        <w:p w14:paraId="0B50E97B" w14:textId="1D4AE482"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93" w:history="1">
            <w:r w:rsidR="004D4848" w:rsidRPr="00A021B7">
              <w:rPr>
                <w:rStyle w:val="Hyperlink"/>
                <w:noProof/>
                <w:lang w:val="sr-Cyrl-RS"/>
              </w:rPr>
              <w:t>V.8. Међуопштинска сарадња – системи заједничког управљања надлежностима</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_Toc60136093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99</w:t>
            </w:r>
            <w:r w:rsidR="004D4848" w:rsidRPr="00A021B7">
              <w:rPr>
                <w:noProof/>
                <w:webHidden/>
                <w:lang w:val="sr-Cyrl-RS"/>
              </w:rPr>
              <w:fldChar w:fldCharType="end"/>
            </w:r>
          </w:hyperlink>
        </w:p>
        <w:p w14:paraId="3A19BDA5" w14:textId="1B80EE63" w:rsidR="004D4848" w:rsidRPr="00A021B7" w:rsidRDefault="00FB2452">
          <w:pPr>
            <w:pStyle w:val="TOC1"/>
            <w:tabs>
              <w:tab w:val="left" w:pos="660"/>
            </w:tabs>
            <w:rPr>
              <w:rFonts w:asciiTheme="minorHAnsi" w:eastAsiaTheme="minorEastAsia" w:hAnsiTheme="minorHAnsi" w:cstheme="minorBidi"/>
              <w:noProof/>
              <w:sz w:val="22"/>
              <w:szCs w:val="22"/>
              <w:lang w:val="sr-Cyrl-RS" w:eastAsia="en-US"/>
            </w:rPr>
          </w:pPr>
          <w:hyperlink w:anchor="_Toc60136094" w:history="1">
            <w:r w:rsidR="004D4848" w:rsidRPr="00A021B7">
              <w:rPr>
                <w:rStyle w:val="Hyperlink"/>
                <w:noProof/>
                <w:lang w:val="sr-Cyrl-RS"/>
              </w:rPr>
              <w:t>VI.</w:t>
            </w:r>
            <w:r w:rsidR="004D4848" w:rsidRPr="00A021B7">
              <w:rPr>
                <w:rFonts w:asciiTheme="minorHAnsi" w:eastAsiaTheme="minorEastAsia" w:hAnsiTheme="minorHAnsi" w:cstheme="minorBidi"/>
                <w:noProof/>
                <w:sz w:val="22"/>
                <w:szCs w:val="22"/>
                <w:lang w:val="sr-Cyrl-RS" w:eastAsia="en-US"/>
              </w:rPr>
              <w:tab/>
            </w:r>
            <w:r w:rsidR="004D4848" w:rsidRPr="00A021B7">
              <w:rPr>
                <w:rStyle w:val="Hyperlink"/>
                <w:noProof/>
                <w:lang w:val="sr-Cyrl-RS"/>
              </w:rPr>
              <w:t>ВИЗИЈА И ОПШТИ ЦИЉ РЕФОРМЕ СИСТЕМА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_Toc60136094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100</w:t>
            </w:r>
            <w:r w:rsidR="004D4848" w:rsidRPr="00A021B7">
              <w:rPr>
                <w:noProof/>
                <w:webHidden/>
                <w:lang w:val="sr-Cyrl-RS"/>
              </w:rPr>
              <w:fldChar w:fldCharType="end"/>
            </w:r>
          </w:hyperlink>
        </w:p>
        <w:p w14:paraId="088D31FF" w14:textId="0499B36C" w:rsidR="004D4848" w:rsidRPr="00A021B7" w:rsidRDefault="00FB2452">
          <w:pPr>
            <w:pStyle w:val="TOC1"/>
            <w:tabs>
              <w:tab w:val="left" w:pos="660"/>
            </w:tabs>
            <w:rPr>
              <w:rFonts w:asciiTheme="minorHAnsi" w:eastAsiaTheme="minorEastAsia" w:hAnsiTheme="minorHAnsi" w:cstheme="minorBidi"/>
              <w:noProof/>
              <w:sz w:val="22"/>
              <w:szCs w:val="22"/>
              <w:lang w:val="sr-Cyrl-RS" w:eastAsia="en-US"/>
            </w:rPr>
          </w:pPr>
          <w:hyperlink w:anchor="_Toc60136095" w:history="1">
            <w:r w:rsidR="004D4848" w:rsidRPr="00A021B7">
              <w:rPr>
                <w:rStyle w:val="Hyperlink"/>
                <w:noProof/>
                <w:lang w:val="sr-Cyrl-RS"/>
              </w:rPr>
              <w:t>VII.</w:t>
            </w:r>
            <w:r w:rsidR="004D4848" w:rsidRPr="00A021B7">
              <w:rPr>
                <w:rFonts w:asciiTheme="minorHAnsi" w:eastAsiaTheme="minorEastAsia" w:hAnsiTheme="minorHAnsi" w:cstheme="minorBidi"/>
                <w:noProof/>
                <w:sz w:val="22"/>
                <w:szCs w:val="22"/>
                <w:lang w:val="sr-Cyrl-RS" w:eastAsia="en-US"/>
              </w:rPr>
              <w:tab/>
            </w:r>
            <w:r w:rsidR="004D4848" w:rsidRPr="00A021B7">
              <w:rPr>
                <w:rStyle w:val="Hyperlink"/>
                <w:noProof/>
                <w:lang w:val="sr-Cyrl-RS"/>
              </w:rPr>
              <w:t>ПОСЕБНИ ЦИЉЕВИ И МЕРЕ ЗА СПРОВОЂЕЊЕ РЕФОРМЕ СИСТЕМА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_Toc60136095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101</w:t>
            </w:r>
            <w:r w:rsidR="004D4848" w:rsidRPr="00A021B7">
              <w:rPr>
                <w:noProof/>
                <w:webHidden/>
                <w:lang w:val="sr-Cyrl-RS"/>
              </w:rPr>
              <w:fldChar w:fldCharType="end"/>
            </w:r>
          </w:hyperlink>
        </w:p>
        <w:p w14:paraId="76568E4E" w14:textId="6FCE8ECB"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098" w:history="1">
            <w:r w:rsidR="004D4848" w:rsidRPr="00A021B7">
              <w:rPr>
                <w:rStyle w:val="Hyperlink"/>
                <w:noProof/>
                <w:lang w:val="sr-Cyrl-RS"/>
              </w:rPr>
              <w:t>ПОСЕБНИ ЦИЉ 1: УНАПРЕЂЕН ПОЛОЖАЈ И ОДГОВОРНОСТ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_Toc60136098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101</w:t>
            </w:r>
            <w:r w:rsidR="004D4848" w:rsidRPr="00A021B7">
              <w:rPr>
                <w:noProof/>
                <w:webHidden/>
                <w:lang w:val="sr-Cyrl-RS"/>
              </w:rPr>
              <w:fldChar w:fldCharType="end"/>
            </w:r>
          </w:hyperlink>
        </w:p>
        <w:p w14:paraId="5B8070D7" w14:textId="270B6290"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112" w:history="1">
            <w:r w:rsidR="004D4848" w:rsidRPr="00A021B7">
              <w:rPr>
                <w:rStyle w:val="Hyperlink"/>
                <w:noProof/>
                <w:lang w:val="sr-Cyrl-RS"/>
              </w:rPr>
              <w:t>ПОСЕБНИ ЦИЉ 2: УНАПРЕЂЕН СИСТЕМ ФИНАНСИРАЊА КОЈИ ОМОГУЋАВА АДЕКВАТНО И ПРЕДВИДИВО ФИНАНСИРАЊЕ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_Toc60136112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104</w:t>
            </w:r>
            <w:r w:rsidR="004D4848" w:rsidRPr="00A021B7">
              <w:rPr>
                <w:noProof/>
                <w:webHidden/>
                <w:lang w:val="sr-Cyrl-RS"/>
              </w:rPr>
              <w:fldChar w:fldCharType="end"/>
            </w:r>
          </w:hyperlink>
        </w:p>
        <w:p w14:paraId="6672E904" w14:textId="4FAA94C4"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114" w:history="1">
            <w:r w:rsidR="004D4848" w:rsidRPr="00A021B7">
              <w:rPr>
                <w:rStyle w:val="Hyperlink"/>
                <w:noProof/>
                <w:lang w:val="sr-Cyrl-RS"/>
              </w:rPr>
              <w:t>ПОСЕБНИ ЦИЉ 3: УНАПРЕЂЕНА ОРГАНИЗАЦИЈА И КАПАЦИТЕТИ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_Toc60136114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107</w:t>
            </w:r>
            <w:r w:rsidR="004D4848" w:rsidRPr="00A021B7">
              <w:rPr>
                <w:noProof/>
                <w:webHidden/>
                <w:lang w:val="sr-Cyrl-RS"/>
              </w:rPr>
              <w:fldChar w:fldCharType="end"/>
            </w:r>
          </w:hyperlink>
        </w:p>
        <w:p w14:paraId="0B844456" w14:textId="349922C2"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116" w:history="1">
            <w:r w:rsidR="004D4848" w:rsidRPr="00A021B7">
              <w:rPr>
                <w:rStyle w:val="Hyperlink"/>
                <w:noProof/>
                <w:lang w:val="sr-Cyrl-RS"/>
              </w:rPr>
              <w:t xml:space="preserve">ПОСЕБНИ ЦИЉ 4: УНАПРЕЂЕН КВАЛИТЕТ И ДОСТУПНОСТ УПРАВНИХ, </w:t>
            </w:r>
            <w:r w:rsidR="00542921">
              <w:rPr>
                <w:rStyle w:val="Hyperlink"/>
                <w:noProof/>
                <w:lang w:val="sr-Cyrl-RS"/>
              </w:rPr>
              <w:t xml:space="preserve">И </w:t>
            </w:r>
            <w:r w:rsidR="004D4848" w:rsidRPr="00A021B7">
              <w:rPr>
                <w:rStyle w:val="Hyperlink"/>
                <w:noProof/>
                <w:lang w:val="sr-Cyrl-RS"/>
              </w:rPr>
              <w:t xml:space="preserve">КОМУНАЛНИХ </w:t>
            </w:r>
            <w:r w:rsidR="00542921">
              <w:rPr>
                <w:rStyle w:val="Hyperlink"/>
                <w:noProof/>
                <w:lang w:val="sr-Cyrl-RS"/>
              </w:rPr>
              <w:t xml:space="preserve">УСЛУГА </w:t>
            </w:r>
            <w:r w:rsidR="004D4848" w:rsidRPr="00A021B7">
              <w:rPr>
                <w:rStyle w:val="Hyperlink"/>
                <w:noProof/>
                <w:lang w:val="sr-Cyrl-RS"/>
              </w:rPr>
              <w:t>И УСЛУГА ЈАВНИХ УСТАНОВА ЛС СВИМ КОРИСНИЦИМА</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_Toc60136116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111</w:t>
            </w:r>
            <w:r w:rsidR="004D4848" w:rsidRPr="00A021B7">
              <w:rPr>
                <w:noProof/>
                <w:webHidden/>
                <w:lang w:val="sr-Cyrl-RS"/>
              </w:rPr>
              <w:fldChar w:fldCharType="end"/>
            </w:r>
          </w:hyperlink>
        </w:p>
        <w:p w14:paraId="2BD9911F" w14:textId="3AC808BC" w:rsidR="004D4848" w:rsidRPr="00A021B7" w:rsidRDefault="00FB2452">
          <w:pPr>
            <w:pStyle w:val="TOC1"/>
            <w:tabs>
              <w:tab w:val="left" w:pos="880"/>
            </w:tabs>
            <w:rPr>
              <w:rFonts w:asciiTheme="minorHAnsi" w:eastAsiaTheme="minorEastAsia" w:hAnsiTheme="minorHAnsi" w:cstheme="minorBidi"/>
              <w:noProof/>
              <w:sz w:val="22"/>
              <w:szCs w:val="22"/>
              <w:lang w:val="sr-Cyrl-RS" w:eastAsia="en-US"/>
            </w:rPr>
          </w:pPr>
          <w:hyperlink w:anchor="_Toc60136118" w:history="1">
            <w:r w:rsidR="004D4848" w:rsidRPr="00A021B7">
              <w:rPr>
                <w:rStyle w:val="Hyperlink"/>
                <w:noProof/>
                <w:lang w:val="sr-Cyrl-RS"/>
              </w:rPr>
              <w:t>VIII.</w:t>
            </w:r>
            <w:r w:rsidR="004D4848" w:rsidRPr="00A021B7">
              <w:rPr>
                <w:rFonts w:asciiTheme="minorHAnsi" w:eastAsiaTheme="minorEastAsia" w:hAnsiTheme="minorHAnsi" w:cstheme="minorBidi"/>
                <w:noProof/>
                <w:sz w:val="22"/>
                <w:szCs w:val="22"/>
                <w:lang w:val="sr-Cyrl-RS" w:eastAsia="en-US"/>
              </w:rPr>
              <w:tab/>
            </w:r>
            <w:r w:rsidR="004D4848" w:rsidRPr="00A021B7">
              <w:rPr>
                <w:rStyle w:val="Hyperlink"/>
                <w:noProof/>
                <w:lang w:val="sr-Cyrl-RS"/>
              </w:rPr>
              <w:t>ИНСТИТУЦИОНАЛНИ ОКВИР ЗА УПРАВЉАЊЕ РЕФОРМОМ СИСТЕМА ЛОКАЛНЕ САМОУПРАВЕ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_Toc60136118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114</w:t>
            </w:r>
            <w:r w:rsidR="004D4848" w:rsidRPr="00A021B7">
              <w:rPr>
                <w:noProof/>
                <w:webHidden/>
                <w:lang w:val="sr-Cyrl-RS"/>
              </w:rPr>
              <w:fldChar w:fldCharType="end"/>
            </w:r>
          </w:hyperlink>
        </w:p>
        <w:p w14:paraId="54A1244F" w14:textId="65BFE593" w:rsidR="004D4848" w:rsidRPr="00A021B7" w:rsidRDefault="00FB2452">
          <w:pPr>
            <w:pStyle w:val="TOC2"/>
            <w:rPr>
              <w:rFonts w:asciiTheme="minorHAnsi" w:eastAsiaTheme="minorEastAsia" w:hAnsiTheme="minorHAnsi" w:cstheme="minorBidi"/>
              <w:noProof/>
              <w:sz w:val="22"/>
              <w:szCs w:val="22"/>
              <w:lang w:val="sr-Cyrl-RS" w:eastAsia="en-US"/>
            </w:rPr>
          </w:pPr>
          <w:hyperlink w:anchor="_Toc60136119" w:history="1">
            <w:r w:rsidR="004D4848" w:rsidRPr="00A021B7">
              <w:rPr>
                <w:rStyle w:val="Hyperlink"/>
                <w:noProof/>
                <w:lang w:val="sr-Cyrl-RS"/>
              </w:rPr>
              <w:t>ПРИЛОЗИ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_Toc60136119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117</w:t>
            </w:r>
            <w:r w:rsidR="004D4848" w:rsidRPr="00A021B7">
              <w:rPr>
                <w:noProof/>
                <w:webHidden/>
                <w:lang w:val="sr-Cyrl-RS"/>
              </w:rPr>
              <w:fldChar w:fldCharType="end"/>
            </w:r>
          </w:hyperlink>
        </w:p>
        <w:p w14:paraId="44FAC091" w14:textId="18A351B2"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120" w:history="1">
            <w:r w:rsidR="004D4848" w:rsidRPr="00A021B7">
              <w:rPr>
                <w:rStyle w:val="Hyperlink"/>
                <w:noProof/>
                <w:lang w:val="sr-Cyrl-RS"/>
              </w:rPr>
              <w:t>ПРИЛОГ 1: АКЦИОНИ ПЛАН ЗА ПЕРИОД 2021</w:t>
            </w:r>
            <w:r w:rsidR="007E161D">
              <w:rPr>
                <w:rStyle w:val="Hyperlink"/>
                <w:noProof/>
                <w:lang w:val="sr-Cyrl-RS"/>
              </w:rPr>
              <w:t>–</w:t>
            </w:r>
            <w:r w:rsidR="004D4848" w:rsidRPr="00A021B7">
              <w:rPr>
                <w:rStyle w:val="Hyperlink"/>
                <w:noProof/>
                <w:lang w:val="sr-Cyrl-RS"/>
              </w:rPr>
              <w:t>2023</w:t>
            </w:r>
            <w:r w:rsidR="007E161D">
              <w:rPr>
                <w:rStyle w:val="Hyperlink"/>
                <w:noProof/>
                <w:lang w:val="sr-Cyrl-RS"/>
              </w:rPr>
              <w:t>.</w:t>
            </w:r>
            <w:r w:rsidR="004D4848" w:rsidRPr="00A021B7">
              <w:rPr>
                <w:rStyle w:val="Hyperlink"/>
                <w:noProof/>
                <w:lang w:val="sr-Cyrl-RS"/>
              </w:rPr>
              <w:t xml:space="preserve"> ГОДИН</w:t>
            </w:r>
            <w:r w:rsidR="007E161D">
              <w:rPr>
                <w:rStyle w:val="Hyperlink"/>
                <w:noProof/>
                <w:lang w:val="sr-Cyrl-RS"/>
              </w:rPr>
              <w:t>Е</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_Toc60136120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118</w:t>
            </w:r>
            <w:r w:rsidR="004D4848" w:rsidRPr="00A021B7">
              <w:rPr>
                <w:noProof/>
                <w:webHidden/>
                <w:lang w:val="sr-Cyrl-RS"/>
              </w:rPr>
              <w:fldChar w:fldCharType="end"/>
            </w:r>
          </w:hyperlink>
        </w:p>
        <w:p w14:paraId="62BA5AA8" w14:textId="060719B8" w:rsidR="004D4848" w:rsidRPr="00A021B7" w:rsidRDefault="00FB2452">
          <w:pPr>
            <w:pStyle w:val="TOC3"/>
            <w:tabs>
              <w:tab w:val="right" w:leader="dot" w:pos="9010"/>
            </w:tabs>
            <w:rPr>
              <w:rFonts w:asciiTheme="minorHAnsi" w:eastAsiaTheme="minorEastAsia" w:hAnsiTheme="minorHAnsi" w:cstheme="minorBidi"/>
              <w:noProof/>
              <w:sz w:val="22"/>
              <w:szCs w:val="22"/>
              <w:lang w:val="sr-Cyrl-RS" w:eastAsia="en-US"/>
            </w:rPr>
          </w:pPr>
          <w:hyperlink w:anchor="_Toc60136121" w:history="1">
            <w:r w:rsidR="004D4848" w:rsidRPr="00A021B7">
              <w:rPr>
                <w:rStyle w:val="Hyperlink"/>
                <w:noProof/>
                <w:lang w:val="sr-Cyrl-RS"/>
              </w:rPr>
              <w:t>ПРИЛОГ 2: ПАСОШ</w:t>
            </w:r>
            <w:r w:rsidR="004A7468">
              <w:rPr>
                <w:rStyle w:val="Hyperlink"/>
                <w:noProof/>
                <w:lang w:val="sr-Cyrl-RS"/>
              </w:rPr>
              <w:t>-</w:t>
            </w:r>
            <w:r w:rsidR="004D4848" w:rsidRPr="00A021B7">
              <w:rPr>
                <w:rStyle w:val="Hyperlink"/>
                <w:noProof/>
                <w:lang w:val="sr-Cyrl-RS"/>
              </w:rPr>
              <w:t>ПОКАЗАТЕЉИ</w:t>
            </w:r>
            <w:r w:rsidR="004D4848" w:rsidRPr="00A021B7">
              <w:rPr>
                <w:noProof/>
                <w:webHidden/>
                <w:lang w:val="sr-Cyrl-RS"/>
              </w:rPr>
              <w:tab/>
            </w:r>
            <w:r w:rsidR="004D4848" w:rsidRPr="00A021B7">
              <w:rPr>
                <w:noProof/>
                <w:webHidden/>
                <w:lang w:val="sr-Cyrl-RS"/>
              </w:rPr>
              <w:fldChar w:fldCharType="begin"/>
            </w:r>
            <w:r w:rsidR="004D4848" w:rsidRPr="00A021B7">
              <w:rPr>
                <w:noProof/>
                <w:webHidden/>
                <w:lang w:val="sr-Cyrl-RS"/>
              </w:rPr>
              <w:instrText xml:space="preserve"> PAGEREF _Toc60136121 \h </w:instrText>
            </w:r>
            <w:r w:rsidR="004D4848" w:rsidRPr="00A021B7">
              <w:rPr>
                <w:noProof/>
                <w:webHidden/>
                <w:lang w:val="sr-Cyrl-RS"/>
              </w:rPr>
            </w:r>
            <w:r w:rsidR="004D4848" w:rsidRPr="00A021B7">
              <w:rPr>
                <w:noProof/>
                <w:webHidden/>
                <w:lang w:val="sr-Cyrl-RS"/>
              </w:rPr>
              <w:fldChar w:fldCharType="separate"/>
            </w:r>
            <w:r w:rsidR="00D71B74">
              <w:rPr>
                <w:noProof/>
                <w:webHidden/>
                <w:lang w:val="sr-Cyrl-RS"/>
              </w:rPr>
              <w:t>119</w:t>
            </w:r>
            <w:r w:rsidR="004D4848" w:rsidRPr="00A021B7">
              <w:rPr>
                <w:noProof/>
                <w:webHidden/>
                <w:lang w:val="sr-Cyrl-RS"/>
              </w:rPr>
              <w:fldChar w:fldCharType="end"/>
            </w:r>
          </w:hyperlink>
        </w:p>
        <w:p w14:paraId="0B6CE204" w14:textId="14BD920E" w:rsidR="004D4848" w:rsidRPr="00A021B7" w:rsidRDefault="004D4848">
          <w:pPr>
            <w:rPr>
              <w:lang w:val="sr-Cyrl-RS"/>
            </w:rPr>
          </w:pPr>
          <w:r w:rsidRPr="00A021B7">
            <w:rPr>
              <w:b/>
              <w:bCs/>
              <w:lang w:val="sr-Cyrl-RS"/>
            </w:rPr>
            <w:fldChar w:fldCharType="end"/>
          </w:r>
        </w:p>
      </w:sdtContent>
    </w:sdt>
    <w:p w14:paraId="1DF539F4" w14:textId="1552AD7A" w:rsidR="00842575" w:rsidRPr="00A021B7" w:rsidRDefault="00842575" w:rsidP="003E7BC9">
      <w:pPr>
        <w:rPr>
          <w:rFonts w:ascii="Arial" w:hAnsi="Arial" w:cs="Arial"/>
          <w:b/>
          <w:bCs/>
          <w:sz w:val="20"/>
          <w:szCs w:val="20"/>
          <w:lang w:val="sr-Cyrl-RS"/>
        </w:rPr>
      </w:pPr>
    </w:p>
    <w:p w14:paraId="1FD5E415" w14:textId="6B9BCD65" w:rsidR="003E7BC9" w:rsidRPr="00A021B7" w:rsidRDefault="003E7BC9" w:rsidP="003E7BC9">
      <w:pPr>
        <w:rPr>
          <w:rFonts w:ascii="Arial" w:hAnsi="Arial" w:cs="Arial"/>
          <w:b/>
          <w:bCs/>
          <w:sz w:val="20"/>
          <w:szCs w:val="20"/>
          <w:lang w:val="sr-Cyrl-RS"/>
        </w:rPr>
      </w:pPr>
    </w:p>
    <w:p w14:paraId="53239EBD" w14:textId="188DAD07" w:rsidR="003E7BC9" w:rsidRPr="00A021B7" w:rsidRDefault="003E7BC9" w:rsidP="003E7BC9">
      <w:pPr>
        <w:rPr>
          <w:rFonts w:ascii="Arial" w:hAnsi="Arial" w:cs="Arial"/>
          <w:b/>
          <w:bCs/>
          <w:sz w:val="20"/>
          <w:szCs w:val="20"/>
          <w:lang w:val="sr-Cyrl-RS"/>
        </w:rPr>
      </w:pPr>
    </w:p>
    <w:p w14:paraId="0E339C65" w14:textId="6D0380AB" w:rsidR="003E7BC9" w:rsidRPr="00A021B7" w:rsidRDefault="003E7BC9" w:rsidP="003E7BC9">
      <w:pPr>
        <w:rPr>
          <w:rFonts w:ascii="Arial" w:hAnsi="Arial" w:cs="Arial"/>
          <w:b/>
          <w:bCs/>
          <w:sz w:val="20"/>
          <w:szCs w:val="20"/>
          <w:lang w:val="sr-Cyrl-RS"/>
        </w:rPr>
      </w:pPr>
    </w:p>
    <w:p w14:paraId="3A6BFFE1" w14:textId="5C4439F9" w:rsidR="003E7BC9" w:rsidRPr="00A021B7" w:rsidRDefault="003E7BC9" w:rsidP="003E7BC9">
      <w:pPr>
        <w:rPr>
          <w:rFonts w:ascii="Arial" w:hAnsi="Arial" w:cs="Arial"/>
          <w:b/>
          <w:bCs/>
          <w:sz w:val="20"/>
          <w:szCs w:val="20"/>
          <w:lang w:val="sr-Cyrl-RS"/>
        </w:rPr>
      </w:pPr>
    </w:p>
    <w:p w14:paraId="4070DA20" w14:textId="446CE134" w:rsidR="003E7BC9" w:rsidRPr="00A021B7" w:rsidRDefault="003E7BC9" w:rsidP="003E7BC9">
      <w:pPr>
        <w:rPr>
          <w:rFonts w:ascii="Arial" w:hAnsi="Arial" w:cs="Arial"/>
          <w:b/>
          <w:bCs/>
          <w:sz w:val="20"/>
          <w:szCs w:val="20"/>
          <w:lang w:val="sr-Cyrl-RS"/>
        </w:rPr>
      </w:pPr>
    </w:p>
    <w:p w14:paraId="20087118" w14:textId="77777777" w:rsidR="003E7BC9" w:rsidRPr="00A021B7" w:rsidRDefault="003E7BC9" w:rsidP="003E7BC9">
      <w:pPr>
        <w:rPr>
          <w:rFonts w:ascii="Arial" w:hAnsi="Arial" w:cs="Arial"/>
          <w:b/>
          <w:bCs/>
          <w:sz w:val="20"/>
          <w:szCs w:val="20"/>
          <w:lang w:val="sr-Cyrl-RS"/>
        </w:rPr>
      </w:pPr>
    </w:p>
    <w:p w14:paraId="650DCB92" w14:textId="77777777" w:rsidR="00B30157" w:rsidRPr="00A021B7" w:rsidRDefault="00B30157" w:rsidP="003E7BC9">
      <w:pPr>
        <w:rPr>
          <w:rFonts w:ascii="Arial" w:hAnsi="Arial" w:cs="Arial"/>
          <w:b/>
          <w:bCs/>
          <w:sz w:val="20"/>
          <w:szCs w:val="20"/>
          <w:lang w:val="sr-Cyrl-RS"/>
        </w:rPr>
      </w:pPr>
    </w:p>
    <w:p w14:paraId="11A64F71" w14:textId="4BBEA5CF" w:rsidR="00842575" w:rsidRPr="00A021B7" w:rsidRDefault="00842575" w:rsidP="003E7BC9">
      <w:pPr>
        <w:rPr>
          <w:rFonts w:ascii="Arial" w:hAnsi="Arial" w:cs="Arial"/>
          <w:b/>
          <w:bCs/>
          <w:sz w:val="20"/>
          <w:szCs w:val="20"/>
          <w:lang w:val="sr-Cyrl-RS"/>
        </w:rPr>
      </w:pPr>
      <w:r w:rsidRPr="00A021B7">
        <w:rPr>
          <w:rFonts w:ascii="Arial" w:hAnsi="Arial" w:cs="Arial"/>
          <w:b/>
          <w:bCs/>
          <w:sz w:val="20"/>
          <w:szCs w:val="20"/>
          <w:lang w:val="sr-Cyrl-RS"/>
        </w:rPr>
        <w:t>СКРАЋЕНИЦЕ</w:t>
      </w:r>
    </w:p>
    <w:p w14:paraId="7272CFB5" w14:textId="77777777" w:rsidR="00842575" w:rsidRPr="00A021B7" w:rsidRDefault="00842575" w:rsidP="003E7BC9">
      <w:pPr>
        <w:rPr>
          <w:rFonts w:ascii="Arial" w:hAnsi="Arial" w:cs="Arial"/>
          <w:b/>
          <w:bCs/>
          <w:sz w:val="20"/>
          <w:szCs w:val="20"/>
          <w:lang w:val="sr-Cyrl-RS"/>
        </w:rPr>
      </w:pPr>
    </w:p>
    <w:tbl>
      <w:tblPr>
        <w:tblW w:w="0" w:type="auto"/>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00" w:firstRow="0" w:lastRow="0" w:firstColumn="0" w:lastColumn="0" w:noHBand="0" w:noVBand="0"/>
      </w:tblPr>
      <w:tblGrid>
        <w:gridCol w:w="1196"/>
        <w:gridCol w:w="7706"/>
      </w:tblGrid>
      <w:tr w:rsidR="00842575" w:rsidRPr="00A021B7" w14:paraId="368B1418" w14:textId="77777777" w:rsidTr="0DD3B114">
        <w:tc>
          <w:tcPr>
            <w:tcW w:w="1196" w:type="dxa"/>
            <w:shd w:val="clear" w:color="auto" w:fill="auto"/>
          </w:tcPr>
          <w:p w14:paraId="401CF9C3"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АП</w:t>
            </w:r>
          </w:p>
        </w:tc>
        <w:tc>
          <w:tcPr>
            <w:tcW w:w="7706" w:type="dxa"/>
            <w:shd w:val="clear" w:color="auto" w:fill="auto"/>
          </w:tcPr>
          <w:p w14:paraId="32A672B3" w14:textId="619B02E4"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Аутономна покрајина</w:t>
            </w:r>
          </w:p>
        </w:tc>
      </w:tr>
      <w:tr w:rsidR="00842575" w:rsidRPr="00A021B7" w14:paraId="0152DE37" w14:textId="77777777" w:rsidTr="0DD3B114">
        <w:tc>
          <w:tcPr>
            <w:tcW w:w="1196" w:type="dxa"/>
            <w:shd w:val="clear" w:color="auto" w:fill="auto"/>
          </w:tcPr>
          <w:p w14:paraId="43962B4A"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БДП</w:t>
            </w:r>
          </w:p>
        </w:tc>
        <w:tc>
          <w:tcPr>
            <w:tcW w:w="7706" w:type="dxa"/>
            <w:shd w:val="clear" w:color="auto" w:fill="auto"/>
          </w:tcPr>
          <w:p w14:paraId="73077CFD"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Бруто домаћи производ</w:t>
            </w:r>
          </w:p>
        </w:tc>
      </w:tr>
      <w:tr w:rsidR="00842575" w:rsidRPr="00A021B7" w14:paraId="1443C4D1" w14:textId="77777777" w:rsidTr="0DD3B114">
        <w:tc>
          <w:tcPr>
            <w:tcW w:w="1196" w:type="dxa"/>
            <w:shd w:val="clear" w:color="auto" w:fill="auto"/>
          </w:tcPr>
          <w:p w14:paraId="30C98DC6"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ЕУ</w:t>
            </w:r>
          </w:p>
        </w:tc>
        <w:tc>
          <w:tcPr>
            <w:tcW w:w="7706" w:type="dxa"/>
            <w:shd w:val="clear" w:color="auto" w:fill="auto"/>
          </w:tcPr>
          <w:p w14:paraId="3F50A7D7"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Европска унија</w:t>
            </w:r>
          </w:p>
        </w:tc>
      </w:tr>
      <w:tr w:rsidR="00842575" w:rsidRPr="00A021B7" w14:paraId="593F3E17" w14:textId="77777777" w:rsidTr="0DD3B114">
        <w:tc>
          <w:tcPr>
            <w:tcW w:w="1196" w:type="dxa"/>
            <w:shd w:val="clear" w:color="auto" w:fill="auto"/>
          </w:tcPr>
          <w:p w14:paraId="06E0D590" w14:textId="54E1261D"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ЕПЛС</w:t>
            </w:r>
          </w:p>
        </w:tc>
        <w:tc>
          <w:tcPr>
            <w:tcW w:w="7706" w:type="dxa"/>
            <w:shd w:val="clear" w:color="auto" w:fill="auto"/>
          </w:tcPr>
          <w:p w14:paraId="7A6D96CD" w14:textId="5C8002FF"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Европска повеља о локалној самоуправи</w:t>
            </w:r>
          </w:p>
        </w:tc>
      </w:tr>
      <w:tr w:rsidR="00BC1697" w:rsidRPr="00A021B7" w14:paraId="09993B26" w14:textId="77777777" w:rsidTr="0DD3B114">
        <w:tc>
          <w:tcPr>
            <w:tcW w:w="1196" w:type="dxa"/>
            <w:shd w:val="clear" w:color="auto" w:fill="auto"/>
          </w:tcPr>
          <w:p w14:paraId="00AE0090" w14:textId="5B5EE75B" w:rsidR="00BC1697" w:rsidRPr="00A021B7" w:rsidRDefault="00BC1697"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ИР</w:t>
            </w:r>
          </w:p>
        </w:tc>
        <w:tc>
          <w:tcPr>
            <w:tcW w:w="7706" w:type="dxa"/>
            <w:shd w:val="clear" w:color="auto" w:fill="auto"/>
          </w:tcPr>
          <w:p w14:paraId="2E583941" w14:textId="31A8D1BB" w:rsidR="00BC1697" w:rsidRPr="00A021B7" w:rsidRDefault="00BC1697"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Интерна ревизија</w:t>
            </w:r>
          </w:p>
        </w:tc>
      </w:tr>
      <w:tr w:rsidR="00842575" w:rsidRPr="00A021B7" w14:paraId="443A18DC" w14:textId="77777777" w:rsidTr="0DD3B114">
        <w:tc>
          <w:tcPr>
            <w:tcW w:w="1196" w:type="dxa"/>
            <w:shd w:val="clear" w:color="auto" w:fill="auto"/>
          </w:tcPr>
          <w:p w14:paraId="4477E90D"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ЈИС</w:t>
            </w:r>
          </w:p>
        </w:tc>
        <w:tc>
          <w:tcPr>
            <w:tcW w:w="7706" w:type="dxa"/>
            <w:shd w:val="clear" w:color="auto" w:fill="auto"/>
          </w:tcPr>
          <w:p w14:paraId="473480B2"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Јединствени информациони систем за планирање и координацију јавних политика</w:t>
            </w:r>
          </w:p>
        </w:tc>
      </w:tr>
      <w:tr w:rsidR="00842575" w:rsidRPr="00A021B7" w14:paraId="10BFE5CD" w14:textId="77777777" w:rsidTr="0DD3B114">
        <w:tc>
          <w:tcPr>
            <w:tcW w:w="1196" w:type="dxa"/>
            <w:shd w:val="clear" w:color="auto" w:fill="auto"/>
          </w:tcPr>
          <w:p w14:paraId="03D894DB"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ЈЛС</w:t>
            </w:r>
          </w:p>
        </w:tc>
        <w:tc>
          <w:tcPr>
            <w:tcW w:w="7706" w:type="dxa"/>
            <w:shd w:val="clear" w:color="auto" w:fill="auto"/>
          </w:tcPr>
          <w:p w14:paraId="26D33C60"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Јединица локалне самоуправе</w:t>
            </w:r>
          </w:p>
        </w:tc>
      </w:tr>
      <w:tr w:rsidR="00842575" w:rsidRPr="00A021B7" w14:paraId="72A760AF" w14:textId="77777777" w:rsidTr="0DD3B114">
        <w:tc>
          <w:tcPr>
            <w:tcW w:w="1196" w:type="dxa"/>
            <w:shd w:val="clear" w:color="auto" w:fill="auto"/>
          </w:tcPr>
          <w:p w14:paraId="2CDFA26B"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ЛС</w:t>
            </w:r>
          </w:p>
        </w:tc>
        <w:tc>
          <w:tcPr>
            <w:tcW w:w="7706" w:type="dxa"/>
            <w:shd w:val="clear" w:color="auto" w:fill="auto"/>
          </w:tcPr>
          <w:p w14:paraId="1A66BE83"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Локална самоуправа</w:t>
            </w:r>
          </w:p>
        </w:tc>
      </w:tr>
      <w:tr w:rsidR="00842575" w:rsidRPr="00A021B7" w14:paraId="24F8AA03" w14:textId="77777777" w:rsidTr="0DD3B114">
        <w:tc>
          <w:tcPr>
            <w:tcW w:w="1196" w:type="dxa"/>
            <w:shd w:val="clear" w:color="auto" w:fill="auto"/>
          </w:tcPr>
          <w:p w14:paraId="1A350327"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МДУЛС</w:t>
            </w:r>
          </w:p>
        </w:tc>
        <w:tc>
          <w:tcPr>
            <w:tcW w:w="7706" w:type="dxa"/>
            <w:shd w:val="clear" w:color="auto" w:fill="auto"/>
          </w:tcPr>
          <w:p w14:paraId="7EC6A018"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Министарство државне управе и локалне самоуправе</w:t>
            </w:r>
          </w:p>
        </w:tc>
      </w:tr>
      <w:tr w:rsidR="00842575" w:rsidRPr="00A021B7" w14:paraId="35D3E88C" w14:textId="77777777" w:rsidTr="0DD3B114">
        <w:tc>
          <w:tcPr>
            <w:tcW w:w="1196" w:type="dxa"/>
            <w:shd w:val="clear" w:color="auto" w:fill="auto"/>
          </w:tcPr>
          <w:p w14:paraId="413A75E8" w14:textId="30E95A1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МЗ</w:t>
            </w:r>
          </w:p>
        </w:tc>
        <w:tc>
          <w:tcPr>
            <w:tcW w:w="7706" w:type="dxa"/>
            <w:shd w:val="clear" w:color="auto" w:fill="auto"/>
          </w:tcPr>
          <w:p w14:paraId="7ACA16A6" w14:textId="48A1F69F"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Месна заједница</w:t>
            </w:r>
          </w:p>
        </w:tc>
      </w:tr>
      <w:tr w:rsidR="00842575" w:rsidRPr="00A021B7" w14:paraId="5A701909" w14:textId="77777777" w:rsidTr="0DD3B114">
        <w:tc>
          <w:tcPr>
            <w:tcW w:w="1196" w:type="dxa"/>
            <w:shd w:val="clear" w:color="auto" w:fill="auto"/>
          </w:tcPr>
          <w:p w14:paraId="6E4890AE" w14:textId="46AE6AE9"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МФИН</w:t>
            </w:r>
          </w:p>
        </w:tc>
        <w:tc>
          <w:tcPr>
            <w:tcW w:w="7706" w:type="dxa"/>
            <w:shd w:val="clear" w:color="auto" w:fill="auto"/>
          </w:tcPr>
          <w:p w14:paraId="70E348E3"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Министарство финансија</w:t>
            </w:r>
          </w:p>
        </w:tc>
      </w:tr>
      <w:tr w:rsidR="00842575" w:rsidRPr="00A021B7" w14:paraId="5D595946" w14:textId="77777777" w:rsidTr="0DD3B114">
        <w:tc>
          <w:tcPr>
            <w:tcW w:w="1196" w:type="dxa"/>
            <w:shd w:val="clear" w:color="auto" w:fill="auto"/>
          </w:tcPr>
          <w:p w14:paraId="457178E7"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НАЈУ</w:t>
            </w:r>
          </w:p>
        </w:tc>
        <w:tc>
          <w:tcPr>
            <w:tcW w:w="7706" w:type="dxa"/>
            <w:shd w:val="clear" w:color="auto" w:fill="auto"/>
          </w:tcPr>
          <w:p w14:paraId="2D382111"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Национална академија за јавну управу</w:t>
            </w:r>
          </w:p>
        </w:tc>
      </w:tr>
      <w:tr w:rsidR="00842575" w:rsidRPr="00A021B7" w14:paraId="075DF39C" w14:textId="77777777" w:rsidTr="0DD3B114">
        <w:tc>
          <w:tcPr>
            <w:tcW w:w="1196" w:type="dxa"/>
            <w:shd w:val="clear" w:color="auto" w:fill="auto"/>
          </w:tcPr>
          <w:p w14:paraId="67873492" w14:textId="6BB3991C"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НАЛЕД</w:t>
            </w:r>
          </w:p>
        </w:tc>
        <w:tc>
          <w:tcPr>
            <w:tcW w:w="7706" w:type="dxa"/>
            <w:shd w:val="clear" w:color="auto" w:fill="auto"/>
          </w:tcPr>
          <w:p w14:paraId="48F8AEFD" w14:textId="3D58E8BA"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Национална алијанса за локални економски развој</w:t>
            </w:r>
          </w:p>
        </w:tc>
      </w:tr>
      <w:tr w:rsidR="00842575" w:rsidRPr="00A021B7" w14:paraId="0A8B5F8F" w14:textId="77777777" w:rsidTr="0DD3B114">
        <w:tc>
          <w:tcPr>
            <w:tcW w:w="1196" w:type="dxa"/>
            <w:shd w:val="clear" w:color="auto" w:fill="auto"/>
          </w:tcPr>
          <w:p w14:paraId="31F762FF"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ОДУ</w:t>
            </w:r>
          </w:p>
        </w:tc>
        <w:tc>
          <w:tcPr>
            <w:tcW w:w="7706" w:type="dxa"/>
            <w:shd w:val="clear" w:color="auto" w:fill="auto"/>
          </w:tcPr>
          <w:p w14:paraId="7A9D95DE"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Органи државне управе</w:t>
            </w:r>
          </w:p>
        </w:tc>
      </w:tr>
      <w:tr w:rsidR="00BC1697" w:rsidRPr="00A021B7" w14:paraId="366FE432" w14:textId="77777777" w:rsidTr="0DD3B114">
        <w:tc>
          <w:tcPr>
            <w:tcW w:w="1196" w:type="dxa"/>
            <w:shd w:val="clear" w:color="auto" w:fill="auto"/>
          </w:tcPr>
          <w:p w14:paraId="2C313393" w14:textId="2FB52D70" w:rsidR="00BC1697" w:rsidRPr="00A021B7" w:rsidRDefault="00BC1697"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СО</w:t>
            </w:r>
          </w:p>
        </w:tc>
        <w:tc>
          <w:tcPr>
            <w:tcW w:w="7706" w:type="dxa"/>
            <w:shd w:val="clear" w:color="auto" w:fill="auto"/>
          </w:tcPr>
          <w:p w14:paraId="7694683D" w14:textId="769C79B1" w:rsidR="00BC1697" w:rsidRPr="00A021B7" w:rsidRDefault="00BC1697"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Скупштина општине</w:t>
            </w:r>
          </w:p>
        </w:tc>
      </w:tr>
      <w:tr w:rsidR="00842575" w:rsidRPr="00A021B7" w14:paraId="39D978FD" w14:textId="77777777" w:rsidTr="0DD3B114">
        <w:trPr>
          <w:trHeight w:val="59"/>
        </w:trPr>
        <w:tc>
          <w:tcPr>
            <w:tcW w:w="1196" w:type="dxa"/>
          </w:tcPr>
          <w:p w14:paraId="15285FCD"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СКГО</w:t>
            </w:r>
          </w:p>
        </w:tc>
        <w:tc>
          <w:tcPr>
            <w:tcW w:w="7706" w:type="dxa"/>
          </w:tcPr>
          <w:p w14:paraId="48EFFD69" w14:textId="14CD0ACB"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Стална конференција градова и општина – Савез градова и општина Србије</w:t>
            </w:r>
          </w:p>
        </w:tc>
      </w:tr>
      <w:tr w:rsidR="00842575" w:rsidRPr="00A021B7" w14:paraId="5BAD227F" w14:textId="77777777" w:rsidTr="0DD3B114">
        <w:trPr>
          <w:trHeight w:val="59"/>
        </w:trPr>
        <w:tc>
          <w:tcPr>
            <w:tcW w:w="1196" w:type="dxa"/>
          </w:tcPr>
          <w:p w14:paraId="483910EA"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УЉР</w:t>
            </w:r>
          </w:p>
        </w:tc>
        <w:tc>
          <w:tcPr>
            <w:tcW w:w="7706" w:type="dxa"/>
          </w:tcPr>
          <w:p w14:paraId="504AABC9"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Управљање људским ресурсима</w:t>
            </w:r>
          </w:p>
        </w:tc>
      </w:tr>
      <w:tr w:rsidR="00842575" w:rsidRPr="00A021B7" w14:paraId="29DB0FB1" w14:textId="77777777" w:rsidTr="0DD3B114">
        <w:trPr>
          <w:trHeight w:val="59"/>
        </w:trPr>
        <w:tc>
          <w:tcPr>
            <w:tcW w:w="1196" w:type="dxa"/>
          </w:tcPr>
          <w:p w14:paraId="1C11523B" w14:textId="6D265F0F" w:rsidR="00842575" w:rsidRPr="00A021B7" w:rsidRDefault="00842575" w:rsidP="0DD3B114">
            <w:pPr>
              <w:pStyle w:val="basic-paragraph"/>
              <w:spacing w:before="0" w:beforeAutospacing="0" w:after="0" w:afterAutospacing="0"/>
              <w:rPr>
                <w:rFonts w:ascii="Arial" w:hAnsi="Arial" w:cs="Arial"/>
                <w:sz w:val="20"/>
                <w:szCs w:val="20"/>
                <w:lang w:val="sr-Cyrl-RS"/>
              </w:rPr>
            </w:pPr>
            <w:r w:rsidRPr="0DD3B114">
              <w:rPr>
                <w:rFonts w:ascii="Arial" w:hAnsi="Arial" w:cs="Arial"/>
                <w:sz w:val="20"/>
                <w:szCs w:val="20"/>
                <w:lang w:val="sr-Cyrl-RS"/>
              </w:rPr>
              <w:t>ФУК</w:t>
            </w:r>
          </w:p>
        </w:tc>
        <w:tc>
          <w:tcPr>
            <w:tcW w:w="7706" w:type="dxa"/>
          </w:tcPr>
          <w:p w14:paraId="5F8C7115" w14:textId="77777777" w:rsidR="00842575" w:rsidRPr="00A021B7" w:rsidRDefault="00842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Финансијско управљање и контрола</w:t>
            </w:r>
          </w:p>
        </w:tc>
      </w:tr>
      <w:tr w:rsidR="00842575" w:rsidRPr="00A021B7" w14:paraId="3AD9D7ED" w14:textId="77777777" w:rsidTr="0DD3B114">
        <w:trPr>
          <w:trHeight w:val="59"/>
        </w:trPr>
        <w:tc>
          <w:tcPr>
            <w:tcW w:w="1196" w:type="dxa"/>
          </w:tcPr>
          <w:p w14:paraId="0C1EC578" w14:textId="621E6A8D" w:rsidR="00842575" w:rsidRPr="00A021B7" w:rsidRDefault="00BC1697"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ЦЈХ</w:t>
            </w:r>
          </w:p>
        </w:tc>
        <w:tc>
          <w:tcPr>
            <w:tcW w:w="7706" w:type="dxa"/>
          </w:tcPr>
          <w:p w14:paraId="138A4731" w14:textId="2F02CAF0" w:rsidR="00842575" w:rsidRPr="00A021B7" w:rsidRDefault="00BC1697"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Централна јединица за хармонизацију</w:t>
            </w:r>
          </w:p>
        </w:tc>
      </w:tr>
    </w:tbl>
    <w:p w14:paraId="61499FBA" w14:textId="6E21B0D8" w:rsidR="00BC1697" w:rsidRPr="00A021B7" w:rsidRDefault="00BC1697" w:rsidP="003E7BC9">
      <w:pPr>
        <w:rPr>
          <w:rFonts w:ascii="Arial" w:hAnsi="Arial" w:cs="Arial"/>
          <w:b/>
          <w:bCs/>
          <w:sz w:val="20"/>
          <w:szCs w:val="20"/>
          <w:lang w:val="sr-Cyrl-RS"/>
        </w:rPr>
      </w:pPr>
    </w:p>
    <w:p w14:paraId="7F79B43A" w14:textId="2AFE09E0" w:rsidR="00CE205B" w:rsidRPr="00A021B7" w:rsidRDefault="00C8416E" w:rsidP="004935B9">
      <w:pPr>
        <w:pStyle w:val="Heading1"/>
        <w:numPr>
          <w:ilvl w:val="0"/>
          <w:numId w:val="30"/>
        </w:numPr>
        <w:rPr>
          <w:lang w:val="sr-Cyrl-RS"/>
        </w:rPr>
      </w:pPr>
      <w:bookmarkStart w:id="0" w:name="_Toc52865764"/>
      <w:bookmarkStart w:id="1" w:name="_Toc52866175"/>
      <w:bookmarkStart w:id="2" w:name="_Toc56508425"/>
      <w:bookmarkStart w:id="3" w:name="_Toc60136060"/>
      <w:r w:rsidRPr="00A021B7">
        <w:rPr>
          <w:lang w:val="sr-Cyrl-RS"/>
        </w:rPr>
        <w:t>УВОД</w:t>
      </w:r>
      <w:bookmarkEnd w:id="0"/>
      <w:bookmarkEnd w:id="1"/>
      <w:bookmarkEnd w:id="2"/>
      <w:bookmarkEnd w:id="3"/>
      <w:r w:rsidRPr="00A021B7">
        <w:rPr>
          <w:lang w:val="sr-Cyrl-RS"/>
        </w:rPr>
        <w:t xml:space="preserve"> </w:t>
      </w:r>
    </w:p>
    <w:p w14:paraId="7B041079" w14:textId="77777777" w:rsidR="00C9397D" w:rsidRPr="00A021B7" w:rsidRDefault="00C9397D" w:rsidP="003E7BC9">
      <w:pPr>
        <w:rPr>
          <w:rFonts w:ascii="Arial" w:hAnsi="Arial" w:cs="Arial"/>
          <w:b/>
          <w:bCs/>
          <w:sz w:val="20"/>
          <w:szCs w:val="20"/>
          <w:lang w:val="sr-Cyrl-RS"/>
        </w:rPr>
      </w:pPr>
    </w:p>
    <w:p w14:paraId="65F8F874" w14:textId="506DAB4D" w:rsidR="00123C80" w:rsidRPr="00A021B7" w:rsidRDefault="00123C80" w:rsidP="0DD3B114">
      <w:pPr>
        <w:ind w:firstLine="720"/>
        <w:jc w:val="both"/>
        <w:rPr>
          <w:rFonts w:ascii="Arial" w:hAnsi="Arial" w:cs="Arial"/>
          <w:sz w:val="20"/>
          <w:szCs w:val="20"/>
          <w:lang w:val="sr-Cyrl-RS"/>
        </w:rPr>
      </w:pPr>
      <w:r w:rsidRPr="0DD3B114">
        <w:rPr>
          <w:rFonts w:ascii="Arial" w:hAnsi="Arial" w:cs="Arial"/>
          <w:sz w:val="20"/>
          <w:szCs w:val="20"/>
          <w:lang w:val="sr-Cyrl-RS"/>
        </w:rPr>
        <w:t>Програм за реформу система локалне самоуправе у Републици Србији представља први стратешки документ који на целовит и свеобухватан начин утврђује реформу система локалне самоуправе. Устав Републике Србије прокламује да грађани имају право на локалну самоуправу, коју остварују непосредно или преко својих слободно изабраних представника (члан 176).</w:t>
      </w:r>
    </w:p>
    <w:p w14:paraId="1B6055C8" w14:textId="77777777" w:rsidR="00123C80" w:rsidRPr="00A021B7" w:rsidRDefault="00123C80" w:rsidP="0DD3B114">
      <w:pPr>
        <w:ind w:firstLine="720"/>
        <w:jc w:val="both"/>
        <w:rPr>
          <w:rFonts w:ascii="Arial" w:hAnsi="Arial" w:cs="Arial"/>
          <w:sz w:val="20"/>
          <w:szCs w:val="20"/>
          <w:lang w:val="sr-Cyrl-RS"/>
        </w:rPr>
      </w:pPr>
    </w:p>
    <w:p w14:paraId="5E9ED3A0" w14:textId="77777777" w:rsidR="007F33B1" w:rsidRPr="00A021B7" w:rsidRDefault="007F33B1" w:rsidP="007F33B1">
      <w:pPr>
        <w:ind w:firstLine="720"/>
        <w:jc w:val="both"/>
        <w:rPr>
          <w:rFonts w:ascii="Arial" w:hAnsi="Arial" w:cs="Arial"/>
          <w:sz w:val="20"/>
          <w:szCs w:val="20"/>
          <w:lang w:val="sr-Cyrl-RS"/>
        </w:rPr>
      </w:pPr>
      <w:r w:rsidRPr="007F33B1">
        <w:rPr>
          <w:rFonts w:ascii="Arial" w:hAnsi="Arial" w:cs="Arial"/>
          <w:sz w:val="20"/>
          <w:szCs w:val="20"/>
          <w:lang w:val="sr-Cyrl-RS"/>
        </w:rPr>
        <w:t xml:space="preserve">Аналитичку подлогу за израду овог документа чине Полазне основе за израду Програма за реформу система </w:t>
      </w:r>
      <w:r w:rsidRPr="007F33B1">
        <w:rPr>
          <w:rFonts w:ascii="Arial" w:hAnsi="Arial" w:cs="Arial"/>
          <w:color w:val="000000" w:themeColor="text1"/>
          <w:sz w:val="20"/>
          <w:szCs w:val="20"/>
          <w:lang w:val="sr-Cyrl-RS"/>
        </w:rPr>
        <w:t xml:space="preserve">локалне самоуправе које је усвојио Савет за реформу јавне управе, као и бројне анализе које су израдили Министарство државне управе и локалне самоуправе и Стална конференција градова и општина у претходним годинама, а на основу којих су идентификовани кључни проблеми, узроци проблема и могућа решења чији би резултат било </w:t>
      </w:r>
      <w:r w:rsidRPr="007F33B1">
        <w:rPr>
          <w:rFonts w:ascii="Arial" w:hAnsi="Arial" w:cs="Arial"/>
          <w:sz w:val="20"/>
          <w:szCs w:val="20"/>
          <w:lang w:val="sr-Cyrl-RS"/>
        </w:rPr>
        <w:t>унапређење система локалне самоуправе и јачање капацитета ЈЛС.</w:t>
      </w:r>
    </w:p>
    <w:p w14:paraId="5855B953" w14:textId="77777777" w:rsidR="00123C80" w:rsidRPr="00A021B7" w:rsidRDefault="00123C80" w:rsidP="0DD3B114">
      <w:pPr>
        <w:ind w:firstLine="720"/>
        <w:jc w:val="both"/>
        <w:rPr>
          <w:rFonts w:ascii="Arial" w:hAnsi="Arial" w:cs="Arial"/>
          <w:sz w:val="20"/>
          <w:szCs w:val="20"/>
          <w:lang w:val="sr-Cyrl-RS"/>
        </w:rPr>
      </w:pPr>
    </w:p>
    <w:p w14:paraId="6BB37C5E" w14:textId="6CF4F2DF" w:rsidR="00123C80" w:rsidRPr="00A021B7" w:rsidRDefault="00123C80" w:rsidP="0DD3B114">
      <w:pPr>
        <w:ind w:firstLine="720"/>
        <w:jc w:val="both"/>
        <w:rPr>
          <w:rFonts w:ascii="Arial" w:hAnsi="Arial" w:cs="Arial"/>
          <w:sz w:val="20"/>
          <w:szCs w:val="20"/>
          <w:lang w:val="sr-Cyrl-RS"/>
        </w:rPr>
      </w:pPr>
      <w:r w:rsidRPr="0DD3B114">
        <w:rPr>
          <w:rFonts w:ascii="Arial" w:hAnsi="Arial" w:cs="Arial"/>
          <w:sz w:val="20"/>
          <w:szCs w:val="20"/>
          <w:lang w:val="sr-Cyrl-RS"/>
        </w:rPr>
        <w:t>Програм за реформу система локалне самоуправе обухвата опис постојећег стања и кључне области система локалне самоуправе, историјски преглед система локалне самоуправе, локални изборни систем, организовање и рад органа, установа и предузећа у ЛС, систем финансирања ЛС, добро управљање у ЛС, однос републичких и покрајинских органа и органа ЛС, успостављање и унапређење међуопштинске сарадње, процес приступања ЕУ, као и упоредни преглед кључних одредница система ЛС у земљама ЕУ.</w:t>
      </w:r>
    </w:p>
    <w:p w14:paraId="0C165298" w14:textId="4F6B552E" w:rsidR="000256C4" w:rsidRPr="00A021B7" w:rsidRDefault="000256C4" w:rsidP="0DD3B114">
      <w:pPr>
        <w:ind w:firstLine="720"/>
        <w:jc w:val="both"/>
        <w:rPr>
          <w:rFonts w:ascii="Arial" w:hAnsi="Arial" w:cs="Arial"/>
          <w:sz w:val="20"/>
          <w:szCs w:val="20"/>
          <w:lang w:val="sr-Cyrl-RS"/>
        </w:rPr>
      </w:pPr>
    </w:p>
    <w:p w14:paraId="6215E693" w14:textId="62461155" w:rsidR="000256C4" w:rsidRPr="00A021B7" w:rsidRDefault="000256C4" w:rsidP="0DD3B114">
      <w:pPr>
        <w:ind w:firstLine="720"/>
        <w:jc w:val="both"/>
        <w:rPr>
          <w:rFonts w:ascii="Arial" w:hAnsi="Arial" w:cs="Arial"/>
          <w:color w:val="000000"/>
          <w:sz w:val="20"/>
          <w:szCs w:val="20"/>
          <w:lang w:val="sr-Cyrl-RS"/>
        </w:rPr>
      </w:pPr>
      <w:r w:rsidRPr="0DD3B114">
        <w:rPr>
          <w:rFonts w:ascii="Arial" w:hAnsi="Arial" w:cs="Arial"/>
          <w:color w:val="000000" w:themeColor="text1"/>
          <w:sz w:val="20"/>
          <w:szCs w:val="20"/>
          <w:lang w:val="sr-Cyrl-RS"/>
        </w:rPr>
        <w:t xml:space="preserve">Програм за реформу система локалне самоуправе представља политички и плански оквир за развијање система локалне самоуправе и за припрему других докумената јавних политика, закона, подзаконских аката и развојних пројеката чији је циљ развој система локалне самоуправе у складу са усвојеном визијом, циљевима и мерама за реформу који су садржани у </w:t>
      </w:r>
      <w:r w:rsidR="00A021B7" w:rsidRPr="0DD3B114">
        <w:rPr>
          <w:rFonts w:ascii="Arial" w:hAnsi="Arial" w:cs="Arial"/>
          <w:color w:val="000000" w:themeColor="text1"/>
          <w:sz w:val="20"/>
          <w:szCs w:val="20"/>
          <w:lang w:val="sr-Cyrl-RS"/>
        </w:rPr>
        <w:t>овом програму</w:t>
      </w:r>
      <w:r w:rsidRPr="0DD3B114">
        <w:rPr>
          <w:rFonts w:ascii="Arial" w:hAnsi="Arial" w:cs="Arial"/>
          <w:color w:val="000000" w:themeColor="text1"/>
          <w:sz w:val="20"/>
          <w:szCs w:val="20"/>
          <w:lang w:val="sr-Cyrl-RS"/>
        </w:rPr>
        <w:t>.</w:t>
      </w:r>
    </w:p>
    <w:p w14:paraId="5FB70C78" w14:textId="77777777" w:rsidR="00123C80" w:rsidRPr="00A021B7" w:rsidRDefault="00123C80" w:rsidP="0DD3B114">
      <w:pPr>
        <w:ind w:firstLine="720"/>
        <w:jc w:val="both"/>
        <w:rPr>
          <w:rFonts w:ascii="Arial" w:hAnsi="Arial" w:cs="Arial"/>
          <w:sz w:val="20"/>
          <w:szCs w:val="20"/>
          <w:lang w:val="sr-Cyrl-RS"/>
        </w:rPr>
      </w:pPr>
    </w:p>
    <w:p w14:paraId="3B001034" w14:textId="753AEAC7" w:rsidR="00BC1697" w:rsidRDefault="00123C80" w:rsidP="0DD3B114">
      <w:pPr>
        <w:ind w:firstLine="720"/>
        <w:jc w:val="both"/>
        <w:rPr>
          <w:rFonts w:ascii="Arial" w:hAnsi="Arial" w:cs="Arial"/>
          <w:sz w:val="20"/>
          <w:szCs w:val="20"/>
          <w:lang w:val="sr-Cyrl-RS"/>
        </w:rPr>
      </w:pPr>
      <w:r w:rsidRPr="0DD3B114">
        <w:rPr>
          <w:rFonts w:ascii="Arial" w:hAnsi="Arial" w:cs="Arial"/>
          <w:sz w:val="20"/>
          <w:szCs w:val="20"/>
          <w:lang w:val="sr-Cyrl-RS"/>
        </w:rPr>
        <w:t>Планиране активности, циљеви и мере утврђени су на основу претходно сагледаних потреба и њихово спровођење треба да допринесе побољшању правног и организационог оквира, професионализацији, ефикасности и модернизациј</w:t>
      </w:r>
      <w:r w:rsidR="004B0B3C" w:rsidRPr="0DD3B114">
        <w:rPr>
          <w:rFonts w:ascii="Arial" w:hAnsi="Arial" w:cs="Arial"/>
          <w:sz w:val="20"/>
          <w:szCs w:val="20"/>
          <w:lang w:val="sr-Cyrl-RS"/>
        </w:rPr>
        <w:t>и</w:t>
      </w:r>
      <w:r w:rsidRPr="0DD3B114">
        <w:rPr>
          <w:rFonts w:ascii="Arial" w:hAnsi="Arial" w:cs="Arial"/>
          <w:sz w:val="20"/>
          <w:szCs w:val="20"/>
          <w:lang w:val="sr-Cyrl-RS"/>
        </w:rPr>
        <w:t xml:space="preserve"> свих аспеката функционисања локалне самоуправе, транспарентност</w:t>
      </w:r>
      <w:r w:rsidR="004B0B3C" w:rsidRPr="0DD3B114">
        <w:rPr>
          <w:rFonts w:ascii="Arial" w:hAnsi="Arial" w:cs="Arial"/>
          <w:sz w:val="20"/>
          <w:szCs w:val="20"/>
          <w:lang w:val="sr-Cyrl-RS"/>
        </w:rPr>
        <w:t>и</w:t>
      </w:r>
      <w:r w:rsidRPr="0DD3B114">
        <w:rPr>
          <w:rFonts w:ascii="Arial" w:hAnsi="Arial" w:cs="Arial"/>
          <w:sz w:val="20"/>
          <w:szCs w:val="20"/>
          <w:lang w:val="sr-Cyrl-RS"/>
        </w:rPr>
        <w:t xml:space="preserve"> и партиципативност</w:t>
      </w:r>
      <w:r w:rsidR="004B0B3C" w:rsidRPr="0DD3B114">
        <w:rPr>
          <w:rFonts w:ascii="Arial" w:hAnsi="Arial" w:cs="Arial"/>
          <w:sz w:val="20"/>
          <w:szCs w:val="20"/>
          <w:lang w:val="sr-Cyrl-RS"/>
        </w:rPr>
        <w:t>и</w:t>
      </w:r>
      <w:r w:rsidRPr="0DD3B114">
        <w:rPr>
          <w:rFonts w:ascii="Arial" w:hAnsi="Arial" w:cs="Arial"/>
          <w:sz w:val="20"/>
          <w:szCs w:val="20"/>
          <w:lang w:val="sr-Cyrl-RS"/>
        </w:rPr>
        <w:t xml:space="preserve">, како грађана у управљању јавним пословима, тако и локалних власти у дефинисању јавних политика и прописа, </w:t>
      </w:r>
      <w:r w:rsidR="008D683B" w:rsidRPr="0DD3B114">
        <w:rPr>
          <w:rFonts w:ascii="Arial" w:hAnsi="Arial" w:cs="Arial"/>
          <w:sz w:val="20"/>
          <w:szCs w:val="20"/>
          <w:lang w:val="sr-Cyrl-RS"/>
        </w:rPr>
        <w:t xml:space="preserve">побољшању </w:t>
      </w:r>
      <w:r w:rsidRPr="0DD3B114">
        <w:rPr>
          <w:rFonts w:ascii="Arial" w:hAnsi="Arial" w:cs="Arial"/>
          <w:sz w:val="20"/>
          <w:szCs w:val="20"/>
          <w:lang w:val="sr-Cyrl-RS"/>
        </w:rPr>
        <w:t>капацитета институција и службеника, као и бољем пружању услуга грађанима и привреди на локалном нивоу власти</w:t>
      </w:r>
      <w:r w:rsidR="002217C1" w:rsidRPr="0DD3B114">
        <w:rPr>
          <w:rFonts w:ascii="Arial" w:hAnsi="Arial" w:cs="Arial"/>
          <w:sz w:val="20"/>
          <w:szCs w:val="20"/>
          <w:lang w:val="sr-Cyrl-RS"/>
        </w:rPr>
        <w:t xml:space="preserve"> и да све то омогући</w:t>
      </w:r>
      <w:r w:rsidRPr="0DD3B114">
        <w:rPr>
          <w:rFonts w:ascii="Arial" w:hAnsi="Arial" w:cs="Arial"/>
          <w:sz w:val="20"/>
          <w:szCs w:val="20"/>
          <w:lang w:val="sr-Cyrl-RS"/>
        </w:rPr>
        <w:t>.</w:t>
      </w:r>
    </w:p>
    <w:p w14:paraId="704DBE3D" w14:textId="15BD1D4C" w:rsidR="007F33B1" w:rsidRDefault="007F33B1" w:rsidP="0DD3B114">
      <w:pPr>
        <w:ind w:firstLine="720"/>
        <w:jc w:val="both"/>
        <w:rPr>
          <w:rFonts w:ascii="Arial" w:hAnsi="Arial" w:cs="Arial"/>
          <w:sz w:val="20"/>
          <w:szCs w:val="20"/>
          <w:lang w:val="sr-Cyrl-RS"/>
        </w:rPr>
      </w:pPr>
    </w:p>
    <w:p w14:paraId="0BA08785" w14:textId="0CE8A077" w:rsidR="007F33B1" w:rsidRDefault="007F33B1" w:rsidP="007F33B1">
      <w:pPr>
        <w:ind w:firstLine="720"/>
        <w:jc w:val="both"/>
        <w:rPr>
          <w:rFonts w:ascii="Arial" w:hAnsi="Arial" w:cs="Arial"/>
          <w:sz w:val="20"/>
          <w:szCs w:val="18"/>
          <w:lang w:val="sr-Cyrl-RS"/>
        </w:rPr>
      </w:pPr>
      <w:r w:rsidRPr="007F33B1">
        <w:rPr>
          <w:rFonts w:ascii="Arial" w:hAnsi="Arial" w:cs="Arial"/>
          <w:sz w:val="20"/>
          <w:szCs w:val="18"/>
          <w:lang w:val="sr-Cyrl-RS"/>
        </w:rPr>
        <w:t>Припреми Предлога програма претходила је консултативна сарадња са свим релевантним представницима надлежних министарства, научне академске јавности, цивилног друштва и невладиног сектора. С тим у вези, 23. децембра 2019. године, образована је Посебна радна група за израду Програма за реформу система локалне самоуправе у РС састављена од представника свих ресора Владе и то: Министарства рударства и енергетике, Министарства за европске интеграције</w:t>
      </w:r>
      <w:r w:rsidRPr="007F33B1">
        <w:rPr>
          <w:sz w:val="20"/>
          <w:szCs w:val="18"/>
          <w:lang w:val="sr-Cyrl-RS"/>
        </w:rPr>
        <w:t xml:space="preserve">, </w:t>
      </w:r>
      <w:r w:rsidRPr="007F33B1">
        <w:rPr>
          <w:rFonts w:ascii="Arial" w:hAnsi="Arial" w:cs="Arial"/>
          <w:sz w:val="20"/>
          <w:szCs w:val="18"/>
          <w:lang w:val="sr-Cyrl-RS"/>
        </w:rPr>
        <w:t>Министарства културе и информисања, Министарства финансија, Министарства грађевинарства, саобраћаја и инфраструктуре, Министарства заштите животне средине, Министарства привреде, Министарства пољопривреде, шумарства и водопривреде, Министарства омладине и спорта, Министарства просвете, науке и технолошког развоја, Министарства унутрашњих послова, Министарства здравља, Министарства за рад, запошљавање, борачка и социјална питања, Републичког секретаријата за јавне политике, генералног Секретаријата Владе, Градске управе Града Београда, Републичког секретаријата за законодавство, Покрајинског секретаријата за регионални развој, међурегионалну сарадњу и локалну самоуправу, Канцеларије за сарадњу са цивилним друштвом, као и представника невладиног сектора: Сталне конференције градова и општина,</w:t>
      </w:r>
      <w:r w:rsidRPr="007F33B1">
        <w:rPr>
          <w:rFonts w:ascii="Arial" w:hAnsi="Arial" w:cs="Arial"/>
          <w:sz w:val="20"/>
          <w:szCs w:val="18"/>
        </w:rPr>
        <w:t xml:space="preserve"> </w:t>
      </w:r>
      <w:r w:rsidRPr="007F33B1">
        <w:rPr>
          <w:rFonts w:ascii="Arial" w:hAnsi="Arial" w:cs="Arial"/>
          <w:sz w:val="20"/>
          <w:szCs w:val="18"/>
          <w:lang w:val="sr-Cyrl-RS"/>
        </w:rPr>
        <w:t xml:space="preserve">Националне алијансе за локални економски развој и представника научне академске јавности. </w:t>
      </w:r>
    </w:p>
    <w:p w14:paraId="53609CDE" w14:textId="77777777" w:rsidR="00815D08" w:rsidRPr="007F33B1" w:rsidRDefault="00815D08" w:rsidP="007F33B1">
      <w:pPr>
        <w:ind w:firstLine="720"/>
        <w:jc w:val="both"/>
        <w:rPr>
          <w:rFonts w:ascii="Arial" w:hAnsi="Arial" w:cs="Arial"/>
          <w:sz w:val="20"/>
          <w:szCs w:val="18"/>
          <w:lang w:val="sr-Cyrl-RS"/>
        </w:rPr>
      </w:pPr>
    </w:p>
    <w:p w14:paraId="287BB017" w14:textId="77777777" w:rsidR="007F33B1" w:rsidRPr="007F33B1" w:rsidRDefault="007F33B1" w:rsidP="007F33B1">
      <w:pPr>
        <w:ind w:firstLine="720"/>
        <w:jc w:val="both"/>
        <w:rPr>
          <w:rFonts w:ascii="Arial" w:hAnsi="Arial" w:cs="Arial"/>
          <w:sz w:val="20"/>
          <w:szCs w:val="18"/>
          <w:lang w:val="sr-Cyrl-RS"/>
        </w:rPr>
      </w:pPr>
      <w:r w:rsidRPr="007F33B1">
        <w:rPr>
          <w:rFonts w:ascii="Arial" w:hAnsi="Arial" w:cs="Arial"/>
          <w:sz w:val="20"/>
          <w:szCs w:val="18"/>
          <w:lang w:val="sr-Cyrl-RS"/>
        </w:rPr>
        <w:t xml:space="preserve">Поред тога, у припреми Предлога програма укључени су и чланови Посебне радне групе за израду Стратегије реформе јавне управе за период након 2021. године у оквиру Подгрупе за Посебан циљ 7: Реформа система локалне самоуправе и то представници: Министарства финансија, Министарства грађевинарства, саобраћаја и инфраструктуре, Министарства државне управе и локалне самоуправе, Министарства за европске интеграције, Канцеларије за управљање јавним улагањима, Кабинета председника Владе, Канцеларије за информационе </w:t>
      </w:r>
      <w:r w:rsidRPr="007F33B1">
        <w:rPr>
          <w:rFonts w:ascii="Arial" w:hAnsi="Arial" w:cs="Arial"/>
          <w:sz w:val="20"/>
          <w:szCs w:val="18"/>
          <w:lang w:val="sr-Cyrl-RS"/>
        </w:rPr>
        <w:lastRenderedPageBreak/>
        <w:t>технологије и електронску управу, Сталне конференције градова и општина и Националне коалиције за децентрализацију.</w:t>
      </w:r>
    </w:p>
    <w:p w14:paraId="44104A73" w14:textId="294224B9" w:rsidR="007F33B1" w:rsidRPr="007F33B1" w:rsidRDefault="007F33B1" w:rsidP="007F33B1"/>
    <w:p w14:paraId="79BDEE68" w14:textId="661D2723" w:rsidR="007F33B1" w:rsidRPr="00A07A25" w:rsidRDefault="007F33B1" w:rsidP="007F33B1">
      <w:pPr>
        <w:ind w:firstLine="720"/>
        <w:jc w:val="both"/>
        <w:rPr>
          <w:rFonts w:ascii="Arial" w:hAnsi="Arial" w:cs="Arial"/>
          <w:sz w:val="20"/>
          <w:szCs w:val="20"/>
          <w:lang w:val="sr-Cyrl-RS"/>
        </w:rPr>
      </w:pPr>
      <w:r w:rsidRPr="0021757C">
        <w:rPr>
          <w:rFonts w:ascii="Arial" w:hAnsi="Arial" w:cs="Arial"/>
          <w:sz w:val="20"/>
          <w:szCs w:val="20"/>
          <w:lang w:val="sr-Cyrl-RS"/>
        </w:rPr>
        <w:t xml:space="preserve">Процес припреме Предлога програма за реформу система локалне самоуправе у Републици Србији и Акционог плана за спровођење овог програма, подржан је од стране пројеката „Подршка спровођењу Акционог плана Стратегије реформе </w:t>
      </w:r>
      <w:r w:rsidR="005865AC">
        <w:rPr>
          <w:rFonts w:ascii="Arial" w:hAnsi="Arial" w:cs="Arial"/>
          <w:sz w:val="20"/>
          <w:szCs w:val="20"/>
          <w:lang w:val="sr-Cyrl-RS"/>
        </w:rPr>
        <w:t>јавне управе</w:t>
      </w:r>
      <w:r w:rsidRPr="0021757C">
        <w:rPr>
          <w:rFonts w:ascii="Arial" w:hAnsi="Arial" w:cs="Arial"/>
          <w:sz w:val="20"/>
          <w:szCs w:val="20"/>
          <w:lang w:val="sr-Cyrl-RS"/>
        </w:rPr>
        <w:t xml:space="preserve"> -</w:t>
      </w:r>
      <w:r w:rsidR="005865AC">
        <w:rPr>
          <w:rFonts w:ascii="Arial" w:hAnsi="Arial" w:cs="Arial"/>
          <w:sz w:val="20"/>
          <w:szCs w:val="20"/>
          <w:lang w:val="sr-Cyrl-RS"/>
        </w:rPr>
        <w:t xml:space="preserve"> </w:t>
      </w:r>
      <w:r w:rsidRPr="0021757C">
        <w:rPr>
          <w:rFonts w:ascii="Arial" w:hAnsi="Arial" w:cs="Arial"/>
          <w:sz w:val="20"/>
          <w:szCs w:val="20"/>
          <w:lang w:val="sr-Cyrl-RS"/>
        </w:rPr>
        <w:t>реформа локалне самоуправе</w:t>
      </w:r>
      <w:r w:rsidR="00CA1273">
        <w:rPr>
          <w:rFonts w:ascii="Arial" w:hAnsi="Arial" w:cs="Arial"/>
          <w:sz w:val="20"/>
          <w:szCs w:val="20"/>
          <w:lang w:val="sr-Cyrl-RS"/>
        </w:rPr>
        <w:t xml:space="preserve"> </w:t>
      </w:r>
      <w:r w:rsidRPr="0021757C">
        <w:rPr>
          <w:rFonts w:ascii="Arial" w:hAnsi="Arial" w:cs="Arial"/>
          <w:sz w:val="20"/>
          <w:szCs w:val="20"/>
          <w:lang w:val="sr-Cyrl-RS"/>
        </w:rPr>
        <w:t xml:space="preserve">2016-2019ˮ и </w:t>
      </w:r>
      <w:r w:rsidRPr="0021757C">
        <w:rPr>
          <w:rFonts w:ascii="Arial" w:hAnsi="Arial" w:cs="Arial"/>
          <w:iCs/>
          <w:sz w:val="20"/>
          <w:szCs w:val="20"/>
          <w:lang w:val="sr-Cyrl-RS"/>
        </w:rPr>
        <w:t>„Локална самоуправа за 21. век”</w:t>
      </w:r>
      <w:r w:rsidRPr="0021757C">
        <w:rPr>
          <w:rFonts w:ascii="Arial" w:hAnsi="Arial" w:cs="Arial"/>
          <w:sz w:val="20"/>
          <w:szCs w:val="20"/>
          <w:lang w:val="sr-Cyrl-RS"/>
        </w:rPr>
        <w:t xml:space="preserve"> које спроводи Министарство државне управе и локалне самоуправе у сарадњи са Републичким секретаријатом за јавне политике и Сталном конференцијом градова и општина уз финансијску подршку Владе Швајцарске Конфедерације и Пројекта </w:t>
      </w:r>
      <w:r w:rsidR="00B63699" w:rsidRPr="0021757C">
        <w:rPr>
          <w:rFonts w:ascii="Arial" w:hAnsi="Arial" w:cs="Arial"/>
          <w:iCs/>
          <w:sz w:val="20"/>
          <w:szCs w:val="20"/>
          <w:lang w:val="sr-Cyrl-RS"/>
        </w:rPr>
        <w:t>„</w:t>
      </w:r>
      <w:r w:rsidRPr="0021757C">
        <w:rPr>
          <w:rFonts w:ascii="Arial" w:hAnsi="Arial" w:cs="Arial"/>
          <w:iCs/>
          <w:sz w:val="20"/>
          <w:szCs w:val="20"/>
          <w:lang w:val="sr-Cyrl-RS"/>
        </w:rPr>
        <w:t>Институционална подршка СКГО</w:t>
      </w:r>
      <w:r w:rsidR="00CA1273">
        <w:rPr>
          <w:rFonts w:ascii="Arial" w:hAnsi="Arial" w:cs="Arial"/>
          <w:iCs/>
          <w:sz w:val="20"/>
          <w:szCs w:val="20"/>
          <w:lang w:val="sr-Cyrl-RS"/>
        </w:rPr>
        <w:t xml:space="preserve"> </w:t>
      </w:r>
      <w:r w:rsidRPr="0021757C">
        <w:rPr>
          <w:rFonts w:ascii="Arial" w:hAnsi="Arial" w:cs="Arial"/>
          <w:iCs/>
          <w:sz w:val="20"/>
          <w:szCs w:val="20"/>
          <w:lang w:val="sr-Cyrl-RS"/>
        </w:rPr>
        <w:t>- трећа фаза”</w:t>
      </w:r>
      <w:r w:rsidR="00503DAC">
        <w:rPr>
          <w:rFonts w:ascii="Arial" w:hAnsi="Arial" w:cs="Arial"/>
          <w:iCs/>
          <w:sz w:val="20"/>
          <w:szCs w:val="20"/>
          <w:lang w:val="sr-Cyrl-RS"/>
        </w:rPr>
        <w:t>,</w:t>
      </w:r>
      <w:bookmarkStart w:id="4" w:name="_GoBack"/>
      <w:bookmarkEnd w:id="4"/>
      <w:r w:rsidRPr="0021757C">
        <w:rPr>
          <w:rFonts w:ascii="Arial" w:hAnsi="Arial" w:cs="Arial"/>
          <w:sz w:val="20"/>
          <w:szCs w:val="20"/>
          <w:lang w:val="sr-Cyrl-RS"/>
        </w:rPr>
        <w:t xml:space="preserve"> који спроводи Стална конференција градова и општина, уз финансијску подршку Владе Швајцарске Конфедерације. Ставови који су садржани </w:t>
      </w:r>
      <w:r w:rsidR="001D7C28" w:rsidRPr="0021757C">
        <w:rPr>
          <w:rFonts w:ascii="Arial" w:hAnsi="Arial" w:cs="Arial"/>
          <w:sz w:val="20"/>
          <w:szCs w:val="20"/>
          <w:lang w:val="sr-Cyrl-RS"/>
        </w:rPr>
        <w:t>у Предлогу програма</w:t>
      </w:r>
      <w:r w:rsidRPr="0021757C">
        <w:rPr>
          <w:rFonts w:ascii="Arial" w:hAnsi="Arial" w:cs="Arial"/>
          <w:sz w:val="20"/>
          <w:szCs w:val="20"/>
          <w:lang w:val="sr-Cyrl-RS"/>
        </w:rPr>
        <w:t xml:space="preserve"> и Акционом плану не подразумевају нужно ставове Владе Швајцарске Конфедерације</w:t>
      </w:r>
      <w:r w:rsidRPr="007F33B1">
        <w:rPr>
          <w:rFonts w:ascii="Arial" w:hAnsi="Arial" w:cs="Arial"/>
          <w:sz w:val="20"/>
          <w:szCs w:val="20"/>
          <w:lang w:val="sr-Cyrl-RS"/>
        </w:rPr>
        <w:t>.</w:t>
      </w:r>
    </w:p>
    <w:p w14:paraId="1319B944" w14:textId="77777777" w:rsidR="007F33B1" w:rsidRPr="00A021B7" w:rsidRDefault="007F33B1" w:rsidP="0DD3B114">
      <w:pPr>
        <w:ind w:firstLine="720"/>
        <w:jc w:val="both"/>
        <w:rPr>
          <w:rFonts w:ascii="Arial" w:hAnsi="Arial" w:cs="Arial"/>
          <w:sz w:val="20"/>
          <w:szCs w:val="20"/>
          <w:lang w:val="sr-Cyrl-RS"/>
        </w:rPr>
      </w:pPr>
    </w:p>
    <w:p w14:paraId="1DB01D02" w14:textId="77777777" w:rsidR="00CB26B6" w:rsidRPr="00A021B7" w:rsidRDefault="00CB26B6" w:rsidP="0DD3B114">
      <w:pPr>
        <w:ind w:firstLine="720"/>
        <w:jc w:val="both"/>
        <w:rPr>
          <w:rFonts w:ascii="Arial" w:hAnsi="Arial" w:cs="Arial"/>
          <w:sz w:val="20"/>
          <w:szCs w:val="20"/>
          <w:lang w:val="sr-Cyrl-RS"/>
        </w:rPr>
      </w:pPr>
    </w:p>
    <w:p w14:paraId="2BC34766" w14:textId="5DC81206" w:rsidR="00CE205B" w:rsidRPr="00A021B7" w:rsidRDefault="003E325B" w:rsidP="004935B9">
      <w:pPr>
        <w:pStyle w:val="Heading1"/>
        <w:numPr>
          <w:ilvl w:val="0"/>
          <w:numId w:val="30"/>
        </w:numPr>
        <w:rPr>
          <w:lang w:val="sr-Cyrl-RS"/>
        </w:rPr>
      </w:pPr>
      <w:bookmarkStart w:id="5" w:name="_Toc52865765"/>
      <w:bookmarkStart w:id="6" w:name="_Toc52866176"/>
      <w:bookmarkStart w:id="7" w:name="_Toc56508426"/>
      <w:bookmarkStart w:id="8" w:name="_Toc60136061"/>
      <w:r w:rsidRPr="00A021B7">
        <w:rPr>
          <w:lang w:val="sr-Cyrl-RS"/>
        </w:rPr>
        <w:t>КЉУЧНИ МЕЂУНАРОДНИ, УСТАВНИ И ЗАКОНСКИ ОКВИР СИСТЕМА ЛОКАЛНЕ САМОУПРАВЕ У РЕПУБЛИЦИ СРБИЈИ</w:t>
      </w:r>
      <w:bookmarkEnd w:id="5"/>
      <w:bookmarkEnd w:id="6"/>
      <w:bookmarkEnd w:id="7"/>
      <w:bookmarkEnd w:id="8"/>
    </w:p>
    <w:p w14:paraId="7D96DEFB" w14:textId="77777777" w:rsidR="00EE4143" w:rsidRPr="00A021B7" w:rsidRDefault="00EE4143" w:rsidP="003E7BC9">
      <w:pPr>
        <w:jc w:val="both"/>
        <w:rPr>
          <w:rFonts w:ascii="Arial" w:hAnsi="Arial" w:cs="Arial"/>
          <w:b/>
          <w:bCs/>
          <w:sz w:val="20"/>
          <w:szCs w:val="20"/>
          <w:lang w:val="sr-Cyrl-RS"/>
        </w:rPr>
      </w:pPr>
    </w:p>
    <w:p w14:paraId="1FF5359A" w14:textId="2AF504CB" w:rsidR="00EE4143" w:rsidRPr="00A021B7" w:rsidRDefault="00EE4143" w:rsidP="0DD3B114">
      <w:pPr>
        <w:ind w:firstLine="720"/>
        <w:jc w:val="both"/>
        <w:rPr>
          <w:rFonts w:ascii="Arial" w:hAnsi="Arial" w:cs="Arial"/>
          <w:sz w:val="20"/>
          <w:szCs w:val="20"/>
          <w:lang w:val="sr-Cyrl-RS"/>
        </w:rPr>
      </w:pPr>
      <w:r w:rsidRPr="00A021B7">
        <w:rPr>
          <w:rFonts w:ascii="Arial" w:hAnsi="Arial" w:cs="Arial"/>
          <w:sz w:val="20"/>
          <w:szCs w:val="20"/>
          <w:lang w:val="sr-Cyrl-RS"/>
        </w:rPr>
        <w:t xml:space="preserve">На систем локалне самоуправе се непосредно или </w:t>
      </w:r>
      <w:r w:rsidR="00000C1C" w:rsidRPr="00A021B7">
        <w:rPr>
          <w:rFonts w:ascii="Arial" w:hAnsi="Arial" w:cs="Arial"/>
          <w:sz w:val="20"/>
          <w:szCs w:val="20"/>
          <w:lang w:val="sr-Cyrl-RS"/>
        </w:rPr>
        <w:t xml:space="preserve">посредно </w:t>
      </w:r>
      <w:r w:rsidRPr="00A021B7">
        <w:rPr>
          <w:rFonts w:ascii="Arial" w:hAnsi="Arial" w:cs="Arial"/>
          <w:sz w:val="20"/>
          <w:szCs w:val="20"/>
          <w:lang w:val="sr-Cyrl-RS"/>
        </w:rPr>
        <w:t xml:space="preserve">односи већи број универзалних међународних докумената, нарочито оних који гарантују људска и мањинска права и утврђују стандарде о демократији и владавини права. </w:t>
      </w:r>
      <w:r w:rsidR="00520CDC" w:rsidRPr="00A021B7">
        <w:rPr>
          <w:rFonts w:ascii="Arial" w:hAnsi="Arial" w:cs="Arial"/>
          <w:sz w:val="20"/>
          <w:szCs w:val="20"/>
          <w:lang w:val="sr-Cyrl-RS"/>
        </w:rPr>
        <w:t xml:space="preserve">Међу њима су најважнији </w:t>
      </w:r>
      <w:r w:rsidRPr="00A021B7">
        <w:rPr>
          <w:rFonts w:ascii="Arial" w:hAnsi="Arial" w:cs="Arial"/>
          <w:sz w:val="20"/>
          <w:szCs w:val="20"/>
          <w:lang w:val="sr-Cyrl-RS"/>
        </w:rPr>
        <w:t>Универзална декларација о људским правима (1948) и Међународни пакт о грађанским и политичким правима</w:t>
      </w:r>
      <w:r w:rsidR="00B640A1" w:rsidRPr="00A021B7">
        <w:rPr>
          <w:rFonts w:ascii="Arial" w:hAnsi="Arial" w:cs="Arial"/>
          <w:sz w:val="20"/>
          <w:szCs w:val="20"/>
          <w:lang w:val="sr-Cyrl-RS"/>
        </w:rPr>
        <w:t xml:space="preserve"> (1966)</w:t>
      </w:r>
      <w:r w:rsidR="003C6BBD" w:rsidRPr="0DD3B114">
        <w:rPr>
          <w:rStyle w:val="FootnoteReference"/>
          <w:rFonts w:ascii="Arial" w:hAnsi="Arial" w:cs="Arial"/>
          <w:i/>
          <w:iCs/>
          <w:sz w:val="20"/>
          <w:szCs w:val="20"/>
          <w:lang w:val="sr-Cyrl-RS"/>
        </w:rPr>
        <w:footnoteReference w:id="2"/>
      </w:r>
      <w:r w:rsidR="00FD45C4">
        <w:rPr>
          <w:rFonts w:ascii="Arial" w:hAnsi="Arial" w:cs="Arial"/>
          <w:sz w:val="20"/>
          <w:szCs w:val="20"/>
          <w:lang w:val="sr-Cyrl-RS"/>
        </w:rPr>
        <w:t>,</w:t>
      </w:r>
      <w:r w:rsidRPr="00A021B7">
        <w:rPr>
          <w:rFonts w:ascii="Arial" w:hAnsi="Arial" w:cs="Arial"/>
          <w:sz w:val="20"/>
          <w:szCs w:val="20"/>
          <w:lang w:val="sr-Cyrl-RS"/>
        </w:rPr>
        <w:t xml:space="preserve"> који гарантују право грађана на учешће у вођењу јавних послова. Оно укључује право да се непосредно или преко слободно изабраних представника учествује у управљању јавним пословима и право да се, под једнаким условима, ступа у јавне службе и на јавне функције, као и право припадника националних мањина на равноправност у вођењу јавних послова (које укључује право да, под истим условима као и остали грађани, учествују у управљању јавним пословима и ступају на јавне функције). </w:t>
      </w:r>
      <w:r w:rsidR="00340188" w:rsidRPr="00A021B7">
        <w:rPr>
          <w:rFonts w:ascii="Arial" w:hAnsi="Arial" w:cs="Arial"/>
          <w:sz w:val="20"/>
          <w:szCs w:val="20"/>
          <w:lang w:val="sr-Cyrl-RS"/>
        </w:rPr>
        <w:t xml:space="preserve">Ова </w:t>
      </w:r>
      <w:r w:rsidRPr="00A021B7">
        <w:rPr>
          <w:rFonts w:ascii="Arial" w:hAnsi="Arial" w:cs="Arial"/>
          <w:sz w:val="20"/>
          <w:szCs w:val="20"/>
          <w:lang w:val="sr-Cyrl-RS"/>
        </w:rPr>
        <w:t>права гарантује и наш Устав, а из тога следе и обавезе за ЈЛС да, поред осталог, обезбеде једнаку доступност функција и радних места у локалним органим</w:t>
      </w:r>
      <w:r w:rsidR="35F73565" w:rsidRPr="00A021B7">
        <w:rPr>
          <w:rFonts w:ascii="Arial" w:hAnsi="Arial" w:cs="Arial"/>
          <w:sz w:val="20"/>
          <w:szCs w:val="20"/>
          <w:lang w:val="sr-Cyrl-RS"/>
        </w:rPr>
        <w:t>а</w:t>
      </w:r>
      <w:r w:rsidRPr="00A021B7">
        <w:rPr>
          <w:rFonts w:ascii="Arial" w:hAnsi="Arial" w:cs="Arial"/>
          <w:sz w:val="20"/>
          <w:szCs w:val="20"/>
          <w:lang w:val="sr-Cyrl-RS"/>
        </w:rPr>
        <w:t xml:space="preserve"> и службама за све грађане, уз обезбеђење одговарајуће заступљености припадника националних мањина у тим органима и службама.</w:t>
      </w:r>
    </w:p>
    <w:p w14:paraId="1D161683" w14:textId="77777777" w:rsidR="00226CED" w:rsidRPr="00A021B7" w:rsidRDefault="00226CED" w:rsidP="003E7BC9">
      <w:pPr>
        <w:jc w:val="both"/>
        <w:rPr>
          <w:rFonts w:ascii="Arial" w:hAnsi="Arial" w:cs="Arial"/>
          <w:sz w:val="20"/>
          <w:szCs w:val="20"/>
          <w:lang w:val="sr-Cyrl-RS"/>
        </w:rPr>
      </w:pPr>
    </w:p>
    <w:p w14:paraId="736A5097" w14:textId="4A2EEB35" w:rsidR="00EE4143" w:rsidRPr="00A021B7" w:rsidRDefault="00EE4143"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У оквиру политике Европске уније снажно се фаворизују </w:t>
      </w:r>
      <w:r w:rsidR="007951E3" w:rsidRPr="0DD3B114">
        <w:rPr>
          <w:rFonts w:ascii="Arial" w:hAnsi="Arial" w:cs="Arial"/>
          <w:sz w:val="20"/>
          <w:szCs w:val="20"/>
          <w:lang w:val="sr-Cyrl-RS"/>
        </w:rPr>
        <w:t xml:space="preserve">начела </w:t>
      </w:r>
      <w:r w:rsidRPr="0DD3B114">
        <w:rPr>
          <w:rFonts w:ascii="Arial" w:hAnsi="Arial" w:cs="Arial"/>
          <w:sz w:val="20"/>
          <w:szCs w:val="20"/>
          <w:lang w:val="sr-Cyrl-RS"/>
        </w:rPr>
        <w:t>децентрализације и регионализације, а локална самоуправа</w:t>
      </w:r>
      <w:r w:rsidR="6D59E3BE" w:rsidRPr="0DD3B114">
        <w:rPr>
          <w:rFonts w:ascii="Arial" w:hAnsi="Arial" w:cs="Arial"/>
          <w:sz w:val="20"/>
          <w:szCs w:val="20"/>
          <w:lang w:val="sr-Cyrl-RS"/>
        </w:rPr>
        <w:t xml:space="preserve"> се</w:t>
      </w:r>
      <w:r w:rsidRPr="0DD3B114">
        <w:rPr>
          <w:rFonts w:ascii="Arial" w:hAnsi="Arial" w:cs="Arial"/>
          <w:sz w:val="20"/>
          <w:szCs w:val="20"/>
          <w:lang w:val="sr-Cyrl-RS"/>
        </w:rPr>
        <w:t xml:space="preserve"> признаје и уважава као битан саставни део европског заједничког наслеђа, један од темеља демократског система и непосредни израз права грађана да обављају послове јавних власти.</w:t>
      </w:r>
    </w:p>
    <w:p w14:paraId="50A2A91D" w14:textId="77777777" w:rsidR="00226CED" w:rsidRPr="00A021B7" w:rsidRDefault="00226CED" w:rsidP="0DD3B114">
      <w:pPr>
        <w:ind w:firstLine="720"/>
        <w:jc w:val="both"/>
        <w:rPr>
          <w:rFonts w:ascii="Arial" w:hAnsi="Arial" w:cs="Arial"/>
          <w:sz w:val="20"/>
          <w:szCs w:val="20"/>
          <w:lang w:val="sr-Cyrl-RS"/>
        </w:rPr>
      </w:pPr>
    </w:p>
    <w:p w14:paraId="0B3EABE8" w14:textId="0754D78E" w:rsidR="00EE4143" w:rsidRPr="00A021B7" w:rsidRDefault="00EE4143"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Кључни европски документ за област локалне самоуправе </w:t>
      </w:r>
      <w:r w:rsidR="00C70043" w:rsidRPr="0DD3B114">
        <w:rPr>
          <w:rFonts w:ascii="Arial" w:hAnsi="Arial" w:cs="Arial"/>
          <w:sz w:val="20"/>
          <w:szCs w:val="20"/>
          <w:lang w:val="sr-Cyrl-RS"/>
        </w:rPr>
        <w:t xml:space="preserve">је </w:t>
      </w:r>
      <w:r w:rsidRPr="0DD3B114">
        <w:rPr>
          <w:rFonts w:ascii="Arial" w:hAnsi="Arial" w:cs="Arial"/>
          <w:sz w:val="20"/>
          <w:szCs w:val="20"/>
          <w:lang w:val="sr-Cyrl-RS"/>
        </w:rPr>
        <w:t>Европска повеља о локалној самоуправи</w:t>
      </w:r>
      <w:r w:rsidR="00B640A1" w:rsidRPr="0DD3B114">
        <w:rPr>
          <w:rFonts w:ascii="Arial" w:hAnsi="Arial" w:cs="Arial"/>
          <w:sz w:val="20"/>
          <w:szCs w:val="20"/>
          <w:lang w:val="sr-Cyrl-RS"/>
        </w:rPr>
        <w:t xml:space="preserve"> (ЕПЛС)</w:t>
      </w:r>
      <w:r w:rsidR="00517228" w:rsidRPr="0DD3B114">
        <w:rPr>
          <w:rFonts w:ascii="Arial" w:hAnsi="Arial" w:cs="Arial"/>
          <w:sz w:val="20"/>
          <w:szCs w:val="20"/>
          <w:lang w:val="sr-Cyrl-RS"/>
        </w:rPr>
        <w:t xml:space="preserve"> из 1985. године</w:t>
      </w:r>
      <w:r w:rsidR="3857DE44" w:rsidRPr="0DD3B114">
        <w:rPr>
          <w:rFonts w:ascii="Arial" w:hAnsi="Arial" w:cs="Arial"/>
          <w:sz w:val="20"/>
          <w:szCs w:val="20"/>
          <w:lang w:val="sr-Cyrl-RS"/>
        </w:rPr>
        <w:t xml:space="preserve"> </w:t>
      </w:r>
      <w:r w:rsidR="604F38FC" w:rsidRPr="0DD3B114">
        <w:rPr>
          <w:rFonts w:ascii="Arial" w:hAnsi="Arial" w:cs="Arial"/>
          <w:color w:val="000000" w:themeColor="text1"/>
          <w:sz w:val="20"/>
          <w:szCs w:val="20"/>
          <w:lang w:val="sr-Cyrl-RS"/>
        </w:rPr>
        <w:t xml:space="preserve">(„Службени гласник РС </w:t>
      </w:r>
      <w:r w:rsidR="00FD45C4" w:rsidRPr="0DD3B114">
        <w:rPr>
          <w:rFonts w:ascii="Arial" w:hAnsi="Arial" w:cs="Arial"/>
          <w:color w:val="000000" w:themeColor="text1"/>
          <w:sz w:val="20"/>
          <w:szCs w:val="20"/>
          <w:lang w:val="sr-Cyrl-RS"/>
        </w:rPr>
        <w:t>–</w:t>
      </w:r>
      <w:r w:rsidR="604F38FC" w:rsidRPr="0DD3B114">
        <w:rPr>
          <w:rFonts w:ascii="Arial" w:hAnsi="Arial" w:cs="Arial"/>
          <w:color w:val="000000" w:themeColor="text1"/>
          <w:sz w:val="20"/>
          <w:szCs w:val="20"/>
          <w:lang w:val="sr-Cyrl-RS"/>
        </w:rPr>
        <w:t xml:space="preserve"> Међународни уговори</w:t>
      </w:r>
      <w:r w:rsidR="00FD45C4" w:rsidRPr="0DD3B114">
        <w:rPr>
          <w:rFonts w:ascii="Arial" w:hAnsi="Arial" w:cs="Arial"/>
          <w:color w:val="000000" w:themeColor="text1"/>
          <w:sz w:val="20"/>
          <w:szCs w:val="20"/>
        </w:rPr>
        <w:t>”</w:t>
      </w:r>
      <w:r w:rsidR="604F38FC" w:rsidRPr="0DD3B114">
        <w:rPr>
          <w:rFonts w:ascii="Arial" w:hAnsi="Arial" w:cs="Arial"/>
          <w:color w:val="000000" w:themeColor="text1"/>
          <w:sz w:val="20"/>
          <w:szCs w:val="20"/>
          <w:lang w:val="sr-Cyrl-RS"/>
        </w:rPr>
        <w:t>, број 70/07),</w:t>
      </w:r>
      <w:r w:rsidRPr="0DD3B114">
        <w:rPr>
          <w:rFonts w:ascii="Arial" w:hAnsi="Arial" w:cs="Arial"/>
          <w:sz w:val="20"/>
          <w:szCs w:val="20"/>
          <w:lang w:val="sr-Cyrl-RS"/>
        </w:rPr>
        <w:t xml:space="preserve"> као међународни уговор који утврђује </w:t>
      </w:r>
      <w:r w:rsidR="007951E3" w:rsidRPr="0DD3B114">
        <w:rPr>
          <w:rFonts w:ascii="Arial" w:hAnsi="Arial" w:cs="Arial"/>
          <w:sz w:val="20"/>
          <w:szCs w:val="20"/>
          <w:lang w:val="sr-Cyrl-RS"/>
        </w:rPr>
        <w:t xml:space="preserve">начела </w:t>
      </w:r>
      <w:r w:rsidR="00517228" w:rsidRPr="0DD3B114">
        <w:rPr>
          <w:rFonts w:ascii="Arial" w:hAnsi="Arial" w:cs="Arial"/>
          <w:sz w:val="20"/>
          <w:szCs w:val="20"/>
          <w:lang w:val="sr-Cyrl-RS"/>
        </w:rPr>
        <w:t xml:space="preserve">у вези са </w:t>
      </w:r>
      <w:r w:rsidRPr="0DD3B114">
        <w:rPr>
          <w:rFonts w:ascii="Arial" w:hAnsi="Arial" w:cs="Arial"/>
          <w:sz w:val="20"/>
          <w:szCs w:val="20"/>
          <w:lang w:val="sr-Cyrl-RS"/>
        </w:rPr>
        <w:t>положај</w:t>
      </w:r>
      <w:r w:rsidR="00517228" w:rsidRPr="0DD3B114">
        <w:rPr>
          <w:rFonts w:ascii="Arial" w:hAnsi="Arial" w:cs="Arial"/>
          <w:sz w:val="20"/>
          <w:szCs w:val="20"/>
          <w:lang w:val="sr-Cyrl-RS"/>
        </w:rPr>
        <w:t>ем</w:t>
      </w:r>
      <w:r w:rsidRPr="0DD3B114">
        <w:rPr>
          <w:rFonts w:ascii="Arial" w:hAnsi="Arial" w:cs="Arial"/>
          <w:sz w:val="20"/>
          <w:szCs w:val="20"/>
          <w:lang w:val="sr-Cyrl-RS"/>
        </w:rPr>
        <w:t xml:space="preserve"> и организациј</w:t>
      </w:r>
      <w:r w:rsidR="00517228" w:rsidRPr="0DD3B114">
        <w:rPr>
          <w:rFonts w:ascii="Arial" w:hAnsi="Arial" w:cs="Arial"/>
          <w:sz w:val="20"/>
          <w:szCs w:val="20"/>
          <w:lang w:val="sr-Cyrl-RS"/>
        </w:rPr>
        <w:t>ом</w:t>
      </w:r>
      <w:r w:rsidRPr="0DD3B114">
        <w:rPr>
          <w:rFonts w:ascii="Arial" w:hAnsi="Arial" w:cs="Arial"/>
          <w:sz w:val="20"/>
          <w:szCs w:val="20"/>
          <w:lang w:val="sr-Cyrl-RS"/>
        </w:rPr>
        <w:t xml:space="preserve"> локалне самоуправе. </w:t>
      </w:r>
      <w:r w:rsidR="001C2B28" w:rsidRPr="0DD3B114">
        <w:rPr>
          <w:rFonts w:ascii="Arial" w:hAnsi="Arial" w:cs="Arial"/>
          <w:sz w:val="20"/>
          <w:szCs w:val="20"/>
          <w:lang w:val="sr-Cyrl-RS"/>
        </w:rPr>
        <w:t xml:space="preserve">Она је </w:t>
      </w:r>
      <w:r w:rsidRPr="0DD3B114">
        <w:rPr>
          <w:rFonts w:ascii="Arial" w:hAnsi="Arial" w:cs="Arial"/>
          <w:sz w:val="20"/>
          <w:szCs w:val="20"/>
          <w:lang w:val="sr-Cyrl-RS"/>
        </w:rPr>
        <w:t xml:space="preserve">2009. године </w:t>
      </w:r>
      <w:r w:rsidR="001C2B28" w:rsidRPr="0DD3B114">
        <w:rPr>
          <w:rFonts w:ascii="Arial" w:hAnsi="Arial" w:cs="Arial"/>
          <w:sz w:val="20"/>
          <w:szCs w:val="20"/>
          <w:lang w:val="sr-Cyrl-RS"/>
        </w:rPr>
        <w:t xml:space="preserve">допуњена </w:t>
      </w:r>
      <w:r w:rsidRPr="0DD3B114">
        <w:rPr>
          <w:rFonts w:ascii="Arial" w:hAnsi="Arial" w:cs="Arial"/>
          <w:sz w:val="20"/>
          <w:szCs w:val="20"/>
          <w:lang w:val="sr-Cyrl-RS"/>
        </w:rPr>
        <w:t>Додатним протоколом о праву на учешће у пословима локалних власти. Непосредно на локалну самоуправу односи се и Европска оквирна конвенција о прекограничној сарадњи између територијалних заједница или власти</w:t>
      </w:r>
      <w:r w:rsidR="162EA80E" w:rsidRPr="0DD3B114">
        <w:rPr>
          <w:rFonts w:ascii="Arial" w:hAnsi="Arial" w:cs="Arial"/>
          <w:sz w:val="20"/>
          <w:szCs w:val="20"/>
          <w:lang w:val="sr-Cyrl-RS"/>
        </w:rPr>
        <w:t xml:space="preserve"> </w:t>
      </w:r>
      <w:r w:rsidR="162EA80E" w:rsidRPr="0DD3B114">
        <w:rPr>
          <w:rFonts w:ascii="Arial" w:hAnsi="Arial" w:cs="Arial"/>
          <w:color w:val="000000" w:themeColor="text1"/>
          <w:sz w:val="20"/>
          <w:szCs w:val="20"/>
          <w:lang w:val="sr-Cyrl-RS"/>
        </w:rPr>
        <w:t xml:space="preserve">(„Службени гласник РС </w:t>
      </w:r>
      <w:r w:rsidR="00517228" w:rsidRPr="0DD3B114">
        <w:rPr>
          <w:rFonts w:ascii="Arial" w:hAnsi="Arial" w:cs="Arial"/>
          <w:color w:val="000000" w:themeColor="text1"/>
          <w:sz w:val="20"/>
          <w:szCs w:val="20"/>
          <w:lang w:val="sr-Cyrl-RS"/>
        </w:rPr>
        <w:t>–</w:t>
      </w:r>
      <w:r w:rsidR="162EA80E" w:rsidRPr="0DD3B114">
        <w:rPr>
          <w:rFonts w:ascii="Arial" w:hAnsi="Arial" w:cs="Arial"/>
          <w:color w:val="000000" w:themeColor="text1"/>
          <w:sz w:val="20"/>
          <w:szCs w:val="20"/>
          <w:lang w:val="sr-Cyrl-RS"/>
        </w:rPr>
        <w:t xml:space="preserve"> Међународни уговори</w:t>
      </w:r>
      <w:r w:rsidR="00517228" w:rsidRPr="0DD3B114">
        <w:rPr>
          <w:rFonts w:ascii="Arial" w:hAnsi="Arial" w:cs="Arial"/>
          <w:color w:val="000000" w:themeColor="text1"/>
          <w:sz w:val="20"/>
          <w:szCs w:val="20"/>
        </w:rPr>
        <w:t>”</w:t>
      </w:r>
      <w:r w:rsidR="162EA80E" w:rsidRPr="0DD3B114">
        <w:rPr>
          <w:rFonts w:ascii="Arial" w:hAnsi="Arial" w:cs="Arial"/>
          <w:color w:val="000000" w:themeColor="text1"/>
          <w:sz w:val="20"/>
          <w:szCs w:val="20"/>
          <w:lang w:val="sr-Cyrl-RS"/>
        </w:rPr>
        <w:t>, број 2/16)</w:t>
      </w:r>
      <w:r w:rsidRPr="0DD3B114">
        <w:rPr>
          <w:rFonts w:ascii="Arial" w:hAnsi="Arial" w:cs="Arial"/>
          <w:lang w:val="sr-Cyrl-RS"/>
        </w:rPr>
        <w:t xml:space="preserve"> </w:t>
      </w:r>
      <w:r w:rsidR="007B0C8A" w:rsidRPr="0DD3B114">
        <w:rPr>
          <w:rFonts w:ascii="Arial" w:hAnsi="Arial" w:cs="Arial"/>
          <w:sz w:val="20"/>
          <w:szCs w:val="20"/>
          <w:lang w:val="sr-Cyrl-RS"/>
        </w:rPr>
        <w:t xml:space="preserve">из </w:t>
      </w:r>
      <w:r w:rsidRPr="0DD3B114">
        <w:rPr>
          <w:rFonts w:ascii="Arial" w:hAnsi="Arial" w:cs="Arial"/>
          <w:sz w:val="20"/>
          <w:szCs w:val="20"/>
          <w:lang w:val="sr-Cyrl-RS"/>
        </w:rPr>
        <w:t>1980. године.</w:t>
      </w:r>
    </w:p>
    <w:p w14:paraId="7E55AC1C" w14:textId="77777777" w:rsidR="00226CED" w:rsidRPr="00A021B7" w:rsidRDefault="00226CED" w:rsidP="0DD3B114">
      <w:pPr>
        <w:ind w:firstLine="720"/>
        <w:jc w:val="both"/>
        <w:rPr>
          <w:rFonts w:ascii="Arial" w:hAnsi="Arial" w:cs="Arial"/>
          <w:sz w:val="20"/>
          <w:szCs w:val="20"/>
          <w:lang w:val="sr-Cyrl-RS"/>
        </w:rPr>
      </w:pPr>
    </w:p>
    <w:p w14:paraId="37B89D4B" w14:textId="570E86BD" w:rsidR="00EE4143" w:rsidRPr="00A021B7" w:rsidRDefault="007B0C8A"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Начела садржана </w:t>
      </w:r>
      <w:r w:rsidR="00EE4143" w:rsidRPr="0DD3B114">
        <w:rPr>
          <w:rFonts w:ascii="Arial" w:hAnsi="Arial" w:cs="Arial"/>
          <w:sz w:val="20"/>
          <w:szCs w:val="20"/>
          <w:lang w:val="sr-Cyrl-RS"/>
        </w:rPr>
        <w:t>у одредбама ЕПЛС које је С</w:t>
      </w:r>
      <w:r w:rsidR="00E61532" w:rsidRPr="0DD3B114">
        <w:rPr>
          <w:rFonts w:ascii="Arial" w:hAnsi="Arial" w:cs="Arial"/>
          <w:sz w:val="20"/>
          <w:szCs w:val="20"/>
          <w:lang w:val="sr-Cyrl-RS"/>
        </w:rPr>
        <w:t>рбија</w:t>
      </w:r>
      <w:r w:rsidR="00EE4143" w:rsidRPr="0DD3B114">
        <w:rPr>
          <w:rFonts w:ascii="Arial" w:hAnsi="Arial" w:cs="Arial"/>
          <w:sz w:val="20"/>
          <w:szCs w:val="20"/>
          <w:lang w:val="sr-Cyrl-RS"/>
        </w:rPr>
        <w:t xml:space="preserve"> ратификовала </w:t>
      </w:r>
      <w:r w:rsidR="00E61532" w:rsidRPr="0DD3B114">
        <w:rPr>
          <w:rFonts w:ascii="Arial" w:hAnsi="Arial" w:cs="Arial"/>
          <w:sz w:val="20"/>
          <w:szCs w:val="20"/>
          <w:lang w:val="sr-Cyrl-RS"/>
        </w:rPr>
        <w:t xml:space="preserve">2007. године </w:t>
      </w:r>
      <w:r w:rsidR="00EE4143" w:rsidRPr="0DD3B114">
        <w:rPr>
          <w:rFonts w:ascii="Arial" w:hAnsi="Arial" w:cs="Arial"/>
          <w:sz w:val="20"/>
          <w:szCs w:val="20"/>
          <w:lang w:val="sr-Cyrl-RS"/>
        </w:rPr>
        <w:t>обухватају захтеве који се односе на:</w:t>
      </w:r>
    </w:p>
    <w:p w14:paraId="4077081C" w14:textId="1F727D2D" w:rsidR="00EE4143" w:rsidRPr="00A021B7" w:rsidRDefault="00EE4143" w:rsidP="0DD3B114">
      <w:pPr>
        <w:pStyle w:val="ListParagraph"/>
        <w:numPr>
          <w:ilvl w:val="0"/>
          <w:numId w:val="3"/>
        </w:numPr>
        <w:jc w:val="both"/>
        <w:rPr>
          <w:rFonts w:eastAsiaTheme="minorEastAsia"/>
          <w:sz w:val="20"/>
          <w:szCs w:val="20"/>
          <w:lang w:val="sr-Cyrl-RS"/>
        </w:rPr>
      </w:pPr>
      <w:r w:rsidRPr="0DD3B114">
        <w:rPr>
          <w:rFonts w:ascii="Arial" w:hAnsi="Arial" w:cs="Arial"/>
          <w:sz w:val="20"/>
          <w:szCs w:val="20"/>
          <w:lang w:val="sr-Cyrl-RS"/>
        </w:rPr>
        <w:t>обезбеђење јемства локалне самоуправе у уставу или барем у закону;</w:t>
      </w:r>
    </w:p>
    <w:p w14:paraId="317EE70D" w14:textId="006A70B1" w:rsidR="00EE4143" w:rsidRPr="00A021B7" w:rsidRDefault="00EE4143" w:rsidP="0DD3B114">
      <w:pPr>
        <w:pStyle w:val="ListParagraph"/>
        <w:numPr>
          <w:ilvl w:val="0"/>
          <w:numId w:val="3"/>
        </w:numPr>
        <w:jc w:val="both"/>
        <w:rPr>
          <w:rFonts w:eastAsiaTheme="minorEastAsia"/>
          <w:sz w:val="20"/>
          <w:szCs w:val="20"/>
          <w:lang w:val="sr-Cyrl-RS"/>
        </w:rPr>
      </w:pPr>
      <w:r w:rsidRPr="0DD3B114">
        <w:rPr>
          <w:rFonts w:ascii="Arial" w:hAnsi="Arial" w:cs="Arial"/>
          <w:sz w:val="20"/>
          <w:szCs w:val="20"/>
          <w:lang w:val="sr-Cyrl-RS"/>
        </w:rPr>
        <w:t>концепт локалне самоуправе и начин управљања њеним пословима (непосредно бирани представнички органи који могу имати извршне органе, уз задржавање референдума и других законом дозвољених облика непосредног учешћа);</w:t>
      </w:r>
    </w:p>
    <w:p w14:paraId="6C729F22" w14:textId="161C64FC" w:rsidR="00EE4143" w:rsidRPr="00A021B7" w:rsidRDefault="00EE4143" w:rsidP="0DD3B114">
      <w:pPr>
        <w:pStyle w:val="ListParagraph"/>
        <w:numPr>
          <w:ilvl w:val="0"/>
          <w:numId w:val="3"/>
        </w:numPr>
        <w:jc w:val="both"/>
        <w:rPr>
          <w:rFonts w:eastAsiaTheme="minorEastAsia"/>
          <w:sz w:val="20"/>
          <w:szCs w:val="20"/>
          <w:lang w:val="sr-Cyrl-RS"/>
        </w:rPr>
      </w:pPr>
      <w:r w:rsidRPr="0DD3B114">
        <w:rPr>
          <w:rFonts w:ascii="Arial" w:hAnsi="Arial" w:cs="Arial"/>
          <w:sz w:val="20"/>
          <w:szCs w:val="20"/>
          <w:lang w:val="sr-Cyrl-RS"/>
        </w:rPr>
        <w:lastRenderedPageBreak/>
        <w:t>самостални делокруг послова предвиђен уставом или законом (са по правилу потпуним и ексклузивним овлашћењима), уз могућност доделе поверених послова;</w:t>
      </w:r>
    </w:p>
    <w:p w14:paraId="044FCB26" w14:textId="34F111EE" w:rsidR="00EE4143" w:rsidRPr="00A021B7" w:rsidRDefault="00EE4143" w:rsidP="0DD3B114">
      <w:pPr>
        <w:pStyle w:val="ListParagraph"/>
        <w:numPr>
          <w:ilvl w:val="0"/>
          <w:numId w:val="3"/>
        </w:numPr>
        <w:jc w:val="both"/>
        <w:rPr>
          <w:rFonts w:eastAsiaTheme="minorEastAsia"/>
          <w:sz w:val="20"/>
          <w:szCs w:val="20"/>
          <w:lang w:val="sr-Cyrl-RS"/>
        </w:rPr>
      </w:pPr>
      <w:r w:rsidRPr="0DD3B114">
        <w:rPr>
          <w:rFonts w:ascii="Arial" w:hAnsi="Arial" w:cs="Arial"/>
          <w:sz w:val="20"/>
          <w:szCs w:val="20"/>
          <w:lang w:val="sr-Cyrl-RS"/>
        </w:rPr>
        <w:t>право на благовремено и адекватно консултовање о свим мерама које централне власти планирају или доносе</w:t>
      </w:r>
      <w:r w:rsidR="00655774" w:rsidRPr="0DD3B114">
        <w:rPr>
          <w:rFonts w:ascii="Arial" w:hAnsi="Arial" w:cs="Arial"/>
          <w:sz w:val="20"/>
          <w:szCs w:val="20"/>
          <w:lang w:val="sr-Cyrl-RS"/>
        </w:rPr>
        <w:t>,</w:t>
      </w:r>
      <w:r w:rsidRPr="0DD3B114">
        <w:rPr>
          <w:rFonts w:ascii="Arial" w:hAnsi="Arial" w:cs="Arial"/>
          <w:sz w:val="20"/>
          <w:szCs w:val="20"/>
          <w:lang w:val="sr-Cyrl-RS"/>
        </w:rPr>
        <w:t xml:space="preserve"> а директно се тичу локалне самоуправе;</w:t>
      </w:r>
    </w:p>
    <w:p w14:paraId="04312496" w14:textId="6A94650A" w:rsidR="00EE4143" w:rsidRPr="00A021B7" w:rsidRDefault="00EE4143" w:rsidP="0DD3B114">
      <w:pPr>
        <w:pStyle w:val="ListParagraph"/>
        <w:numPr>
          <w:ilvl w:val="0"/>
          <w:numId w:val="3"/>
        </w:numPr>
        <w:jc w:val="both"/>
        <w:rPr>
          <w:rFonts w:eastAsiaTheme="minorEastAsia"/>
          <w:sz w:val="20"/>
          <w:szCs w:val="20"/>
          <w:lang w:val="sr-Cyrl-RS"/>
        </w:rPr>
      </w:pPr>
      <w:r w:rsidRPr="0DD3B114">
        <w:rPr>
          <w:rFonts w:ascii="Arial" w:hAnsi="Arial" w:cs="Arial"/>
          <w:sz w:val="20"/>
          <w:szCs w:val="20"/>
          <w:lang w:val="sr-Cyrl-RS"/>
        </w:rPr>
        <w:t>заштиту граница локалне власти (промене граница се не могу вршити без консултација локалне заједнице, по могућству путем референдума);</w:t>
      </w:r>
    </w:p>
    <w:p w14:paraId="6C552F4F" w14:textId="77777777" w:rsidR="00EE4143" w:rsidRPr="00A021B7" w:rsidRDefault="00EE4143" w:rsidP="36E1526F">
      <w:pPr>
        <w:pStyle w:val="ListParagraph"/>
        <w:numPr>
          <w:ilvl w:val="0"/>
          <w:numId w:val="3"/>
        </w:numPr>
        <w:jc w:val="both"/>
        <w:rPr>
          <w:rFonts w:eastAsiaTheme="minorEastAsia"/>
          <w:sz w:val="20"/>
          <w:szCs w:val="20"/>
          <w:lang w:val="sr-Cyrl-RS"/>
        </w:rPr>
      </w:pPr>
      <w:r w:rsidRPr="00A021B7">
        <w:rPr>
          <w:rFonts w:ascii="Arial" w:hAnsi="Arial" w:cs="Arial"/>
          <w:sz w:val="20"/>
          <w:szCs w:val="20"/>
          <w:lang w:val="sr-Cyrl-RS"/>
        </w:rPr>
        <w:t>одговарајуће услове за слободно обављање функција бираних представника, као и</w:t>
      </w:r>
      <w:r w:rsidR="004D5004" w:rsidRPr="00A021B7">
        <w:rPr>
          <w:rFonts w:ascii="Arial" w:hAnsi="Arial" w:cs="Arial"/>
          <w:sz w:val="20"/>
          <w:szCs w:val="20"/>
          <w:lang w:val="sr-Cyrl-RS"/>
        </w:rPr>
        <w:t xml:space="preserve"> </w:t>
      </w:r>
      <w:r w:rsidRPr="00A021B7">
        <w:rPr>
          <w:rFonts w:ascii="Arial" w:hAnsi="Arial" w:cs="Arial"/>
          <w:sz w:val="20"/>
          <w:szCs w:val="20"/>
          <w:lang w:val="sr-Cyrl-RS"/>
        </w:rPr>
        <w:t>утврђивање функција и активности које нису спојиве са заузимањем локалних изборних положаја;</w:t>
      </w:r>
    </w:p>
    <w:p w14:paraId="1B04D8F8" w14:textId="77777777" w:rsidR="00EE4143" w:rsidRPr="00A021B7" w:rsidRDefault="00EE4143" w:rsidP="36E1526F">
      <w:pPr>
        <w:pStyle w:val="ListParagraph"/>
        <w:numPr>
          <w:ilvl w:val="0"/>
          <w:numId w:val="3"/>
        </w:numPr>
        <w:jc w:val="both"/>
        <w:rPr>
          <w:rFonts w:eastAsiaTheme="minorEastAsia"/>
          <w:sz w:val="20"/>
          <w:szCs w:val="20"/>
          <w:lang w:val="sr-Cyrl-RS"/>
        </w:rPr>
      </w:pPr>
      <w:r w:rsidRPr="00A021B7">
        <w:rPr>
          <w:rFonts w:ascii="Arial" w:hAnsi="Arial" w:cs="Arial"/>
          <w:sz w:val="20"/>
          <w:szCs w:val="20"/>
          <w:lang w:val="sr-Cyrl-RS"/>
        </w:rPr>
        <w:t>уставно или законско предвиђање сваког вида надзора над локалним властима, који се у изворним пословима може односити на уставност и законитост, а у повереним пословима и на целисходност;</w:t>
      </w:r>
    </w:p>
    <w:p w14:paraId="240471E5" w14:textId="76C0A8B9" w:rsidR="00EE4143" w:rsidRPr="00A021B7" w:rsidRDefault="00EE4143" w:rsidP="0DD3B114">
      <w:pPr>
        <w:pStyle w:val="ListParagraph"/>
        <w:numPr>
          <w:ilvl w:val="0"/>
          <w:numId w:val="3"/>
        </w:numPr>
        <w:jc w:val="both"/>
        <w:rPr>
          <w:rFonts w:eastAsiaTheme="minorEastAsia"/>
          <w:sz w:val="20"/>
          <w:szCs w:val="20"/>
          <w:lang w:val="sr-Cyrl-RS"/>
        </w:rPr>
      </w:pPr>
      <w:r w:rsidRPr="0DD3B114">
        <w:rPr>
          <w:rFonts w:ascii="Arial" w:hAnsi="Arial" w:cs="Arial"/>
          <w:sz w:val="20"/>
          <w:szCs w:val="20"/>
          <w:lang w:val="sr-Cyrl-RS"/>
        </w:rPr>
        <w:t>обезбеђење одговарајућих финансијских средст</w:t>
      </w:r>
      <w:r w:rsidR="00A65997" w:rsidRPr="0DD3B114">
        <w:rPr>
          <w:rFonts w:ascii="Arial" w:hAnsi="Arial" w:cs="Arial"/>
          <w:sz w:val="20"/>
          <w:szCs w:val="20"/>
          <w:lang w:val="sr-Cyrl-RS"/>
        </w:rPr>
        <w:t>а</w:t>
      </w:r>
      <w:r w:rsidRPr="0DD3B114">
        <w:rPr>
          <w:rFonts w:ascii="Arial" w:hAnsi="Arial" w:cs="Arial"/>
          <w:sz w:val="20"/>
          <w:szCs w:val="20"/>
          <w:lang w:val="sr-Cyrl-RS"/>
        </w:rPr>
        <w:t>ва</w:t>
      </w:r>
      <w:r w:rsidR="00517228" w:rsidRPr="0DD3B114">
        <w:rPr>
          <w:rFonts w:ascii="Arial" w:hAnsi="Arial" w:cs="Arial"/>
          <w:sz w:val="20"/>
          <w:szCs w:val="20"/>
          <w:lang w:val="sr-Cyrl-RS"/>
        </w:rPr>
        <w:t xml:space="preserve"> за</w:t>
      </w:r>
      <w:r w:rsidRPr="0DD3B114">
        <w:rPr>
          <w:rFonts w:ascii="Arial" w:hAnsi="Arial" w:cs="Arial"/>
          <w:sz w:val="20"/>
          <w:szCs w:val="20"/>
          <w:lang w:val="sr-Cyrl-RS"/>
        </w:rPr>
        <w:t xml:space="preserve"> локалн</w:t>
      </w:r>
      <w:r w:rsidR="00517228" w:rsidRPr="0DD3B114">
        <w:rPr>
          <w:rFonts w:ascii="Arial" w:hAnsi="Arial" w:cs="Arial"/>
          <w:sz w:val="20"/>
          <w:szCs w:val="20"/>
          <w:lang w:val="sr-Cyrl-RS"/>
        </w:rPr>
        <w:t>е</w:t>
      </w:r>
      <w:r w:rsidRPr="0DD3B114">
        <w:rPr>
          <w:rFonts w:ascii="Arial" w:hAnsi="Arial" w:cs="Arial"/>
          <w:sz w:val="20"/>
          <w:szCs w:val="20"/>
          <w:lang w:val="sr-Cyrl-RS"/>
        </w:rPr>
        <w:t xml:space="preserve"> </w:t>
      </w:r>
      <w:r w:rsidR="2558DF34" w:rsidRPr="0DD3B114">
        <w:rPr>
          <w:rFonts w:ascii="Arial" w:hAnsi="Arial" w:cs="Arial"/>
          <w:sz w:val="20"/>
          <w:szCs w:val="20"/>
          <w:lang w:val="sr-Cyrl-RS"/>
        </w:rPr>
        <w:t>власти</w:t>
      </w:r>
      <w:r w:rsidRPr="0DD3B114">
        <w:rPr>
          <w:rFonts w:ascii="Arial" w:hAnsi="Arial" w:cs="Arial"/>
          <w:sz w:val="20"/>
          <w:szCs w:val="20"/>
          <w:lang w:val="sr-Cyrl-RS"/>
        </w:rPr>
        <w:t xml:space="preserve"> (адекватна средства за обављање функција</w:t>
      </w:r>
      <w:r w:rsidR="00517228" w:rsidRPr="0DD3B114">
        <w:rPr>
          <w:rFonts w:ascii="Arial" w:hAnsi="Arial" w:cs="Arial"/>
          <w:sz w:val="20"/>
          <w:szCs w:val="20"/>
          <w:lang w:val="sr-Cyrl-RS"/>
        </w:rPr>
        <w:t>;</w:t>
      </w:r>
      <w:r w:rsidRPr="0DD3B114">
        <w:rPr>
          <w:rFonts w:ascii="Arial" w:hAnsi="Arial" w:cs="Arial"/>
          <w:sz w:val="20"/>
          <w:szCs w:val="20"/>
          <w:lang w:val="sr-Cyrl-RS"/>
        </w:rPr>
        <w:t xml:space="preserve"> део а ако је могуће</w:t>
      </w:r>
      <w:r w:rsidR="00517228" w:rsidRPr="0DD3B114">
        <w:rPr>
          <w:rFonts w:ascii="Arial" w:hAnsi="Arial" w:cs="Arial"/>
          <w:sz w:val="20"/>
          <w:szCs w:val="20"/>
          <w:lang w:val="sr-Cyrl-RS"/>
        </w:rPr>
        <w:t>,</w:t>
      </w:r>
      <w:r w:rsidRPr="0DD3B114">
        <w:rPr>
          <w:rFonts w:ascii="Arial" w:hAnsi="Arial" w:cs="Arial"/>
          <w:sz w:val="20"/>
          <w:szCs w:val="20"/>
          <w:lang w:val="sr-Cyrl-RS"/>
        </w:rPr>
        <w:t xml:space="preserve"> и сва</w:t>
      </w:r>
      <w:r w:rsidR="00517228" w:rsidRPr="0DD3B114">
        <w:rPr>
          <w:rFonts w:ascii="Arial" w:hAnsi="Arial" w:cs="Arial"/>
          <w:sz w:val="20"/>
          <w:szCs w:val="20"/>
          <w:lang w:val="sr-Cyrl-RS"/>
        </w:rPr>
        <w:t xml:space="preserve"> финансијска</w:t>
      </w:r>
      <w:r w:rsidRPr="0DD3B114">
        <w:rPr>
          <w:rFonts w:ascii="Arial" w:hAnsi="Arial" w:cs="Arial"/>
          <w:sz w:val="20"/>
          <w:szCs w:val="20"/>
          <w:lang w:val="sr-Cyrl-RS"/>
        </w:rPr>
        <w:t xml:space="preserve"> средства треба да потичу из лока</w:t>
      </w:r>
      <w:r w:rsidR="00A65997" w:rsidRPr="0DD3B114">
        <w:rPr>
          <w:rFonts w:ascii="Arial" w:hAnsi="Arial" w:cs="Arial"/>
          <w:sz w:val="20"/>
          <w:szCs w:val="20"/>
          <w:lang w:val="sr-Cyrl-RS"/>
        </w:rPr>
        <w:t>л</w:t>
      </w:r>
      <w:r w:rsidRPr="0DD3B114">
        <w:rPr>
          <w:rFonts w:ascii="Arial" w:hAnsi="Arial" w:cs="Arial"/>
          <w:sz w:val="20"/>
          <w:szCs w:val="20"/>
          <w:lang w:val="sr-Cyrl-RS"/>
        </w:rPr>
        <w:t>них извора прихода</w:t>
      </w:r>
      <w:r w:rsidR="00517228" w:rsidRPr="0DD3B114">
        <w:rPr>
          <w:rFonts w:ascii="Arial" w:hAnsi="Arial" w:cs="Arial"/>
          <w:sz w:val="20"/>
          <w:szCs w:val="20"/>
          <w:lang w:val="sr-Cyrl-RS"/>
        </w:rPr>
        <w:t>;</w:t>
      </w:r>
      <w:r w:rsidRPr="0DD3B114">
        <w:rPr>
          <w:rFonts w:ascii="Arial" w:hAnsi="Arial" w:cs="Arial"/>
          <w:sz w:val="20"/>
          <w:szCs w:val="20"/>
          <w:lang w:val="sr-Cyrl-RS"/>
        </w:rPr>
        <w:t xml:space="preserve"> корективне мере за финансијски слабије локалне власти</w:t>
      </w:r>
      <w:r w:rsidR="00517228" w:rsidRPr="0DD3B114">
        <w:rPr>
          <w:rFonts w:ascii="Arial" w:hAnsi="Arial" w:cs="Arial"/>
          <w:sz w:val="20"/>
          <w:szCs w:val="20"/>
          <w:lang w:val="sr-Cyrl-RS"/>
        </w:rPr>
        <w:t>;</w:t>
      </w:r>
      <w:r w:rsidRPr="0DD3B114">
        <w:rPr>
          <w:rFonts w:ascii="Arial" w:hAnsi="Arial" w:cs="Arial"/>
          <w:sz w:val="20"/>
          <w:szCs w:val="20"/>
          <w:lang w:val="sr-Cyrl-RS"/>
        </w:rPr>
        <w:t xml:space="preserve"> обавезно консултовање о додели средстава</w:t>
      </w:r>
      <w:r w:rsidR="00517228" w:rsidRPr="0DD3B114">
        <w:rPr>
          <w:rFonts w:ascii="Arial" w:hAnsi="Arial" w:cs="Arial"/>
          <w:sz w:val="20"/>
          <w:szCs w:val="20"/>
          <w:lang w:val="sr-Cyrl-RS"/>
        </w:rPr>
        <w:t>;</w:t>
      </w:r>
      <w:r w:rsidRPr="0DD3B114">
        <w:rPr>
          <w:rFonts w:ascii="Arial" w:hAnsi="Arial" w:cs="Arial"/>
          <w:sz w:val="20"/>
          <w:szCs w:val="20"/>
          <w:lang w:val="sr-Cyrl-RS"/>
        </w:rPr>
        <w:t xml:space="preserve"> неусловљавање наменом средстава </w:t>
      </w:r>
      <w:r w:rsidR="00517228" w:rsidRPr="0DD3B114">
        <w:rPr>
          <w:rFonts w:ascii="Arial" w:hAnsi="Arial" w:cs="Arial"/>
          <w:sz w:val="20"/>
          <w:szCs w:val="20"/>
          <w:lang w:val="sr-Cyrl-RS"/>
        </w:rPr>
        <w:t xml:space="preserve">у мери у којој </w:t>
      </w:r>
      <w:r w:rsidRPr="0DD3B114">
        <w:rPr>
          <w:rFonts w:ascii="Arial" w:hAnsi="Arial" w:cs="Arial"/>
          <w:sz w:val="20"/>
          <w:szCs w:val="20"/>
          <w:lang w:val="sr-Cyrl-RS"/>
        </w:rPr>
        <w:t>је</w:t>
      </w:r>
      <w:r w:rsidR="00517228" w:rsidRPr="0DD3B114">
        <w:rPr>
          <w:rFonts w:ascii="Arial" w:hAnsi="Arial" w:cs="Arial"/>
          <w:sz w:val="20"/>
          <w:szCs w:val="20"/>
          <w:lang w:val="sr-Cyrl-RS"/>
        </w:rPr>
        <w:t xml:space="preserve"> то</w:t>
      </w:r>
      <w:r w:rsidRPr="0DD3B114">
        <w:rPr>
          <w:rFonts w:ascii="Arial" w:hAnsi="Arial" w:cs="Arial"/>
          <w:sz w:val="20"/>
          <w:szCs w:val="20"/>
          <w:lang w:val="sr-Cyrl-RS"/>
        </w:rPr>
        <w:t xml:space="preserve"> могуће</w:t>
      </w:r>
      <w:r w:rsidR="00517228" w:rsidRPr="0DD3B114">
        <w:rPr>
          <w:rFonts w:ascii="Arial" w:hAnsi="Arial" w:cs="Arial"/>
          <w:sz w:val="20"/>
          <w:szCs w:val="20"/>
          <w:lang w:val="sr-Cyrl-RS"/>
        </w:rPr>
        <w:t>;</w:t>
      </w:r>
      <w:r w:rsidRPr="0DD3B114">
        <w:rPr>
          <w:rFonts w:ascii="Arial" w:hAnsi="Arial" w:cs="Arial"/>
          <w:sz w:val="20"/>
          <w:szCs w:val="20"/>
          <w:lang w:val="sr-Cyrl-RS"/>
        </w:rPr>
        <w:t xml:space="preserve"> приступ тржишту капитала);</w:t>
      </w:r>
    </w:p>
    <w:p w14:paraId="599222D3" w14:textId="77777777" w:rsidR="00EE4143" w:rsidRPr="00A021B7" w:rsidRDefault="00EE4143" w:rsidP="36E1526F">
      <w:pPr>
        <w:pStyle w:val="ListParagraph"/>
        <w:numPr>
          <w:ilvl w:val="0"/>
          <w:numId w:val="3"/>
        </w:numPr>
        <w:jc w:val="both"/>
        <w:rPr>
          <w:rFonts w:eastAsiaTheme="minorEastAsia"/>
          <w:sz w:val="20"/>
          <w:szCs w:val="20"/>
          <w:lang w:val="sr-Cyrl-RS"/>
        </w:rPr>
      </w:pPr>
      <w:r w:rsidRPr="00A021B7">
        <w:rPr>
          <w:rFonts w:ascii="Arial" w:hAnsi="Arial" w:cs="Arial"/>
          <w:sz w:val="20"/>
          <w:szCs w:val="20"/>
          <w:lang w:val="sr-Cyrl-RS"/>
        </w:rPr>
        <w:t>право локалних власти на удруживање (у националне и међународне асоцијације) и на међународну сарадњу и</w:t>
      </w:r>
    </w:p>
    <w:p w14:paraId="564EE12D" w14:textId="77777777" w:rsidR="00EE4143" w:rsidRPr="00A021B7" w:rsidRDefault="00EE4143" w:rsidP="36E1526F">
      <w:pPr>
        <w:pStyle w:val="ListParagraph"/>
        <w:numPr>
          <w:ilvl w:val="0"/>
          <w:numId w:val="3"/>
        </w:numPr>
        <w:jc w:val="both"/>
        <w:rPr>
          <w:rFonts w:eastAsiaTheme="minorEastAsia"/>
          <w:sz w:val="20"/>
          <w:szCs w:val="20"/>
          <w:lang w:val="sr-Cyrl-RS"/>
        </w:rPr>
      </w:pPr>
      <w:r w:rsidRPr="00A021B7">
        <w:rPr>
          <w:rFonts w:ascii="Arial" w:hAnsi="Arial" w:cs="Arial"/>
          <w:sz w:val="20"/>
          <w:szCs w:val="20"/>
          <w:lang w:val="sr-Cyrl-RS"/>
        </w:rPr>
        <w:t>правну заштиту локалне самоуправе (право жалбе суду ради заштите).</w:t>
      </w:r>
    </w:p>
    <w:p w14:paraId="2B216419" w14:textId="77777777" w:rsidR="00226CED" w:rsidRPr="00A021B7" w:rsidRDefault="00226CED" w:rsidP="003E7BC9">
      <w:pPr>
        <w:jc w:val="both"/>
        <w:rPr>
          <w:rFonts w:ascii="Arial" w:hAnsi="Arial" w:cs="Arial"/>
          <w:sz w:val="20"/>
          <w:szCs w:val="20"/>
          <w:lang w:val="sr-Cyrl-RS"/>
        </w:rPr>
      </w:pPr>
    </w:p>
    <w:p w14:paraId="3B09EA60" w14:textId="74CB0A02" w:rsidR="00EE4143" w:rsidRPr="00A021B7" w:rsidRDefault="00EE4143" w:rsidP="0DD3B114">
      <w:pPr>
        <w:ind w:firstLine="720"/>
        <w:jc w:val="both"/>
        <w:rPr>
          <w:rFonts w:ascii="Arial" w:hAnsi="Arial" w:cs="Arial"/>
          <w:sz w:val="20"/>
          <w:szCs w:val="20"/>
          <w:lang w:val="sr-Cyrl-RS"/>
        </w:rPr>
      </w:pPr>
      <w:r w:rsidRPr="0DD3B114">
        <w:rPr>
          <w:rFonts w:ascii="Arial" w:hAnsi="Arial" w:cs="Arial"/>
          <w:sz w:val="20"/>
          <w:szCs w:val="20"/>
          <w:lang w:val="sr-Cyrl-RS"/>
        </w:rPr>
        <w:t>Додатни протокол уз ЕПЛС о праву учешћа у пословима локалних власти има циљ да обезбеди доследнију примену права грађана на учешће у вођењу јавних послова. Поред права грађана да бирају органе локалних власти, овај се протокол залаже за право грађана да заузимају ставове и утичу на рад локалних органа и на њихову одговорност кроз конкретне облике какви су локални референдуми, петиције, консултативни процеси, зборови грађана за делове локалног подручја, притужбе и предлози и други облици. Те облике, заједно са мерама које треба да обезбеде транспарентност у раду локалних органа и приступ документима о њиховом раду, треба да предвиде национална законодавства.</w:t>
      </w:r>
    </w:p>
    <w:p w14:paraId="06712FCF" w14:textId="77777777" w:rsidR="00226CED" w:rsidRPr="00A021B7" w:rsidRDefault="00226CED" w:rsidP="0DD3B114">
      <w:pPr>
        <w:ind w:firstLine="720"/>
        <w:jc w:val="both"/>
        <w:rPr>
          <w:rFonts w:ascii="Arial" w:hAnsi="Arial" w:cs="Arial"/>
          <w:sz w:val="20"/>
          <w:szCs w:val="20"/>
          <w:lang w:val="sr-Cyrl-RS"/>
        </w:rPr>
      </w:pPr>
    </w:p>
    <w:p w14:paraId="3F43BDE3" w14:textId="77777777" w:rsidR="00EE4143" w:rsidRPr="00A021B7" w:rsidRDefault="00EE4143"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Европска оквирна конвенција о прекограничној сарадњи између територијалних заједница или власти усмерена је ка подстицању сарадње између тих заједница и власти различитих земаља у свим областима од заједничког интереса. Као могуће области сарадње посебно </w:t>
      </w:r>
      <w:r w:rsidR="0031138A" w:rsidRPr="0DD3B114">
        <w:rPr>
          <w:rFonts w:ascii="Arial" w:hAnsi="Arial" w:cs="Arial"/>
          <w:sz w:val="20"/>
          <w:szCs w:val="20"/>
          <w:lang w:val="sr-Cyrl-RS"/>
        </w:rPr>
        <w:t xml:space="preserve">су издвојени </w:t>
      </w:r>
      <w:r w:rsidRPr="0DD3B114">
        <w:rPr>
          <w:rFonts w:ascii="Arial" w:hAnsi="Arial" w:cs="Arial"/>
          <w:sz w:val="20"/>
          <w:szCs w:val="20"/>
          <w:lang w:val="sr-Cyrl-RS"/>
        </w:rPr>
        <w:t xml:space="preserve">регионални, урбани и рурални развој, </w:t>
      </w:r>
      <w:r w:rsidR="0031138A" w:rsidRPr="0DD3B114">
        <w:rPr>
          <w:rFonts w:ascii="Arial" w:hAnsi="Arial" w:cs="Arial"/>
          <w:sz w:val="20"/>
          <w:szCs w:val="20"/>
          <w:lang w:val="sr-Cyrl-RS"/>
        </w:rPr>
        <w:t xml:space="preserve">заштита </w:t>
      </w:r>
      <w:r w:rsidRPr="0DD3B114">
        <w:rPr>
          <w:rFonts w:ascii="Arial" w:hAnsi="Arial" w:cs="Arial"/>
          <w:sz w:val="20"/>
          <w:szCs w:val="20"/>
          <w:lang w:val="sr-Cyrl-RS"/>
        </w:rPr>
        <w:t xml:space="preserve">животне средине, побољшање јавних олакшица и услуга и </w:t>
      </w:r>
      <w:r w:rsidR="0031138A" w:rsidRPr="0DD3B114">
        <w:rPr>
          <w:rFonts w:ascii="Arial" w:hAnsi="Arial" w:cs="Arial"/>
          <w:sz w:val="20"/>
          <w:szCs w:val="20"/>
          <w:lang w:val="sr-Cyrl-RS"/>
        </w:rPr>
        <w:t xml:space="preserve">узајамна </w:t>
      </w:r>
      <w:r w:rsidRPr="0DD3B114">
        <w:rPr>
          <w:rFonts w:ascii="Arial" w:hAnsi="Arial" w:cs="Arial"/>
          <w:sz w:val="20"/>
          <w:szCs w:val="20"/>
          <w:lang w:val="sr-Cyrl-RS"/>
        </w:rPr>
        <w:t xml:space="preserve">помоћ у ванредним ситуацијама. Споразуми о сарадњи треба да поштују јурисдикцију предвиђену унутрашњим правом у погледу међународних односа и спољне политике, као и правила о надзору </w:t>
      </w:r>
      <w:r w:rsidR="006F2029" w:rsidRPr="0DD3B114">
        <w:rPr>
          <w:rFonts w:ascii="Arial" w:hAnsi="Arial" w:cs="Arial"/>
          <w:sz w:val="20"/>
          <w:szCs w:val="20"/>
          <w:lang w:val="sr-Cyrl-RS"/>
        </w:rPr>
        <w:t xml:space="preserve">коме </w:t>
      </w:r>
      <w:r w:rsidRPr="0DD3B114">
        <w:rPr>
          <w:rFonts w:ascii="Arial" w:hAnsi="Arial" w:cs="Arial"/>
          <w:sz w:val="20"/>
          <w:szCs w:val="20"/>
          <w:lang w:val="sr-Cyrl-RS"/>
        </w:rPr>
        <w:t>територијалне власти</w:t>
      </w:r>
      <w:r w:rsidR="006F2029" w:rsidRPr="0DD3B114">
        <w:rPr>
          <w:rFonts w:ascii="Arial" w:hAnsi="Arial" w:cs="Arial"/>
          <w:sz w:val="20"/>
          <w:szCs w:val="20"/>
          <w:lang w:val="sr-Cyrl-RS"/>
        </w:rPr>
        <w:t xml:space="preserve"> подлежу</w:t>
      </w:r>
      <w:r w:rsidRPr="0DD3B114">
        <w:rPr>
          <w:rFonts w:ascii="Arial" w:hAnsi="Arial" w:cs="Arial"/>
          <w:sz w:val="20"/>
          <w:szCs w:val="20"/>
          <w:lang w:val="sr-Cyrl-RS"/>
        </w:rPr>
        <w:t>.</w:t>
      </w:r>
    </w:p>
    <w:p w14:paraId="24D89551" w14:textId="77777777" w:rsidR="00226CED" w:rsidRPr="00A021B7" w:rsidRDefault="00226CED" w:rsidP="0DD3B114">
      <w:pPr>
        <w:ind w:firstLine="720"/>
        <w:jc w:val="both"/>
        <w:rPr>
          <w:rFonts w:ascii="Arial" w:hAnsi="Arial" w:cs="Arial"/>
          <w:sz w:val="20"/>
          <w:szCs w:val="20"/>
          <w:lang w:val="sr-Cyrl-RS"/>
        </w:rPr>
      </w:pPr>
    </w:p>
    <w:p w14:paraId="23E514D3" w14:textId="11176C08" w:rsidR="00EE4143" w:rsidRPr="00A021B7" w:rsidRDefault="00EE4143"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Поред наведених уговора, за све земље чланице Савета Европе од великог значаја </w:t>
      </w:r>
      <w:r w:rsidR="003B74D6" w:rsidRPr="0DD3B114">
        <w:rPr>
          <w:rFonts w:ascii="Arial" w:hAnsi="Arial" w:cs="Arial"/>
          <w:sz w:val="20"/>
          <w:szCs w:val="20"/>
          <w:lang w:val="sr-Cyrl-RS"/>
        </w:rPr>
        <w:t xml:space="preserve">су </w:t>
      </w:r>
      <w:r w:rsidRPr="0DD3B114">
        <w:rPr>
          <w:rFonts w:ascii="Arial" w:hAnsi="Arial" w:cs="Arial"/>
          <w:sz w:val="20"/>
          <w:szCs w:val="20"/>
          <w:lang w:val="sr-Cyrl-RS"/>
        </w:rPr>
        <w:t xml:space="preserve">препоруке Комитета министара држава чланица Савета Европе и Конгреса локалних и регионалних власти Европе. </w:t>
      </w:r>
      <w:r w:rsidR="005D7248" w:rsidRPr="0DD3B114">
        <w:rPr>
          <w:rFonts w:ascii="Arial" w:hAnsi="Arial" w:cs="Arial"/>
          <w:sz w:val="20"/>
          <w:szCs w:val="20"/>
          <w:lang w:val="sr-Cyrl-RS"/>
        </w:rPr>
        <w:t>Њихов</w:t>
      </w:r>
      <w:r w:rsidRPr="0DD3B114">
        <w:rPr>
          <w:rFonts w:ascii="Arial" w:hAnsi="Arial" w:cs="Arial"/>
          <w:sz w:val="20"/>
          <w:szCs w:val="20"/>
          <w:lang w:val="sr-Cyrl-RS"/>
        </w:rPr>
        <w:t xml:space="preserve"> предмет</w:t>
      </w:r>
      <w:r w:rsidR="005D7248" w:rsidRPr="0DD3B114">
        <w:rPr>
          <w:rFonts w:ascii="Arial" w:hAnsi="Arial" w:cs="Arial"/>
          <w:sz w:val="20"/>
          <w:szCs w:val="20"/>
          <w:lang w:val="sr-Cyrl-RS"/>
        </w:rPr>
        <w:t xml:space="preserve"> може бити</w:t>
      </w:r>
      <w:r w:rsidRPr="0DD3B114">
        <w:rPr>
          <w:rFonts w:ascii="Arial" w:hAnsi="Arial" w:cs="Arial"/>
          <w:sz w:val="20"/>
          <w:szCs w:val="20"/>
          <w:lang w:val="sr-Cyrl-RS"/>
        </w:rPr>
        <w:t xml:space="preserve"> даљи развој </w:t>
      </w:r>
      <w:r w:rsidR="005D7248" w:rsidRPr="0DD3B114">
        <w:rPr>
          <w:rFonts w:ascii="Arial" w:hAnsi="Arial" w:cs="Arial"/>
          <w:sz w:val="20"/>
          <w:szCs w:val="20"/>
          <w:lang w:val="sr-Cyrl-RS"/>
        </w:rPr>
        <w:t xml:space="preserve">начела </w:t>
      </w:r>
      <w:r w:rsidRPr="0DD3B114">
        <w:rPr>
          <w:rFonts w:ascii="Arial" w:hAnsi="Arial" w:cs="Arial"/>
          <w:sz w:val="20"/>
          <w:szCs w:val="20"/>
          <w:lang w:val="sr-Cyrl-RS"/>
        </w:rPr>
        <w:t xml:space="preserve">ЕПЛС или њихово конкретизовање ради налажења адекватнијих одговора на конкретне изазове </w:t>
      </w:r>
      <w:r w:rsidR="005D7248" w:rsidRPr="0DD3B114">
        <w:rPr>
          <w:rFonts w:ascii="Arial" w:hAnsi="Arial" w:cs="Arial"/>
          <w:sz w:val="20"/>
          <w:szCs w:val="20"/>
          <w:lang w:val="sr-Cyrl-RS"/>
        </w:rPr>
        <w:t xml:space="preserve">из </w:t>
      </w:r>
      <w:r w:rsidRPr="0DD3B114">
        <w:rPr>
          <w:rFonts w:ascii="Arial" w:hAnsi="Arial" w:cs="Arial"/>
          <w:sz w:val="20"/>
          <w:szCs w:val="20"/>
          <w:lang w:val="sr-Cyrl-RS"/>
        </w:rPr>
        <w:t>праксе, као и мере за унапређење стања локалне самоуправе у појединим земљама, а упућују се владама земаља чланица ради примењивања кроз промене закона или усвајањ</w:t>
      </w:r>
      <w:r w:rsidR="005D7248" w:rsidRPr="0DD3B114">
        <w:rPr>
          <w:rFonts w:ascii="Arial" w:hAnsi="Arial" w:cs="Arial"/>
          <w:sz w:val="20"/>
          <w:szCs w:val="20"/>
          <w:lang w:val="sr-Cyrl-RS"/>
        </w:rPr>
        <w:t>е</w:t>
      </w:r>
      <w:r w:rsidRPr="0DD3B114">
        <w:rPr>
          <w:rFonts w:ascii="Arial" w:hAnsi="Arial" w:cs="Arial"/>
          <w:sz w:val="20"/>
          <w:szCs w:val="20"/>
          <w:lang w:val="sr-Cyrl-RS"/>
        </w:rPr>
        <w:t xml:space="preserve"> конкретних политика. Примера ради, само у 2019. години усвојене су препоруке о службеној употреби језика у раду локалних власти, заштити расељених лица, социјалним правима младих, накнадама бираним функционерима, заштити узбуњивача, борби против непотизма и надзору над локалним властима.</w:t>
      </w:r>
    </w:p>
    <w:p w14:paraId="265CB8AC" w14:textId="77777777" w:rsidR="005D560F" w:rsidRPr="00A021B7" w:rsidRDefault="005D560F" w:rsidP="003E7BC9">
      <w:pPr>
        <w:jc w:val="both"/>
        <w:rPr>
          <w:rFonts w:ascii="Arial" w:hAnsi="Arial" w:cs="Arial"/>
          <w:sz w:val="20"/>
          <w:szCs w:val="20"/>
          <w:lang w:val="sr-Cyrl-RS"/>
        </w:rPr>
      </w:pPr>
    </w:p>
    <w:p w14:paraId="4E25660A" w14:textId="395C5E4C" w:rsidR="00324395" w:rsidRPr="00A021B7" w:rsidRDefault="00324395"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Устав Републике Србије уређује основе система локалне самоуправе на начин који </w:t>
      </w:r>
      <w:r w:rsidR="00BB7E5A" w:rsidRPr="0DD3B114">
        <w:rPr>
          <w:rFonts w:ascii="Arial" w:hAnsi="Arial" w:cs="Arial"/>
          <w:sz w:val="20"/>
          <w:szCs w:val="20"/>
          <w:lang w:val="sr-Cyrl-RS"/>
        </w:rPr>
        <w:t xml:space="preserve">је </w:t>
      </w:r>
      <w:r w:rsidRPr="0DD3B114">
        <w:rPr>
          <w:rFonts w:ascii="Arial" w:hAnsi="Arial" w:cs="Arial"/>
          <w:sz w:val="20"/>
          <w:szCs w:val="20"/>
          <w:lang w:val="sr-Cyrl-RS"/>
        </w:rPr>
        <w:t>по обиму и садржини примерен европским уставима нове генерације. Полазни уставни принцип представља јемство права грађана на локалну самоуправу, које они остварују непосредно или преко својих слободно изабраних представника. Тим правом грађана је ограничена државна власт, а његово остваривање подлеже само надзору уставности и законитости. Сагласно том принципу, успостављен је актуелни уставни, стратешки и нормативни оквир за функционисање система локалне самоуправе.</w:t>
      </w:r>
    </w:p>
    <w:p w14:paraId="0BC87962" w14:textId="77777777" w:rsidR="003103E6" w:rsidRPr="00A021B7" w:rsidRDefault="003103E6" w:rsidP="003E7BC9">
      <w:pPr>
        <w:jc w:val="both"/>
        <w:rPr>
          <w:rFonts w:ascii="Arial" w:hAnsi="Arial" w:cs="Arial"/>
          <w:sz w:val="20"/>
          <w:szCs w:val="20"/>
          <w:lang w:val="sr-Cyrl-RS"/>
        </w:rPr>
      </w:pPr>
    </w:p>
    <w:p w14:paraId="24E55FB9" w14:textId="77777777" w:rsidR="00E70D3C" w:rsidRPr="00A021B7" w:rsidRDefault="00877ADD" w:rsidP="0DD3B114">
      <w:pPr>
        <w:ind w:firstLine="720"/>
        <w:jc w:val="both"/>
        <w:rPr>
          <w:rFonts w:ascii="Arial" w:hAnsi="Arial" w:cs="Arial"/>
          <w:sz w:val="20"/>
          <w:szCs w:val="20"/>
          <w:lang w:val="sr-Cyrl-RS"/>
        </w:rPr>
      </w:pPr>
      <w:r w:rsidRPr="00A021B7">
        <w:rPr>
          <w:rFonts w:ascii="Arial" w:hAnsi="Arial" w:cs="Arial"/>
          <w:sz w:val="20"/>
          <w:szCs w:val="20"/>
          <w:lang w:val="sr-Cyrl-RS"/>
        </w:rPr>
        <w:t>Република Србија</w:t>
      </w:r>
      <w:r w:rsidR="00BD6D6D" w:rsidRPr="00A021B7">
        <w:rPr>
          <w:rFonts w:ascii="Arial" w:hAnsi="Arial" w:cs="Arial"/>
          <w:sz w:val="20"/>
          <w:szCs w:val="20"/>
          <w:lang w:val="sr-Cyrl-RS"/>
        </w:rPr>
        <w:t xml:space="preserve"> </w:t>
      </w:r>
      <w:r w:rsidRPr="00A021B7">
        <w:rPr>
          <w:rFonts w:ascii="Arial" w:hAnsi="Arial" w:cs="Arial"/>
          <w:sz w:val="20"/>
          <w:szCs w:val="20"/>
          <w:lang w:val="sr-Cyrl-RS"/>
        </w:rPr>
        <w:t>ратификовала</w:t>
      </w:r>
      <w:r w:rsidR="00BD6D6D" w:rsidRPr="00A021B7">
        <w:rPr>
          <w:rFonts w:ascii="Arial" w:hAnsi="Arial" w:cs="Arial"/>
          <w:sz w:val="20"/>
          <w:szCs w:val="20"/>
          <w:lang w:val="sr-Cyrl-RS"/>
        </w:rPr>
        <w:t xml:space="preserve"> </w:t>
      </w:r>
      <w:r w:rsidR="00D00196" w:rsidRPr="00A021B7">
        <w:rPr>
          <w:rFonts w:ascii="Arial" w:hAnsi="Arial" w:cs="Arial"/>
          <w:sz w:val="20"/>
          <w:szCs w:val="20"/>
          <w:lang w:val="sr-Cyrl-RS"/>
        </w:rPr>
        <w:t xml:space="preserve">је </w:t>
      </w:r>
      <w:r w:rsidR="00BD6D6D" w:rsidRPr="00A021B7">
        <w:rPr>
          <w:rFonts w:ascii="Arial" w:hAnsi="Arial" w:cs="Arial"/>
          <w:sz w:val="20"/>
          <w:szCs w:val="20"/>
          <w:lang w:val="sr-Cyrl-RS"/>
        </w:rPr>
        <w:t>ЕПЛС и Додатни протокол о праву на учешће у пословима</w:t>
      </w:r>
      <w:r w:rsidR="00A72401" w:rsidRPr="00A021B7">
        <w:rPr>
          <w:rFonts w:ascii="Arial" w:hAnsi="Arial" w:cs="Arial"/>
          <w:sz w:val="20"/>
          <w:szCs w:val="20"/>
          <w:lang w:val="sr-Cyrl-RS"/>
        </w:rPr>
        <w:t xml:space="preserve"> локалних власти</w:t>
      </w:r>
      <w:r w:rsidRPr="00A021B7">
        <w:rPr>
          <w:rFonts w:ascii="Arial" w:hAnsi="Arial" w:cs="Arial"/>
          <w:sz w:val="20"/>
          <w:szCs w:val="20"/>
          <w:lang w:val="sr-Cyrl-RS"/>
        </w:rPr>
        <w:t>, с тим што ратификацијом</w:t>
      </w:r>
      <w:r w:rsidR="00A72401" w:rsidRPr="00A021B7">
        <w:rPr>
          <w:rFonts w:ascii="Arial" w:hAnsi="Arial" w:cs="Arial"/>
          <w:sz w:val="20"/>
          <w:szCs w:val="20"/>
          <w:lang w:val="sr-Cyrl-RS"/>
        </w:rPr>
        <w:t xml:space="preserve"> </w:t>
      </w:r>
      <w:r w:rsidRPr="00A021B7">
        <w:rPr>
          <w:rFonts w:ascii="Arial" w:hAnsi="Arial" w:cs="Arial"/>
          <w:sz w:val="20"/>
          <w:szCs w:val="20"/>
          <w:lang w:val="sr-Cyrl-RS"/>
        </w:rPr>
        <w:t xml:space="preserve">нису обухваћене неке од битних одредаба </w:t>
      </w:r>
      <w:r w:rsidR="00A72401" w:rsidRPr="00A021B7">
        <w:rPr>
          <w:rFonts w:ascii="Arial" w:hAnsi="Arial" w:cs="Arial"/>
          <w:sz w:val="20"/>
          <w:szCs w:val="20"/>
          <w:lang w:val="sr-Cyrl-RS"/>
        </w:rPr>
        <w:t xml:space="preserve">ЕПЛС. </w:t>
      </w:r>
      <w:r w:rsidR="00E70D3C" w:rsidRPr="00A021B7">
        <w:rPr>
          <w:rFonts w:ascii="Arial" w:hAnsi="Arial" w:cs="Arial"/>
          <w:sz w:val="20"/>
          <w:szCs w:val="20"/>
          <w:lang w:val="sr-Cyrl-RS"/>
        </w:rPr>
        <w:t xml:space="preserve">Према </w:t>
      </w:r>
      <w:r w:rsidR="66B1D5E2" w:rsidRPr="00A021B7">
        <w:rPr>
          <w:rFonts w:ascii="Arial" w:hAnsi="Arial" w:cs="Arial"/>
          <w:sz w:val="20"/>
          <w:szCs w:val="20"/>
          <w:lang w:val="sr-Cyrl-RS"/>
        </w:rPr>
        <w:t>Закону о потврђивању ЕПЛС</w:t>
      </w:r>
      <w:r w:rsidR="00E70D3C" w:rsidRPr="00A021B7">
        <w:rPr>
          <w:rFonts w:ascii="Arial" w:hAnsi="Arial" w:cs="Arial"/>
          <w:sz w:val="20"/>
          <w:szCs w:val="20"/>
          <w:lang w:val="sr-Cyrl-RS"/>
        </w:rPr>
        <w:t xml:space="preserve">, Републику Србију обавезују одредбе из следећих </w:t>
      </w:r>
      <w:r w:rsidR="00E70D3C" w:rsidRPr="00A021B7">
        <w:rPr>
          <w:rFonts w:ascii="Arial" w:hAnsi="Arial" w:cs="Arial"/>
          <w:sz w:val="20"/>
          <w:szCs w:val="20"/>
          <w:lang w:val="sr-Cyrl-RS"/>
        </w:rPr>
        <w:lastRenderedPageBreak/>
        <w:t>чланова и ставова</w:t>
      </w:r>
      <w:r w:rsidR="00A72401" w:rsidRPr="00A021B7">
        <w:rPr>
          <w:rFonts w:ascii="Arial" w:hAnsi="Arial" w:cs="Arial"/>
          <w:sz w:val="20"/>
          <w:szCs w:val="20"/>
          <w:lang w:val="sr-Cyrl-RS"/>
        </w:rPr>
        <w:t xml:space="preserve"> ЕПЛС</w:t>
      </w:r>
      <w:r w:rsidR="00E70D3C" w:rsidRPr="00A021B7">
        <w:rPr>
          <w:rFonts w:ascii="Arial" w:hAnsi="Arial" w:cs="Arial"/>
          <w:sz w:val="20"/>
          <w:szCs w:val="20"/>
          <w:lang w:val="sr-Cyrl-RS"/>
        </w:rPr>
        <w:t>: члан 2; члан 3. ст. 1. и 2; члан 4. ст. 1, 2, 4. и 6; члан 5; члан 7. ст. 1. и 3; члан 8. ст. 1. и 2; члан 9. ст. 1, 2, 3 ,4, 5, 6, 7. и 8; члан 10. ст. 1, 2. и 3. и члан 11.</w:t>
      </w:r>
      <w:r w:rsidR="00E70D3C" w:rsidRPr="00A021B7">
        <w:rPr>
          <w:rStyle w:val="FootnoteReference"/>
          <w:rFonts w:ascii="Arial" w:hAnsi="Arial" w:cs="Arial"/>
          <w:sz w:val="20"/>
          <w:szCs w:val="20"/>
          <w:lang w:val="sr-Cyrl-RS"/>
        </w:rPr>
        <w:footnoteReference w:id="3"/>
      </w:r>
      <w:r w:rsidR="004D5004" w:rsidRPr="00A021B7">
        <w:rPr>
          <w:rFonts w:ascii="Arial" w:hAnsi="Arial" w:cs="Arial"/>
          <w:sz w:val="20"/>
          <w:szCs w:val="20"/>
          <w:lang w:val="sr-Cyrl-RS"/>
        </w:rPr>
        <w:t xml:space="preserve"> </w:t>
      </w:r>
      <w:r w:rsidR="00E70D3C" w:rsidRPr="00A021B7">
        <w:rPr>
          <w:rFonts w:ascii="Arial" w:hAnsi="Arial" w:cs="Arial"/>
          <w:sz w:val="20"/>
          <w:szCs w:val="20"/>
          <w:lang w:val="sr-Cyrl-RS"/>
        </w:rPr>
        <w:t xml:space="preserve">У целини посматран, домаћи законодавни оквир је у знатној мери усаглашен са наведеним одредбама </w:t>
      </w:r>
      <w:r w:rsidR="00C06714" w:rsidRPr="00A021B7">
        <w:rPr>
          <w:rFonts w:ascii="Arial" w:hAnsi="Arial" w:cs="Arial"/>
          <w:sz w:val="20"/>
          <w:szCs w:val="20"/>
          <w:lang w:val="sr-Cyrl-RS"/>
        </w:rPr>
        <w:t xml:space="preserve">ЕПЛС </w:t>
      </w:r>
      <w:r w:rsidR="00E70D3C" w:rsidRPr="00A021B7">
        <w:rPr>
          <w:rFonts w:ascii="Arial" w:hAnsi="Arial" w:cs="Arial"/>
          <w:sz w:val="20"/>
          <w:szCs w:val="20"/>
          <w:lang w:val="sr-Cyrl-RS"/>
        </w:rPr>
        <w:t>и одговара смислу и садржини пратећих докумената Савета Европе који се односе на те одредбе.</w:t>
      </w:r>
      <w:r w:rsidR="00870371" w:rsidRPr="00A021B7">
        <w:rPr>
          <w:rFonts w:ascii="Arial" w:hAnsi="Arial" w:cs="Arial"/>
          <w:sz w:val="20"/>
          <w:szCs w:val="20"/>
          <w:lang w:val="sr-Cyrl-RS"/>
        </w:rPr>
        <w:t xml:space="preserve"> У даљем тексту је</w:t>
      </w:r>
      <w:r w:rsidR="00A22125" w:rsidRPr="00A021B7">
        <w:rPr>
          <w:rFonts w:ascii="Arial" w:hAnsi="Arial" w:cs="Arial"/>
          <w:sz w:val="20"/>
          <w:szCs w:val="20"/>
          <w:lang w:val="sr-Cyrl-RS"/>
        </w:rPr>
        <w:t xml:space="preserve"> дат</w:t>
      </w:r>
      <w:r w:rsidR="00870371" w:rsidRPr="00A021B7">
        <w:rPr>
          <w:rFonts w:ascii="Arial" w:hAnsi="Arial" w:cs="Arial"/>
          <w:sz w:val="20"/>
          <w:szCs w:val="20"/>
          <w:lang w:val="sr-Cyrl-RS"/>
        </w:rPr>
        <w:t xml:space="preserve"> детаљнији приказ наведених одредаба ЕПЛС.</w:t>
      </w:r>
    </w:p>
    <w:p w14:paraId="0E95FBC0" w14:textId="77777777" w:rsidR="00E70D3C" w:rsidRPr="00A021B7" w:rsidRDefault="00E70D3C" w:rsidP="0DD3B114">
      <w:pPr>
        <w:ind w:firstLine="720"/>
        <w:jc w:val="both"/>
        <w:rPr>
          <w:rFonts w:ascii="Arial" w:hAnsi="Arial" w:cs="Arial"/>
          <w:sz w:val="20"/>
          <w:szCs w:val="20"/>
          <w:lang w:val="sr-Cyrl-RS"/>
        </w:rPr>
      </w:pPr>
    </w:p>
    <w:p w14:paraId="2AE7A96D" w14:textId="4D5D9E92" w:rsidR="003103E6" w:rsidRPr="00A021B7" w:rsidRDefault="00657071" w:rsidP="0DD3B114">
      <w:pPr>
        <w:pStyle w:val="Heading2"/>
        <w:ind w:firstLine="720"/>
        <w:jc w:val="both"/>
        <w:rPr>
          <w:rFonts w:ascii="Arial" w:hAnsi="Arial" w:cs="Arial"/>
          <w:color w:val="000000" w:themeColor="text1"/>
          <w:sz w:val="20"/>
          <w:szCs w:val="20"/>
          <w:lang w:val="sr-Cyrl-RS"/>
        </w:rPr>
      </w:pPr>
      <w:bookmarkStart w:id="9" w:name="_Toc60136062"/>
      <w:r w:rsidRPr="0DD3B114">
        <w:rPr>
          <w:rFonts w:ascii="Arial" w:hAnsi="Arial" w:cs="Arial"/>
          <w:color w:val="000000" w:themeColor="text1"/>
          <w:sz w:val="20"/>
          <w:szCs w:val="20"/>
          <w:lang w:val="sr-Cyrl-RS"/>
        </w:rPr>
        <w:t>К</w:t>
      </w:r>
      <w:r w:rsidR="003103E6" w:rsidRPr="0DD3B114">
        <w:rPr>
          <w:rFonts w:ascii="Arial" w:hAnsi="Arial" w:cs="Arial"/>
          <w:color w:val="000000" w:themeColor="text1"/>
          <w:sz w:val="20"/>
          <w:szCs w:val="20"/>
          <w:lang w:val="sr-Cyrl-RS"/>
        </w:rPr>
        <w:t xml:space="preserve">ључни закони </w:t>
      </w:r>
      <w:r w:rsidR="003058D5" w:rsidRPr="0DD3B114">
        <w:rPr>
          <w:rFonts w:ascii="Arial" w:hAnsi="Arial" w:cs="Arial"/>
          <w:color w:val="000000" w:themeColor="text1"/>
          <w:sz w:val="20"/>
          <w:szCs w:val="20"/>
          <w:lang w:val="sr-Cyrl-RS"/>
        </w:rPr>
        <w:t>који уређују</w:t>
      </w:r>
      <w:r w:rsidR="003103E6" w:rsidRPr="0DD3B114">
        <w:rPr>
          <w:rFonts w:ascii="Arial" w:hAnsi="Arial" w:cs="Arial"/>
          <w:color w:val="000000" w:themeColor="text1"/>
          <w:sz w:val="20"/>
          <w:szCs w:val="20"/>
          <w:lang w:val="sr-Cyrl-RS"/>
        </w:rPr>
        <w:t xml:space="preserve"> систем локалне самоуправе јесу</w:t>
      </w:r>
      <w:r w:rsidR="00405FCC" w:rsidRPr="0DD3B114">
        <w:rPr>
          <w:rFonts w:ascii="Arial" w:hAnsi="Arial" w:cs="Arial"/>
          <w:color w:val="000000" w:themeColor="text1"/>
          <w:sz w:val="20"/>
          <w:szCs w:val="20"/>
          <w:lang w:val="sr-Cyrl-RS"/>
        </w:rPr>
        <w:t xml:space="preserve">: </w:t>
      </w:r>
      <w:r w:rsidR="003103E6" w:rsidRPr="0DD3B114">
        <w:rPr>
          <w:rFonts w:ascii="Arial" w:hAnsi="Arial" w:cs="Arial"/>
          <w:color w:val="000000" w:themeColor="text1"/>
          <w:sz w:val="20"/>
          <w:szCs w:val="20"/>
          <w:lang w:val="sr-Cyrl-RS"/>
        </w:rPr>
        <w:t>Закон о локалној самоуправи</w:t>
      </w:r>
      <w:r w:rsidR="78CF30D9" w:rsidRPr="0DD3B114">
        <w:rPr>
          <w:rFonts w:ascii="Arial" w:hAnsi="Arial" w:cs="Arial"/>
          <w:color w:val="000000" w:themeColor="text1"/>
          <w:sz w:val="20"/>
          <w:szCs w:val="20"/>
          <w:lang w:val="sr-Cyrl-RS"/>
        </w:rPr>
        <w:t xml:space="preserve"> </w:t>
      </w:r>
      <w:r w:rsidR="1D17B590" w:rsidRPr="0DD3B114">
        <w:rPr>
          <w:rFonts w:ascii="Arial" w:eastAsia="Arial" w:hAnsi="Arial" w:cs="Arial"/>
          <w:color w:val="000000" w:themeColor="text1"/>
          <w:sz w:val="20"/>
          <w:szCs w:val="20"/>
          <w:lang w:val="sr-Cyrl-RS"/>
        </w:rPr>
        <w:t>(</w:t>
      </w:r>
      <w:r w:rsidR="0DB7F5BD" w:rsidRPr="0DD3B114">
        <w:rPr>
          <w:rFonts w:ascii="Arial" w:eastAsia="Arial" w:hAnsi="Arial" w:cs="Arial"/>
          <w:color w:val="000000" w:themeColor="text1"/>
          <w:sz w:val="20"/>
          <w:szCs w:val="20"/>
          <w:lang w:val="sr-Cyrl-RS"/>
        </w:rPr>
        <w:t>„Службени гласник РС”,</w:t>
      </w:r>
      <w:r w:rsidR="757E9135" w:rsidRPr="0DD3B114">
        <w:rPr>
          <w:rFonts w:ascii="Arial" w:eastAsia="Arial" w:hAnsi="Arial" w:cs="Arial"/>
          <w:color w:val="000000" w:themeColor="text1"/>
          <w:sz w:val="20"/>
          <w:szCs w:val="20"/>
          <w:lang w:val="sr-Cyrl-RS"/>
        </w:rPr>
        <w:t xml:space="preserve"> </w:t>
      </w:r>
      <w:r w:rsidR="6720D3B5" w:rsidRPr="0DD3B114">
        <w:rPr>
          <w:rFonts w:ascii="Arial" w:eastAsia="Arial" w:hAnsi="Arial" w:cs="Arial"/>
          <w:color w:val="000000" w:themeColor="text1"/>
          <w:sz w:val="20"/>
          <w:szCs w:val="20"/>
          <w:lang w:val="sr-Cyrl-RS"/>
        </w:rPr>
        <w:t>бр.</w:t>
      </w:r>
      <w:r w:rsidR="757E9135" w:rsidRPr="0DD3B114">
        <w:rPr>
          <w:rFonts w:ascii="Arial" w:eastAsia="Arial" w:hAnsi="Arial" w:cs="Arial"/>
          <w:color w:val="000000" w:themeColor="text1"/>
          <w:sz w:val="20"/>
          <w:szCs w:val="20"/>
          <w:lang w:val="sr-Cyrl-RS"/>
        </w:rPr>
        <w:t>129/07,</w:t>
      </w:r>
      <w:r w:rsidR="65C696B4" w:rsidRPr="0DD3B114">
        <w:rPr>
          <w:rFonts w:ascii="Arial" w:eastAsia="Arial" w:hAnsi="Arial" w:cs="Arial"/>
          <w:color w:val="000000" w:themeColor="text1"/>
          <w:sz w:val="20"/>
          <w:szCs w:val="20"/>
          <w:lang w:val="sr-Cyrl-RS"/>
        </w:rPr>
        <w:t xml:space="preserve"> </w:t>
      </w:r>
      <w:r w:rsidR="757E9135" w:rsidRPr="0DD3B114">
        <w:rPr>
          <w:rFonts w:ascii="Arial" w:eastAsia="Arial" w:hAnsi="Arial" w:cs="Arial"/>
          <w:color w:val="000000" w:themeColor="text1"/>
          <w:sz w:val="20"/>
          <w:szCs w:val="20"/>
          <w:lang w:val="sr-Cyrl-RS"/>
        </w:rPr>
        <w:t xml:space="preserve">83/14 </w:t>
      </w:r>
      <w:r w:rsidR="008A45D9" w:rsidRPr="0DD3B114">
        <w:rPr>
          <w:rFonts w:ascii="Arial" w:eastAsia="Arial" w:hAnsi="Arial" w:cs="Arial"/>
          <w:color w:val="000000" w:themeColor="text1"/>
          <w:sz w:val="20"/>
          <w:szCs w:val="20"/>
          <w:lang w:val="sr-Cyrl-RS"/>
        </w:rPr>
        <w:t>–</w:t>
      </w:r>
      <w:r w:rsidR="757E9135" w:rsidRPr="0DD3B114">
        <w:rPr>
          <w:rFonts w:ascii="Arial" w:eastAsia="Arial" w:hAnsi="Arial" w:cs="Arial"/>
          <w:color w:val="000000" w:themeColor="text1"/>
          <w:sz w:val="20"/>
          <w:szCs w:val="20"/>
          <w:lang w:val="sr-Cyrl-RS"/>
        </w:rPr>
        <w:t xml:space="preserve"> др. закон,</w:t>
      </w:r>
      <w:r w:rsidR="0E0E42E3" w:rsidRPr="0DD3B114">
        <w:rPr>
          <w:rFonts w:ascii="Arial" w:eastAsia="Arial" w:hAnsi="Arial" w:cs="Arial"/>
          <w:color w:val="000000" w:themeColor="text1"/>
          <w:sz w:val="20"/>
          <w:szCs w:val="20"/>
          <w:lang w:val="sr-Cyrl-RS"/>
        </w:rPr>
        <w:t xml:space="preserve"> </w:t>
      </w:r>
      <w:r w:rsidR="757E9135" w:rsidRPr="0DD3B114">
        <w:rPr>
          <w:rFonts w:ascii="Arial" w:eastAsia="Arial" w:hAnsi="Arial" w:cs="Arial"/>
          <w:color w:val="000000" w:themeColor="text1"/>
          <w:sz w:val="20"/>
          <w:szCs w:val="20"/>
          <w:lang w:val="sr-Cyrl-RS"/>
        </w:rPr>
        <w:t xml:space="preserve">101/16 </w:t>
      </w:r>
      <w:r w:rsidR="008A45D9" w:rsidRPr="0DD3B114">
        <w:rPr>
          <w:rFonts w:ascii="Arial" w:eastAsia="Arial" w:hAnsi="Arial" w:cs="Arial"/>
          <w:color w:val="000000" w:themeColor="text1"/>
          <w:sz w:val="20"/>
          <w:szCs w:val="20"/>
          <w:lang w:val="sr-Cyrl-RS"/>
        </w:rPr>
        <w:t>–</w:t>
      </w:r>
      <w:r w:rsidR="757E9135" w:rsidRPr="0DD3B114">
        <w:rPr>
          <w:rFonts w:ascii="Arial" w:eastAsia="Arial" w:hAnsi="Arial" w:cs="Arial"/>
          <w:color w:val="000000" w:themeColor="text1"/>
          <w:sz w:val="20"/>
          <w:szCs w:val="20"/>
          <w:lang w:val="sr-Cyrl-RS"/>
        </w:rPr>
        <w:t xml:space="preserve"> др. </w:t>
      </w:r>
      <w:r w:rsidR="572EA8A6" w:rsidRPr="0DD3B114">
        <w:rPr>
          <w:rFonts w:ascii="Arial" w:eastAsia="Arial" w:hAnsi="Arial" w:cs="Arial"/>
          <w:color w:val="000000" w:themeColor="text1"/>
          <w:sz w:val="20"/>
          <w:szCs w:val="20"/>
          <w:lang w:val="sr-Cyrl-RS"/>
        </w:rPr>
        <w:t>з</w:t>
      </w:r>
      <w:r w:rsidR="757E9135" w:rsidRPr="0DD3B114">
        <w:rPr>
          <w:rFonts w:ascii="Arial" w:eastAsia="Arial" w:hAnsi="Arial" w:cs="Arial"/>
          <w:color w:val="000000" w:themeColor="text1"/>
          <w:sz w:val="20"/>
          <w:szCs w:val="20"/>
          <w:lang w:val="sr-Cyrl-RS"/>
        </w:rPr>
        <w:t>акон</w:t>
      </w:r>
      <w:r w:rsidR="6B146875" w:rsidRPr="0DD3B114">
        <w:rPr>
          <w:rFonts w:ascii="Arial" w:eastAsia="Arial" w:hAnsi="Arial" w:cs="Arial"/>
          <w:color w:val="000000" w:themeColor="text1"/>
          <w:sz w:val="20"/>
          <w:szCs w:val="20"/>
          <w:lang w:val="sr-Cyrl-RS"/>
        </w:rPr>
        <w:t xml:space="preserve"> и 47/18)</w:t>
      </w:r>
      <w:r w:rsidR="007C72B1" w:rsidRPr="0DD3B114">
        <w:rPr>
          <w:rFonts w:ascii="Arial" w:hAnsi="Arial" w:cs="Arial"/>
          <w:color w:val="000000" w:themeColor="text1"/>
          <w:sz w:val="20"/>
          <w:szCs w:val="20"/>
          <w:lang w:val="sr-Cyrl-RS"/>
        </w:rPr>
        <w:t>,</w:t>
      </w:r>
      <w:r w:rsidR="003103E6" w:rsidRPr="0DD3B114">
        <w:rPr>
          <w:rFonts w:ascii="Arial" w:hAnsi="Arial" w:cs="Arial"/>
          <w:color w:val="000000" w:themeColor="text1"/>
          <w:sz w:val="20"/>
          <w:szCs w:val="20"/>
          <w:lang w:val="sr-Cyrl-RS"/>
        </w:rPr>
        <w:t xml:space="preserve"> Закон о локалним изборима</w:t>
      </w:r>
      <w:r w:rsidR="2F3D2535" w:rsidRPr="0DD3B114">
        <w:rPr>
          <w:rFonts w:ascii="Arial" w:hAnsi="Arial" w:cs="Arial"/>
          <w:color w:val="000000" w:themeColor="text1"/>
          <w:sz w:val="20"/>
          <w:szCs w:val="20"/>
          <w:lang w:val="sr-Cyrl-RS"/>
        </w:rPr>
        <w:t xml:space="preserve"> </w:t>
      </w:r>
      <w:r w:rsidR="2F3D2535" w:rsidRPr="0DD3B114">
        <w:rPr>
          <w:rFonts w:ascii="Arial" w:eastAsia="Arial" w:hAnsi="Arial" w:cs="Arial"/>
          <w:color w:val="000000" w:themeColor="text1"/>
          <w:sz w:val="20"/>
          <w:szCs w:val="20"/>
          <w:lang w:val="sr-Cyrl-RS"/>
        </w:rPr>
        <w:t xml:space="preserve">(„Службени гласник РС”, бр. 129/07, 34/10 </w:t>
      </w:r>
      <w:r w:rsidR="008A45D9" w:rsidRPr="0DD3B114">
        <w:rPr>
          <w:rFonts w:ascii="Arial" w:eastAsia="Arial" w:hAnsi="Arial" w:cs="Arial"/>
          <w:color w:val="000000" w:themeColor="text1"/>
          <w:sz w:val="20"/>
          <w:szCs w:val="20"/>
          <w:lang w:val="sr-Cyrl-RS"/>
        </w:rPr>
        <w:t>–</w:t>
      </w:r>
      <w:r w:rsidR="2F3D2535" w:rsidRPr="0DD3B114">
        <w:rPr>
          <w:rFonts w:ascii="Arial" w:eastAsia="Arial" w:hAnsi="Arial" w:cs="Arial"/>
          <w:color w:val="000000" w:themeColor="text1"/>
          <w:sz w:val="20"/>
          <w:szCs w:val="20"/>
          <w:lang w:val="sr-Cyrl-RS"/>
        </w:rPr>
        <w:t xml:space="preserve"> одлука УС, </w:t>
      </w:r>
      <w:r w:rsidR="26DF08B8" w:rsidRPr="0DD3B114">
        <w:rPr>
          <w:rFonts w:ascii="Arial" w:eastAsia="Arial" w:hAnsi="Arial" w:cs="Arial"/>
          <w:color w:val="000000" w:themeColor="text1"/>
          <w:sz w:val="20"/>
          <w:szCs w:val="20"/>
          <w:lang w:val="sr-Cyrl-RS"/>
        </w:rPr>
        <w:t xml:space="preserve">54/11, </w:t>
      </w:r>
      <w:r w:rsidR="2F3D2535" w:rsidRPr="0DD3B114">
        <w:rPr>
          <w:rFonts w:ascii="Arial" w:eastAsia="Arial" w:hAnsi="Arial" w:cs="Arial"/>
          <w:color w:val="000000" w:themeColor="text1"/>
          <w:sz w:val="20"/>
          <w:szCs w:val="20"/>
          <w:lang w:val="sr-Cyrl-RS"/>
        </w:rPr>
        <w:t xml:space="preserve">12/20, 16/20 </w:t>
      </w:r>
      <w:r w:rsidR="008A45D9" w:rsidRPr="0DD3B114">
        <w:rPr>
          <w:rFonts w:ascii="Arial" w:eastAsia="Arial" w:hAnsi="Arial" w:cs="Arial"/>
          <w:color w:val="000000" w:themeColor="text1"/>
          <w:sz w:val="20"/>
          <w:szCs w:val="20"/>
          <w:lang w:val="sr-Cyrl-RS"/>
        </w:rPr>
        <w:t>–</w:t>
      </w:r>
      <w:r w:rsidR="2F3D2535" w:rsidRPr="0DD3B114">
        <w:rPr>
          <w:rFonts w:ascii="Arial" w:eastAsia="Arial" w:hAnsi="Arial" w:cs="Arial"/>
          <w:color w:val="000000" w:themeColor="text1"/>
          <w:sz w:val="20"/>
          <w:szCs w:val="20"/>
          <w:lang w:val="sr-Cyrl-RS"/>
        </w:rPr>
        <w:t xml:space="preserve"> аутентично тумачење и 68/20)</w:t>
      </w:r>
      <w:r w:rsidR="007C72B1" w:rsidRPr="0DD3B114">
        <w:rPr>
          <w:rFonts w:ascii="Arial" w:hAnsi="Arial" w:cs="Arial"/>
          <w:color w:val="000000" w:themeColor="text1"/>
          <w:sz w:val="20"/>
          <w:szCs w:val="20"/>
          <w:lang w:val="sr-Cyrl-RS"/>
        </w:rPr>
        <w:t>,</w:t>
      </w:r>
      <w:r w:rsidR="003103E6" w:rsidRPr="0DD3B114">
        <w:rPr>
          <w:rFonts w:ascii="Arial" w:hAnsi="Arial" w:cs="Arial"/>
          <w:color w:val="000000" w:themeColor="text1"/>
          <w:sz w:val="20"/>
          <w:szCs w:val="20"/>
          <w:lang w:val="sr-Cyrl-RS"/>
        </w:rPr>
        <w:t xml:space="preserve"> Закон о главном граду</w:t>
      </w:r>
      <w:r w:rsidR="76170599" w:rsidRPr="0DD3B114">
        <w:rPr>
          <w:rFonts w:ascii="Arial" w:hAnsi="Arial" w:cs="Arial"/>
          <w:color w:val="000000" w:themeColor="text1"/>
          <w:sz w:val="20"/>
          <w:szCs w:val="20"/>
          <w:lang w:val="sr-Cyrl-RS"/>
        </w:rPr>
        <w:t xml:space="preserve"> </w:t>
      </w:r>
      <w:r w:rsidR="76170599" w:rsidRPr="0DD3B114">
        <w:rPr>
          <w:rFonts w:ascii="Arial" w:eastAsia="Arial" w:hAnsi="Arial" w:cs="Arial"/>
          <w:color w:val="000000" w:themeColor="text1"/>
          <w:sz w:val="20"/>
          <w:szCs w:val="20"/>
          <w:lang w:val="sr-Cyrl-RS"/>
        </w:rPr>
        <w:t>(„Службени гласник РС”,</w:t>
      </w:r>
      <w:r w:rsidR="4A6D90B0" w:rsidRPr="0DD3B114">
        <w:rPr>
          <w:rFonts w:ascii="Arial" w:eastAsia="Arial" w:hAnsi="Arial" w:cs="Arial"/>
          <w:color w:val="000000" w:themeColor="text1"/>
          <w:sz w:val="20"/>
          <w:szCs w:val="20"/>
          <w:lang w:val="sr-Cyrl-RS"/>
        </w:rPr>
        <w:t xml:space="preserve"> бр. 129/07, 83/14 </w:t>
      </w:r>
      <w:r w:rsidR="008A45D9" w:rsidRPr="0DD3B114">
        <w:rPr>
          <w:rFonts w:ascii="Arial" w:eastAsia="Arial" w:hAnsi="Arial" w:cs="Arial"/>
          <w:color w:val="000000" w:themeColor="text1"/>
          <w:sz w:val="20"/>
          <w:szCs w:val="20"/>
          <w:lang w:val="sr-Cyrl-RS"/>
        </w:rPr>
        <w:t>–</w:t>
      </w:r>
      <w:r w:rsidR="4A6D90B0" w:rsidRPr="0DD3B114">
        <w:rPr>
          <w:rFonts w:ascii="Arial" w:eastAsia="Arial" w:hAnsi="Arial" w:cs="Arial"/>
          <w:color w:val="000000" w:themeColor="text1"/>
          <w:sz w:val="20"/>
          <w:szCs w:val="20"/>
          <w:lang w:val="sr-Cyrl-RS"/>
        </w:rPr>
        <w:t xml:space="preserve"> др. закон, 101/16 </w:t>
      </w:r>
      <w:r w:rsidR="008A45D9" w:rsidRPr="0DD3B114">
        <w:rPr>
          <w:rFonts w:ascii="Arial" w:eastAsia="Arial" w:hAnsi="Arial" w:cs="Arial"/>
          <w:color w:val="000000" w:themeColor="text1"/>
          <w:sz w:val="20"/>
          <w:szCs w:val="20"/>
          <w:lang w:val="sr-Cyrl-RS"/>
        </w:rPr>
        <w:t>–</w:t>
      </w:r>
      <w:r w:rsidR="4A6D90B0" w:rsidRPr="0DD3B114">
        <w:rPr>
          <w:rFonts w:ascii="Arial" w:eastAsia="Arial" w:hAnsi="Arial" w:cs="Arial"/>
          <w:color w:val="000000" w:themeColor="text1"/>
          <w:sz w:val="20"/>
          <w:szCs w:val="20"/>
          <w:lang w:val="sr-Cyrl-RS"/>
        </w:rPr>
        <w:t xml:space="preserve"> др. </w:t>
      </w:r>
      <w:r w:rsidR="4EB21CC2" w:rsidRPr="0DD3B114">
        <w:rPr>
          <w:rFonts w:ascii="Arial" w:eastAsia="Arial" w:hAnsi="Arial" w:cs="Arial"/>
          <w:color w:val="000000" w:themeColor="text1"/>
          <w:sz w:val="20"/>
          <w:szCs w:val="20"/>
          <w:lang w:val="sr-Cyrl-RS"/>
        </w:rPr>
        <w:t>з</w:t>
      </w:r>
      <w:r w:rsidR="4A6D90B0" w:rsidRPr="0DD3B114">
        <w:rPr>
          <w:rFonts w:ascii="Arial" w:eastAsia="Arial" w:hAnsi="Arial" w:cs="Arial"/>
          <w:color w:val="000000" w:themeColor="text1"/>
          <w:sz w:val="20"/>
          <w:szCs w:val="20"/>
          <w:lang w:val="sr-Cyrl-RS"/>
        </w:rPr>
        <w:t>акон и 37/19)</w:t>
      </w:r>
      <w:r w:rsidR="007C72B1" w:rsidRPr="0DD3B114">
        <w:rPr>
          <w:rFonts w:ascii="Arial" w:hAnsi="Arial" w:cs="Arial"/>
          <w:color w:val="000000" w:themeColor="text1"/>
          <w:sz w:val="20"/>
          <w:szCs w:val="20"/>
          <w:lang w:val="sr-Cyrl-RS"/>
        </w:rPr>
        <w:t>,</w:t>
      </w:r>
      <w:r w:rsidR="003103E6" w:rsidRPr="0DD3B114">
        <w:rPr>
          <w:rFonts w:ascii="Arial" w:hAnsi="Arial" w:cs="Arial"/>
          <w:color w:val="000000" w:themeColor="text1"/>
          <w:sz w:val="20"/>
          <w:szCs w:val="20"/>
          <w:lang w:val="sr-Cyrl-RS"/>
        </w:rPr>
        <w:t xml:space="preserve"> Закон о територијалној организацији Републике Србије</w:t>
      </w:r>
      <w:r w:rsidR="17FD0B49" w:rsidRPr="0DD3B114">
        <w:rPr>
          <w:rFonts w:ascii="Arial" w:hAnsi="Arial" w:cs="Arial"/>
          <w:color w:val="000000" w:themeColor="text1"/>
          <w:sz w:val="20"/>
          <w:szCs w:val="20"/>
          <w:lang w:val="sr-Cyrl-RS"/>
        </w:rPr>
        <w:t xml:space="preserve"> </w:t>
      </w:r>
      <w:r w:rsidR="17FD0B49" w:rsidRPr="0DD3B114">
        <w:rPr>
          <w:rFonts w:ascii="Arial" w:eastAsia="Arial" w:hAnsi="Arial" w:cs="Arial"/>
          <w:color w:val="000000" w:themeColor="text1"/>
          <w:sz w:val="20"/>
          <w:szCs w:val="20"/>
          <w:lang w:val="sr-Cyrl-RS"/>
        </w:rPr>
        <w:t xml:space="preserve">(„Службени гласник РС”, бр, 129/07, 18/16, 47/18 и 9/20 </w:t>
      </w:r>
      <w:r w:rsidR="008A45D9" w:rsidRPr="0DD3B114">
        <w:rPr>
          <w:rFonts w:ascii="Arial" w:eastAsia="Arial" w:hAnsi="Arial" w:cs="Arial"/>
          <w:color w:val="000000" w:themeColor="text1"/>
          <w:sz w:val="20"/>
          <w:szCs w:val="20"/>
          <w:lang w:val="sr-Cyrl-RS"/>
        </w:rPr>
        <w:t>–</w:t>
      </w:r>
      <w:r w:rsidR="17FD0B49" w:rsidRPr="0DD3B114">
        <w:rPr>
          <w:rFonts w:ascii="Arial" w:eastAsia="Arial" w:hAnsi="Arial" w:cs="Arial"/>
          <w:color w:val="000000" w:themeColor="text1"/>
          <w:sz w:val="20"/>
          <w:szCs w:val="20"/>
          <w:lang w:val="sr-Cyrl-RS"/>
        </w:rPr>
        <w:t xml:space="preserve"> др. </w:t>
      </w:r>
      <w:r w:rsidR="008D683B" w:rsidRPr="0DD3B114">
        <w:rPr>
          <w:rFonts w:ascii="Arial" w:eastAsia="Arial" w:hAnsi="Arial" w:cs="Arial"/>
          <w:color w:val="000000" w:themeColor="text1"/>
          <w:sz w:val="20"/>
          <w:szCs w:val="20"/>
          <w:lang w:val="sr-Cyrl-RS"/>
        </w:rPr>
        <w:t>з</w:t>
      </w:r>
      <w:r w:rsidR="17FD0B49" w:rsidRPr="0DD3B114">
        <w:rPr>
          <w:rFonts w:ascii="Arial" w:eastAsia="Arial" w:hAnsi="Arial" w:cs="Arial"/>
          <w:color w:val="000000" w:themeColor="text1"/>
          <w:sz w:val="20"/>
          <w:szCs w:val="20"/>
          <w:lang w:val="sr-Cyrl-RS"/>
        </w:rPr>
        <w:t>акон)</w:t>
      </w:r>
      <w:r w:rsidR="003103E6" w:rsidRPr="0DD3B114">
        <w:rPr>
          <w:rFonts w:ascii="Arial" w:hAnsi="Arial" w:cs="Arial"/>
          <w:color w:val="000000" w:themeColor="text1"/>
          <w:sz w:val="20"/>
          <w:szCs w:val="20"/>
          <w:lang w:val="sr-Cyrl-RS"/>
        </w:rPr>
        <w:t xml:space="preserve"> и Закон о финансирању локалне самоуправе. Закон о локалној самоуправи (ЗЛС) представља матични законски пропис о локалној самоуправи, чију садржину, поред основних, прелазних и завршних одредаба, чине одредбе којима се уређују: оснивање, територија, правни статус и органи ЈЛС; непосредно учешће грађана у остваривању локалне самоуправе; месна самоуправа;</w:t>
      </w:r>
      <w:r w:rsidR="004D5004" w:rsidRPr="0DD3B114">
        <w:rPr>
          <w:rFonts w:ascii="Arial" w:hAnsi="Arial" w:cs="Arial"/>
          <w:color w:val="000000" w:themeColor="text1"/>
          <w:sz w:val="20"/>
          <w:szCs w:val="20"/>
          <w:lang w:val="sr-Cyrl-RS"/>
        </w:rPr>
        <w:t xml:space="preserve"> </w:t>
      </w:r>
      <w:r w:rsidR="003103E6" w:rsidRPr="0DD3B114">
        <w:rPr>
          <w:rFonts w:ascii="Arial" w:hAnsi="Arial" w:cs="Arial"/>
          <w:color w:val="000000" w:themeColor="text1"/>
          <w:sz w:val="20"/>
          <w:szCs w:val="20"/>
          <w:lang w:val="sr-Cyrl-RS"/>
        </w:rPr>
        <w:t>односи органа Републике, територијалне аутономије и органа ЈЛС; сарадња и удруживање ЈЛС; симболи и називи делова насељених места у ЈЛС и заштита локалне самоуправе. Закон о главном граду уређује положај, надлежности и органе града Београда, с тим што се на питања која нису уређена њиме, а односе се на град Београд као ЈЛС, примењују одредбе ЗЛС. Закон о територијалној организацији Републике Србије уређује поступак оснивања и укидања ЈЛС, као и поступак промене њихове територије, а затим утврђује територију и седиште сваке ЈЛС, као и територију аутономних покрајина. Закон о локалним изборима уређује избор и престанак мандата одборника у скупштинама ЈЛС. Овај закон не представља целовит изборни пропис, тако да се на низ питања која нису њиме уређена (бирачки спискови, изборни материјал, бирачка места, органи за спровођење избора, утврђивање и објављивање резултата избора и друга питања) примењују одредбе Закона о избору народних посланика.</w:t>
      </w:r>
      <w:r w:rsidR="00C66209" w:rsidRPr="0DD3B114">
        <w:rPr>
          <w:rFonts w:ascii="Arial" w:hAnsi="Arial" w:cs="Arial"/>
          <w:color w:val="000000" w:themeColor="text1"/>
          <w:sz w:val="20"/>
          <w:szCs w:val="20"/>
          <w:lang w:val="sr-Cyrl-RS"/>
        </w:rPr>
        <w:t xml:space="preserve"> </w:t>
      </w:r>
      <w:r w:rsidR="00F02769" w:rsidRPr="0DD3B114">
        <w:rPr>
          <w:rFonts w:ascii="Arial" w:hAnsi="Arial" w:cs="Arial"/>
          <w:color w:val="000000" w:themeColor="text1"/>
          <w:sz w:val="20"/>
          <w:szCs w:val="20"/>
          <w:lang w:val="sr-Cyrl-RS"/>
        </w:rPr>
        <w:t xml:space="preserve">Овакав приступ законског регулисања обезбеђује једнообразну примену изборних правила која се односе и на избор народних посланика и на локалне изборе. </w:t>
      </w:r>
      <w:r w:rsidR="003103E6" w:rsidRPr="0DD3B114">
        <w:rPr>
          <w:rFonts w:ascii="Arial" w:hAnsi="Arial" w:cs="Arial"/>
          <w:color w:val="000000" w:themeColor="text1"/>
          <w:sz w:val="20"/>
          <w:szCs w:val="20"/>
          <w:lang w:val="sr-Cyrl-RS"/>
        </w:rPr>
        <w:t xml:space="preserve">Закон о финансирању локалне самоуправе уређује начин обезбеђивања средстава ЈЛС за обављање изворних и поверених послова. </w:t>
      </w:r>
      <w:r w:rsidR="00F02769" w:rsidRPr="0DD3B114">
        <w:rPr>
          <w:rFonts w:ascii="Arial" w:hAnsi="Arial" w:cs="Arial"/>
          <w:color w:val="000000" w:themeColor="text1"/>
          <w:sz w:val="20"/>
          <w:szCs w:val="20"/>
          <w:lang w:val="sr-Cyrl-RS"/>
        </w:rPr>
        <w:t>Н</w:t>
      </w:r>
      <w:r w:rsidR="003103E6" w:rsidRPr="0DD3B114">
        <w:rPr>
          <w:rFonts w:ascii="Arial" w:hAnsi="Arial" w:cs="Arial"/>
          <w:color w:val="000000" w:themeColor="text1"/>
          <w:sz w:val="20"/>
          <w:szCs w:val="20"/>
          <w:lang w:val="sr-Cyrl-RS"/>
        </w:rPr>
        <w:t>из питања од значаја за финансирање локалне самоуправе</w:t>
      </w:r>
      <w:r w:rsidR="00F02769" w:rsidRPr="0DD3B114">
        <w:rPr>
          <w:rFonts w:ascii="Arial" w:hAnsi="Arial" w:cs="Arial"/>
          <w:color w:val="000000" w:themeColor="text1"/>
          <w:sz w:val="20"/>
          <w:szCs w:val="20"/>
          <w:lang w:val="sr-Cyrl-RS"/>
        </w:rPr>
        <w:t xml:space="preserve"> </w:t>
      </w:r>
      <w:r w:rsidR="00C6634F" w:rsidRPr="0DD3B114">
        <w:rPr>
          <w:rFonts w:ascii="Arial" w:hAnsi="Arial" w:cs="Arial"/>
          <w:color w:val="000000" w:themeColor="text1"/>
          <w:sz w:val="20"/>
          <w:szCs w:val="20"/>
          <w:lang w:val="sr-Cyrl-RS"/>
        </w:rPr>
        <w:t>кој</w:t>
      </w:r>
      <w:r w:rsidR="00F02769" w:rsidRPr="0DD3B114">
        <w:rPr>
          <w:rFonts w:ascii="Arial" w:hAnsi="Arial" w:cs="Arial"/>
          <w:color w:val="000000" w:themeColor="text1"/>
          <w:sz w:val="20"/>
          <w:szCs w:val="20"/>
          <w:lang w:val="sr-Cyrl-RS"/>
        </w:rPr>
        <w:t xml:space="preserve">а </w:t>
      </w:r>
      <w:r w:rsidR="00C6634F" w:rsidRPr="0DD3B114">
        <w:rPr>
          <w:rFonts w:ascii="Arial" w:hAnsi="Arial" w:cs="Arial"/>
          <w:color w:val="000000" w:themeColor="text1"/>
          <w:sz w:val="20"/>
          <w:szCs w:val="20"/>
          <w:lang w:val="sr-Cyrl-RS"/>
        </w:rPr>
        <w:t xml:space="preserve">се </w:t>
      </w:r>
      <w:r w:rsidR="00F02769" w:rsidRPr="0DD3B114">
        <w:rPr>
          <w:rFonts w:ascii="Arial" w:hAnsi="Arial" w:cs="Arial"/>
          <w:color w:val="000000" w:themeColor="text1"/>
          <w:sz w:val="20"/>
          <w:szCs w:val="20"/>
          <w:lang w:val="sr-Cyrl-RS"/>
        </w:rPr>
        <w:t>односе на питање буџета,</w:t>
      </w:r>
      <w:r w:rsidR="003103E6" w:rsidRPr="0DD3B114">
        <w:rPr>
          <w:rFonts w:ascii="Arial" w:hAnsi="Arial" w:cs="Arial"/>
          <w:color w:val="000000" w:themeColor="text1"/>
          <w:sz w:val="20"/>
          <w:szCs w:val="20"/>
          <w:lang w:val="sr-Cyrl-RS"/>
        </w:rPr>
        <w:t xml:space="preserve"> уређен </w:t>
      </w:r>
      <w:r w:rsidR="004B0B3C" w:rsidRPr="0DD3B114">
        <w:rPr>
          <w:rFonts w:ascii="Arial" w:hAnsi="Arial" w:cs="Arial"/>
          <w:color w:val="000000" w:themeColor="text1"/>
          <w:sz w:val="20"/>
          <w:szCs w:val="20"/>
          <w:lang w:val="sr-Cyrl-RS"/>
        </w:rPr>
        <w:t>је</w:t>
      </w:r>
      <w:r w:rsidR="00F02769" w:rsidRPr="0DD3B114">
        <w:rPr>
          <w:rFonts w:ascii="Arial" w:hAnsi="Arial" w:cs="Arial"/>
          <w:color w:val="000000" w:themeColor="text1"/>
          <w:sz w:val="20"/>
          <w:szCs w:val="20"/>
          <w:lang w:val="sr-Cyrl-RS"/>
        </w:rPr>
        <w:t xml:space="preserve"> </w:t>
      </w:r>
      <w:r w:rsidR="003103E6" w:rsidRPr="0DD3B114">
        <w:rPr>
          <w:rFonts w:ascii="Arial" w:hAnsi="Arial" w:cs="Arial"/>
          <w:color w:val="000000" w:themeColor="text1"/>
          <w:sz w:val="20"/>
          <w:szCs w:val="20"/>
          <w:lang w:val="sr-Cyrl-RS"/>
        </w:rPr>
        <w:t>Законом о буџетском систему</w:t>
      </w:r>
      <w:r w:rsidR="1302651E" w:rsidRPr="0DD3B114">
        <w:rPr>
          <w:rFonts w:ascii="Arial" w:hAnsi="Arial" w:cs="Arial"/>
          <w:color w:val="000000" w:themeColor="text1"/>
          <w:sz w:val="20"/>
          <w:szCs w:val="20"/>
          <w:lang w:val="sr-Cyrl-RS"/>
        </w:rPr>
        <w:t xml:space="preserve"> (</w:t>
      </w:r>
      <w:r w:rsidR="1302651E" w:rsidRPr="0DD3B114">
        <w:rPr>
          <w:rFonts w:ascii="Arial" w:eastAsia="Arial" w:hAnsi="Arial" w:cs="Arial"/>
          <w:color w:val="000000" w:themeColor="text1"/>
          <w:sz w:val="20"/>
          <w:szCs w:val="20"/>
          <w:lang w:val="sr-Cyrl-RS"/>
        </w:rPr>
        <w:t>„Службени гласник РС”, бр. 54/09, 73/10, 101/10,</w:t>
      </w:r>
      <w:r w:rsidR="4FF19B3D" w:rsidRPr="0DD3B114">
        <w:rPr>
          <w:rFonts w:ascii="Arial" w:eastAsia="Arial" w:hAnsi="Arial" w:cs="Arial"/>
          <w:color w:val="000000" w:themeColor="text1"/>
          <w:sz w:val="20"/>
          <w:szCs w:val="20"/>
          <w:lang w:val="sr-Cyrl-RS"/>
        </w:rPr>
        <w:t xml:space="preserve"> 101/11, 93/12, 62/13, 63/13</w:t>
      </w:r>
      <w:r w:rsidR="004B0B3C" w:rsidRPr="0DD3B114">
        <w:rPr>
          <w:rFonts w:ascii="Arial" w:eastAsia="Arial" w:hAnsi="Arial" w:cs="Arial"/>
          <w:color w:val="000000" w:themeColor="text1"/>
          <w:sz w:val="20"/>
          <w:szCs w:val="20"/>
          <w:lang w:val="sr-Cyrl-RS"/>
        </w:rPr>
        <w:t xml:space="preserve"> –</w:t>
      </w:r>
      <w:r w:rsidR="20C56880" w:rsidRPr="0DD3B114">
        <w:rPr>
          <w:rFonts w:ascii="Arial" w:eastAsia="Arial" w:hAnsi="Arial" w:cs="Arial"/>
          <w:color w:val="000000" w:themeColor="text1"/>
          <w:sz w:val="20"/>
          <w:szCs w:val="20"/>
          <w:lang w:val="sr-Cyrl-RS"/>
        </w:rPr>
        <w:t xml:space="preserve"> </w:t>
      </w:r>
      <w:r w:rsidR="4FF19B3D" w:rsidRPr="0DD3B114">
        <w:rPr>
          <w:rFonts w:ascii="Arial" w:eastAsia="Arial" w:hAnsi="Arial" w:cs="Arial"/>
          <w:color w:val="000000" w:themeColor="text1"/>
          <w:sz w:val="20"/>
          <w:szCs w:val="20"/>
          <w:lang w:val="sr-Cyrl-RS"/>
        </w:rPr>
        <w:t xml:space="preserve">испр., 108/13, 142/14, 68/15 </w:t>
      </w:r>
      <w:r w:rsidR="004B0B3C" w:rsidRPr="0DD3B114">
        <w:rPr>
          <w:rFonts w:ascii="Arial" w:eastAsia="Arial" w:hAnsi="Arial" w:cs="Arial"/>
          <w:color w:val="000000" w:themeColor="text1"/>
          <w:sz w:val="20"/>
          <w:szCs w:val="20"/>
          <w:lang w:val="sr-Cyrl-RS"/>
        </w:rPr>
        <w:t>–</w:t>
      </w:r>
      <w:r w:rsidR="4FF19B3D" w:rsidRPr="0DD3B114">
        <w:rPr>
          <w:rFonts w:ascii="Arial" w:eastAsia="Arial" w:hAnsi="Arial" w:cs="Arial"/>
          <w:color w:val="000000" w:themeColor="text1"/>
          <w:sz w:val="20"/>
          <w:szCs w:val="20"/>
          <w:lang w:val="sr-Cyrl-RS"/>
        </w:rPr>
        <w:t xml:space="preserve"> др. </w:t>
      </w:r>
      <w:r w:rsidR="35C88708" w:rsidRPr="0DD3B114">
        <w:rPr>
          <w:rFonts w:ascii="Arial" w:eastAsia="Arial" w:hAnsi="Arial" w:cs="Arial"/>
          <w:color w:val="000000" w:themeColor="text1"/>
          <w:sz w:val="20"/>
          <w:szCs w:val="20"/>
          <w:lang w:val="sr-Cyrl-RS"/>
        </w:rPr>
        <w:t>з</w:t>
      </w:r>
      <w:r w:rsidR="4FF19B3D" w:rsidRPr="0DD3B114">
        <w:rPr>
          <w:rFonts w:ascii="Arial" w:eastAsia="Arial" w:hAnsi="Arial" w:cs="Arial"/>
          <w:color w:val="000000" w:themeColor="text1"/>
          <w:sz w:val="20"/>
          <w:szCs w:val="20"/>
          <w:lang w:val="sr-Cyrl-RS"/>
        </w:rPr>
        <w:t>акон, 103/15, 99/16, 113/17, 95/18,</w:t>
      </w:r>
      <w:r w:rsidR="1C7E4EB5" w:rsidRPr="0DD3B114">
        <w:rPr>
          <w:rFonts w:ascii="Arial" w:eastAsia="Arial" w:hAnsi="Arial" w:cs="Arial"/>
          <w:color w:val="000000" w:themeColor="text1"/>
          <w:sz w:val="20"/>
          <w:szCs w:val="20"/>
          <w:lang w:val="sr-Cyrl-RS"/>
        </w:rPr>
        <w:t xml:space="preserve"> 31/19 и 72/19)</w:t>
      </w:r>
      <w:r w:rsidR="004B0B3C" w:rsidRPr="0DD3B114">
        <w:rPr>
          <w:rFonts w:ascii="Arial" w:eastAsia="Arial" w:hAnsi="Arial" w:cs="Arial"/>
          <w:color w:val="000000" w:themeColor="text1"/>
          <w:sz w:val="20"/>
          <w:szCs w:val="20"/>
          <w:lang w:val="sr-Cyrl-RS"/>
        </w:rPr>
        <w:t>:</w:t>
      </w:r>
      <w:r w:rsidR="003103E6" w:rsidRPr="0DD3B114">
        <w:rPr>
          <w:rFonts w:ascii="Arial" w:hAnsi="Arial" w:cs="Arial"/>
          <w:color w:val="000000" w:themeColor="text1"/>
          <w:sz w:val="20"/>
          <w:szCs w:val="20"/>
          <w:lang w:val="sr-Cyrl-RS"/>
        </w:rPr>
        <w:t xml:space="preserve"> планирање, припремање и доношење буџета, контрола, ревизија и извршење буџета, буџетско рачуноводство и извештавање.</w:t>
      </w:r>
      <w:bookmarkEnd w:id="9"/>
    </w:p>
    <w:p w14:paraId="145B88AD" w14:textId="77777777" w:rsidR="003103E6" w:rsidRPr="00A021B7" w:rsidRDefault="003103E6" w:rsidP="0DD3B114">
      <w:pPr>
        <w:ind w:firstLine="720"/>
        <w:jc w:val="both"/>
        <w:rPr>
          <w:rFonts w:ascii="Arial" w:hAnsi="Arial" w:cs="Arial"/>
          <w:color w:val="000000" w:themeColor="text1"/>
          <w:sz w:val="20"/>
          <w:szCs w:val="20"/>
          <w:lang w:val="sr-Cyrl-RS"/>
        </w:rPr>
      </w:pPr>
    </w:p>
    <w:p w14:paraId="169712AB" w14:textId="61BDDF0F" w:rsidR="003058D5" w:rsidRPr="00A021B7" w:rsidRDefault="003103E6"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Постоји већи број закона који уређују поједина питања од значаја за организацију и функционисање локалне самоуправе, као што су: </w:t>
      </w:r>
      <w:r w:rsidR="00C66209" w:rsidRPr="0DD3B114">
        <w:rPr>
          <w:rFonts w:ascii="Arial" w:hAnsi="Arial" w:cs="Arial"/>
          <w:sz w:val="20"/>
          <w:szCs w:val="20"/>
          <w:lang w:val="sr-Cyrl-RS"/>
        </w:rPr>
        <w:t xml:space="preserve">Закон о запосленима у </w:t>
      </w:r>
      <w:r w:rsidR="005A43C0" w:rsidRPr="0DD3B114">
        <w:rPr>
          <w:rFonts w:ascii="Arial" w:hAnsi="Arial" w:cs="Arial"/>
          <w:sz w:val="20"/>
          <w:szCs w:val="20"/>
          <w:lang w:val="sr-Cyrl-RS"/>
        </w:rPr>
        <w:t>аутономним покрајинама и јединицама локалне самоуправе</w:t>
      </w:r>
      <w:r w:rsidR="5A55C470" w:rsidRPr="0DD3B114">
        <w:rPr>
          <w:rFonts w:ascii="Arial" w:hAnsi="Arial" w:cs="Arial"/>
          <w:sz w:val="20"/>
          <w:szCs w:val="20"/>
          <w:lang w:val="sr-Cyrl-RS"/>
        </w:rPr>
        <w:t xml:space="preserve"> </w:t>
      </w:r>
      <w:r w:rsidR="5A55C470" w:rsidRPr="0DD3B114">
        <w:rPr>
          <w:rFonts w:ascii="Arial" w:eastAsia="Arial" w:hAnsi="Arial" w:cs="Arial"/>
          <w:sz w:val="20"/>
          <w:szCs w:val="20"/>
          <w:lang w:val="sr-Cyrl-RS"/>
        </w:rPr>
        <w:t>(„Службени гласник РС”, бр</w:t>
      </w:r>
      <w:r w:rsidR="1F557BDD" w:rsidRPr="0DD3B114">
        <w:rPr>
          <w:rFonts w:ascii="Arial" w:eastAsia="Arial" w:hAnsi="Arial" w:cs="Arial"/>
          <w:sz w:val="20"/>
          <w:szCs w:val="20"/>
          <w:lang w:val="sr-Cyrl-RS"/>
        </w:rPr>
        <w:t xml:space="preserve">. 21/16, 113/17, 113/17 </w:t>
      </w:r>
      <w:r w:rsidR="004B0B3C" w:rsidRPr="0DD3B114">
        <w:rPr>
          <w:rFonts w:ascii="Arial" w:eastAsia="Arial" w:hAnsi="Arial" w:cs="Arial"/>
          <w:sz w:val="20"/>
          <w:szCs w:val="20"/>
          <w:lang w:val="sr-Cyrl-RS"/>
        </w:rPr>
        <w:t>–</w:t>
      </w:r>
      <w:r w:rsidR="1F557BDD" w:rsidRPr="0DD3B114">
        <w:rPr>
          <w:rFonts w:ascii="Arial" w:eastAsia="Arial" w:hAnsi="Arial" w:cs="Arial"/>
          <w:sz w:val="20"/>
          <w:szCs w:val="20"/>
          <w:lang w:val="sr-Cyrl-RS"/>
        </w:rPr>
        <w:t xml:space="preserve"> др. </w:t>
      </w:r>
      <w:r w:rsidR="1D2E8335" w:rsidRPr="0DD3B114">
        <w:rPr>
          <w:rFonts w:ascii="Arial" w:eastAsia="Arial" w:hAnsi="Arial" w:cs="Arial"/>
          <w:sz w:val="20"/>
          <w:szCs w:val="20"/>
          <w:lang w:val="sr-Cyrl-RS"/>
        </w:rPr>
        <w:t>З</w:t>
      </w:r>
      <w:r w:rsidR="1F557BDD" w:rsidRPr="0DD3B114">
        <w:rPr>
          <w:rFonts w:ascii="Arial" w:eastAsia="Arial" w:hAnsi="Arial" w:cs="Arial"/>
          <w:sz w:val="20"/>
          <w:szCs w:val="20"/>
          <w:lang w:val="sr-Cyrl-RS"/>
        </w:rPr>
        <w:t>акон</w:t>
      </w:r>
      <w:r w:rsidR="1D2E8335" w:rsidRPr="0DD3B114">
        <w:rPr>
          <w:rFonts w:ascii="Arial" w:eastAsia="Arial" w:hAnsi="Arial" w:cs="Arial"/>
          <w:sz w:val="20"/>
          <w:szCs w:val="20"/>
          <w:lang w:val="sr-Cyrl-RS"/>
        </w:rPr>
        <w:t xml:space="preserve"> и</w:t>
      </w:r>
      <w:r w:rsidR="1F557BDD" w:rsidRPr="0DD3B114">
        <w:rPr>
          <w:rFonts w:ascii="Arial" w:eastAsia="Arial" w:hAnsi="Arial" w:cs="Arial"/>
          <w:sz w:val="20"/>
          <w:szCs w:val="20"/>
          <w:lang w:val="sr-Cyrl-RS"/>
        </w:rPr>
        <w:t xml:space="preserve"> 95/18)</w:t>
      </w:r>
      <w:r w:rsidR="004B0E1B" w:rsidRPr="0DD3B114">
        <w:rPr>
          <w:rFonts w:ascii="Arial" w:hAnsi="Arial" w:cs="Arial"/>
          <w:sz w:val="20"/>
          <w:szCs w:val="20"/>
          <w:lang w:val="sr-Cyrl-RS"/>
        </w:rPr>
        <w:t>,</w:t>
      </w:r>
      <w:r w:rsidR="005A43C0" w:rsidRPr="0DD3B114">
        <w:rPr>
          <w:rFonts w:ascii="Arial" w:hAnsi="Arial" w:cs="Arial"/>
          <w:sz w:val="20"/>
          <w:szCs w:val="20"/>
          <w:lang w:val="sr-Cyrl-RS"/>
        </w:rPr>
        <w:t xml:space="preserve"> </w:t>
      </w:r>
      <w:r w:rsidRPr="0DD3B114">
        <w:rPr>
          <w:rFonts w:ascii="Arial" w:hAnsi="Arial" w:cs="Arial"/>
          <w:sz w:val="20"/>
          <w:szCs w:val="20"/>
          <w:lang w:val="sr-Cyrl-RS"/>
        </w:rPr>
        <w:t xml:space="preserve">Закон о комуналној </w:t>
      </w:r>
      <w:r w:rsidR="00C66209" w:rsidRPr="0DD3B114">
        <w:rPr>
          <w:rFonts w:ascii="Arial" w:hAnsi="Arial" w:cs="Arial"/>
          <w:sz w:val="20"/>
          <w:szCs w:val="20"/>
          <w:lang w:val="sr-Cyrl-RS"/>
        </w:rPr>
        <w:t>милицији</w:t>
      </w:r>
      <w:r w:rsidR="644B8DFA" w:rsidRPr="0DD3B114">
        <w:rPr>
          <w:rFonts w:ascii="Arial" w:eastAsia="Arial" w:hAnsi="Arial" w:cs="Arial"/>
          <w:sz w:val="20"/>
          <w:szCs w:val="20"/>
          <w:lang w:val="sr-Cyrl-RS"/>
        </w:rPr>
        <w:t xml:space="preserve"> („Службени гласник РС”, број 49/19)</w:t>
      </w:r>
      <w:r w:rsidR="004B0E1B" w:rsidRPr="0DD3B114">
        <w:rPr>
          <w:rFonts w:ascii="Arial" w:hAnsi="Arial" w:cs="Arial"/>
          <w:sz w:val="20"/>
          <w:szCs w:val="20"/>
          <w:lang w:val="sr-Cyrl-RS"/>
        </w:rPr>
        <w:t>,</w:t>
      </w:r>
      <w:r w:rsidRPr="0DD3B114">
        <w:rPr>
          <w:rFonts w:ascii="Arial" w:hAnsi="Arial" w:cs="Arial"/>
          <w:sz w:val="20"/>
          <w:szCs w:val="20"/>
          <w:lang w:val="sr-Cyrl-RS"/>
        </w:rPr>
        <w:t xml:space="preserve"> Закон о јавном дугу</w:t>
      </w:r>
      <w:r w:rsidR="2699A395" w:rsidRPr="0DD3B114">
        <w:rPr>
          <w:rFonts w:ascii="Arial" w:hAnsi="Arial" w:cs="Arial"/>
          <w:sz w:val="20"/>
          <w:szCs w:val="20"/>
          <w:lang w:val="sr-Cyrl-RS"/>
        </w:rPr>
        <w:t xml:space="preserve"> </w:t>
      </w:r>
      <w:r w:rsidR="2699A395" w:rsidRPr="0DD3B114">
        <w:rPr>
          <w:rFonts w:ascii="Arial" w:eastAsia="Arial" w:hAnsi="Arial" w:cs="Arial"/>
          <w:sz w:val="20"/>
          <w:szCs w:val="20"/>
          <w:lang w:val="sr-Cyrl-RS"/>
        </w:rPr>
        <w:t>(„Службени гласник РС”, бр. 61/05, 107/09,</w:t>
      </w:r>
      <w:r w:rsidR="271DD5B7" w:rsidRPr="0DD3B114">
        <w:rPr>
          <w:rFonts w:ascii="Arial" w:eastAsia="Arial" w:hAnsi="Arial" w:cs="Arial"/>
          <w:sz w:val="20"/>
          <w:szCs w:val="20"/>
          <w:lang w:val="sr-Cyrl-RS"/>
        </w:rPr>
        <w:t xml:space="preserve"> 78/11, 68/15, 95/18 и 91/19)</w:t>
      </w:r>
      <w:r w:rsidR="004B0E1B" w:rsidRPr="0DD3B114">
        <w:rPr>
          <w:rFonts w:ascii="Arial" w:hAnsi="Arial" w:cs="Arial"/>
          <w:sz w:val="20"/>
          <w:szCs w:val="20"/>
          <w:lang w:val="sr-Cyrl-RS"/>
        </w:rPr>
        <w:t>,</w:t>
      </w:r>
      <w:r w:rsidRPr="0DD3B114">
        <w:rPr>
          <w:rFonts w:ascii="Arial" w:hAnsi="Arial" w:cs="Arial"/>
          <w:sz w:val="20"/>
          <w:szCs w:val="20"/>
          <w:lang w:val="sr-Cyrl-RS"/>
        </w:rPr>
        <w:t xml:space="preserve"> Закон о јавној својини</w:t>
      </w:r>
      <w:r w:rsidR="767E1D40" w:rsidRPr="0DD3B114">
        <w:rPr>
          <w:rFonts w:ascii="Arial" w:hAnsi="Arial" w:cs="Arial"/>
          <w:sz w:val="20"/>
          <w:szCs w:val="20"/>
          <w:lang w:val="sr-Cyrl-RS"/>
        </w:rPr>
        <w:t xml:space="preserve"> </w:t>
      </w:r>
      <w:r w:rsidR="767E1D40" w:rsidRPr="0DD3B114">
        <w:rPr>
          <w:rFonts w:ascii="Arial" w:eastAsia="Arial" w:hAnsi="Arial" w:cs="Arial"/>
          <w:sz w:val="20"/>
          <w:szCs w:val="20"/>
          <w:lang w:val="sr-Cyrl-RS"/>
        </w:rPr>
        <w:t>(„Службени гласник РС”, бр. 72/11, 88/13, 1</w:t>
      </w:r>
      <w:r w:rsidR="64C18702" w:rsidRPr="0DD3B114">
        <w:rPr>
          <w:rFonts w:ascii="Arial" w:eastAsia="Arial" w:hAnsi="Arial" w:cs="Arial"/>
          <w:sz w:val="20"/>
          <w:szCs w:val="20"/>
          <w:lang w:val="sr-Cyrl-RS"/>
        </w:rPr>
        <w:t xml:space="preserve">05/14, 104/16 </w:t>
      </w:r>
      <w:r w:rsidR="004B0B3C" w:rsidRPr="0DD3B114">
        <w:rPr>
          <w:rFonts w:ascii="Arial" w:eastAsia="Arial" w:hAnsi="Arial" w:cs="Arial"/>
          <w:sz w:val="20"/>
          <w:szCs w:val="20"/>
          <w:lang w:val="sr-Cyrl-RS"/>
        </w:rPr>
        <w:t>–</w:t>
      </w:r>
      <w:r w:rsidR="64C18702" w:rsidRPr="0DD3B114">
        <w:rPr>
          <w:rFonts w:ascii="Arial" w:eastAsia="Arial" w:hAnsi="Arial" w:cs="Arial"/>
          <w:sz w:val="20"/>
          <w:szCs w:val="20"/>
          <w:lang w:val="sr-Cyrl-RS"/>
        </w:rPr>
        <w:t xml:space="preserve"> др. закон, 108/16, 113/17 и 95/18)</w:t>
      </w:r>
      <w:r w:rsidR="004B0E1B" w:rsidRPr="0DD3B114">
        <w:rPr>
          <w:rFonts w:ascii="Arial" w:hAnsi="Arial" w:cs="Arial"/>
          <w:sz w:val="20"/>
          <w:szCs w:val="20"/>
          <w:lang w:val="sr-Cyrl-RS"/>
        </w:rPr>
        <w:t>,</w:t>
      </w:r>
      <w:r w:rsidR="00C66209" w:rsidRPr="0DD3B114">
        <w:rPr>
          <w:rFonts w:ascii="Arial" w:hAnsi="Arial" w:cs="Arial"/>
          <w:sz w:val="20"/>
          <w:szCs w:val="20"/>
          <w:lang w:val="sr-Cyrl-RS"/>
        </w:rPr>
        <w:t xml:space="preserve"> </w:t>
      </w:r>
      <w:r w:rsidRPr="0DD3B114">
        <w:rPr>
          <w:rFonts w:ascii="Arial" w:hAnsi="Arial" w:cs="Arial"/>
          <w:sz w:val="20"/>
          <w:szCs w:val="20"/>
          <w:lang w:val="sr-Cyrl-RS"/>
        </w:rPr>
        <w:t>Закон о државној управи</w:t>
      </w:r>
      <w:r w:rsidR="48415C26" w:rsidRPr="0DD3B114">
        <w:rPr>
          <w:rFonts w:ascii="Arial" w:eastAsia="Arial" w:hAnsi="Arial" w:cs="Arial"/>
          <w:sz w:val="20"/>
          <w:szCs w:val="20"/>
          <w:lang w:val="sr-Cyrl-RS"/>
        </w:rPr>
        <w:t xml:space="preserve"> („Службени гласник РС”, бр</w:t>
      </w:r>
      <w:r w:rsidR="15686FD7" w:rsidRPr="0DD3B114">
        <w:rPr>
          <w:rFonts w:ascii="Arial" w:eastAsia="Arial" w:hAnsi="Arial" w:cs="Arial"/>
          <w:sz w:val="20"/>
          <w:szCs w:val="20"/>
          <w:lang w:val="sr-Cyrl-RS"/>
        </w:rPr>
        <w:t xml:space="preserve">. 79/05, 101/07, </w:t>
      </w:r>
      <w:r w:rsidR="033D10EF" w:rsidRPr="0DD3B114">
        <w:rPr>
          <w:rFonts w:ascii="Arial" w:eastAsia="Arial" w:hAnsi="Arial" w:cs="Arial"/>
          <w:sz w:val="20"/>
          <w:szCs w:val="20"/>
          <w:lang w:val="sr-Cyrl-RS"/>
        </w:rPr>
        <w:t xml:space="preserve">95/10, 99/14, 47/18 и 30/18 </w:t>
      </w:r>
      <w:r w:rsidR="004B0B3C" w:rsidRPr="0DD3B114">
        <w:rPr>
          <w:rFonts w:ascii="Arial" w:eastAsia="Arial" w:hAnsi="Arial" w:cs="Arial"/>
          <w:sz w:val="20"/>
          <w:szCs w:val="20"/>
          <w:lang w:val="sr-Cyrl-RS"/>
        </w:rPr>
        <w:t>–</w:t>
      </w:r>
      <w:r w:rsidR="033D10EF" w:rsidRPr="0DD3B114">
        <w:rPr>
          <w:rFonts w:ascii="Arial" w:eastAsia="Arial" w:hAnsi="Arial" w:cs="Arial"/>
          <w:sz w:val="20"/>
          <w:szCs w:val="20"/>
          <w:lang w:val="sr-Cyrl-RS"/>
        </w:rPr>
        <w:t xml:space="preserve"> др. закон)</w:t>
      </w:r>
      <w:r w:rsidR="004B0E1B" w:rsidRPr="0DD3B114">
        <w:rPr>
          <w:rFonts w:ascii="Arial" w:hAnsi="Arial" w:cs="Arial"/>
          <w:sz w:val="20"/>
          <w:szCs w:val="20"/>
          <w:lang w:val="sr-Cyrl-RS"/>
        </w:rPr>
        <w:t>,</w:t>
      </w:r>
      <w:r w:rsidRPr="0DD3B114">
        <w:rPr>
          <w:rFonts w:ascii="Arial" w:hAnsi="Arial" w:cs="Arial"/>
          <w:sz w:val="20"/>
          <w:szCs w:val="20"/>
          <w:lang w:val="sr-Cyrl-RS"/>
        </w:rPr>
        <w:t xml:space="preserve"> Закон о општем управном поступку</w:t>
      </w:r>
      <w:r w:rsidR="60C51858" w:rsidRPr="0DD3B114">
        <w:rPr>
          <w:rFonts w:ascii="Arial" w:hAnsi="Arial" w:cs="Arial"/>
          <w:sz w:val="20"/>
          <w:szCs w:val="20"/>
          <w:lang w:val="sr-Cyrl-RS"/>
        </w:rPr>
        <w:t xml:space="preserve"> </w:t>
      </w:r>
      <w:r w:rsidR="60C51858" w:rsidRPr="0DD3B114">
        <w:rPr>
          <w:rFonts w:ascii="Arial" w:eastAsia="Arial" w:hAnsi="Arial" w:cs="Arial"/>
          <w:sz w:val="20"/>
          <w:szCs w:val="20"/>
          <w:lang w:val="sr-Cyrl-RS"/>
        </w:rPr>
        <w:t xml:space="preserve">(„Службени гласник РС”, бр. 18/16 и 95/18 </w:t>
      </w:r>
      <w:r w:rsidR="004B0B3C" w:rsidRPr="0DD3B114">
        <w:rPr>
          <w:rFonts w:ascii="Arial" w:eastAsia="Arial" w:hAnsi="Arial" w:cs="Arial"/>
          <w:sz w:val="20"/>
          <w:szCs w:val="20"/>
          <w:lang w:val="sr-Cyrl-RS"/>
        </w:rPr>
        <w:t>–</w:t>
      </w:r>
      <w:r w:rsidR="60C51858" w:rsidRPr="0DD3B114">
        <w:rPr>
          <w:rFonts w:ascii="Arial" w:eastAsia="Arial" w:hAnsi="Arial" w:cs="Arial"/>
          <w:sz w:val="20"/>
          <w:szCs w:val="20"/>
          <w:lang w:val="sr-Cyrl-RS"/>
        </w:rPr>
        <w:t xml:space="preserve"> аутентично тумачење)</w:t>
      </w:r>
      <w:r w:rsidR="00CC6922" w:rsidRPr="0DD3B114">
        <w:rPr>
          <w:rFonts w:ascii="Arial" w:hAnsi="Arial" w:cs="Arial"/>
          <w:sz w:val="20"/>
          <w:szCs w:val="20"/>
          <w:lang w:val="sr-Cyrl-RS"/>
        </w:rPr>
        <w:t>,</w:t>
      </w:r>
      <w:r w:rsidR="005A43C0" w:rsidRPr="0DD3B114">
        <w:rPr>
          <w:rFonts w:ascii="Arial" w:hAnsi="Arial" w:cs="Arial"/>
          <w:sz w:val="20"/>
          <w:szCs w:val="20"/>
          <w:lang w:val="sr-Cyrl-RS"/>
        </w:rPr>
        <w:t xml:space="preserve"> </w:t>
      </w:r>
      <w:r w:rsidRPr="0DD3B114">
        <w:rPr>
          <w:rFonts w:ascii="Arial" w:hAnsi="Arial" w:cs="Arial"/>
          <w:sz w:val="20"/>
          <w:szCs w:val="20"/>
          <w:lang w:val="sr-Cyrl-RS"/>
        </w:rPr>
        <w:t>Закон о управним споровима</w:t>
      </w:r>
      <w:r w:rsidR="04300BBB" w:rsidRPr="0DD3B114">
        <w:rPr>
          <w:rFonts w:ascii="Arial" w:hAnsi="Arial" w:cs="Arial"/>
          <w:sz w:val="20"/>
          <w:szCs w:val="20"/>
          <w:lang w:val="sr-Cyrl-RS"/>
        </w:rPr>
        <w:t xml:space="preserve"> </w:t>
      </w:r>
      <w:r w:rsidR="04300BBB" w:rsidRPr="0DD3B114">
        <w:rPr>
          <w:rFonts w:ascii="Arial" w:eastAsia="Arial" w:hAnsi="Arial" w:cs="Arial"/>
          <w:sz w:val="20"/>
          <w:szCs w:val="20"/>
          <w:lang w:val="sr-Cyrl-RS"/>
        </w:rPr>
        <w:t>(„Службени гласник РС”, број 11</w:t>
      </w:r>
      <w:r w:rsidR="00F31DC2" w:rsidRPr="0DD3B114">
        <w:rPr>
          <w:rFonts w:ascii="Arial" w:eastAsia="Arial" w:hAnsi="Arial" w:cs="Arial"/>
          <w:sz w:val="20"/>
          <w:szCs w:val="20"/>
          <w:lang w:val="sr-Cyrl-RS"/>
        </w:rPr>
        <w:t>1</w:t>
      </w:r>
      <w:r w:rsidR="04300BBB" w:rsidRPr="0DD3B114">
        <w:rPr>
          <w:rFonts w:ascii="Arial" w:eastAsia="Arial" w:hAnsi="Arial" w:cs="Arial"/>
          <w:sz w:val="20"/>
          <w:szCs w:val="20"/>
          <w:lang w:val="sr-Cyrl-RS"/>
        </w:rPr>
        <w:t>/09)</w:t>
      </w:r>
      <w:r w:rsidR="004B0E1B" w:rsidRPr="0DD3B114">
        <w:rPr>
          <w:rFonts w:ascii="Arial" w:hAnsi="Arial" w:cs="Arial"/>
          <w:sz w:val="20"/>
          <w:szCs w:val="20"/>
          <w:lang w:val="sr-Cyrl-RS"/>
        </w:rPr>
        <w:t>,</w:t>
      </w:r>
      <w:r w:rsidR="005A43C0" w:rsidRPr="0DD3B114">
        <w:rPr>
          <w:rFonts w:ascii="Arial" w:hAnsi="Arial" w:cs="Arial"/>
          <w:sz w:val="20"/>
          <w:szCs w:val="20"/>
          <w:lang w:val="sr-Cyrl-RS"/>
        </w:rPr>
        <w:t xml:space="preserve"> </w:t>
      </w:r>
      <w:r w:rsidRPr="0DD3B114">
        <w:rPr>
          <w:rFonts w:ascii="Arial" w:hAnsi="Arial" w:cs="Arial"/>
          <w:sz w:val="20"/>
          <w:szCs w:val="20"/>
          <w:lang w:val="sr-Cyrl-RS"/>
        </w:rPr>
        <w:t>Закон о управној инспекцији</w:t>
      </w:r>
      <w:r w:rsidR="1F69FD8A" w:rsidRPr="0DD3B114">
        <w:rPr>
          <w:rFonts w:ascii="Arial" w:hAnsi="Arial" w:cs="Arial"/>
          <w:sz w:val="20"/>
          <w:szCs w:val="20"/>
          <w:lang w:val="sr-Cyrl-RS"/>
        </w:rPr>
        <w:t xml:space="preserve"> </w:t>
      </w:r>
      <w:r w:rsidR="1F69FD8A" w:rsidRPr="0DD3B114">
        <w:rPr>
          <w:rFonts w:ascii="Arial" w:eastAsia="Arial" w:hAnsi="Arial" w:cs="Arial"/>
          <w:sz w:val="20"/>
          <w:szCs w:val="20"/>
          <w:lang w:val="sr-Cyrl-RS"/>
        </w:rPr>
        <w:t>(„Службени гласник РС”, број 87/11)</w:t>
      </w:r>
      <w:r w:rsidR="004B0E1B" w:rsidRPr="0DD3B114">
        <w:rPr>
          <w:rFonts w:ascii="Arial" w:hAnsi="Arial" w:cs="Arial"/>
          <w:sz w:val="20"/>
          <w:szCs w:val="20"/>
          <w:lang w:val="sr-Cyrl-RS"/>
        </w:rPr>
        <w:t>,</w:t>
      </w:r>
      <w:r w:rsidR="005A43C0" w:rsidRPr="0DD3B114">
        <w:rPr>
          <w:rFonts w:ascii="Arial" w:hAnsi="Arial" w:cs="Arial"/>
          <w:sz w:val="20"/>
          <w:szCs w:val="20"/>
          <w:lang w:val="sr-Cyrl-RS"/>
        </w:rPr>
        <w:t xml:space="preserve"> </w:t>
      </w:r>
      <w:r w:rsidRPr="0DD3B114">
        <w:rPr>
          <w:rFonts w:ascii="Arial" w:hAnsi="Arial" w:cs="Arial"/>
          <w:sz w:val="20"/>
          <w:szCs w:val="20"/>
          <w:lang w:val="sr-Cyrl-RS"/>
        </w:rPr>
        <w:t>Закон о службеној употреби језика и писма</w:t>
      </w:r>
      <w:r w:rsidR="2A42FBA0" w:rsidRPr="0DD3B114">
        <w:rPr>
          <w:rFonts w:ascii="Arial" w:eastAsia="Arial" w:hAnsi="Arial" w:cs="Arial"/>
          <w:sz w:val="20"/>
          <w:szCs w:val="20"/>
          <w:lang w:val="sr-Cyrl-RS"/>
        </w:rPr>
        <w:t xml:space="preserve"> („Службени гласник РС”, бр. 45/91, 53/93, 67/93, 48/94, 101/0</w:t>
      </w:r>
      <w:r w:rsidR="3CF28CAA" w:rsidRPr="0DD3B114">
        <w:rPr>
          <w:rFonts w:ascii="Arial" w:eastAsia="Arial" w:hAnsi="Arial" w:cs="Arial"/>
          <w:sz w:val="20"/>
          <w:szCs w:val="20"/>
          <w:lang w:val="sr-Cyrl-RS"/>
        </w:rPr>
        <w:t xml:space="preserve">5 </w:t>
      </w:r>
      <w:r w:rsidR="004B0B3C" w:rsidRPr="0DD3B114">
        <w:rPr>
          <w:rFonts w:ascii="Arial" w:eastAsia="Arial" w:hAnsi="Arial" w:cs="Arial"/>
          <w:sz w:val="20"/>
          <w:szCs w:val="20"/>
          <w:lang w:val="sr-Cyrl-RS"/>
        </w:rPr>
        <w:t>–</w:t>
      </w:r>
      <w:r w:rsidR="3CF28CAA" w:rsidRPr="0DD3B114">
        <w:rPr>
          <w:rFonts w:ascii="Arial" w:eastAsia="Arial" w:hAnsi="Arial" w:cs="Arial"/>
          <w:sz w:val="20"/>
          <w:szCs w:val="20"/>
          <w:lang w:val="sr-Cyrl-RS"/>
        </w:rPr>
        <w:t xml:space="preserve"> др. закон, 30/10, 47/18 и 48/18 </w:t>
      </w:r>
      <w:r w:rsidR="004B0B3C" w:rsidRPr="0DD3B114">
        <w:rPr>
          <w:rFonts w:ascii="Arial" w:eastAsia="Arial" w:hAnsi="Arial" w:cs="Arial"/>
          <w:sz w:val="20"/>
          <w:szCs w:val="20"/>
          <w:lang w:val="sr-Cyrl-RS"/>
        </w:rPr>
        <w:t>–</w:t>
      </w:r>
      <w:r w:rsidR="3CF28CAA" w:rsidRPr="0DD3B114">
        <w:rPr>
          <w:rFonts w:ascii="Arial" w:eastAsia="Arial" w:hAnsi="Arial" w:cs="Arial"/>
          <w:sz w:val="20"/>
          <w:szCs w:val="20"/>
          <w:lang w:val="sr-Cyrl-RS"/>
        </w:rPr>
        <w:t xml:space="preserve"> испр.)</w:t>
      </w:r>
      <w:r w:rsidR="00CC6922" w:rsidRPr="0DD3B114">
        <w:rPr>
          <w:rFonts w:ascii="Arial" w:hAnsi="Arial" w:cs="Arial"/>
          <w:sz w:val="20"/>
          <w:szCs w:val="20"/>
          <w:lang w:val="sr-Cyrl-RS"/>
        </w:rPr>
        <w:t>,</w:t>
      </w:r>
      <w:r w:rsidR="00C5330F" w:rsidRPr="0DD3B114">
        <w:rPr>
          <w:rFonts w:ascii="Arial" w:hAnsi="Arial" w:cs="Arial"/>
          <w:sz w:val="20"/>
          <w:szCs w:val="20"/>
          <w:lang w:val="sr-Cyrl-RS"/>
        </w:rPr>
        <w:t xml:space="preserve"> </w:t>
      </w:r>
      <w:r w:rsidRPr="0DD3B114">
        <w:rPr>
          <w:rFonts w:ascii="Arial" w:hAnsi="Arial" w:cs="Arial"/>
          <w:sz w:val="20"/>
          <w:szCs w:val="20"/>
          <w:lang w:val="sr-Cyrl-RS"/>
        </w:rPr>
        <w:t>Закон о референдуму и народној иницијативи</w:t>
      </w:r>
      <w:r w:rsidR="4A1918A4" w:rsidRPr="0DD3B114">
        <w:rPr>
          <w:rFonts w:ascii="Arial" w:eastAsia="Arial" w:hAnsi="Arial" w:cs="Arial"/>
          <w:sz w:val="20"/>
          <w:szCs w:val="20"/>
          <w:lang w:val="sr-Cyrl-RS"/>
        </w:rPr>
        <w:t xml:space="preserve"> („Службени гласник РС”, бр. 48/94 и 11/98)</w:t>
      </w:r>
      <w:r w:rsidR="00CC6922" w:rsidRPr="0DD3B114">
        <w:rPr>
          <w:rFonts w:ascii="Arial" w:hAnsi="Arial" w:cs="Arial"/>
          <w:sz w:val="20"/>
          <w:szCs w:val="20"/>
          <w:lang w:val="sr-Cyrl-RS"/>
        </w:rPr>
        <w:t>,</w:t>
      </w:r>
      <w:r w:rsidR="00C5330F" w:rsidRPr="0DD3B114">
        <w:rPr>
          <w:rFonts w:ascii="Arial" w:hAnsi="Arial" w:cs="Arial"/>
          <w:sz w:val="20"/>
          <w:szCs w:val="20"/>
          <w:lang w:val="sr-Cyrl-RS"/>
        </w:rPr>
        <w:t xml:space="preserve"> </w:t>
      </w:r>
      <w:r w:rsidRPr="0DD3B114">
        <w:rPr>
          <w:rFonts w:ascii="Arial" w:hAnsi="Arial" w:cs="Arial"/>
          <w:sz w:val="20"/>
          <w:szCs w:val="20"/>
          <w:lang w:val="sr-Cyrl-RS"/>
        </w:rPr>
        <w:t>Закон о јавним службама</w:t>
      </w:r>
      <w:r w:rsidR="5F5C4C26" w:rsidRPr="0DD3B114">
        <w:rPr>
          <w:rFonts w:ascii="Arial" w:hAnsi="Arial" w:cs="Arial"/>
          <w:sz w:val="20"/>
          <w:szCs w:val="20"/>
          <w:lang w:val="sr-Cyrl-RS"/>
        </w:rPr>
        <w:t xml:space="preserve"> </w:t>
      </w:r>
      <w:r w:rsidR="5F5C4C26" w:rsidRPr="0DD3B114">
        <w:rPr>
          <w:rFonts w:ascii="Arial" w:eastAsia="Arial" w:hAnsi="Arial" w:cs="Arial"/>
          <w:sz w:val="20"/>
          <w:szCs w:val="20"/>
          <w:lang w:val="sr-Cyrl-RS"/>
        </w:rPr>
        <w:t xml:space="preserve">(„Службени гласник РС”, бр. 42/91, 71/94, 79/05 </w:t>
      </w:r>
      <w:r w:rsidR="004B0B3C" w:rsidRPr="0DD3B114">
        <w:rPr>
          <w:rFonts w:ascii="Arial" w:eastAsia="Arial" w:hAnsi="Arial" w:cs="Arial"/>
          <w:sz w:val="20"/>
          <w:szCs w:val="20"/>
          <w:lang w:val="sr-Cyrl-RS"/>
        </w:rPr>
        <w:t>–</w:t>
      </w:r>
      <w:r w:rsidR="5F5C4C26" w:rsidRPr="0DD3B114">
        <w:rPr>
          <w:rFonts w:ascii="Arial" w:eastAsia="Arial" w:hAnsi="Arial" w:cs="Arial"/>
          <w:sz w:val="20"/>
          <w:szCs w:val="20"/>
          <w:lang w:val="sr-Cyrl-RS"/>
        </w:rPr>
        <w:t xml:space="preserve"> др. </w:t>
      </w:r>
      <w:r w:rsidR="0F7F02D9" w:rsidRPr="0DD3B114">
        <w:rPr>
          <w:rFonts w:ascii="Arial" w:eastAsia="Arial" w:hAnsi="Arial" w:cs="Arial"/>
          <w:sz w:val="20"/>
          <w:szCs w:val="20"/>
          <w:lang w:val="sr-Cyrl-RS"/>
        </w:rPr>
        <w:t>за</w:t>
      </w:r>
      <w:r w:rsidR="5F5C4C26" w:rsidRPr="0DD3B114">
        <w:rPr>
          <w:rFonts w:ascii="Arial" w:eastAsia="Arial" w:hAnsi="Arial" w:cs="Arial"/>
          <w:sz w:val="20"/>
          <w:szCs w:val="20"/>
          <w:lang w:val="sr-Cyrl-RS"/>
        </w:rPr>
        <w:t>кон</w:t>
      </w:r>
      <w:r w:rsidR="1E158B63" w:rsidRPr="0DD3B114">
        <w:rPr>
          <w:rFonts w:ascii="Arial" w:eastAsia="Arial" w:hAnsi="Arial" w:cs="Arial"/>
          <w:sz w:val="20"/>
          <w:szCs w:val="20"/>
          <w:lang w:val="sr-Cyrl-RS"/>
        </w:rPr>
        <w:t xml:space="preserve"> и 83/14</w:t>
      </w:r>
      <w:r w:rsidR="2D48F848" w:rsidRPr="0DD3B114">
        <w:rPr>
          <w:rFonts w:ascii="Arial" w:eastAsia="Arial" w:hAnsi="Arial" w:cs="Arial"/>
          <w:sz w:val="20"/>
          <w:szCs w:val="20"/>
          <w:lang w:val="sr-Cyrl-RS"/>
        </w:rPr>
        <w:t xml:space="preserve"> </w:t>
      </w:r>
      <w:r w:rsidR="004B0B3C" w:rsidRPr="0DD3B114">
        <w:rPr>
          <w:rFonts w:ascii="Arial" w:eastAsia="Arial" w:hAnsi="Arial" w:cs="Arial"/>
          <w:sz w:val="20"/>
          <w:szCs w:val="20"/>
          <w:lang w:val="sr-Cyrl-RS"/>
        </w:rPr>
        <w:t>–</w:t>
      </w:r>
      <w:r w:rsidR="1E158B63" w:rsidRPr="0DD3B114">
        <w:rPr>
          <w:rFonts w:ascii="Arial" w:eastAsia="Arial" w:hAnsi="Arial" w:cs="Arial"/>
          <w:sz w:val="20"/>
          <w:szCs w:val="20"/>
          <w:lang w:val="sr-Cyrl-RS"/>
        </w:rPr>
        <w:t xml:space="preserve"> др. </w:t>
      </w:r>
      <w:r w:rsidR="66B5DD56" w:rsidRPr="0DD3B114">
        <w:rPr>
          <w:rFonts w:ascii="Arial" w:eastAsia="Arial" w:hAnsi="Arial" w:cs="Arial"/>
          <w:sz w:val="20"/>
          <w:szCs w:val="20"/>
          <w:lang w:val="sr-Cyrl-RS"/>
        </w:rPr>
        <w:t>з</w:t>
      </w:r>
      <w:r w:rsidR="1E158B63" w:rsidRPr="0DD3B114">
        <w:rPr>
          <w:rFonts w:ascii="Arial" w:eastAsia="Arial" w:hAnsi="Arial" w:cs="Arial"/>
          <w:sz w:val="20"/>
          <w:szCs w:val="20"/>
          <w:lang w:val="sr-Cyrl-RS"/>
        </w:rPr>
        <w:t>акон)</w:t>
      </w:r>
      <w:r w:rsidRPr="0DD3B114">
        <w:rPr>
          <w:rFonts w:ascii="Arial" w:hAnsi="Arial" w:cs="Arial"/>
          <w:sz w:val="20"/>
          <w:szCs w:val="20"/>
          <w:lang w:val="sr-Cyrl-RS"/>
        </w:rPr>
        <w:t xml:space="preserve"> Закон о јавним предузећима</w:t>
      </w:r>
      <w:r w:rsidR="12EC97CD" w:rsidRPr="0DD3B114">
        <w:rPr>
          <w:rFonts w:ascii="Arial" w:hAnsi="Arial" w:cs="Arial"/>
          <w:sz w:val="20"/>
          <w:szCs w:val="20"/>
          <w:lang w:val="sr-Cyrl-RS"/>
        </w:rPr>
        <w:t xml:space="preserve"> </w:t>
      </w:r>
      <w:r w:rsidR="12EC97CD" w:rsidRPr="0DD3B114">
        <w:rPr>
          <w:rFonts w:ascii="Arial" w:eastAsia="Arial" w:hAnsi="Arial" w:cs="Arial"/>
          <w:sz w:val="20"/>
          <w:szCs w:val="20"/>
          <w:lang w:val="sr-Cyrl-RS"/>
        </w:rPr>
        <w:t>(„Службени гласник РС”, бр. 15/16 и 88/19)</w:t>
      </w:r>
      <w:r w:rsidR="004B0E1B" w:rsidRPr="0DD3B114">
        <w:rPr>
          <w:rFonts w:ascii="Arial" w:hAnsi="Arial" w:cs="Arial"/>
          <w:sz w:val="20"/>
          <w:szCs w:val="20"/>
          <w:lang w:val="sr-Cyrl-RS"/>
        </w:rPr>
        <w:t>,</w:t>
      </w:r>
      <w:r w:rsidR="00284014" w:rsidRPr="0DD3B114">
        <w:rPr>
          <w:rFonts w:ascii="Arial" w:hAnsi="Arial" w:cs="Arial"/>
          <w:sz w:val="20"/>
          <w:szCs w:val="20"/>
          <w:lang w:val="sr-Cyrl-RS"/>
        </w:rPr>
        <w:t xml:space="preserve"> </w:t>
      </w:r>
      <w:r w:rsidRPr="0DD3B114">
        <w:rPr>
          <w:rFonts w:ascii="Arial" w:hAnsi="Arial" w:cs="Arial"/>
          <w:sz w:val="20"/>
          <w:szCs w:val="20"/>
          <w:lang w:val="sr-Cyrl-RS"/>
        </w:rPr>
        <w:t>Закон о комуналним делатностима</w:t>
      </w:r>
      <w:r w:rsidR="135B6077" w:rsidRPr="0DD3B114">
        <w:rPr>
          <w:rFonts w:ascii="Arial" w:hAnsi="Arial" w:cs="Arial"/>
          <w:sz w:val="20"/>
          <w:szCs w:val="20"/>
          <w:lang w:val="sr-Cyrl-RS"/>
        </w:rPr>
        <w:t xml:space="preserve"> </w:t>
      </w:r>
      <w:r w:rsidR="135B6077" w:rsidRPr="0DD3B114">
        <w:rPr>
          <w:rFonts w:ascii="Arial" w:eastAsia="Arial" w:hAnsi="Arial" w:cs="Arial"/>
          <w:sz w:val="20"/>
          <w:szCs w:val="20"/>
          <w:lang w:val="sr-Cyrl-RS"/>
        </w:rPr>
        <w:t>(„Службени гласник РС”, бр. 88/11, 104/16 и 95/18)</w:t>
      </w:r>
      <w:r w:rsidR="00CC10AC" w:rsidRPr="0DD3B114">
        <w:rPr>
          <w:rFonts w:ascii="Arial" w:hAnsi="Arial" w:cs="Arial"/>
          <w:sz w:val="20"/>
          <w:szCs w:val="20"/>
          <w:lang w:val="sr-Cyrl-RS"/>
        </w:rPr>
        <w:t>,</w:t>
      </w:r>
      <w:r w:rsidR="00284014" w:rsidRPr="0DD3B114">
        <w:rPr>
          <w:rFonts w:ascii="Arial" w:hAnsi="Arial" w:cs="Arial"/>
          <w:sz w:val="20"/>
          <w:szCs w:val="20"/>
          <w:lang w:val="sr-Cyrl-RS"/>
        </w:rPr>
        <w:t xml:space="preserve"> </w:t>
      </w:r>
      <w:r w:rsidRPr="0DD3B114">
        <w:rPr>
          <w:rFonts w:ascii="Arial" w:hAnsi="Arial" w:cs="Arial"/>
          <w:sz w:val="20"/>
          <w:szCs w:val="20"/>
          <w:lang w:val="sr-Cyrl-RS"/>
        </w:rPr>
        <w:t>Закон о јавно-приватном партнерству и концесијама</w:t>
      </w:r>
      <w:r w:rsidR="77EC0D4C" w:rsidRPr="0DD3B114">
        <w:rPr>
          <w:rFonts w:ascii="Arial" w:eastAsia="Arial" w:hAnsi="Arial" w:cs="Arial"/>
          <w:sz w:val="20"/>
          <w:szCs w:val="20"/>
          <w:lang w:val="sr-Cyrl-RS"/>
        </w:rPr>
        <w:t xml:space="preserve"> („Службени гласник РС”, бр. 88/11, 15/16 и 104/16)</w:t>
      </w:r>
      <w:r w:rsidR="004B0E1B" w:rsidRPr="0DD3B114">
        <w:rPr>
          <w:rFonts w:ascii="Arial" w:hAnsi="Arial" w:cs="Arial"/>
          <w:sz w:val="20"/>
          <w:szCs w:val="20"/>
          <w:lang w:val="sr-Cyrl-RS"/>
        </w:rPr>
        <w:t>,</w:t>
      </w:r>
      <w:r w:rsidR="00284014" w:rsidRPr="0DD3B114">
        <w:rPr>
          <w:rFonts w:ascii="Arial" w:hAnsi="Arial" w:cs="Arial"/>
          <w:sz w:val="20"/>
          <w:szCs w:val="20"/>
          <w:lang w:val="sr-Cyrl-RS"/>
        </w:rPr>
        <w:t xml:space="preserve"> </w:t>
      </w:r>
      <w:r w:rsidRPr="0DD3B114">
        <w:rPr>
          <w:rFonts w:ascii="Arial" w:hAnsi="Arial" w:cs="Arial"/>
          <w:sz w:val="20"/>
          <w:szCs w:val="20"/>
          <w:lang w:val="sr-Cyrl-RS"/>
        </w:rPr>
        <w:t>Закон о регионалном развоју</w:t>
      </w:r>
      <w:r w:rsidR="7B4D9D4C" w:rsidRPr="0DD3B114">
        <w:rPr>
          <w:rFonts w:ascii="Arial" w:eastAsia="Arial" w:hAnsi="Arial" w:cs="Arial"/>
          <w:sz w:val="20"/>
          <w:szCs w:val="20"/>
          <w:lang w:val="sr-Cyrl-RS"/>
        </w:rPr>
        <w:t xml:space="preserve"> („Службени гласник РС”, бр. 51/09, 30/10 и 89/15 </w:t>
      </w:r>
      <w:r w:rsidR="004B0B3C" w:rsidRPr="0DD3B114">
        <w:rPr>
          <w:rFonts w:ascii="Arial" w:eastAsia="Arial" w:hAnsi="Arial" w:cs="Arial"/>
          <w:sz w:val="20"/>
          <w:szCs w:val="20"/>
          <w:lang w:val="sr-Cyrl-RS"/>
        </w:rPr>
        <w:t>–</w:t>
      </w:r>
      <w:r w:rsidR="7B4D9D4C" w:rsidRPr="0DD3B114">
        <w:rPr>
          <w:rFonts w:ascii="Arial" w:eastAsia="Arial" w:hAnsi="Arial" w:cs="Arial"/>
          <w:sz w:val="20"/>
          <w:szCs w:val="20"/>
          <w:lang w:val="sr-Cyrl-RS"/>
        </w:rPr>
        <w:t xml:space="preserve"> др. закон)</w:t>
      </w:r>
      <w:r w:rsidR="004B0E1B" w:rsidRPr="0DD3B114">
        <w:rPr>
          <w:rFonts w:ascii="Arial" w:hAnsi="Arial" w:cs="Arial"/>
          <w:sz w:val="20"/>
          <w:szCs w:val="20"/>
          <w:lang w:val="sr-Cyrl-RS"/>
        </w:rPr>
        <w:t>,</w:t>
      </w:r>
      <w:r w:rsidR="00284014" w:rsidRPr="0DD3B114">
        <w:rPr>
          <w:rFonts w:ascii="Arial" w:hAnsi="Arial" w:cs="Arial"/>
          <w:sz w:val="20"/>
          <w:szCs w:val="20"/>
          <w:lang w:val="sr-Cyrl-RS"/>
        </w:rPr>
        <w:t xml:space="preserve"> </w:t>
      </w:r>
      <w:r w:rsidRPr="0DD3B114">
        <w:rPr>
          <w:rFonts w:ascii="Arial" w:hAnsi="Arial" w:cs="Arial"/>
          <w:sz w:val="20"/>
          <w:szCs w:val="20"/>
          <w:lang w:val="sr-Cyrl-RS"/>
        </w:rPr>
        <w:t>Закон о слободном приступу информацијама од јавног значаја</w:t>
      </w:r>
      <w:r w:rsidR="79F1FAC7" w:rsidRPr="0DD3B114">
        <w:rPr>
          <w:rFonts w:ascii="Arial" w:eastAsia="Arial" w:hAnsi="Arial" w:cs="Arial"/>
          <w:sz w:val="20"/>
          <w:szCs w:val="20"/>
          <w:lang w:val="sr-Cyrl-RS"/>
        </w:rPr>
        <w:t xml:space="preserve"> („Службени гласник РС”, бр. 120/04, 54/07, 104/09 и 36/10)</w:t>
      </w:r>
      <w:r w:rsidR="004B0E1B" w:rsidRPr="0DD3B114">
        <w:rPr>
          <w:rFonts w:ascii="Arial" w:hAnsi="Arial" w:cs="Arial"/>
          <w:sz w:val="20"/>
          <w:szCs w:val="20"/>
          <w:lang w:val="sr-Cyrl-RS"/>
        </w:rPr>
        <w:t>,</w:t>
      </w:r>
      <w:r w:rsidR="00EA34DB" w:rsidRPr="0DD3B114">
        <w:rPr>
          <w:rFonts w:ascii="Arial" w:hAnsi="Arial" w:cs="Arial"/>
          <w:sz w:val="20"/>
          <w:szCs w:val="20"/>
          <w:lang w:val="sr-Cyrl-RS"/>
        </w:rPr>
        <w:t xml:space="preserve"> </w:t>
      </w:r>
      <w:r w:rsidRPr="0DD3B114">
        <w:rPr>
          <w:rFonts w:ascii="Arial" w:hAnsi="Arial" w:cs="Arial"/>
          <w:sz w:val="20"/>
          <w:szCs w:val="20"/>
          <w:lang w:val="sr-Cyrl-RS"/>
        </w:rPr>
        <w:t>Закон о Заштитнику грађана</w:t>
      </w:r>
      <w:r w:rsidR="7E809A2B" w:rsidRPr="0DD3B114">
        <w:rPr>
          <w:rFonts w:ascii="Arial" w:eastAsia="Arial" w:hAnsi="Arial" w:cs="Arial"/>
          <w:sz w:val="20"/>
          <w:szCs w:val="20"/>
          <w:lang w:val="sr-Cyrl-RS"/>
        </w:rPr>
        <w:t xml:space="preserve"> („Службени гласник РС”, бр. 79/05 и 54/07)</w:t>
      </w:r>
      <w:r w:rsidR="004B0E1B" w:rsidRPr="0DD3B114">
        <w:rPr>
          <w:rFonts w:ascii="Arial" w:hAnsi="Arial" w:cs="Arial"/>
          <w:sz w:val="20"/>
          <w:szCs w:val="20"/>
          <w:lang w:val="sr-Cyrl-RS"/>
        </w:rPr>
        <w:t>,</w:t>
      </w:r>
      <w:r w:rsidR="00EA34DB" w:rsidRPr="0DD3B114">
        <w:rPr>
          <w:rFonts w:ascii="Arial" w:hAnsi="Arial" w:cs="Arial"/>
          <w:sz w:val="20"/>
          <w:szCs w:val="20"/>
          <w:lang w:val="sr-Cyrl-RS"/>
        </w:rPr>
        <w:t xml:space="preserve"> </w:t>
      </w:r>
      <w:r w:rsidR="00B57CB6" w:rsidRPr="0DD3B114">
        <w:rPr>
          <w:rFonts w:ascii="Arial" w:hAnsi="Arial" w:cs="Arial"/>
          <w:sz w:val="20"/>
          <w:szCs w:val="20"/>
          <w:lang w:val="sr-Cyrl-RS"/>
        </w:rPr>
        <w:t>Закон о спречавању корупције</w:t>
      </w:r>
      <w:r w:rsidR="52F34074" w:rsidRPr="0DD3B114">
        <w:rPr>
          <w:rFonts w:ascii="Arial" w:eastAsia="Arial" w:hAnsi="Arial" w:cs="Arial"/>
          <w:sz w:val="20"/>
          <w:szCs w:val="20"/>
          <w:lang w:val="sr-Cyrl-RS"/>
        </w:rPr>
        <w:t xml:space="preserve"> („Службени гласник РС”, бр. 35/19 и 88/19)</w:t>
      </w:r>
      <w:r w:rsidR="00B57CB6" w:rsidRPr="0DD3B114">
        <w:rPr>
          <w:rFonts w:ascii="Arial" w:hAnsi="Arial" w:cs="Arial"/>
          <w:sz w:val="20"/>
          <w:szCs w:val="20"/>
          <w:lang w:val="sr-Cyrl-RS"/>
        </w:rPr>
        <w:t>, Закон о бесплатној правној помоћи</w:t>
      </w:r>
      <w:r w:rsidR="43167EDD" w:rsidRPr="0DD3B114">
        <w:rPr>
          <w:rFonts w:ascii="Arial" w:eastAsia="Arial" w:hAnsi="Arial" w:cs="Arial"/>
          <w:sz w:val="20"/>
          <w:szCs w:val="20"/>
          <w:lang w:val="sr-Cyrl-RS"/>
        </w:rPr>
        <w:t xml:space="preserve"> („Службени гласник РС”, број 87/18)</w:t>
      </w:r>
      <w:r w:rsidR="00B57CB6" w:rsidRPr="0DD3B114">
        <w:rPr>
          <w:rFonts w:ascii="Arial" w:hAnsi="Arial" w:cs="Arial"/>
          <w:sz w:val="20"/>
          <w:szCs w:val="20"/>
          <w:lang w:val="sr-Cyrl-RS"/>
        </w:rPr>
        <w:t xml:space="preserve">, </w:t>
      </w:r>
      <w:r w:rsidRPr="0DD3B114">
        <w:rPr>
          <w:rFonts w:ascii="Arial" w:hAnsi="Arial" w:cs="Arial"/>
          <w:sz w:val="20"/>
          <w:szCs w:val="20"/>
          <w:lang w:val="sr-Cyrl-RS"/>
        </w:rPr>
        <w:t xml:space="preserve">Закон о утврђивању надлежности Аутономне </w:t>
      </w:r>
      <w:r w:rsidR="148998EC" w:rsidRPr="0DD3B114">
        <w:rPr>
          <w:rFonts w:ascii="Arial" w:hAnsi="Arial" w:cs="Arial"/>
          <w:sz w:val="20"/>
          <w:szCs w:val="20"/>
          <w:lang w:val="sr-Cyrl-RS"/>
        </w:rPr>
        <w:t>п</w:t>
      </w:r>
      <w:r w:rsidRPr="0DD3B114">
        <w:rPr>
          <w:rFonts w:ascii="Arial" w:hAnsi="Arial" w:cs="Arial"/>
          <w:sz w:val="20"/>
          <w:szCs w:val="20"/>
          <w:lang w:val="sr-Cyrl-RS"/>
        </w:rPr>
        <w:t>окрајине Војводине</w:t>
      </w:r>
      <w:r w:rsidR="004D5004" w:rsidRPr="0DD3B114">
        <w:rPr>
          <w:rFonts w:ascii="Arial" w:hAnsi="Arial" w:cs="Arial"/>
          <w:sz w:val="20"/>
          <w:szCs w:val="20"/>
          <w:lang w:val="sr-Cyrl-RS"/>
        </w:rPr>
        <w:t xml:space="preserve"> </w:t>
      </w:r>
      <w:r w:rsidR="43854787" w:rsidRPr="0DD3B114">
        <w:rPr>
          <w:rFonts w:ascii="Arial" w:eastAsia="Arial" w:hAnsi="Arial" w:cs="Arial"/>
          <w:sz w:val="20"/>
          <w:szCs w:val="20"/>
          <w:lang w:val="sr-Cyrl-RS"/>
        </w:rPr>
        <w:t xml:space="preserve">(„Службени гласник РС”, бр. 99/09 и 67/12 </w:t>
      </w:r>
      <w:r w:rsidR="004B0B3C" w:rsidRPr="0DD3B114">
        <w:rPr>
          <w:rFonts w:ascii="Arial" w:eastAsia="Arial" w:hAnsi="Arial" w:cs="Arial"/>
          <w:sz w:val="20"/>
          <w:szCs w:val="20"/>
          <w:lang w:val="sr-Cyrl-RS"/>
        </w:rPr>
        <w:t>–</w:t>
      </w:r>
      <w:r w:rsidR="43854787" w:rsidRPr="0DD3B114">
        <w:rPr>
          <w:rFonts w:ascii="Arial" w:eastAsia="Arial" w:hAnsi="Arial" w:cs="Arial"/>
          <w:sz w:val="20"/>
          <w:szCs w:val="20"/>
          <w:lang w:val="sr-Cyrl-RS"/>
        </w:rPr>
        <w:t xml:space="preserve"> одлука УС) </w:t>
      </w:r>
      <w:r w:rsidRPr="0DD3B114">
        <w:rPr>
          <w:rFonts w:ascii="Arial" w:hAnsi="Arial" w:cs="Arial"/>
          <w:sz w:val="20"/>
          <w:szCs w:val="20"/>
          <w:lang w:val="sr-Cyrl-RS"/>
        </w:rPr>
        <w:t>и други.</w:t>
      </w:r>
    </w:p>
    <w:p w14:paraId="3CB3D7FA" w14:textId="77777777" w:rsidR="003058D5" w:rsidRPr="00A021B7" w:rsidRDefault="003058D5" w:rsidP="003E7BC9">
      <w:pPr>
        <w:jc w:val="both"/>
        <w:rPr>
          <w:rFonts w:ascii="Arial" w:hAnsi="Arial" w:cs="Arial"/>
          <w:sz w:val="20"/>
          <w:szCs w:val="20"/>
          <w:lang w:val="sr-Cyrl-RS"/>
        </w:rPr>
      </w:pPr>
    </w:p>
    <w:p w14:paraId="648F9861" w14:textId="39851BE1" w:rsidR="0062099C" w:rsidRPr="00A021B7" w:rsidRDefault="00EA34DB" w:rsidP="0DD3B114">
      <w:pPr>
        <w:ind w:firstLine="720"/>
        <w:jc w:val="both"/>
        <w:rPr>
          <w:rFonts w:ascii="Arial" w:hAnsi="Arial" w:cs="Arial"/>
          <w:sz w:val="20"/>
          <w:szCs w:val="20"/>
          <w:lang w:val="sr-Cyrl-RS"/>
        </w:rPr>
      </w:pPr>
      <w:r w:rsidRPr="0DD3B114">
        <w:rPr>
          <w:rFonts w:ascii="Arial" w:hAnsi="Arial" w:cs="Arial"/>
          <w:sz w:val="20"/>
          <w:szCs w:val="20"/>
          <w:lang w:val="sr-Cyrl-RS"/>
        </w:rPr>
        <w:lastRenderedPageBreak/>
        <w:t>Коначно, п</w:t>
      </w:r>
      <w:r w:rsidR="003103E6" w:rsidRPr="0DD3B114">
        <w:rPr>
          <w:rFonts w:ascii="Arial" w:hAnsi="Arial" w:cs="Arial"/>
          <w:sz w:val="20"/>
          <w:szCs w:val="20"/>
          <w:lang w:val="sr-Cyrl-RS"/>
        </w:rPr>
        <w:t xml:space="preserve">осебну, трећу </w:t>
      </w:r>
      <w:r w:rsidR="688612CA" w:rsidRPr="0DD3B114">
        <w:rPr>
          <w:rFonts w:ascii="Arial" w:hAnsi="Arial" w:cs="Arial"/>
          <w:sz w:val="20"/>
          <w:szCs w:val="20"/>
          <w:lang w:val="sr-Cyrl-RS"/>
        </w:rPr>
        <w:t>групу</w:t>
      </w:r>
      <w:r w:rsidR="003103E6" w:rsidRPr="0DD3B114">
        <w:rPr>
          <w:rFonts w:ascii="Arial" w:hAnsi="Arial" w:cs="Arial"/>
          <w:sz w:val="20"/>
          <w:szCs w:val="20"/>
          <w:lang w:val="sr-Cyrl-RS"/>
        </w:rPr>
        <w:t xml:space="preserve"> закона од значаја за локалну самоуправу </w:t>
      </w:r>
      <w:r w:rsidRPr="0DD3B114">
        <w:rPr>
          <w:rFonts w:ascii="Arial" w:hAnsi="Arial" w:cs="Arial"/>
          <w:sz w:val="20"/>
          <w:szCs w:val="20"/>
          <w:lang w:val="sr-Cyrl-RS"/>
        </w:rPr>
        <w:t>чине</w:t>
      </w:r>
      <w:r w:rsidR="003103E6" w:rsidRPr="0DD3B114">
        <w:rPr>
          <w:rFonts w:ascii="Arial" w:hAnsi="Arial" w:cs="Arial"/>
          <w:sz w:val="20"/>
          <w:szCs w:val="20"/>
          <w:lang w:val="sr-Cyrl-RS"/>
        </w:rPr>
        <w:t xml:space="preserve"> бројни закони донети у појединим управним областима (тзв. секторски закони, нпр. закони о водама, шумама, пољопривредном земљишту, образовању, здравству</w:t>
      </w:r>
      <w:r w:rsidR="5806E48A" w:rsidRPr="0DD3B114">
        <w:rPr>
          <w:rFonts w:ascii="Arial" w:hAnsi="Arial" w:cs="Arial"/>
          <w:sz w:val="20"/>
          <w:szCs w:val="20"/>
          <w:lang w:val="sr-Cyrl-RS"/>
        </w:rPr>
        <w:t>, планирању и изградњи</w:t>
      </w:r>
      <w:r w:rsidR="003103E6" w:rsidRPr="0DD3B114">
        <w:rPr>
          <w:rFonts w:ascii="Arial" w:hAnsi="Arial" w:cs="Arial"/>
          <w:sz w:val="20"/>
          <w:szCs w:val="20"/>
          <w:lang w:val="sr-Cyrl-RS"/>
        </w:rPr>
        <w:t xml:space="preserve"> итд.), а којима је извршено (1) прецизирање изворних надлежности ЈЛС у питањима односно областима утврђеним у Уставу и (2) поверавање ЈЛС одређених послова из надлежности Републике Србије, укључујући ту инспекцијске и друге управне послове. У овим другим случајевима, законима су често прописани посебни услови и процедуре за обављање послова, а у одређеним законима и посебна надзорна овлашћења органа државне управе.</w:t>
      </w:r>
    </w:p>
    <w:p w14:paraId="36F83C8C" w14:textId="77777777" w:rsidR="00CB26B6" w:rsidRPr="00A021B7" w:rsidRDefault="00CB26B6" w:rsidP="003E7BC9">
      <w:pPr>
        <w:jc w:val="both"/>
        <w:rPr>
          <w:rFonts w:ascii="Arial" w:hAnsi="Arial" w:cs="Arial"/>
          <w:sz w:val="20"/>
          <w:szCs w:val="20"/>
          <w:lang w:val="sr-Cyrl-RS"/>
        </w:rPr>
      </w:pPr>
    </w:p>
    <w:p w14:paraId="73D5AEEE" w14:textId="759BD037" w:rsidR="00CE205B" w:rsidRPr="00A021B7" w:rsidRDefault="003E325B" w:rsidP="004935B9">
      <w:pPr>
        <w:pStyle w:val="Heading1"/>
        <w:numPr>
          <w:ilvl w:val="0"/>
          <w:numId w:val="30"/>
        </w:numPr>
        <w:rPr>
          <w:lang w:val="sr-Cyrl-RS"/>
        </w:rPr>
      </w:pPr>
      <w:bookmarkStart w:id="10" w:name="_Toc52865766"/>
      <w:bookmarkStart w:id="11" w:name="_Toc52866177"/>
      <w:bookmarkStart w:id="12" w:name="_Toc56508427"/>
      <w:bookmarkStart w:id="13" w:name="_Toc60136063"/>
      <w:r w:rsidRPr="00A021B7">
        <w:rPr>
          <w:lang w:val="sr-Cyrl-RS"/>
        </w:rPr>
        <w:t xml:space="preserve">ИСТОРИЈСКИ ПРЕГЛЕД СИСТЕМА ЛОКАЛНЕ САМОУПРАВЕ У </w:t>
      </w:r>
      <w:r w:rsidR="003C0EBC" w:rsidRPr="00A021B7">
        <w:rPr>
          <w:lang w:val="sr-Cyrl-RS"/>
        </w:rPr>
        <w:t xml:space="preserve">РЕПУБЛИЦИ </w:t>
      </w:r>
      <w:r w:rsidRPr="00A021B7">
        <w:rPr>
          <w:lang w:val="sr-Cyrl-RS"/>
        </w:rPr>
        <w:t>СРБИЈИ</w:t>
      </w:r>
      <w:bookmarkEnd w:id="10"/>
      <w:bookmarkEnd w:id="11"/>
      <w:bookmarkEnd w:id="12"/>
      <w:bookmarkEnd w:id="13"/>
    </w:p>
    <w:p w14:paraId="67A4DDAA" w14:textId="77777777" w:rsidR="00480198" w:rsidRPr="00A021B7" w:rsidRDefault="00480198" w:rsidP="003E7BC9">
      <w:pPr>
        <w:ind w:left="360"/>
        <w:jc w:val="both"/>
        <w:rPr>
          <w:rFonts w:ascii="Arial" w:hAnsi="Arial" w:cs="Arial"/>
          <w:b/>
          <w:bCs/>
          <w:sz w:val="20"/>
          <w:szCs w:val="20"/>
          <w:lang w:val="sr-Cyrl-RS"/>
        </w:rPr>
      </w:pPr>
    </w:p>
    <w:p w14:paraId="3AD8B0AE" w14:textId="19EE6998"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Локална самоуправа у Србији има веома дугу традицију и средњ</w:t>
      </w:r>
      <w:r w:rsidR="008D683B" w:rsidRPr="0DD3B114">
        <w:rPr>
          <w:rFonts w:ascii="Arial" w:hAnsi="Arial" w:cs="Arial"/>
          <w:sz w:val="20"/>
          <w:szCs w:val="20"/>
          <w:lang w:val="sr-Cyrl-RS"/>
        </w:rPr>
        <w:t>о</w:t>
      </w:r>
      <w:r w:rsidRPr="0DD3B114">
        <w:rPr>
          <w:rFonts w:ascii="Arial" w:hAnsi="Arial" w:cs="Arial"/>
          <w:sz w:val="20"/>
          <w:szCs w:val="20"/>
          <w:lang w:val="sr-Cyrl-RS"/>
        </w:rPr>
        <w:t xml:space="preserve">вековно порекло, а у протекла два века је редовно била предмет уставног регулисања и налазила се у центру политичких борби између присталица државног централизма и </w:t>
      </w:r>
      <w:r w:rsidR="008D683B" w:rsidRPr="0DD3B114">
        <w:rPr>
          <w:rFonts w:ascii="Arial" w:hAnsi="Arial" w:cs="Arial"/>
          <w:sz w:val="20"/>
          <w:szCs w:val="20"/>
          <w:lang w:val="sr-Cyrl-RS"/>
        </w:rPr>
        <w:t xml:space="preserve">присталица </w:t>
      </w:r>
      <w:r w:rsidRPr="0DD3B114">
        <w:rPr>
          <w:rFonts w:ascii="Arial" w:hAnsi="Arial" w:cs="Arial"/>
          <w:sz w:val="20"/>
          <w:szCs w:val="20"/>
          <w:lang w:val="sr-Cyrl-RS"/>
        </w:rPr>
        <w:t>децентрализације власти. У зависности од односа политичких снага, она је у 19. и 20. веку била више или мање подређена централним властима и по томе заузимала позицију локалне управе или локалне самоуправе. Поред те суштинске одлике положаја локалне самоуправе, њену еволуцију карактеришу тенденције према једностепеном и једнообразном (монотипском) моделу система и тенденција према укрупњавању општина као основних територијалних ЈЛС.</w:t>
      </w:r>
    </w:p>
    <w:p w14:paraId="25FEC899" w14:textId="77777777" w:rsidR="00226CED" w:rsidRPr="00A021B7" w:rsidRDefault="00226CED" w:rsidP="004B0B3C">
      <w:pPr>
        <w:ind w:firstLine="720"/>
        <w:jc w:val="both"/>
        <w:rPr>
          <w:rFonts w:ascii="Arial" w:hAnsi="Arial" w:cs="Arial"/>
          <w:sz w:val="20"/>
          <w:szCs w:val="20"/>
          <w:lang w:val="sr-Cyrl-RS"/>
        </w:rPr>
      </w:pPr>
    </w:p>
    <w:p w14:paraId="3A6250B3" w14:textId="0247B385"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 xml:space="preserve">Општина као првостепена и срез као другостепена ЈЛС постојале су током целог 19. </w:t>
      </w:r>
      <w:r w:rsidR="008D683B" w:rsidRPr="0DD3B114">
        <w:rPr>
          <w:rFonts w:ascii="Arial" w:hAnsi="Arial" w:cs="Arial"/>
          <w:sz w:val="20"/>
          <w:szCs w:val="20"/>
          <w:lang w:val="sr-Cyrl-RS"/>
        </w:rPr>
        <w:t xml:space="preserve">века </w:t>
      </w:r>
      <w:r w:rsidRPr="0DD3B114">
        <w:rPr>
          <w:rFonts w:ascii="Arial" w:hAnsi="Arial" w:cs="Arial"/>
          <w:sz w:val="20"/>
          <w:szCs w:val="20"/>
          <w:lang w:val="sr-Cyrl-RS"/>
        </w:rPr>
        <w:t>и у већем делу 20. века, тј. до 1967. године</w:t>
      </w:r>
      <w:r w:rsidR="008D683B" w:rsidRPr="0DD3B114">
        <w:rPr>
          <w:rFonts w:ascii="Arial" w:hAnsi="Arial" w:cs="Arial"/>
          <w:sz w:val="20"/>
          <w:szCs w:val="20"/>
          <w:lang w:val="sr-Cyrl-RS"/>
        </w:rPr>
        <w:t>,</w:t>
      </w:r>
      <w:r w:rsidRPr="0DD3B114">
        <w:rPr>
          <w:rFonts w:ascii="Arial" w:hAnsi="Arial" w:cs="Arial"/>
          <w:sz w:val="20"/>
          <w:szCs w:val="20"/>
          <w:lang w:val="sr-Cyrl-RS"/>
        </w:rPr>
        <w:t xml:space="preserve"> када су укинути срезови. Већ 1974. године учињен је покушај да други степен надомест</w:t>
      </w:r>
      <w:r w:rsidR="008D683B" w:rsidRPr="0DD3B114">
        <w:rPr>
          <w:rFonts w:ascii="Arial" w:hAnsi="Arial" w:cs="Arial"/>
          <w:sz w:val="20"/>
          <w:szCs w:val="20"/>
          <w:lang w:val="sr-Cyrl-RS"/>
        </w:rPr>
        <w:t>е</w:t>
      </w:r>
      <w:r w:rsidRPr="0DD3B114">
        <w:rPr>
          <w:rFonts w:ascii="Arial" w:hAnsi="Arial" w:cs="Arial"/>
          <w:sz w:val="20"/>
          <w:szCs w:val="20"/>
          <w:lang w:val="sr-Cyrl-RS"/>
        </w:rPr>
        <w:t xml:space="preserve"> заједниц</w:t>
      </w:r>
      <w:r w:rsidR="008D683B" w:rsidRPr="0DD3B114">
        <w:rPr>
          <w:rFonts w:ascii="Arial" w:hAnsi="Arial" w:cs="Arial"/>
          <w:sz w:val="20"/>
          <w:szCs w:val="20"/>
          <w:lang w:val="sr-Cyrl-RS"/>
        </w:rPr>
        <w:t>е</w:t>
      </w:r>
      <w:r w:rsidRPr="0DD3B114">
        <w:rPr>
          <w:rFonts w:ascii="Arial" w:hAnsi="Arial" w:cs="Arial"/>
          <w:sz w:val="20"/>
          <w:szCs w:val="20"/>
          <w:lang w:val="sr-Cyrl-RS"/>
        </w:rPr>
        <w:t xml:space="preserve"> општина, које ће бити укинуте 1991. године. Наредне</w:t>
      </w:r>
      <w:r w:rsidR="0049026E" w:rsidRPr="0DD3B114">
        <w:rPr>
          <w:rFonts w:ascii="Arial" w:hAnsi="Arial" w:cs="Arial"/>
          <w:sz w:val="20"/>
          <w:szCs w:val="20"/>
          <w:lang w:val="sr-Cyrl-RS"/>
        </w:rPr>
        <w:t>,</w:t>
      </w:r>
      <w:r w:rsidRPr="0DD3B114">
        <w:rPr>
          <w:rFonts w:ascii="Arial" w:hAnsi="Arial" w:cs="Arial"/>
          <w:sz w:val="20"/>
          <w:szCs w:val="20"/>
          <w:lang w:val="sr-Cyrl-RS"/>
        </w:rPr>
        <w:t xml:space="preserve"> 1992</w:t>
      </w:r>
      <w:r w:rsidR="0049026E" w:rsidRPr="0DD3B114">
        <w:rPr>
          <w:rFonts w:ascii="Arial" w:hAnsi="Arial" w:cs="Arial"/>
          <w:sz w:val="20"/>
          <w:szCs w:val="20"/>
          <w:lang w:val="sr-Cyrl-RS"/>
        </w:rPr>
        <w:t>.</w:t>
      </w:r>
      <w:r w:rsidRPr="0DD3B114">
        <w:rPr>
          <w:rFonts w:ascii="Arial" w:hAnsi="Arial" w:cs="Arial"/>
          <w:sz w:val="20"/>
          <w:szCs w:val="20"/>
          <w:lang w:val="sr-Cyrl-RS"/>
        </w:rPr>
        <w:t xml:space="preserve"> године формирани су управни окрузи, али без самоуправних обележја. Таква обележја немају ни </w:t>
      </w:r>
      <w:r w:rsidR="04367F95" w:rsidRPr="0DD3B114">
        <w:rPr>
          <w:rFonts w:ascii="Arial" w:hAnsi="Arial" w:cs="Arial"/>
          <w:sz w:val="20"/>
          <w:szCs w:val="20"/>
          <w:lang w:val="sr-Cyrl-RS"/>
        </w:rPr>
        <w:t xml:space="preserve">статистички </w:t>
      </w:r>
      <w:r w:rsidRPr="0DD3B114">
        <w:rPr>
          <w:rFonts w:ascii="Arial" w:hAnsi="Arial" w:cs="Arial"/>
          <w:sz w:val="20"/>
          <w:szCs w:val="20"/>
          <w:lang w:val="sr-Cyrl-RS"/>
        </w:rPr>
        <w:t>региони и области, успостављени на основу Закона о регионалном развоју од 2009. године. Поред општина и срезова, одржавао се (уз повремено нестајање) све до почетка педесетих година прошлог века трећи степен локалне самоуправе у виду округа или области. У Краљевини Југославији постојала су једно време чак четири нивоа територијалних јединица (област и бановина, округ, срез и општина), од којих су два била самоуправног типа, један са слабим самоуправним елементима и један без самоуправних обележја. Осим тога, једно време (тј. до стварања општина) постојала је сеоска самоуправа. Она ће се још једном накратко појавити (после Другог светског рата) као почетни ниво самоуправе, да би потом еволуирала у месне заједнице</w:t>
      </w:r>
      <w:r w:rsidR="008D683B" w:rsidRPr="0DD3B114">
        <w:rPr>
          <w:rFonts w:ascii="Arial" w:hAnsi="Arial" w:cs="Arial"/>
          <w:sz w:val="20"/>
          <w:szCs w:val="20"/>
          <w:lang w:val="sr-Cyrl-RS"/>
        </w:rPr>
        <w:t>,</w:t>
      </w:r>
      <w:r w:rsidRPr="0DD3B114">
        <w:rPr>
          <w:rFonts w:ascii="Arial" w:hAnsi="Arial" w:cs="Arial"/>
          <w:sz w:val="20"/>
          <w:szCs w:val="20"/>
          <w:lang w:val="sr-Cyrl-RS"/>
        </w:rPr>
        <w:t xml:space="preserve"> које немају карактер јединица локалне самоуправе.</w:t>
      </w:r>
    </w:p>
    <w:p w14:paraId="68BEC8ED" w14:textId="77777777" w:rsidR="00226CED" w:rsidRPr="00A021B7" w:rsidRDefault="00226CED" w:rsidP="004B0B3C">
      <w:pPr>
        <w:ind w:firstLine="720"/>
        <w:jc w:val="both"/>
        <w:rPr>
          <w:rFonts w:ascii="Arial" w:hAnsi="Arial" w:cs="Arial"/>
          <w:sz w:val="20"/>
          <w:szCs w:val="20"/>
          <w:lang w:val="sr-Cyrl-RS"/>
        </w:rPr>
      </w:pPr>
    </w:p>
    <w:p w14:paraId="7A2F2D7F" w14:textId="2445A9FB"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Општине имају порекло у сеоској самоуправи, по први пут се утврђују као територијалне јединице у Сретењском уставу (1835) и законски уређују 1839. године. Као самоуправне власти, општине су од свог постанка, поред самоуправних послова, обављале и извесне државне управне послове. Како је удео тих других послова стално растао, на општине се све више гледало као на испоставе државних власти.</w:t>
      </w:r>
      <w:r w:rsidR="004D5004" w:rsidRPr="0DD3B114">
        <w:rPr>
          <w:rFonts w:ascii="Arial" w:hAnsi="Arial" w:cs="Arial"/>
          <w:sz w:val="20"/>
          <w:szCs w:val="20"/>
          <w:lang w:val="sr-Cyrl-RS"/>
        </w:rPr>
        <w:t xml:space="preserve"> </w:t>
      </w:r>
      <w:r w:rsidRPr="0DD3B114">
        <w:rPr>
          <w:rFonts w:ascii="Arial" w:hAnsi="Arial" w:cs="Arial"/>
          <w:sz w:val="20"/>
          <w:szCs w:val="20"/>
          <w:lang w:val="sr-Cyrl-RS"/>
        </w:rPr>
        <w:t>Општинска самоуправа добија на снази од 1875.</w:t>
      </w:r>
      <w:r w:rsidR="008D683B" w:rsidRPr="0DD3B114">
        <w:rPr>
          <w:rFonts w:ascii="Arial" w:hAnsi="Arial" w:cs="Arial"/>
          <w:sz w:val="20"/>
          <w:szCs w:val="20"/>
          <w:lang w:val="sr-Cyrl-RS"/>
        </w:rPr>
        <w:t xml:space="preserve"> године,</w:t>
      </w:r>
      <w:r w:rsidRPr="0DD3B114">
        <w:rPr>
          <w:rFonts w:ascii="Arial" w:hAnsi="Arial" w:cs="Arial"/>
          <w:sz w:val="20"/>
          <w:szCs w:val="20"/>
          <w:lang w:val="sr-Cyrl-RS"/>
        </w:rPr>
        <w:t xml:space="preserve"> </w:t>
      </w:r>
      <w:r w:rsidR="008D683B" w:rsidRPr="0DD3B114">
        <w:rPr>
          <w:rFonts w:ascii="Arial" w:hAnsi="Arial" w:cs="Arial"/>
          <w:sz w:val="20"/>
          <w:szCs w:val="20"/>
          <w:lang w:val="sr-Cyrl-RS"/>
        </w:rPr>
        <w:t>а</w:t>
      </w:r>
      <w:r w:rsidRPr="0DD3B114">
        <w:rPr>
          <w:rFonts w:ascii="Arial" w:hAnsi="Arial" w:cs="Arial"/>
          <w:sz w:val="20"/>
          <w:szCs w:val="20"/>
          <w:lang w:val="sr-Cyrl-RS"/>
        </w:rPr>
        <w:t xml:space="preserve"> нарочито после Устава </w:t>
      </w:r>
      <w:r w:rsidR="008D683B" w:rsidRPr="0DD3B114">
        <w:rPr>
          <w:rFonts w:ascii="Arial" w:hAnsi="Arial" w:cs="Arial"/>
          <w:sz w:val="20"/>
          <w:szCs w:val="20"/>
          <w:lang w:val="sr-Cyrl-RS"/>
        </w:rPr>
        <w:t xml:space="preserve">из </w:t>
      </w:r>
      <w:r w:rsidRPr="0DD3B114">
        <w:rPr>
          <w:rFonts w:ascii="Arial" w:hAnsi="Arial" w:cs="Arial"/>
          <w:sz w:val="20"/>
          <w:szCs w:val="20"/>
          <w:lang w:val="sr-Cyrl-RS"/>
        </w:rPr>
        <w:t xml:space="preserve">1888. године. У Краљевини Југославији самосталност општине је била умањена, а у социјалистичком добу увећана, али овог пута кроз комунални систем који је општину интегрисао у јединствени политички систем самоуправљања и једнопартијске државне власти. Комунални систем је напуштен 1990. године, од када се општина постепено модификује у </w:t>
      </w:r>
      <w:r w:rsidR="00C7537E" w:rsidRPr="0DD3B114">
        <w:rPr>
          <w:rFonts w:ascii="Arial" w:hAnsi="Arial" w:cs="Arial"/>
          <w:sz w:val="20"/>
          <w:szCs w:val="20"/>
          <w:lang w:val="sr-Cyrl-RS"/>
        </w:rPr>
        <w:t xml:space="preserve">локалну самоуправу и </w:t>
      </w:r>
      <w:r w:rsidRPr="0DD3B114">
        <w:rPr>
          <w:rFonts w:ascii="Arial" w:hAnsi="Arial" w:cs="Arial"/>
          <w:sz w:val="20"/>
          <w:szCs w:val="20"/>
          <w:lang w:val="sr-Cyrl-RS"/>
        </w:rPr>
        <w:t>основну територијалну јединицу серијом закона (1991, 1999, 2002. и 2007).</w:t>
      </w:r>
    </w:p>
    <w:p w14:paraId="0CE44502" w14:textId="77777777" w:rsidR="00842575" w:rsidRPr="00A021B7" w:rsidRDefault="00842575" w:rsidP="004B0B3C">
      <w:pPr>
        <w:ind w:firstLine="720"/>
        <w:jc w:val="both"/>
        <w:rPr>
          <w:rFonts w:ascii="Arial" w:hAnsi="Arial" w:cs="Arial"/>
          <w:sz w:val="20"/>
          <w:szCs w:val="20"/>
          <w:lang w:val="sr-Cyrl-RS"/>
        </w:rPr>
      </w:pPr>
    </w:p>
    <w:p w14:paraId="0B6CCCBC" w14:textId="7DD8C673"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 xml:space="preserve">Срезове је чинило по више општина, постали су од ранијих кнежина и до Устава </w:t>
      </w:r>
      <w:r w:rsidR="008D683B" w:rsidRPr="0DD3B114">
        <w:rPr>
          <w:rFonts w:ascii="Arial" w:hAnsi="Arial" w:cs="Arial"/>
          <w:sz w:val="20"/>
          <w:szCs w:val="20"/>
          <w:lang w:val="sr-Cyrl-RS"/>
        </w:rPr>
        <w:t xml:space="preserve">из </w:t>
      </w:r>
      <w:r w:rsidRPr="0DD3B114">
        <w:rPr>
          <w:rFonts w:ascii="Arial" w:hAnsi="Arial" w:cs="Arial"/>
          <w:sz w:val="20"/>
          <w:szCs w:val="20"/>
          <w:lang w:val="sr-Cyrl-RS"/>
        </w:rPr>
        <w:t>1888. године имали</w:t>
      </w:r>
      <w:r w:rsidR="00C7537E" w:rsidRPr="0DD3B114">
        <w:rPr>
          <w:rFonts w:ascii="Arial" w:hAnsi="Arial" w:cs="Arial"/>
          <w:sz w:val="20"/>
          <w:szCs w:val="20"/>
          <w:lang w:val="sr-Cyrl-RS"/>
        </w:rPr>
        <w:t xml:space="preserve"> су</w:t>
      </w:r>
      <w:r w:rsidRPr="0DD3B114">
        <w:rPr>
          <w:rFonts w:ascii="Arial" w:hAnsi="Arial" w:cs="Arial"/>
          <w:sz w:val="20"/>
          <w:szCs w:val="20"/>
          <w:lang w:val="sr-Cyrl-RS"/>
        </w:rPr>
        <w:t xml:space="preserve"> положај </w:t>
      </w:r>
      <w:r w:rsidR="00175C3D" w:rsidRPr="0DD3B114">
        <w:rPr>
          <w:rFonts w:ascii="Arial" w:hAnsi="Arial" w:cs="Arial"/>
          <w:sz w:val="20"/>
          <w:szCs w:val="20"/>
          <w:lang w:val="sr-Cyrl-RS"/>
        </w:rPr>
        <w:t>административно</w:t>
      </w:r>
      <w:r w:rsidRPr="0DD3B114">
        <w:rPr>
          <w:rFonts w:ascii="Arial" w:hAnsi="Arial" w:cs="Arial"/>
          <w:sz w:val="20"/>
          <w:szCs w:val="20"/>
          <w:lang w:val="sr-Cyrl-RS"/>
        </w:rPr>
        <w:t xml:space="preserve">-територијалних јединица без самоуправних органа. Од тада се отпочело са изградњом среске самоуправе, уз коју </w:t>
      </w:r>
      <w:r w:rsidR="00E26CD5" w:rsidRPr="0DD3B114">
        <w:rPr>
          <w:rFonts w:ascii="Arial" w:hAnsi="Arial" w:cs="Arial"/>
          <w:sz w:val="20"/>
          <w:szCs w:val="20"/>
          <w:lang w:val="sr-Cyrl-RS"/>
        </w:rPr>
        <w:t xml:space="preserve">је </w:t>
      </w:r>
      <w:r w:rsidRPr="0DD3B114">
        <w:rPr>
          <w:rFonts w:ascii="Arial" w:hAnsi="Arial" w:cs="Arial"/>
          <w:sz w:val="20"/>
          <w:szCs w:val="20"/>
          <w:lang w:val="sr-Cyrl-RS"/>
        </w:rPr>
        <w:t>и даље у срезу постој</w:t>
      </w:r>
      <w:r w:rsidR="00E26CD5" w:rsidRPr="0DD3B114">
        <w:rPr>
          <w:rFonts w:ascii="Arial" w:hAnsi="Arial" w:cs="Arial"/>
          <w:sz w:val="20"/>
          <w:szCs w:val="20"/>
          <w:lang w:val="sr-Cyrl-RS"/>
        </w:rPr>
        <w:t>ао</w:t>
      </w:r>
      <w:r w:rsidRPr="0DD3B114">
        <w:rPr>
          <w:rFonts w:ascii="Arial" w:hAnsi="Arial" w:cs="Arial"/>
          <w:sz w:val="20"/>
          <w:szCs w:val="20"/>
          <w:lang w:val="sr-Cyrl-RS"/>
        </w:rPr>
        <w:t xml:space="preserve"> орган државне власти – срески начелник. Срески самоуправни органи постају и носиоци права надзора над општинском самоуправом. Двојна природа среских органа задржана је и у Краљевини Југославији, али само номинално, јер је срез постао део државне управе. По</w:t>
      </w:r>
      <w:r w:rsidR="008D683B" w:rsidRPr="0DD3B114">
        <w:rPr>
          <w:rFonts w:ascii="Arial" w:hAnsi="Arial" w:cs="Arial"/>
          <w:sz w:val="20"/>
          <w:szCs w:val="20"/>
          <w:lang w:val="sr-Cyrl-RS"/>
        </w:rPr>
        <w:t>сле</w:t>
      </w:r>
      <w:r w:rsidRPr="0DD3B114">
        <w:rPr>
          <w:rFonts w:ascii="Arial" w:hAnsi="Arial" w:cs="Arial"/>
          <w:sz w:val="20"/>
          <w:szCs w:val="20"/>
          <w:lang w:val="sr-Cyrl-RS"/>
        </w:rPr>
        <w:t xml:space="preserve"> Друго</w:t>
      </w:r>
      <w:r w:rsidR="008D683B" w:rsidRPr="0DD3B114">
        <w:rPr>
          <w:rFonts w:ascii="Arial" w:hAnsi="Arial" w:cs="Arial"/>
          <w:sz w:val="20"/>
          <w:szCs w:val="20"/>
          <w:lang w:val="sr-Cyrl-RS"/>
        </w:rPr>
        <w:t>г</w:t>
      </w:r>
      <w:r w:rsidRPr="0DD3B114">
        <w:rPr>
          <w:rFonts w:ascii="Arial" w:hAnsi="Arial" w:cs="Arial"/>
          <w:sz w:val="20"/>
          <w:szCs w:val="20"/>
          <w:lang w:val="sr-Cyrl-RS"/>
        </w:rPr>
        <w:t xml:space="preserve"> светско</w:t>
      </w:r>
      <w:r w:rsidR="008D683B" w:rsidRPr="0DD3B114">
        <w:rPr>
          <w:rFonts w:ascii="Arial" w:hAnsi="Arial" w:cs="Arial"/>
          <w:sz w:val="20"/>
          <w:szCs w:val="20"/>
          <w:lang w:val="sr-Cyrl-RS"/>
        </w:rPr>
        <w:t>г</w:t>
      </w:r>
      <w:r w:rsidRPr="0DD3B114">
        <w:rPr>
          <w:rFonts w:ascii="Arial" w:hAnsi="Arial" w:cs="Arial"/>
          <w:sz w:val="20"/>
          <w:szCs w:val="20"/>
          <w:lang w:val="sr-Cyrl-RS"/>
        </w:rPr>
        <w:t xml:space="preserve"> рату срез је представљао важнији ниво локалне самоуправе </w:t>
      </w:r>
      <w:r w:rsidR="008D683B" w:rsidRPr="0DD3B114">
        <w:rPr>
          <w:rFonts w:ascii="Arial" w:hAnsi="Arial" w:cs="Arial"/>
          <w:sz w:val="20"/>
          <w:szCs w:val="20"/>
          <w:lang w:val="sr-Cyrl-RS"/>
        </w:rPr>
        <w:t xml:space="preserve">од општине </w:t>
      </w:r>
      <w:r w:rsidRPr="0DD3B114">
        <w:rPr>
          <w:rFonts w:ascii="Arial" w:hAnsi="Arial" w:cs="Arial"/>
          <w:sz w:val="20"/>
          <w:szCs w:val="20"/>
          <w:lang w:val="sr-Cyrl-RS"/>
        </w:rPr>
        <w:t xml:space="preserve">до 1963. године. Тада је препуштено републикама да одлуче о постојању срезова и они су били укинути (у Србији најпре за подручје Војводине 1965. </w:t>
      </w:r>
      <w:r w:rsidR="00485CEF" w:rsidRPr="0DD3B114">
        <w:rPr>
          <w:rFonts w:ascii="Arial" w:hAnsi="Arial" w:cs="Arial"/>
          <w:sz w:val="20"/>
          <w:szCs w:val="20"/>
          <w:lang w:val="sr-Cyrl-RS"/>
        </w:rPr>
        <w:t xml:space="preserve">године, а </w:t>
      </w:r>
      <w:r w:rsidRPr="0DD3B114">
        <w:rPr>
          <w:rFonts w:ascii="Arial" w:hAnsi="Arial" w:cs="Arial"/>
          <w:sz w:val="20"/>
          <w:szCs w:val="20"/>
          <w:lang w:val="sr-Cyrl-RS"/>
        </w:rPr>
        <w:t>затим и у централној Србији 1967. године).</w:t>
      </w:r>
    </w:p>
    <w:p w14:paraId="67F7042A" w14:textId="77777777" w:rsidR="00226CED" w:rsidRPr="00A021B7" w:rsidRDefault="00226CED" w:rsidP="004B0B3C">
      <w:pPr>
        <w:ind w:firstLine="720"/>
        <w:jc w:val="both"/>
        <w:rPr>
          <w:rFonts w:ascii="Arial" w:hAnsi="Arial" w:cs="Arial"/>
          <w:bCs/>
          <w:sz w:val="20"/>
          <w:szCs w:val="20"/>
          <w:lang w:val="sr-Cyrl-RS"/>
        </w:rPr>
      </w:pPr>
    </w:p>
    <w:p w14:paraId="0A679E1F" w14:textId="2228E872"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 xml:space="preserve">Окрузи су постали од ранијих нахија, састојали су се од више срезова и до 1888. године били су административно-територијалне јединице без самоуправних обележја. После 1888. </w:t>
      </w:r>
      <w:r w:rsidRPr="0DD3B114">
        <w:rPr>
          <w:rFonts w:ascii="Arial" w:hAnsi="Arial" w:cs="Arial"/>
          <w:sz w:val="20"/>
          <w:szCs w:val="20"/>
          <w:lang w:val="sr-Cyrl-RS"/>
        </w:rPr>
        <w:lastRenderedPageBreak/>
        <w:t xml:space="preserve">године добијају јасна самоуправна обележја (окружна самоуправа) и постају највише, регионалне ЈЛС. У Краљевини Југославији су окрузи претворени у државни ниво управе, односно облик деконцентрисане државне власти. Уместо њих су као територијално велике и највише самоуправне јединице најпре биле створене </w:t>
      </w:r>
      <w:r w:rsidR="00841E61" w:rsidRPr="0DD3B114">
        <w:rPr>
          <w:rFonts w:ascii="Arial" w:hAnsi="Arial" w:cs="Arial"/>
          <w:sz w:val="20"/>
          <w:szCs w:val="20"/>
          <w:lang w:val="sr-Cyrl-RS"/>
        </w:rPr>
        <w:t xml:space="preserve">33 </w:t>
      </w:r>
      <w:r w:rsidRPr="0DD3B114">
        <w:rPr>
          <w:rFonts w:ascii="Arial" w:hAnsi="Arial" w:cs="Arial"/>
          <w:sz w:val="20"/>
          <w:szCs w:val="20"/>
          <w:lang w:val="sr-Cyrl-RS"/>
        </w:rPr>
        <w:t xml:space="preserve">области, па потом </w:t>
      </w:r>
      <w:r w:rsidR="00841E61" w:rsidRPr="0DD3B114">
        <w:rPr>
          <w:rFonts w:ascii="Arial" w:hAnsi="Arial" w:cs="Arial"/>
          <w:sz w:val="20"/>
          <w:szCs w:val="20"/>
          <w:lang w:val="sr-Cyrl-RS"/>
        </w:rPr>
        <w:t>девет бановина</w:t>
      </w:r>
      <w:r w:rsidRPr="0DD3B114">
        <w:rPr>
          <w:rFonts w:ascii="Arial" w:hAnsi="Arial" w:cs="Arial"/>
          <w:sz w:val="20"/>
          <w:szCs w:val="20"/>
          <w:lang w:val="sr-Cyrl-RS"/>
        </w:rPr>
        <w:t>. После Д</w:t>
      </w:r>
      <w:r w:rsidR="005366F9" w:rsidRPr="0DD3B114">
        <w:rPr>
          <w:rFonts w:ascii="Arial" w:hAnsi="Arial" w:cs="Arial"/>
          <w:sz w:val="20"/>
          <w:szCs w:val="20"/>
          <w:lang w:val="sr-Cyrl-RS"/>
        </w:rPr>
        <w:t>р</w:t>
      </w:r>
      <w:r w:rsidRPr="0DD3B114">
        <w:rPr>
          <w:rFonts w:ascii="Arial" w:hAnsi="Arial" w:cs="Arial"/>
          <w:sz w:val="20"/>
          <w:szCs w:val="20"/>
          <w:lang w:val="sr-Cyrl-RS"/>
        </w:rPr>
        <w:t>угог светског рата такође су у кратком периоду постојали окрузи (до 1946) и области (до 1951).</w:t>
      </w:r>
    </w:p>
    <w:p w14:paraId="4429BD17" w14:textId="77777777" w:rsidR="00226CED" w:rsidRPr="00A021B7" w:rsidRDefault="00226CED" w:rsidP="004B0B3C">
      <w:pPr>
        <w:ind w:firstLine="720"/>
        <w:jc w:val="both"/>
        <w:rPr>
          <w:rFonts w:ascii="Arial" w:hAnsi="Arial" w:cs="Arial"/>
          <w:bCs/>
          <w:sz w:val="20"/>
          <w:szCs w:val="20"/>
          <w:lang w:val="sr-Cyrl-RS"/>
        </w:rPr>
      </w:pPr>
    </w:p>
    <w:p w14:paraId="1047ED2E" w14:textId="248208C4"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Као претеча општинске самоуправе, сеоска самоуправа је постојала још у српској средњовековној држави, одржала се за све време турске управе и потом,</w:t>
      </w:r>
      <w:r w:rsidR="004D5004" w:rsidRPr="0DD3B114">
        <w:rPr>
          <w:rFonts w:ascii="Arial" w:hAnsi="Arial" w:cs="Arial"/>
          <w:sz w:val="20"/>
          <w:szCs w:val="20"/>
          <w:lang w:val="sr-Cyrl-RS"/>
        </w:rPr>
        <w:t xml:space="preserve"> </w:t>
      </w:r>
      <w:r w:rsidRPr="0DD3B114">
        <w:rPr>
          <w:rFonts w:ascii="Arial" w:hAnsi="Arial" w:cs="Arial"/>
          <w:sz w:val="20"/>
          <w:szCs w:val="20"/>
          <w:lang w:val="sr-Cyrl-RS"/>
        </w:rPr>
        <w:t>једно краће време</w:t>
      </w:r>
      <w:r w:rsidR="0023069D" w:rsidRPr="0DD3B114">
        <w:rPr>
          <w:rFonts w:ascii="Arial" w:hAnsi="Arial" w:cs="Arial"/>
          <w:sz w:val="20"/>
          <w:szCs w:val="20"/>
          <w:lang w:val="sr-Cyrl-RS"/>
        </w:rPr>
        <w:t>,</w:t>
      </w:r>
      <w:r w:rsidRPr="0DD3B114">
        <w:rPr>
          <w:rFonts w:ascii="Arial" w:hAnsi="Arial" w:cs="Arial"/>
          <w:sz w:val="20"/>
          <w:szCs w:val="20"/>
          <w:lang w:val="sr-Cyrl-RS"/>
        </w:rPr>
        <w:t xml:space="preserve"> у Кнежевини Србији. Село је било основна територијална јединица, више села је сачињавало кнеж</w:t>
      </w:r>
      <w:r w:rsidR="007C2F54" w:rsidRPr="0DD3B114">
        <w:rPr>
          <w:rFonts w:ascii="Arial" w:hAnsi="Arial" w:cs="Arial"/>
          <w:sz w:val="20"/>
          <w:szCs w:val="20"/>
          <w:lang w:val="sr-Cyrl-RS"/>
        </w:rPr>
        <w:t>ев</w:t>
      </w:r>
      <w:r w:rsidRPr="0DD3B114">
        <w:rPr>
          <w:rFonts w:ascii="Arial" w:hAnsi="Arial" w:cs="Arial"/>
          <w:sz w:val="20"/>
          <w:szCs w:val="20"/>
          <w:lang w:val="sr-Cyrl-RS"/>
        </w:rPr>
        <w:t>ину, а становници села су на сеоском збору бирали своје органе. Међутим, кнез Милош је сам постављао сеоске кнезове, чиме је сеоска самоуправа била практично укинута. Када су створене општине, у њихов састав улазило је по правилу једно село, тако да је сеоска самоуправа претворена у општинску. И после Другог светског рата догодило се нешто слично: сеоски народни одбори из ратног периода преображени су у месне народне одборе, а ови у општине. Од 1963. године, а нарочито од 1974. године, месна заједница постаје важан елемент самоуправљачког политичког система, али не добија карактер ЈЛС. Од 1990. године положај месних заједница се мења, оне се дефинишу као облик месне самоуправе, али са мањим значајем и скромним законским уређењем.</w:t>
      </w:r>
    </w:p>
    <w:p w14:paraId="3262BEAD" w14:textId="77777777" w:rsidR="00226CED" w:rsidRPr="00A021B7" w:rsidRDefault="00226CED" w:rsidP="004B0B3C">
      <w:pPr>
        <w:ind w:firstLine="720"/>
        <w:jc w:val="both"/>
        <w:rPr>
          <w:rFonts w:ascii="Arial" w:hAnsi="Arial" w:cs="Arial"/>
          <w:bCs/>
          <w:sz w:val="20"/>
          <w:szCs w:val="20"/>
          <w:lang w:val="sr-Cyrl-RS"/>
        </w:rPr>
      </w:pPr>
    </w:p>
    <w:p w14:paraId="1139B8D5" w14:textId="055435E6"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 xml:space="preserve">Разликовање више типова ЈЛС у оквиру истог степена било је карактеристика развоја локалне самоуправе све до 1955. године. Тада је извршен прелаз са политипске на монотипску организацију и од тога се више није одступало, осим делимично у погледу уређења градова. Већ у првом законском тексту о уређењу општина налазимо разликовање између три типа општина (Београда, окружних и осталих вароши, и села). Београд је потом био изједначен са округом као државна управна власт, а у самоуправном погледу био је једнак општини са нарочитим уређењем органа. Ове разлике између сеоских и градских општина задржане су и касније, а изражаване су првенствено у саставу органа и донекле у надлежностима. Најпотпуније су биле </w:t>
      </w:r>
      <w:r w:rsidR="0023069D" w:rsidRPr="0DD3B114">
        <w:rPr>
          <w:rFonts w:ascii="Arial" w:hAnsi="Arial" w:cs="Arial"/>
          <w:sz w:val="20"/>
          <w:szCs w:val="20"/>
          <w:lang w:val="sr-Cyrl-RS"/>
        </w:rPr>
        <w:t xml:space="preserve">успостављене </w:t>
      </w:r>
      <w:r w:rsidRPr="0DD3B114">
        <w:rPr>
          <w:rFonts w:ascii="Arial" w:hAnsi="Arial" w:cs="Arial"/>
          <w:sz w:val="20"/>
          <w:szCs w:val="20"/>
          <w:lang w:val="sr-Cyrl-RS"/>
        </w:rPr>
        <w:t>за време Краљевине Југославије, када су сеоске и градске општине биле и уређене у два посебна закона. После Другог светског рата</w:t>
      </w:r>
      <w:r w:rsidR="00A922A6" w:rsidRPr="0DD3B114">
        <w:rPr>
          <w:rFonts w:ascii="Arial" w:hAnsi="Arial" w:cs="Arial"/>
          <w:sz w:val="20"/>
          <w:szCs w:val="20"/>
          <w:lang w:val="sr-Cyrl-RS"/>
        </w:rPr>
        <w:t>,</w:t>
      </w:r>
      <w:r w:rsidRPr="0DD3B114">
        <w:rPr>
          <w:rFonts w:ascii="Arial" w:hAnsi="Arial" w:cs="Arial"/>
          <w:sz w:val="20"/>
          <w:szCs w:val="20"/>
          <w:lang w:val="sr-Cyrl-RS"/>
        </w:rPr>
        <w:t xml:space="preserve"> политипност се одржала тек једну деценију, најпре кроз постојање великог броја облика народних одбора, а затим кроз типологију градова на оне у саставу среза, издвојене из састава среза и главне градове република. Од 1955. године сеоске и градске општине су статусно изједначене.</w:t>
      </w:r>
    </w:p>
    <w:p w14:paraId="6E748FE1" w14:textId="77777777" w:rsidR="00226CED" w:rsidRPr="00A021B7" w:rsidRDefault="00226CED" w:rsidP="004B0B3C">
      <w:pPr>
        <w:ind w:firstLine="720"/>
        <w:jc w:val="both"/>
        <w:rPr>
          <w:rFonts w:ascii="Arial" w:hAnsi="Arial" w:cs="Arial"/>
          <w:bCs/>
          <w:sz w:val="20"/>
          <w:szCs w:val="20"/>
          <w:lang w:val="sr-Cyrl-RS"/>
        </w:rPr>
      </w:pPr>
    </w:p>
    <w:p w14:paraId="08C0960A" w14:textId="16A7AE6B"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Уставним системом од 1963. године предвиђена је могућност образовања више општина на подручју великих градова, па је град подељен на општине имао две врсте ЈЛС, од којих је град био примарна</w:t>
      </w:r>
      <w:r w:rsidR="0023069D" w:rsidRPr="0DD3B114">
        <w:rPr>
          <w:rFonts w:ascii="Arial" w:hAnsi="Arial" w:cs="Arial"/>
          <w:sz w:val="20"/>
          <w:szCs w:val="20"/>
          <w:lang w:val="sr-Cyrl-RS"/>
        </w:rPr>
        <w:t xml:space="preserve"> ЈЛС</w:t>
      </w:r>
      <w:r w:rsidRPr="0DD3B114">
        <w:rPr>
          <w:rFonts w:ascii="Arial" w:hAnsi="Arial" w:cs="Arial"/>
          <w:sz w:val="20"/>
          <w:szCs w:val="20"/>
          <w:lang w:val="sr-Cyrl-RS"/>
        </w:rPr>
        <w:t xml:space="preserve">, а градске општине </w:t>
      </w:r>
      <w:r w:rsidR="0023069D" w:rsidRPr="0DD3B114">
        <w:rPr>
          <w:rFonts w:ascii="Arial" w:hAnsi="Arial" w:cs="Arial"/>
          <w:sz w:val="20"/>
          <w:szCs w:val="20"/>
          <w:lang w:val="sr-Cyrl-RS"/>
        </w:rPr>
        <w:t xml:space="preserve">су биле </w:t>
      </w:r>
      <w:r w:rsidRPr="0DD3B114">
        <w:rPr>
          <w:rFonts w:ascii="Arial" w:hAnsi="Arial" w:cs="Arial"/>
          <w:sz w:val="20"/>
          <w:szCs w:val="20"/>
          <w:lang w:val="sr-Cyrl-RS"/>
        </w:rPr>
        <w:t>секундарне или изведене ЈЛС. Међутим, град тиме није добио веће надлежности: између њега и градских општина подељене су само оне надлежности које су биле генерално утврђене за све општине. Исти модел задржан је и у уставном систему од 1974. године. Уставом Р</w:t>
      </w:r>
      <w:r w:rsidR="00121EA4" w:rsidRPr="0DD3B114">
        <w:rPr>
          <w:rFonts w:ascii="Arial" w:hAnsi="Arial" w:cs="Arial"/>
          <w:sz w:val="20"/>
          <w:szCs w:val="20"/>
          <w:lang w:val="sr-Cyrl-RS"/>
        </w:rPr>
        <w:t xml:space="preserve">епублике </w:t>
      </w:r>
      <w:r w:rsidRPr="0DD3B114">
        <w:rPr>
          <w:rFonts w:ascii="Arial" w:hAnsi="Arial" w:cs="Arial"/>
          <w:sz w:val="20"/>
          <w:szCs w:val="20"/>
          <w:lang w:val="sr-Cyrl-RS"/>
        </w:rPr>
        <w:t>С</w:t>
      </w:r>
      <w:r w:rsidR="00121EA4" w:rsidRPr="0DD3B114">
        <w:rPr>
          <w:rFonts w:ascii="Arial" w:hAnsi="Arial" w:cs="Arial"/>
          <w:sz w:val="20"/>
          <w:szCs w:val="20"/>
          <w:lang w:val="sr-Cyrl-RS"/>
        </w:rPr>
        <w:t>рбије</w:t>
      </w:r>
      <w:r w:rsidRPr="0DD3B114">
        <w:rPr>
          <w:rFonts w:ascii="Arial" w:hAnsi="Arial" w:cs="Arial"/>
          <w:sz w:val="20"/>
          <w:szCs w:val="20"/>
          <w:lang w:val="sr-Cyrl-RS"/>
        </w:rPr>
        <w:t xml:space="preserve"> </w:t>
      </w:r>
      <w:r w:rsidR="00121EA4" w:rsidRPr="0DD3B114">
        <w:rPr>
          <w:rFonts w:ascii="Arial" w:hAnsi="Arial" w:cs="Arial"/>
          <w:sz w:val="20"/>
          <w:szCs w:val="20"/>
          <w:lang w:val="sr-Cyrl-RS"/>
        </w:rPr>
        <w:t xml:space="preserve">из </w:t>
      </w:r>
      <w:r w:rsidRPr="0DD3B114">
        <w:rPr>
          <w:rFonts w:ascii="Arial" w:hAnsi="Arial" w:cs="Arial"/>
          <w:sz w:val="20"/>
          <w:szCs w:val="20"/>
          <w:lang w:val="sr-Cyrl-RS"/>
        </w:rPr>
        <w:t xml:space="preserve">1990. године омогућено је да се поједине општине законом утврде као град, с тим да се у њима образују две градске општине или више њих. Та могућност је до 2007. године остварена за Београд, Крагујевац, Ниш, Нови Сад и Приштину. После Устава </w:t>
      </w:r>
      <w:r w:rsidR="0023069D" w:rsidRPr="0DD3B114">
        <w:rPr>
          <w:rFonts w:ascii="Arial" w:hAnsi="Arial" w:cs="Arial"/>
          <w:sz w:val="20"/>
          <w:szCs w:val="20"/>
          <w:lang w:val="sr-Cyrl-RS"/>
        </w:rPr>
        <w:t xml:space="preserve">из </w:t>
      </w:r>
      <w:r w:rsidRPr="0DD3B114">
        <w:rPr>
          <w:rFonts w:ascii="Arial" w:hAnsi="Arial" w:cs="Arial"/>
          <w:sz w:val="20"/>
          <w:szCs w:val="20"/>
          <w:lang w:val="sr-Cyrl-RS"/>
        </w:rPr>
        <w:t>2006. године, градске општине су изгубиле статус секундарних ЈЛС.</w:t>
      </w:r>
    </w:p>
    <w:p w14:paraId="5F48B54E" w14:textId="77777777" w:rsidR="00226CED" w:rsidRPr="00A021B7" w:rsidRDefault="00226CED" w:rsidP="004B0B3C">
      <w:pPr>
        <w:ind w:firstLine="720"/>
        <w:jc w:val="both"/>
        <w:rPr>
          <w:rFonts w:ascii="Arial" w:hAnsi="Arial" w:cs="Arial"/>
          <w:bCs/>
          <w:sz w:val="20"/>
          <w:szCs w:val="20"/>
          <w:lang w:val="sr-Cyrl-RS"/>
        </w:rPr>
      </w:pPr>
    </w:p>
    <w:p w14:paraId="0360499B" w14:textId="1AE72F79"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 xml:space="preserve">Кроз читав 19. век и до </w:t>
      </w:r>
      <w:r w:rsidR="00AA4793" w:rsidRPr="0DD3B114">
        <w:rPr>
          <w:rFonts w:ascii="Arial" w:hAnsi="Arial" w:cs="Arial"/>
          <w:sz w:val="20"/>
          <w:szCs w:val="20"/>
          <w:lang w:val="sr-Cyrl-RS"/>
        </w:rPr>
        <w:t xml:space="preserve">средине </w:t>
      </w:r>
      <w:r w:rsidRPr="0DD3B114">
        <w:rPr>
          <w:rFonts w:ascii="Arial" w:hAnsi="Arial" w:cs="Arial"/>
          <w:sz w:val="20"/>
          <w:szCs w:val="20"/>
          <w:lang w:val="sr-Cyrl-RS"/>
        </w:rPr>
        <w:t xml:space="preserve">20. века одржава се систем малих општина, уз изузетак оних које се формирају у већим градским насељима. Било је и тада настојања да се општине нешто увећају, али не и да постану велике. У социјалистичком периоду убрзо </w:t>
      </w:r>
      <w:r w:rsidR="00697507" w:rsidRPr="0DD3B114">
        <w:rPr>
          <w:rFonts w:ascii="Arial" w:hAnsi="Arial" w:cs="Arial"/>
          <w:sz w:val="20"/>
          <w:szCs w:val="20"/>
          <w:lang w:val="sr-Cyrl-RS"/>
        </w:rPr>
        <w:t xml:space="preserve">се </w:t>
      </w:r>
      <w:r w:rsidRPr="0DD3B114">
        <w:rPr>
          <w:rFonts w:ascii="Arial" w:hAnsi="Arial" w:cs="Arial"/>
          <w:sz w:val="20"/>
          <w:szCs w:val="20"/>
          <w:lang w:val="sr-Cyrl-RS"/>
        </w:rPr>
        <w:t xml:space="preserve">отпочиње с одлучним кретањем ка укрупњавању општина. Тај корак је образлаган потребом </w:t>
      </w:r>
      <w:r w:rsidR="008F057F" w:rsidRPr="0DD3B114">
        <w:rPr>
          <w:rFonts w:ascii="Arial" w:hAnsi="Arial" w:cs="Arial"/>
          <w:sz w:val="20"/>
          <w:szCs w:val="20"/>
          <w:lang w:val="sr-Cyrl-RS"/>
        </w:rPr>
        <w:t xml:space="preserve">за </w:t>
      </w:r>
      <w:r w:rsidRPr="0DD3B114">
        <w:rPr>
          <w:rFonts w:ascii="Arial" w:hAnsi="Arial" w:cs="Arial"/>
          <w:sz w:val="20"/>
          <w:szCs w:val="20"/>
          <w:lang w:val="sr-Cyrl-RS"/>
        </w:rPr>
        <w:t>стварањ</w:t>
      </w:r>
      <w:r w:rsidR="008F057F" w:rsidRPr="0DD3B114">
        <w:rPr>
          <w:rFonts w:ascii="Arial" w:hAnsi="Arial" w:cs="Arial"/>
          <w:sz w:val="20"/>
          <w:szCs w:val="20"/>
          <w:lang w:val="sr-Cyrl-RS"/>
        </w:rPr>
        <w:t>ем</w:t>
      </w:r>
      <w:r w:rsidRPr="0DD3B114">
        <w:rPr>
          <w:rFonts w:ascii="Arial" w:hAnsi="Arial" w:cs="Arial"/>
          <w:sz w:val="20"/>
          <w:szCs w:val="20"/>
          <w:lang w:val="sr-Cyrl-RS"/>
        </w:rPr>
        <w:t xml:space="preserve"> значајнијег нивоа власти на локалном нивоу, односно намером да општина постане снажнија и способнија како би преузела шире самоуправне и управне државне функције (нарочито ове друге). Процес укрупњавања општина окончан је шездесетих година прошлог века, тако да је број општина од тада до данас само незнатно мењан.</w:t>
      </w:r>
    </w:p>
    <w:p w14:paraId="1FF471BD" w14:textId="77777777" w:rsidR="00226CED" w:rsidRPr="00A021B7" w:rsidRDefault="00226CED" w:rsidP="004B0B3C">
      <w:pPr>
        <w:ind w:firstLine="720"/>
        <w:jc w:val="both"/>
        <w:rPr>
          <w:rFonts w:ascii="Arial" w:hAnsi="Arial" w:cs="Arial"/>
          <w:bCs/>
          <w:sz w:val="20"/>
          <w:szCs w:val="20"/>
          <w:lang w:val="sr-Cyrl-RS"/>
        </w:rPr>
      </w:pPr>
    </w:p>
    <w:p w14:paraId="7FBC1C80" w14:textId="1EC03A8A"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Конкретније посматран, тренд укрупњавања општина отпочиње 1866. године. Тада је законом захтевано да „свака варош, варошица и село мора имати своју општину, било само за себе, било заједно са другим селима</w:t>
      </w:r>
      <w:r w:rsidR="003419A0" w:rsidRPr="0DD3B114">
        <w:rPr>
          <w:rFonts w:ascii="Arial" w:hAnsi="Arial" w:cs="Arial"/>
          <w:sz w:val="20"/>
          <w:szCs w:val="20"/>
          <w:lang w:val="sr-Cyrl-RS"/>
        </w:rPr>
        <w:t>”</w:t>
      </w:r>
      <w:r w:rsidRPr="0DD3B114">
        <w:rPr>
          <w:rFonts w:ascii="Arial" w:hAnsi="Arial" w:cs="Arial"/>
          <w:sz w:val="20"/>
          <w:szCs w:val="20"/>
          <w:lang w:val="sr-Cyrl-RS"/>
        </w:rPr>
        <w:t>, с тим да општина не може имати мање од 200 пореских глава (тј. обвезника). Од тог правила створен је изузетак за насеља у планинско-брдским подручјима, где се општина могла образовати и за насеље са мање пореских глава. Двадесетак година касније (1884) захтевало се да општина има „најмање 500 пореских глава</w:t>
      </w:r>
      <w:r w:rsidR="003419A0" w:rsidRPr="0DD3B114">
        <w:rPr>
          <w:rFonts w:ascii="Arial" w:hAnsi="Arial" w:cs="Arial"/>
          <w:sz w:val="20"/>
          <w:szCs w:val="20"/>
          <w:lang w:val="sr-Cyrl-RS"/>
        </w:rPr>
        <w:t>”</w:t>
      </w:r>
      <w:r w:rsidRPr="0DD3B114">
        <w:rPr>
          <w:rFonts w:ascii="Arial" w:hAnsi="Arial" w:cs="Arial"/>
          <w:sz w:val="20"/>
          <w:szCs w:val="20"/>
          <w:lang w:val="sr-Cyrl-RS"/>
        </w:rPr>
        <w:t>, опет уз могућност изузетака. Само пет година после тога (1889) вратило се на стари критеријум (200 пореских глава). Број осталих територијалних јединица</w:t>
      </w:r>
      <w:r w:rsidR="00F07A3D" w:rsidRPr="0DD3B114">
        <w:rPr>
          <w:rFonts w:ascii="Arial" w:hAnsi="Arial" w:cs="Arial"/>
          <w:sz w:val="20"/>
          <w:szCs w:val="20"/>
          <w:lang w:val="sr-Cyrl-RS"/>
        </w:rPr>
        <w:t>,</w:t>
      </w:r>
      <w:r w:rsidRPr="0DD3B114">
        <w:rPr>
          <w:rFonts w:ascii="Arial" w:hAnsi="Arial" w:cs="Arial"/>
          <w:sz w:val="20"/>
          <w:szCs w:val="20"/>
          <w:lang w:val="sr-Cyrl-RS"/>
        </w:rPr>
        <w:t xml:space="preserve"> округа и срезова</w:t>
      </w:r>
      <w:r w:rsidR="00F07A3D" w:rsidRPr="0DD3B114">
        <w:rPr>
          <w:rFonts w:ascii="Arial" w:hAnsi="Arial" w:cs="Arial"/>
          <w:sz w:val="20"/>
          <w:szCs w:val="20"/>
          <w:lang w:val="sr-Cyrl-RS"/>
        </w:rPr>
        <w:t>,</w:t>
      </w:r>
      <w:r w:rsidRPr="0DD3B114">
        <w:rPr>
          <w:rFonts w:ascii="Arial" w:hAnsi="Arial" w:cs="Arial"/>
          <w:sz w:val="20"/>
          <w:szCs w:val="20"/>
          <w:lang w:val="sr-Cyrl-RS"/>
        </w:rPr>
        <w:t xml:space="preserve"> поступно је растао са </w:t>
      </w:r>
      <w:r w:rsidRPr="0DD3B114">
        <w:rPr>
          <w:rFonts w:ascii="Arial" w:hAnsi="Arial" w:cs="Arial"/>
          <w:sz w:val="20"/>
          <w:szCs w:val="20"/>
          <w:lang w:val="sr-Cyrl-RS"/>
        </w:rPr>
        <w:lastRenderedPageBreak/>
        <w:t xml:space="preserve">увећањем територије </w:t>
      </w:r>
      <w:r w:rsidR="0056085D" w:rsidRPr="0DD3B114">
        <w:rPr>
          <w:rFonts w:ascii="Arial" w:hAnsi="Arial" w:cs="Arial"/>
          <w:sz w:val="20"/>
          <w:szCs w:val="20"/>
          <w:lang w:val="sr-Cyrl-RS"/>
        </w:rPr>
        <w:t xml:space="preserve">Кнежевине и Краљевине </w:t>
      </w:r>
      <w:r w:rsidRPr="0DD3B114">
        <w:rPr>
          <w:rFonts w:ascii="Arial" w:hAnsi="Arial" w:cs="Arial"/>
          <w:sz w:val="20"/>
          <w:szCs w:val="20"/>
          <w:lang w:val="sr-Cyrl-RS"/>
        </w:rPr>
        <w:t>Србије.</w:t>
      </w:r>
      <w:r w:rsidR="004D5004" w:rsidRPr="0DD3B114">
        <w:rPr>
          <w:rFonts w:ascii="Arial" w:hAnsi="Arial" w:cs="Arial"/>
          <w:sz w:val="20"/>
          <w:szCs w:val="20"/>
          <w:lang w:val="sr-Cyrl-RS"/>
        </w:rPr>
        <w:t xml:space="preserve"> </w:t>
      </w:r>
      <w:r w:rsidRPr="0DD3B114">
        <w:rPr>
          <w:rFonts w:ascii="Arial" w:hAnsi="Arial" w:cs="Arial"/>
          <w:sz w:val="20"/>
          <w:szCs w:val="20"/>
          <w:lang w:val="sr-Cyrl-RS"/>
        </w:rPr>
        <w:t>Број округа кретао се између 14 и 21, а број срезова до 80. У Србији је 1899. године било 3204 села, 24 вароши и 57 варошица (2.312.484 становника).</w:t>
      </w:r>
    </w:p>
    <w:p w14:paraId="6E9E4738" w14:textId="77777777" w:rsidR="00226CED" w:rsidRPr="00A021B7" w:rsidRDefault="00226CED" w:rsidP="004B0B3C">
      <w:pPr>
        <w:ind w:firstLine="720"/>
        <w:jc w:val="both"/>
        <w:rPr>
          <w:rFonts w:ascii="Arial" w:hAnsi="Arial" w:cs="Arial"/>
          <w:bCs/>
          <w:sz w:val="20"/>
          <w:szCs w:val="20"/>
          <w:lang w:val="sr-Cyrl-RS"/>
        </w:rPr>
      </w:pPr>
    </w:p>
    <w:p w14:paraId="491F1EC3" w14:textId="6408BE56"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Територија Краљевине Срба, Хрвата и Словенаца била је од 1921. до 1929. године подељена на 33 области (свака је требало да обухвата највише 800.000 становника), 392 среза и 7085 општина. Од 1929. године, када је изведена нова територијална подела, у Краљевини Југославији било је девет бановина и</w:t>
      </w:r>
      <w:r w:rsidR="008F057F" w:rsidRPr="0DD3B114">
        <w:rPr>
          <w:rFonts w:ascii="Arial" w:hAnsi="Arial" w:cs="Arial"/>
          <w:sz w:val="20"/>
          <w:szCs w:val="20"/>
          <w:lang w:val="sr-Cyrl-RS"/>
        </w:rPr>
        <w:t>, поред њих, постојала је</w:t>
      </w:r>
      <w:r w:rsidRPr="0DD3B114">
        <w:rPr>
          <w:rFonts w:ascii="Arial" w:hAnsi="Arial" w:cs="Arial"/>
          <w:sz w:val="20"/>
          <w:szCs w:val="20"/>
          <w:lang w:val="sr-Cyrl-RS"/>
        </w:rPr>
        <w:t xml:space="preserve"> Управа града Београда. Срезова је 1932. године било 338, а општина 1931. године 4465. Готово упола мањи број општина него деценију раније био је резултат захтева да оне имају најмање 3000 становника (осим кад су „теренске прилике и други посве оправдани разлози</w:t>
      </w:r>
      <w:r w:rsidR="00C0470C" w:rsidRPr="0DD3B114">
        <w:rPr>
          <w:rFonts w:ascii="Arial" w:hAnsi="Arial" w:cs="Arial"/>
          <w:sz w:val="20"/>
          <w:szCs w:val="20"/>
          <w:lang w:val="sr-Cyrl-RS"/>
        </w:rPr>
        <w:t>”</w:t>
      </w:r>
      <w:r w:rsidRPr="0DD3B114">
        <w:rPr>
          <w:rFonts w:ascii="Arial" w:hAnsi="Arial" w:cs="Arial"/>
          <w:sz w:val="20"/>
          <w:szCs w:val="20"/>
          <w:lang w:val="sr-Cyrl-RS"/>
        </w:rPr>
        <w:t xml:space="preserve"> правдали постојање општине са мање становника).</w:t>
      </w:r>
    </w:p>
    <w:p w14:paraId="49EBFC93" w14:textId="77777777" w:rsidR="00226CED" w:rsidRPr="00A021B7" w:rsidRDefault="00226CED" w:rsidP="004B0B3C">
      <w:pPr>
        <w:ind w:firstLine="720"/>
        <w:jc w:val="both"/>
        <w:rPr>
          <w:rFonts w:ascii="Arial" w:hAnsi="Arial" w:cs="Arial"/>
          <w:bCs/>
          <w:sz w:val="20"/>
          <w:szCs w:val="20"/>
          <w:lang w:val="sr-Cyrl-RS"/>
        </w:rPr>
      </w:pPr>
    </w:p>
    <w:p w14:paraId="7D457628" w14:textId="31FBC4E4" w:rsidR="00CD2B0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Велики број месних народних одбора, којих је у Југославији 1946. године било 11.556, готово је преполовљен до 1951. године (7102, од тога у Србији 2582). Пошто су ти одбори трансформисани у општине,</w:t>
      </w:r>
      <w:r w:rsidR="00DA68B4" w:rsidRPr="0DD3B114">
        <w:rPr>
          <w:rFonts w:ascii="Arial" w:hAnsi="Arial" w:cs="Arial"/>
          <w:sz w:val="20"/>
          <w:szCs w:val="20"/>
          <w:lang w:val="sr-Cyrl-RS"/>
        </w:rPr>
        <w:t xml:space="preserve"> </w:t>
      </w:r>
      <w:r w:rsidR="00095D37" w:rsidRPr="0DD3B114">
        <w:rPr>
          <w:rFonts w:ascii="Arial" w:hAnsi="Arial" w:cs="Arial"/>
          <w:sz w:val="20"/>
          <w:szCs w:val="20"/>
          <w:lang w:val="sr-Cyrl-RS"/>
        </w:rPr>
        <w:t xml:space="preserve">у Србији је </w:t>
      </w:r>
      <w:r w:rsidR="00DA68B4" w:rsidRPr="0DD3B114">
        <w:rPr>
          <w:rFonts w:ascii="Arial" w:hAnsi="Arial" w:cs="Arial"/>
          <w:sz w:val="20"/>
          <w:szCs w:val="20"/>
          <w:lang w:val="sr-Cyrl-RS"/>
        </w:rPr>
        <w:t>1952. годин</w:t>
      </w:r>
      <w:r w:rsidR="0020745A" w:rsidRPr="0DD3B114">
        <w:rPr>
          <w:rFonts w:ascii="Arial" w:hAnsi="Arial" w:cs="Arial"/>
          <w:sz w:val="20"/>
          <w:szCs w:val="20"/>
          <w:lang w:val="sr-Cyrl-RS"/>
        </w:rPr>
        <w:t>е</w:t>
      </w:r>
      <w:r w:rsidR="00DA68B4" w:rsidRPr="0DD3B114">
        <w:rPr>
          <w:rFonts w:ascii="Arial" w:hAnsi="Arial" w:cs="Arial"/>
          <w:sz w:val="20"/>
          <w:szCs w:val="20"/>
          <w:lang w:val="sr-Cyrl-RS"/>
        </w:rPr>
        <w:t xml:space="preserve"> </w:t>
      </w:r>
      <w:r w:rsidR="00095D37" w:rsidRPr="0DD3B114">
        <w:rPr>
          <w:rFonts w:ascii="Arial" w:hAnsi="Arial" w:cs="Arial"/>
          <w:sz w:val="20"/>
          <w:szCs w:val="20"/>
          <w:lang w:val="sr-Cyrl-RS"/>
        </w:rPr>
        <w:t>б</w:t>
      </w:r>
      <w:r w:rsidR="00DA68B4" w:rsidRPr="0DD3B114">
        <w:rPr>
          <w:rFonts w:ascii="Arial" w:hAnsi="Arial" w:cs="Arial"/>
          <w:sz w:val="20"/>
          <w:szCs w:val="20"/>
          <w:lang w:val="sr-Cyrl-RS"/>
        </w:rPr>
        <w:t>и</w:t>
      </w:r>
      <w:r w:rsidR="00095D37" w:rsidRPr="0DD3B114">
        <w:rPr>
          <w:rFonts w:ascii="Arial" w:hAnsi="Arial" w:cs="Arial"/>
          <w:sz w:val="20"/>
          <w:szCs w:val="20"/>
          <w:lang w:val="sr-Cyrl-RS"/>
        </w:rPr>
        <w:t>л</w:t>
      </w:r>
      <w:r w:rsidR="00DA68B4" w:rsidRPr="0DD3B114">
        <w:rPr>
          <w:rFonts w:ascii="Arial" w:hAnsi="Arial" w:cs="Arial"/>
          <w:sz w:val="20"/>
          <w:szCs w:val="20"/>
          <w:lang w:val="sr-Cyrl-RS"/>
        </w:rPr>
        <w:t>о 2206</w:t>
      </w:r>
      <w:r w:rsidR="0020745A" w:rsidRPr="0DD3B114">
        <w:rPr>
          <w:rFonts w:ascii="Arial" w:hAnsi="Arial" w:cs="Arial"/>
          <w:sz w:val="20"/>
          <w:szCs w:val="20"/>
          <w:lang w:val="sr-Cyrl-RS"/>
        </w:rPr>
        <w:t xml:space="preserve"> општина</w:t>
      </w:r>
      <w:r w:rsidRPr="0DD3B114">
        <w:rPr>
          <w:rFonts w:ascii="Arial" w:hAnsi="Arial" w:cs="Arial"/>
          <w:sz w:val="20"/>
          <w:szCs w:val="20"/>
          <w:lang w:val="sr-Cyrl-RS"/>
        </w:rPr>
        <w:t xml:space="preserve">, а број срезова је смањен на 42. Рапидно смањење броја општина настављено је: 1955. године било их је у Србији 737, да би се тај број до 1982. године свео на 186 (у СФРЈ је било укупно 516 општина). Просечна територија тадашње југословенске општине износила је 485,4 </w:t>
      </w:r>
      <w:r w:rsidR="008F057F" w:rsidRPr="0DD3B114">
        <w:rPr>
          <w:rFonts w:ascii="Arial" w:hAnsi="Arial" w:cs="Arial"/>
          <w:sz w:val="20"/>
          <w:szCs w:val="20"/>
        </w:rPr>
        <w:t>km</w:t>
      </w:r>
      <w:r w:rsidR="008F057F" w:rsidRPr="0DD3B114">
        <w:rPr>
          <w:rFonts w:ascii="Arial" w:hAnsi="Arial" w:cs="Arial"/>
          <w:sz w:val="20"/>
          <w:szCs w:val="20"/>
          <w:vertAlign w:val="superscript"/>
          <w:lang w:val="sr-Cyrl-RS"/>
        </w:rPr>
        <w:t>2</w:t>
      </w:r>
      <w:r w:rsidRPr="0DD3B114">
        <w:rPr>
          <w:rFonts w:ascii="Arial" w:hAnsi="Arial" w:cs="Arial"/>
          <w:sz w:val="20"/>
          <w:szCs w:val="20"/>
          <w:lang w:val="sr-Cyrl-RS"/>
        </w:rPr>
        <w:t xml:space="preserve">, а просечан број становника </w:t>
      </w:r>
      <w:r w:rsidR="008F057F" w:rsidRPr="0DD3B114">
        <w:rPr>
          <w:rFonts w:ascii="Arial" w:hAnsi="Arial" w:cs="Arial"/>
          <w:sz w:val="20"/>
          <w:szCs w:val="20"/>
          <w:lang w:val="sr-Cyrl-RS"/>
        </w:rPr>
        <w:t xml:space="preserve">био је </w:t>
      </w:r>
      <w:r w:rsidRPr="0DD3B114">
        <w:rPr>
          <w:rFonts w:ascii="Arial" w:hAnsi="Arial" w:cs="Arial"/>
          <w:sz w:val="20"/>
          <w:szCs w:val="20"/>
          <w:lang w:val="sr-Cyrl-RS"/>
        </w:rPr>
        <w:t xml:space="preserve">42.557. Општина је тиме нарасла до величине некадашњег среза и тим путем фактички </w:t>
      </w:r>
      <w:r w:rsidR="008F057F" w:rsidRPr="0DD3B114">
        <w:rPr>
          <w:rFonts w:ascii="Arial" w:hAnsi="Arial" w:cs="Arial"/>
          <w:sz w:val="20"/>
          <w:szCs w:val="20"/>
          <w:lang w:val="sr-Cyrl-RS"/>
        </w:rPr>
        <w:t xml:space="preserve">оповргла </w:t>
      </w:r>
      <w:r w:rsidRPr="0DD3B114">
        <w:rPr>
          <w:rFonts w:ascii="Arial" w:hAnsi="Arial" w:cs="Arial"/>
          <w:sz w:val="20"/>
          <w:szCs w:val="20"/>
          <w:lang w:val="sr-Cyrl-RS"/>
        </w:rPr>
        <w:t xml:space="preserve">потребу </w:t>
      </w:r>
      <w:r w:rsidR="008F057F" w:rsidRPr="0DD3B114">
        <w:rPr>
          <w:rFonts w:ascii="Arial" w:hAnsi="Arial" w:cs="Arial"/>
          <w:sz w:val="20"/>
          <w:szCs w:val="20"/>
          <w:lang w:val="sr-Cyrl-RS"/>
        </w:rPr>
        <w:t xml:space="preserve">за </w:t>
      </w:r>
      <w:r w:rsidRPr="0DD3B114">
        <w:rPr>
          <w:rFonts w:ascii="Arial" w:hAnsi="Arial" w:cs="Arial"/>
          <w:sz w:val="20"/>
          <w:szCs w:val="20"/>
          <w:lang w:val="sr-Cyrl-RS"/>
        </w:rPr>
        <w:t>његов</w:t>
      </w:r>
      <w:r w:rsidR="008F057F" w:rsidRPr="0DD3B114">
        <w:rPr>
          <w:rFonts w:ascii="Arial" w:hAnsi="Arial" w:cs="Arial"/>
          <w:sz w:val="20"/>
          <w:szCs w:val="20"/>
          <w:lang w:val="sr-Cyrl-RS"/>
        </w:rPr>
        <w:t>им</w:t>
      </w:r>
      <w:r w:rsidRPr="0DD3B114">
        <w:rPr>
          <w:rFonts w:ascii="Arial" w:hAnsi="Arial" w:cs="Arial"/>
          <w:sz w:val="20"/>
          <w:szCs w:val="20"/>
          <w:lang w:val="sr-Cyrl-RS"/>
        </w:rPr>
        <w:t xml:space="preserve"> постојањ</w:t>
      </w:r>
      <w:r w:rsidR="008F057F" w:rsidRPr="0DD3B114">
        <w:rPr>
          <w:rFonts w:ascii="Arial" w:hAnsi="Arial" w:cs="Arial"/>
          <w:sz w:val="20"/>
          <w:szCs w:val="20"/>
          <w:lang w:val="sr-Cyrl-RS"/>
        </w:rPr>
        <w:t>ем</w:t>
      </w:r>
      <w:r w:rsidRPr="0DD3B114">
        <w:rPr>
          <w:rFonts w:ascii="Arial" w:hAnsi="Arial" w:cs="Arial"/>
          <w:sz w:val="20"/>
          <w:szCs w:val="20"/>
          <w:lang w:val="sr-Cyrl-RS"/>
        </w:rPr>
        <w:t>. Број општина у Србији није се потом битније мењао.</w:t>
      </w:r>
    </w:p>
    <w:p w14:paraId="6CD2C5CE" w14:textId="77777777" w:rsidR="00226CED" w:rsidRPr="00A021B7" w:rsidRDefault="00226CED" w:rsidP="004B0B3C">
      <w:pPr>
        <w:ind w:firstLine="720"/>
        <w:jc w:val="both"/>
        <w:rPr>
          <w:rFonts w:ascii="Arial" w:hAnsi="Arial" w:cs="Arial"/>
          <w:bCs/>
          <w:sz w:val="20"/>
          <w:szCs w:val="20"/>
          <w:lang w:val="sr-Cyrl-RS"/>
        </w:rPr>
      </w:pPr>
    </w:p>
    <w:p w14:paraId="0076F5E4" w14:textId="39434549" w:rsidR="00CE205B" w:rsidRPr="00A021B7" w:rsidRDefault="00CD2B0B" w:rsidP="004B0B3C">
      <w:pPr>
        <w:ind w:firstLine="720"/>
        <w:jc w:val="both"/>
        <w:rPr>
          <w:rFonts w:ascii="Arial" w:hAnsi="Arial" w:cs="Arial"/>
          <w:sz w:val="20"/>
          <w:szCs w:val="20"/>
          <w:lang w:val="sr-Cyrl-RS"/>
        </w:rPr>
      </w:pPr>
      <w:r w:rsidRPr="0DD3B114">
        <w:rPr>
          <w:rFonts w:ascii="Arial" w:hAnsi="Arial" w:cs="Arial"/>
          <w:sz w:val="20"/>
          <w:szCs w:val="20"/>
          <w:lang w:val="sr-Cyrl-RS"/>
        </w:rPr>
        <w:t xml:space="preserve">Тенденција укрупњавања </w:t>
      </w:r>
      <w:r w:rsidR="00374587" w:rsidRPr="0DD3B114">
        <w:rPr>
          <w:rFonts w:ascii="Arial" w:hAnsi="Arial" w:cs="Arial"/>
          <w:sz w:val="20"/>
          <w:szCs w:val="20"/>
          <w:lang w:val="sr-Cyrl-RS"/>
        </w:rPr>
        <w:t xml:space="preserve">малих </w:t>
      </w:r>
      <w:r w:rsidRPr="0DD3B114">
        <w:rPr>
          <w:rFonts w:ascii="Arial" w:hAnsi="Arial" w:cs="Arial"/>
          <w:sz w:val="20"/>
          <w:szCs w:val="20"/>
          <w:lang w:val="sr-Cyrl-RS"/>
        </w:rPr>
        <w:t xml:space="preserve">општина бележи се </w:t>
      </w:r>
      <w:r w:rsidR="0064473B" w:rsidRPr="0DD3B114">
        <w:rPr>
          <w:rFonts w:ascii="Arial" w:hAnsi="Arial" w:cs="Arial"/>
          <w:sz w:val="20"/>
          <w:szCs w:val="20"/>
          <w:lang w:val="sr-Cyrl-RS"/>
        </w:rPr>
        <w:t xml:space="preserve">у </w:t>
      </w:r>
      <w:r w:rsidR="00374587" w:rsidRPr="0DD3B114">
        <w:rPr>
          <w:rFonts w:ascii="Arial" w:hAnsi="Arial" w:cs="Arial"/>
          <w:sz w:val="20"/>
          <w:szCs w:val="20"/>
          <w:lang w:val="sr-Cyrl-RS"/>
        </w:rPr>
        <w:t xml:space="preserve">значајном броју </w:t>
      </w:r>
      <w:r w:rsidRPr="0DD3B114">
        <w:rPr>
          <w:rFonts w:ascii="Arial" w:hAnsi="Arial" w:cs="Arial"/>
          <w:sz w:val="20"/>
          <w:szCs w:val="20"/>
          <w:lang w:val="sr-Cyrl-RS"/>
        </w:rPr>
        <w:t>европских земаља</w:t>
      </w:r>
      <w:r w:rsidR="00E26CD5" w:rsidRPr="0DD3B114">
        <w:rPr>
          <w:rFonts w:ascii="Arial" w:hAnsi="Arial" w:cs="Arial"/>
          <w:sz w:val="20"/>
          <w:szCs w:val="20"/>
          <w:lang w:val="sr-Cyrl-RS"/>
        </w:rPr>
        <w:t xml:space="preserve"> (уз приличан број примера земаља које остају верне малој општини)</w:t>
      </w:r>
      <w:r w:rsidRPr="0DD3B114">
        <w:rPr>
          <w:rFonts w:ascii="Arial" w:hAnsi="Arial" w:cs="Arial"/>
          <w:sz w:val="20"/>
          <w:szCs w:val="20"/>
          <w:lang w:val="sr-Cyrl-RS"/>
        </w:rPr>
        <w:t>, с тим што у њима редовно постоји други ниво локалне самоуправе или регионални ниво власти. Друго од могућих решења тог проблема види се у стварању више типова ЈЛС у оквиру истог степена (велики градови, мањи градови, сеоска подручја, удруживање у заједнице општина</w:t>
      </w:r>
      <w:r w:rsidR="00B76F25" w:rsidRPr="0DD3B114">
        <w:rPr>
          <w:rFonts w:ascii="Arial" w:hAnsi="Arial" w:cs="Arial"/>
          <w:sz w:val="20"/>
          <w:szCs w:val="20"/>
          <w:lang w:val="sr-Cyrl-RS"/>
        </w:rPr>
        <w:t>…</w:t>
      </w:r>
      <w:r w:rsidRPr="0DD3B114">
        <w:rPr>
          <w:rFonts w:ascii="Arial" w:hAnsi="Arial" w:cs="Arial"/>
          <w:sz w:val="20"/>
          <w:szCs w:val="20"/>
          <w:lang w:val="sr-Cyrl-RS"/>
        </w:rPr>
        <w:t xml:space="preserve">). У једном и/или другом виду, стварају се функционалнији системи управљања локалним пословима, такви </w:t>
      </w:r>
      <w:r w:rsidR="00A605F9" w:rsidRPr="0DD3B114">
        <w:rPr>
          <w:rFonts w:ascii="Arial" w:hAnsi="Arial" w:cs="Arial"/>
          <w:sz w:val="20"/>
          <w:szCs w:val="20"/>
          <w:lang w:val="sr-Cyrl-RS"/>
        </w:rPr>
        <w:t xml:space="preserve">да </w:t>
      </w:r>
      <w:r w:rsidRPr="0DD3B114">
        <w:rPr>
          <w:rFonts w:ascii="Arial" w:hAnsi="Arial" w:cs="Arial"/>
          <w:sz w:val="20"/>
          <w:szCs w:val="20"/>
          <w:lang w:val="sr-Cyrl-RS"/>
        </w:rPr>
        <w:t xml:space="preserve">су прилагођени различитим типовима локалних заједница и специфичним захтевима које њихови проблеми постављају. Међутим, из двовековног искуства Србије лако је уочити управо супротну ствар. Српски законодавац као да је стално тежио да локалну самоуправу подведе под једнообразни модел, очекујући од ње да се уклопи у оквире тог јединог, круто задатог модела. </w:t>
      </w:r>
      <w:r w:rsidR="00374587" w:rsidRPr="0DD3B114">
        <w:rPr>
          <w:rFonts w:ascii="Arial" w:hAnsi="Arial" w:cs="Arial"/>
          <w:sz w:val="20"/>
          <w:szCs w:val="20"/>
          <w:lang w:val="sr-Cyrl-RS"/>
        </w:rPr>
        <w:t>Важећи нормативни оквир уређује монотипски систем локалне самоуправе, док огромне међусобне разлике у капацитетима</w:t>
      </w:r>
      <w:r w:rsidR="00A605F9" w:rsidRPr="0DD3B114">
        <w:rPr>
          <w:rFonts w:ascii="Arial" w:hAnsi="Arial" w:cs="Arial"/>
          <w:sz w:val="20"/>
          <w:szCs w:val="20"/>
          <w:lang w:val="sr-Cyrl-RS"/>
        </w:rPr>
        <w:t xml:space="preserve"> ЈЛС</w:t>
      </w:r>
      <w:r w:rsidR="00374587" w:rsidRPr="0DD3B114">
        <w:rPr>
          <w:rFonts w:ascii="Arial" w:hAnsi="Arial" w:cs="Arial"/>
          <w:sz w:val="20"/>
          <w:szCs w:val="20"/>
          <w:lang w:val="sr-Cyrl-RS"/>
        </w:rPr>
        <w:t xml:space="preserve"> указују на потребу </w:t>
      </w:r>
      <w:r w:rsidR="00A605F9" w:rsidRPr="0DD3B114">
        <w:rPr>
          <w:rFonts w:ascii="Arial" w:hAnsi="Arial" w:cs="Arial"/>
          <w:sz w:val="20"/>
          <w:szCs w:val="20"/>
          <w:lang w:val="sr-Cyrl-RS"/>
        </w:rPr>
        <w:t xml:space="preserve">за </w:t>
      </w:r>
      <w:r w:rsidR="00374587" w:rsidRPr="0DD3B114">
        <w:rPr>
          <w:rFonts w:ascii="Arial" w:hAnsi="Arial" w:cs="Arial"/>
          <w:sz w:val="20"/>
          <w:szCs w:val="20"/>
          <w:lang w:val="sr-Cyrl-RS"/>
        </w:rPr>
        <w:t>другачиј</w:t>
      </w:r>
      <w:r w:rsidR="00A605F9" w:rsidRPr="0DD3B114">
        <w:rPr>
          <w:rFonts w:ascii="Arial" w:hAnsi="Arial" w:cs="Arial"/>
          <w:sz w:val="20"/>
          <w:szCs w:val="20"/>
          <w:lang w:val="sr-Cyrl-RS"/>
        </w:rPr>
        <w:t>им</w:t>
      </w:r>
      <w:r w:rsidR="00374587" w:rsidRPr="0DD3B114">
        <w:rPr>
          <w:rFonts w:ascii="Arial" w:hAnsi="Arial" w:cs="Arial"/>
          <w:sz w:val="20"/>
          <w:szCs w:val="20"/>
          <w:lang w:val="sr-Cyrl-RS"/>
        </w:rPr>
        <w:t>, диференциран</w:t>
      </w:r>
      <w:r w:rsidR="00A605F9" w:rsidRPr="0DD3B114">
        <w:rPr>
          <w:rFonts w:ascii="Arial" w:hAnsi="Arial" w:cs="Arial"/>
          <w:sz w:val="20"/>
          <w:szCs w:val="20"/>
          <w:lang w:val="sr-Cyrl-RS"/>
        </w:rPr>
        <w:t>им</w:t>
      </w:r>
      <w:r w:rsidR="00374587" w:rsidRPr="0DD3B114">
        <w:rPr>
          <w:rFonts w:ascii="Arial" w:hAnsi="Arial" w:cs="Arial"/>
          <w:sz w:val="20"/>
          <w:szCs w:val="20"/>
          <w:lang w:val="sr-Cyrl-RS"/>
        </w:rPr>
        <w:t xml:space="preserve"> приступ</w:t>
      </w:r>
      <w:r w:rsidR="00A605F9" w:rsidRPr="0DD3B114">
        <w:rPr>
          <w:rFonts w:ascii="Arial" w:hAnsi="Arial" w:cs="Arial"/>
          <w:sz w:val="20"/>
          <w:szCs w:val="20"/>
          <w:lang w:val="sr-Cyrl-RS"/>
        </w:rPr>
        <w:t>ом</w:t>
      </w:r>
      <w:r w:rsidR="00374587" w:rsidRPr="0DD3B114">
        <w:rPr>
          <w:rFonts w:ascii="Arial" w:hAnsi="Arial" w:cs="Arial"/>
          <w:sz w:val="20"/>
          <w:szCs w:val="20"/>
          <w:lang w:val="sr-Cyrl-RS"/>
        </w:rPr>
        <w:t xml:space="preserve"> уређивању система локалне самоуправе у Србији.</w:t>
      </w:r>
    </w:p>
    <w:p w14:paraId="6EC3D70F" w14:textId="77777777" w:rsidR="0062099C" w:rsidRPr="00A021B7" w:rsidRDefault="0062099C" w:rsidP="003E7BC9">
      <w:pPr>
        <w:tabs>
          <w:tab w:val="left" w:pos="450"/>
          <w:tab w:val="left" w:pos="810"/>
        </w:tabs>
        <w:jc w:val="both"/>
        <w:rPr>
          <w:rFonts w:ascii="Arial" w:hAnsi="Arial" w:cs="Arial"/>
          <w:sz w:val="20"/>
          <w:szCs w:val="20"/>
          <w:lang w:val="sr-Cyrl-RS"/>
        </w:rPr>
      </w:pPr>
    </w:p>
    <w:p w14:paraId="6A1E533C" w14:textId="52F0BFA3" w:rsidR="00CE205B" w:rsidRPr="00A021B7" w:rsidRDefault="004D43B9" w:rsidP="004935B9">
      <w:pPr>
        <w:pStyle w:val="Heading1"/>
        <w:numPr>
          <w:ilvl w:val="0"/>
          <w:numId w:val="30"/>
        </w:numPr>
        <w:rPr>
          <w:lang w:val="sr-Cyrl-RS"/>
        </w:rPr>
      </w:pPr>
      <w:bookmarkStart w:id="14" w:name="_Toc52865767"/>
      <w:bookmarkStart w:id="15" w:name="_Toc52866178"/>
      <w:bookmarkStart w:id="16" w:name="_Toc56508428"/>
      <w:bookmarkStart w:id="17" w:name="_Toc60136064"/>
      <w:r w:rsidRPr="00A021B7">
        <w:rPr>
          <w:lang w:val="sr-Cyrl-RS"/>
        </w:rPr>
        <w:t>ОПИС ПОСТОЈЕЋЕГ СТАЊА И КЉУЧНИХ ИЗАЗОВА У СИСТЕМУ ЛОКАЛНЕ САМОУПРАВЕ</w:t>
      </w:r>
      <w:bookmarkEnd w:id="14"/>
      <w:bookmarkEnd w:id="15"/>
      <w:bookmarkEnd w:id="16"/>
      <w:bookmarkEnd w:id="17"/>
    </w:p>
    <w:p w14:paraId="286C02AF" w14:textId="77777777" w:rsidR="003E325B" w:rsidRPr="00A021B7" w:rsidRDefault="003E325B" w:rsidP="003E7BC9">
      <w:pPr>
        <w:jc w:val="both"/>
        <w:rPr>
          <w:rFonts w:ascii="Arial" w:hAnsi="Arial" w:cs="Arial"/>
          <w:sz w:val="20"/>
          <w:szCs w:val="20"/>
          <w:lang w:val="sr-Cyrl-RS"/>
        </w:rPr>
      </w:pPr>
    </w:p>
    <w:p w14:paraId="52AFBDE7" w14:textId="77777777" w:rsidR="00CE205B" w:rsidRPr="00A021B7" w:rsidRDefault="00A119D0" w:rsidP="004935B9">
      <w:pPr>
        <w:pStyle w:val="Heading2"/>
        <w:rPr>
          <w:lang w:val="sr-Cyrl-RS"/>
        </w:rPr>
      </w:pPr>
      <w:bookmarkStart w:id="18" w:name="_Toc52865768"/>
      <w:bookmarkStart w:id="19" w:name="_Toc52866179"/>
      <w:bookmarkStart w:id="20" w:name="_Toc56508429"/>
      <w:bookmarkStart w:id="21" w:name="_Toc60136065"/>
      <w:r w:rsidRPr="00A021B7">
        <w:rPr>
          <w:lang w:val="sr-Cyrl-RS"/>
        </w:rPr>
        <w:t xml:space="preserve">IV.1. </w:t>
      </w:r>
      <w:r w:rsidR="00292BDE" w:rsidRPr="00A021B7">
        <w:rPr>
          <w:lang w:val="sr-Cyrl-RS"/>
        </w:rPr>
        <w:t>Положај и организација локалне самоуправе у систему јавне власти</w:t>
      </w:r>
      <w:bookmarkEnd w:id="18"/>
      <w:bookmarkEnd w:id="19"/>
      <w:bookmarkEnd w:id="20"/>
      <w:bookmarkEnd w:id="21"/>
    </w:p>
    <w:p w14:paraId="3B1527F3" w14:textId="77777777" w:rsidR="00EB7612" w:rsidRPr="00A021B7" w:rsidRDefault="00EB7612" w:rsidP="003E7BC9">
      <w:pPr>
        <w:jc w:val="both"/>
        <w:rPr>
          <w:rFonts w:ascii="Arial" w:hAnsi="Arial" w:cs="Arial"/>
          <w:sz w:val="20"/>
          <w:szCs w:val="20"/>
          <w:lang w:val="sr-Cyrl-RS"/>
        </w:rPr>
      </w:pPr>
    </w:p>
    <w:p w14:paraId="35AA77BC" w14:textId="5969D4A3" w:rsidR="00324395" w:rsidRPr="00A021B7" w:rsidRDefault="00324395"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Систем локалне самоуправе је једностепен, </w:t>
      </w:r>
      <w:r w:rsidR="00260809" w:rsidRPr="0DD3B114">
        <w:rPr>
          <w:rFonts w:ascii="Arial" w:hAnsi="Arial" w:cs="Arial"/>
          <w:sz w:val="20"/>
          <w:szCs w:val="20"/>
          <w:lang w:val="sr-Cyrl-RS"/>
        </w:rPr>
        <w:t xml:space="preserve">а </w:t>
      </w:r>
      <w:r w:rsidRPr="0DD3B114">
        <w:rPr>
          <w:rFonts w:ascii="Arial" w:hAnsi="Arial" w:cs="Arial"/>
          <w:sz w:val="20"/>
          <w:szCs w:val="20"/>
          <w:lang w:val="sr-Cyrl-RS"/>
        </w:rPr>
        <w:t>чине га општине, градови и град Београд као јединице локалне самоуправе (ЈЛС). Законом се оснивају и укидају ЈЛС и одређуј</w:t>
      </w:r>
      <w:r w:rsidR="00260809" w:rsidRPr="0DD3B114">
        <w:rPr>
          <w:rFonts w:ascii="Arial" w:hAnsi="Arial" w:cs="Arial"/>
          <w:sz w:val="20"/>
          <w:szCs w:val="20"/>
          <w:lang w:val="sr-Cyrl-RS"/>
        </w:rPr>
        <w:t>у</w:t>
      </w:r>
      <w:r w:rsidRPr="0DD3B114">
        <w:rPr>
          <w:rFonts w:ascii="Arial" w:hAnsi="Arial" w:cs="Arial"/>
          <w:sz w:val="20"/>
          <w:szCs w:val="20"/>
          <w:lang w:val="sr-Cyrl-RS"/>
        </w:rPr>
        <w:t xml:space="preserve"> њихова територија и седиште, с тим што оснивању, укидању и промени територије претходи саветодавни референдум. Територија и седишта ЈЛС, као и процедура њиховог оснивања, спајања и укидања, уређени су Законом о територијалној организацији Републике Србије. Према том закону, општина је основна територијална јединица у којој се остварује локална самоуправа, која је способна да преко својих органа самостално врши сва права и дужности из своје надлежности и која има најмање 10.000 становника, с тим што се по изузетку (када постоје посебни економски, географски или историјски разлози) може основати и општина која има мање становника од тог броја. Град је дефинисан као територијална јединица утврђена законом која представља економски, административни, географски и културни центар ширег подручја и има више од 100.000 становника, с тим што </w:t>
      </w:r>
      <w:r w:rsidR="00260809" w:rsidRPr="0DD3B114">
        <w:rPr>
          <w:rFonts w:ascii="Arial" w:hAnsi="Arial" w:cs="Arial"/>
          <w:sz w:val="20"/>
          <w:szCs w:val="20"/>
          <w:lang w:val="sr-Cyrl-RS"/>
        </w:rPr>
        <w:t xml:space="preserve">у </w:t>
      </w:r>
      <w:r w:rsidRPr="0DD3B114">
        <w:rPr>
          <w:rFonts w:ascii="Arial" w:hAnsi="Arial" w:cs="Arial"/>
          <w:sz w:val="20"/>
          <w:szCs w:val="20"/>
          <w:lang w:val="sr-Cyrl-RS"/>
        </w:rPr>
        <w:t>изузетн</w:t>
      </w:r>
      <w:r w:rsidR="00260809" w:rsidRPr="0DD3B114">
        <w:rPr>
          <w:rFonts w:ascii="Arial" w:hAnsi="Arial" w:cs="Arial"/>
          <w:sz w:val="20"/>
          <w:szCs w:val="20"/>
          <w:lang w:val="sr-Cyrl-RS"/>
        </w:rPr>
        <w:t>им</w:t>
      </w:r>
      <w:r w:rsidRPr="0DD3B114">
        <w:rPr>
          <w:rFonts w:ascii="Arial" w:hAnsi="Arial" w:cs="Arial"/>
          <w:sz w:val="20"/>
          <w:szCs w:val="20"/>
          <w:lang w:val="sr-Cyrl-RS"/>
        </w:rPr>
        <w:t xml:space="preserve"> (тј. када постоје посебни економски, географски или историјски разлози) град може имати и мање становника. На територији РС постој</w:t>
      </w:r>
      <w:r w:rsidR="00260809" w:rsidRPr="0DD3B114">
        <w:rPr>
          <w:rFonts w:ascii="Arial" w:hAnsi="Arial" w:cs="Arial"/>
          <w:sz w:val="20"/>
          <w:szCs w:val="20"/>
          <w:lang w:val="sr-Cyrl-RS"/>
        </w:rPr>
        <w:t>е</w:t>
      </w:r>
      <w:r w:rsidRPr="0DD3B114">
        <w:rPr>
          <w:rFonts w:ascii="Arial" w:hAnsi="Arial" w:cs="Arial"/>
          <w:sz w:val="20"/>
          <w:szCs w:val="20"/>
          <w:lang w:val="sr-Cyrl-RS"/>
        </w:rPr>
        <w:t xml:space="preserve"> 174 ЈЛС, од </w:t>
      </w:r>
      <w:r w:rsidR="00260809" w:rsidRPr="0DD3B114">
        <w:rPr>
          <w:rFonts w:ascii="Arial" w:hAnsi="Arial" w:cs="Arial"/>
          <w:sz w:val="20"/>
          <w:szCs w:val="20"/>
          <w:lang w:val="sr-Cyrl-RS"/>
        </w:rPr>
        <w:t xml:space="preserve">чега </w:t>
      </w:r>
      <w:r w:rsidRPr="0DD3B114">
        <w:rPr>
          <w:rFonts w:ascii="Arial" w:hAnsi="Arial" w:cs="Arial"/>
          <w:sz w:val="20"/>
          <w:szCs w:val="20"/>
          <w:lang w:val="sr-Cyrl-RS"/>
        </w:rPr>
        <w:t>је 145 општина и 29 градова (</w:t>
      </w:r>
      <w:r w:rsidR="00260809" w:rsidRPr="0DD3B114">
        <w:rPr>
          <w:rFonts w:ascii="Arial" w:hAnsi="Arial" w:cs="Arial"/>
          <w:sz w:val="20"/>
          <w:szCs w:val="20"/>
          <w:lang w:val="sr-Cyrl-RS"/>
        </w:rPr>
        <w:t>Г</w:t>
      </w:r>
      <w:r w:rsidR="6B415AE1" w:rsidRPr="0DD3B114">
        <w:rPr>
          <w:rFonts w:ascii="Arial" w:hAnsi="Arial" w:cs="Arial"/>
          <w:sz w:val="20"/>
          <w:szCs w:val="20"/>
          <w:lang w:val="sr-Cyrl-RS"/>
        </w:rPr>
        <w:t xml:space="preserve">рад Београд као главни град, </w:t>
      </w:r>
      <w:r w:rsidR="0ED2C65E" w:rsidRPr="0DD3B114">
        <w:rPr>
          <w:rFonts w:ascii="Arial" w:hAnsi="Arial" w:cs="Arial"/>
          <w:sz w:val="20"/>
          <w:szCs w:val="20"/>
          <w:lang w:val="sr-Cyrl-RS"/>
        </w:rPr>
        <w:t>19 градова и 8</w:t>
      </w:r>
      <w:r w:rsidR="54F79A0D" w:rsidRPr="0DD3B114">
        <w:rPr>
          <w:rFonts w:ascii="Arial" w:hAnsi="Arial" w:cs="Arial"/>
          <w:sz w:val="20"/>
          <w:szCs w:val="20"/>
          <w:lang w:val="sr-Cyrl-RS"/>
        </w:rPr>
        <w:t>0</w:t>
      </w:r>
      <w:r w:rsidR="0ED2C65E" w:rsidRPr="0DD3B114">
        <w:rPr>
          <w:rFonts w:ascii="Arial" w:hAnsi="Arial" w:cs="Arial"/>
          <w:sz w:val="20"/>
          <w:szCs w:val="20"/>
          <w:lang w:val="sr-Cyrl-RS"/>
        </w:rPr>
        <w:t xml:space="preserve"> општина на подручју централне Србије, </w:t>
      </w:r>
      <w:r w:rsidR="5571A74E" w:rsidRPr="0DD3B114">
        <w:rPr>
          <w:rFonts w:ascii="Arial" w:hAnsi="Arial" w:cs="Arial"/>
          <w:sz w:val="20"/>
          <w:szCs w:val="20"/>
          <w:lang w:val="sr-Cyrl-RS"/>
        </w:rPr>
        <w:t>8 градова и 37 општина на територији АПВ и</w:t>
      </w:r>
      <w:r w:rsidRPr="0DD3B114">
        <w:rPr>
          <w:rFonts w:ascii="Arial" w:hAnsi="Arial" w:cs="Arial"/>
          <w:sz w:val="20"/>
          <w:szCs w:val="20"/>
          <w:lang w:val="sr-Cyrl-RS"/>
        </w:rPr>
        <w:t xml:space="preserve"> 28 општина и један град на подручју АП </w:t>
      </w:r>
      <w:r w:rsidR="00260809" w:rsidRPr="0DD3B114">
        <w:rPr>
          <w:rFonts w:ascii="Arial" w:hAnsi="Arial" w:cs="Arial"/>
          <w:sz w:val="20"/>
          <w:szCs w:val="20"/>
          <w:lang w:val="sr-Cyrl-RS"/>
        </w:rPr>
        <w:t xml:space="preserve">Косово и Метохија – </w:t>
      </w:r>
      <w:r w:rsidRPr="0DD3B114">
        <w:rPr>
          <w:rFonts w:ascii="Arial" w:hAnsi="Arial" w:cs="Arial"/>
          <w:sz w:val="20"/>
          <w:szCs w:val="20"/>
          <w:lang w:val="sr-Cyrl-RS"/>
        </w:rPr>
        <w:t>КиМ).</w:t>
      </w:r>
      <w:r w:rsidR="00B549D6" w:rsidRPr="0DD3B114">
        <w:rPr>
          <w:rFonts w:ascii="Arial" w:hAnsi="Arial" w:cs="Arial"/>
          <w:sz w:val="20"/>
          <w:szCs w:val="20"/>
          <w:lang w:val="sr-Cyrl-RS"/>
        </w:rPr>
        <w:t xml:space="preserve"> У градовима се мо</w:t>
      </w:r>
      <w:r w:rsidR="00260809" w:rsidRPr="0DD3B114">
        <w:rPr>
          <w:rFonts w:ascii="Arial" w:hAnsi="Arial" w:cs="Arial"/>
          <w:sz w:val="20"/>
          <w:szCs w:val="20"/>
          <w:lang w:val="sr-Cyrl-RS"/>
        </w:rPr>
        <w:t>же</w:t>
      </w:r>
      <w:r w:rsidR="00B549D6" w:rsidRPr="0DD3B114">
        <w:rPr>
          <w:rFonts w:ascii="Arial" w:hAnsi="Arial" w:cs="Arial"/>
          <w:sz w:val="20"/>
          <w:szCs w:val="20"/>
          <w:lang w:val="sr-Cyrl-RS"/>
        </w:rPr>
        <w:t xml:space="preserve"> статутом града образовати две или више градских општина и одредити да оне врше одређене послове из надлежности града. </w:t>
      </w:r>
      <w:r w:rsidR="00B549D6" w:rsidRPr="0DD3B114">
        <w:rPr>
          <w:rFonts w:ascii="Arial" w:hAnsi="Arial" w:cs="Arial"/>
          <w:sz w:val="20"/>
          <w:szCs w:val="20"/>
          <w:lang w:val="sr-Cyrl-RS"/>
        </w:rPr>
        <w:lastRenderedPageBreak/>
        <w:t>Међутим, градске општине немају положај јединица локалне самоуправ</w:t>
      </w:r>
      <w:r w:rsidR="00F4321F" w:rsidRPr="0DD3B114">
        <w:rPr>
          <w:rFonts w:ascii="Arial" w:hAnsi="Arial" w:cs="Arial"/>
          <w:sz w:val="20"/>
          <w:szCs w:val="20"/>
          <w:lang w:val="sr-Cyrl-RS"/>
        </w:rPr>
        <w:t>е</w:t>
      </w:r>
      <w:r w:rsidR="00B549D6" w:rsidRPr="0DD3B114">
        <w:rPr>
          <w:rFonts w:ascii="Arial" w:hAnsi="Arial" w:cs="Arial"/>
          <w:sz w:val="20"/>
          <w:szCs w:val="20"/>
          <w:lang w:val="sr-Cyrl-RS"/>
        </w:rPr>
        <w:t xml:space="preserve">. </w:t>
      </w:r>
      <w:r w:rsidR="00374587" w:rsidRPr="0DD3B114">
        <w:rPr>
          <w:rFonts w:ascii="Arial" w:hAnsi="Arial" w:cs="Arial"/>
          <w:sz w:val="20"/>
          <w:szCs w:val="20"/>
          <w:lang w:val="sr-Cyrl-RS"/>
        </w:rPr>
        <w:t xml:space="preserve">Устав је овластио градове да својим статутима уреде сва питања </w:t>
      </w:r>
      <w:r w:rsidR="00C74D98" w:rsidRPr="0DD3B114">
        <w:rPr>
          <w:rFonts w:ascii="Arial" w:hAnsi="Arial" w:cs="Arial"/>
          <w:sz w:val="20"/>
          <w:szCs w:val="20"/>
          <w:lang w:val="sr-Cyrl-RS"/>
        </w:rPr>
        <w:t>оснивања градских општина</w:t>
      </w:r>
      <w:r w:rsidR="00D514BD" w:rsidRPr="0DD3B114">
        <w:rPr>
          <w:rFonts w:ascii="Arial" w:hAnsi="Arial" w:cs="Arial"/>
          <w:sz w:val="20"/>
          <w:szCs w:val="20"/>
          <w:lang w:val="sr-Cyrl-RS"/>
        </w:rPr>
        <w:t>,</w:t>
      </w:r>
      <w:r w:rsidR="00C74D98" w:rsidRPr="0DD3B114">
        <w:rPr>
          <w:rFonts w:ascii="Arial" w:hAnsi="Arial" w:cs="Arial"/>
          <w:sz w:val="20"/>
          <w:szCs w:val="20"/>
          <w:lang w:val="sr-Cyrl-RS"/>
        </w:rPr>
        <w:t xml:space="preserve"> а градске општине представљају децентрализован начин обављања послова града. По угледу на јединице локалне самоуправе, </w:t>
      </w:r>
      <w:r w:rsidR="00BD07B2" w:rsidRPr="0DD3B114">
        <w:rPr>
          <w:rFonts w:ascii="Arial" w:hAnsi="Arial" w:cs="Arial"/>
          <w:sz w:val="20"/>
          <w:szCs w:val="20"/>
          <w:lang w:val="sr-Cyrl-RS"/>
        </w:rPr>
        <w:t>с</w:t>
      </w:r>
      <w:r w:rsidR="004E6754" w:rsidRPr="0DD3B114">
        <w:rPr>
          <w:rFonts w:ascii="Arial" w:hAnsi="Arial" w:cs="Arial"/>
          <w:sz w:val="20"/>
          <w:szCs w:val="20"/>
          <w:lang w:val="sr-Cyrl-RS"/>
        </w:rPr>
        <w:t xml:space="preserve">татутима </w:t>
      </w:r>
      <w:r w:rsidR="00C74D98" w:rsidRPr="0DD3B114">
        <w:rPr>
          <w:rFonts w:ascii="Arial" w:hAnsi="Arial" w:cs="Arial"/>
          <w:sz w:val="20"/>
          <w:szCs w:val="20"/>
          <w:lang w:val="sr-Cyrl-RS"/>
        </w:rPr>
        <w:t xml:space="preserve">градова </w:t>
      </w:r>
      <w:r w:rsidR="00260809" w:rsidRPr="0DD3B114">
        <w:rPr>
          <w:rFonts w:ascii="Arial" w:hAnsi="Arial" w:cs="Arial"/>
          <w:sz w:val="20"/>
          <w:szCs w:val="20"/>
          <w:lang w:val="sr-Cyrl-RS"/>
        </w:rPr>
        <w:t>су</w:t>
      </w:r>
      <w:r w:rsidR="00C74D98" w:rsidRPr="0DD3B114">
        <w:rPr>
          <w:rFonts w:ascii="Arial" w:hAnsi="Arial" w:cs="Arial"/>
          <w:sz w:val="20"/>
          <w:szCs w:val="20"/>
          <w:lang w:val="sr-Cyrl-RS"/>
        </w:rPr>
        <w:t xml:space="preserve"> на исти начин уређен</w:t>
      </w:r>
      <w:r w:rsidR="00260809" w:rsidRPr="0DD3B114">
        <w:rPr>
          <w:rFonts w:ascii="Arial" w:hAnsi="Arial" w:cs="Arial"/>
          <w:sz w:val="20"/>
          <w:szCs w:val="20"/>
          <w:lang w:val="sr-Cyrl-RS"/>
        </w:rPr>
        <w:t>и</w:t>
      </w:r>
      <w:r w:rsidR="00C74D98" w:rsidRPr="0DD3B114">
        <w:rPr>
          <w:rFonts w:ascii="Arial" w:hAnsi="Arial" w:cs="Arial"/>
          <w:sz w:val="20"/>
          <w:szCs w:val="20"/>
          <w:lang w:val="sr-Cyrl-RS"/>
        </w:rPr>
        <w:t xml:space="preserve"> систем органа градске општине, избор органа и друга питања. </w:t>
      </w:r>
      <w:r w:rsidR="00B549D6" w:rsidRPr="0DD3B114">
        <w:rPr>
          <w:rFonts w:ascii="Arial" w:hAnsi="Arial" w:cs="Arial"/>
          <w:sz w:val="20"/>
          <w:szCs w:val="20"/>
          <w:lang w:val="sr-Cyrl-RS"/>
        </w:rPr>
        <w:t xml:space="preserve">Градске општине постоје само у Београду (17), Нишу (пет) и Врању, Пожаревцу и Ужицу (по две). </w:t>
      </w:r>
      <w:r w:rsidR="002D560C" w:rsidRPr="0DD3B114">
        <w:rPr>
          <w:rFonts w:ascii="Arial" w:hAnsi="Arial" w:cs="Arial"/>
          <w:sz w:val="20"/>
          <w:szCs w:val="20"/>
          <w:lang w:val="sr-Cyrl-RS"/>
        </w:rPr>
        <w:t>У Врању, Пожаревцу и Ужицу су последње формиране градске општине</w:t>
      </w:r>
      <w:r w:rsidR="00260809" w:rsidRPr="0DD3B114">
        <w:rPr>
          <w:rFonts w:ascii="Arial" w:hAnsi="Arial" w:cs="Arial"/>
          <w:sz w:val="20"/>
          <w:szCs w:val="20"/>
          <w:lang w:val="sr-Cyrl-RS"/>
        </w:rPr>
        <w:t>,</w:t>
      </w:r>
      <w:r w:rsidR="002D560C" w:rsidRPr="0DD3B114">
        <w:rPr>
          <w:rFonts w:ascii="Arial" w:hAnsi="Arial" w:cs="Arial"/>
          <w:sz w:val="20"/>
          <w:szCs w:val="20"/>
          <w:lang w:val="sr-Cyrl-RS"/>
        </w:rPr>
        <w:t xml:space="preserve"> с тим да фактички постоји </w:t>
      </w:r>
      <w:r w:rsidR="00CD7770" w:rsidRPr="0DD3B114">
        <w:rPr>
          <w:rFonts w:ascii="Arial" w:hAnsi="Arial" w:cs="Arial"/>
          <w:sz w:val="20"/>
          <w:szCs w:val="20"/>
          <w:lang w:val="sr-Cyrl-RS"/>
        </w:rPr>
        <w:t xml:space="preserve">само </w:t>
      </w:r>
      <w:r w:rsidR="002D560C" w:rsidRPr="0DD3B114">
        <w:rPr>
          <w:rFonts w:ascii="Arial" w:hAnsi="Arial" w:cs="Arial"/>
          <w:sz w:val="20"/>
          <w:szCs w:val="20"/>
          <w:lang w:val="sr-Cyrl-RS"/>
        </w:rPr>
        <w:t xml:space="preserve">по једна градска општина (Врањска Бања, Костолац и Севојно) док друга градска општина </w:t>
      </w:r>
      <w:r w:rsidR="00BD07B2" w:rsidRPr="0DD3B114">
        <w:rPr>
          <w:rFonts w:ascii="Arial" w:hAnsi="Arial" w:cs="Arial"/>
          <w:sz w:val="20"/>
          <w:szCs w:val="20"/>
          <w:lang w:val="sr-Cyrl-RS"/>
        </w:rPr>
        <w:t>постоји формално</w:t>
      </w:r>
      <w:r w:rsidR="00260809" w:rsidRPr="0DD3B114">
        <w:rPr>
          <w:rFonts w:ascii="Arial" w:hAnsi="Arial" w:cs="Arial"/>
          <w:sz w:val="20"/>
          <w:szCs w:val="20"/>
          <w:lang w:val="sr-Cyrl-RS"/>
        </w:rPr>
        <w:t>,</w:t>
      </w:r>
      <w:r w:rsidR="00BD07B2" w:rsidRPr="0DD3B114">
        <w:rPr>
          <w:rFonts w:ascii="Arial" w:hAnsi="Arial" w:cs="Arial"/>
          <w:sz w:val="20"/>
          <w:szCs w:val="20"/>
          <w:lang w:val="sr-Cyrl-RS"/>
        </w:rPr>
        <w:t xml:space="preserve"> тј. </w:t>
      </w:r>
      <w:r w:rsidR="002D560C" w:rsidRPr="0DD3B114">
        <w:rPr>
          <w:rFonts w:ascii="Arial" w:hAnsi="Arial" w:cs="Arial"/>
          <w:sz w:val="20"/>
          <w:szCs w:val="20"/>
          <w:lang w:val="sr-Cyrl-RS"/>
        </w:rPr>
        <w:t>представља остатак територије града који није обухваћен подручјем основане градске општине. Ипак, формално посматрано, постојеће градске општине су организоване као и општине и градови</w:t>
      </w:r>
      <w:r w:rsidR="00260809" w:rsidRPr="0DD3B114">
        <w:rPr>
          <w:rFonts w:ascii="Arial" w:hAnsi="Arial" w:cs="Arial"/>
          <w:sz w:val="20"/>
          <w:szCs w:val="20"/>
          <w:lang w:val="sr-Cyrl-RS"/>
        </w:rPr>
        <w:t>,</w:t>
      </w:r>
      <w:r w:rsidR="002D560C" w:rsidRPr="0DD3B114">
        <w:rPr>
          <w:rFonts w:ascii="Arial" w:hAnsi="Arial" w:cs="Arial"/>
          <w:sz w:val="20"/>
          <w:szCs w:val="20"/>
          <w:lang w:val="sr-Cyrl-RS"/>
        </w:rPr>
        <w:t xml:space="preserve"> што их кандидује да</w:t>
      </w:r>
      <w:r w:rsidR="00260809" w:rsidRPr="0DD3B114">
        <w:rPr>
          <w:rFonts w:ascii="Arial" w:hAnsi="Arial" w:cs="Arial"/>
          <w:sz w:val="20"/>
          <w:szCs w:val="20"/>
          <w:lang w:val="sr-Cyrl-RS"/>
        </w:rPr>
        <w:t>,</w:t>
      </w:r>
      <w:r w:rsidR="002D560C" w:rsidRPr="0DD3B114">
        <w:rPr>
          <w:rFonts w:ascii="Arial" w:hAnsi="Arial" w:cs="Arial"/>
          <w:sz w:val="20"/>
          <w:szCs w:val="20"/>
          <w:lang w:val="sr-Cyrl-RS"/>
        </w:rPr>
        <w:t xml:space="preserve"> у ситуацији успостављања двостепене локалне самоуправе, мог</w:t>
      </w:r>
      <w:r w:rsidR="00260809" w:rsidRPr="0DD3B114">
        <w:rPr>
          <w:rFonts w:ascii="Arial" w:hAnsi="Arial" w:cs="Arial"/>
          <w:sz w:val="20"/>
          <w:szCs w:val="20"/>
          <w:lang w:val="sr-Cyrl-RS"/>
        </w:rPr>
        <w:t>у</w:t>
      </w:r>
      <w:r w:rsidR="002D560C" w:rsidRPr="0DD3B114">
        <w:rPr>
          <w:rFonts w:ascii="Arial" w:hAnsi="Arial" w:cs="Arial"/>
          <w:sz w:val="20"/>
          <w:szCs w:val="20"/>
          <w:lang w:val="sr-Cyrl-RS"/>
        </w:rPr>
        <w:t xml:space="preserve"> да добију статус јединице локалне самоуправе.</w:t>
      </w:r>
    </w:p>
    <w:p w14:paraId="67C034B2" w14:textId="77777777" w:rsidR="00B549D6" w:rsidRPr="00A021B7" w:rsidRDefault="00B549D6" w:rsidP="0DD3B114">
      <w:pPr>
        <w:ind w:firstLine="720"/>
        <w:jc w:val="both"/>
        <w:rPr>
          <w:rFonts w:ascii="Arial" w:hAnsi="Arial" w:cs="Arial"/>
          <w:sz w:val="20"/>
          <w:szCs w:val="20"/>
          <w:lang w:val="sr-Cyrl-RS"/>
        </w:rPr>
      </w:pPr>
    </w:p>
    <w:p w14:paraId="53B282DB" w14:textId="0EBE316B" w:rsidR="00324395" w:rsidRPr="00A021B7" w:rsidRDefault="00324395"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Своје право на локалну самоуправу грађани остварују непосредно и преко својих слободно изабраних представника. </w:t>
      </w:r>
      <w:r w:rsidR="00BD07B2" w:rsidRPr="0DD3B114">
        <w:rPr>
          <w:rFonts w:ascii="Arial" w:hAnsi="Arial" w:cs="Arial"/>
          <w:sz w:val="20"/>
          <w:szCs w:val="20"/>
          <w:lang w:val="sr-Cyrl-RS"/>
        </w:rPr>
        <w:t>Најзначајније о</w:t>
      </w:r>
      <w:r w:rsidRPr="0DD3B114">
        <w:rPr>
          <w:rFonts w:ascii="Arial" w:hAnsi="Arial" w:cs="Arial"/>
          <w:sz w:val="20"/>
          <w:szCs w:val="20"/>
          <w:lang w:val="sr-Cyrl-RS"/>
        </w:rPr>
        <w:t>блике непосредног остваривања права грађана на локалну самоуправу одређује Закон о локалној самоуправи (ЗЛС). Они обухватају референдум, грађанску иницијативу и зборове грађана, а ближе их уређују посебан закон о референдуму и народној иницијативи, као и статути ЈЛС. Прописани су и облици јавних консултација и други облици учешћа грађана у управљању пословима локалне самоуправе, као и начин организовања месних заједница и других облика месне самоуправе.</w:t>
      </w:r>
    </w:p>
    <w:p w14:paraId="0252DE82" w14:textId="77777777" w:rsidR="00324395" w:rsidRPr="00A021B7" w:rsidRDefault="00324395" w:rsidP="0DD3B114">
      <w:pPr>
        <w:ind w:firstLine="720"/>
        <w:jc w:val="both"/>
        <w:rPr>
          <w:rFonts w:ascii="Arial" w:hAnsi="Arial" w:cs="Arial"/>
          <w:sz w:val="20"/>
          <w:szCs w:val="20"/>
          <w:lang w:val="sr-Cyrl-RS"/>
        </w:rPr>
      </w:pPr>
    </w:p>
    <w:p w14:paraId="402ED7A0" w14:textId="6AF8DFBB" w:rsidR="00324395" w:rsidRPr="00A021B7" w:rsidRDefault="00324395" w:rsidP="0DD3B114">
      <w:pPr>
        <w:ind w:firstLine="720"/>
        <w:jc w:val="both"/>
        <w:rPr>
          <w:rFonts w:ascii="Arial" w:hAnsi="Arial" w:cs="Arial"/>
          <w:sz w:val="20"/>
          <w:szCs w:val="20"/>
          <w:lang w:val="sr-Cyrl-RS"/>
        </w:rPr>
      </w:pPr>
      <w:r w:rsidRPr="0DD3B114">
        <w:rPr>
          <w:rFonts w:ascii="Arial" w:hAnsi="Arial" w:cs="Arial"/>
          <w:sz w:val="20"/>
          <w:szCs w:val="20"/>
          <w:lang w:val="sr-Cyrl-RS"/>
        </w:rPr>
        <w:t>ЈЛС, у складу са Уставом и законом, самостално прописују уређење и надлежност својих органа и јавних служби. Највиши орган је скупштина, коју чине одборници, бирани на четири године. Као и у случају других нивоа власти, Устав не одређује тип изборног система за избор одборника. Према Закону о локалним изборима у примени је пропорционални тип изборног система. Читава ЈЛС је једна изборна јединица, бирачи гласају за кандидатске листе политичких странака или њихових коалиција и кандидатске листе које подносе групе грађана, а мандати се расподељују применом Д</w:t>
      </w:r>
      <w:r w:rsidR="00A53C8D" w:rsidRPr="0DD3B114">
        <w:rPr>
          <w:rFonts w:ascii="Arial" w:hAnsi="Arial" w:cs="Arial"/>
          <w:sz w:val="20"/>
          <w:szCs w:val="20"/>
          <w:lang w:val="sr-Cyrl-RS"/>
        </w:rPr>
        <w:t>’</w:t>
      </w:r>
      <w:r w:rsidRPr="0DD3B114">
        <w:rPr>
          <w:rFonts w:ascii="Arial" w:hAnsi="Arial" w:cs="Arial"/>
          <w:sz w:val="20"/>
          <w:szCs w:val="20"/>
          <w:lang w:val="sr-Cyrl-RS"/>
        </w:rPr>
        <w:t>Онтовог система.</w:t>
      </w:r>
      <w:r w:rsidR="004D5004" w:rsidRPr="0DD3B114">
        <w:rPr>
          <w:rFonts w:ascii="Arial" w:hAnsi="Arial" w:cs="Arial"/>
          <w:sz w:val="20"/>
          <w:szCs w:val="20"/>
          <w:lang w:val="sr-Cyrl-RS"/>
        </w:rPr>
        <w:t xml:space="preserve"> </w:t>
      </w:r>
      <w:r w:rsidRPr="0DD3B114">
        <w:rPr>
          <w:rFonts w:ascii="Arial" w:hAnsi="Arial" w:cs="Arial"/>
          <w:sz w:val="20"/>
          <w:szCs w:val="20"/>
          <w:lang w:val="sr-Cyrl-RS"/>
        </w:rPr>
        <w:t>Скупштина доноси статут и друге опште акте, усваја буџет и завршни рачун, доноси план развоја и просторни план општине, расписује општински референдум и врши друге послове. Такође, она одлучује о избору извршних органа општине (председника општине и општинског већа). У скупштини се мора обезбедити сразмерна заступљеност националних мањина када у ЈЛС живи становништво мешовитог националног састава. Број одборника и чланова општинског и градског већа оквирно одређује ЗЛС, а општине и градови у својим статутима утврђују тачан број одборника и чланова општинског и градског већа. Према том закону, скупштине општина могу имати од 19 до 75 одборника, скупштине градова до 90 одборника, док Скупштина града Београда има 110 одборника. Општинска и градска већа, поред председника општине и његовог заменика, односно градоначелника и његовог заменика, могу имати од пет до 11 бираних чланова (зависно од броја становника), а Градско веће града Београда 13 бираних чланова. Поред скупштине и извршних органа, ЈЛС</w:t>
      </w:r>
      <w:r w:rsidR="004D5004" w:rsidRPr="0DD3B114">
        <w:rPr>
          <w:rFonts w:ascii="Arial" w:hAnsi="Arial" w:cs="Arial"/>
          <w:sz w:val="20"/>
          <w:szCs w:val="20"/>
          <w:lang w:val="sr-Cyrl-RS"/>
        </w:rPr>
        <w:t xml:space="preserve"> </w:t>
      </w:r>
      <w:r w:rsidRPr="0DD3B114">
        <w:rPr>
          <w:rFonts w:ascii="Arial" w:hAnsi="Arial" w:cs="Arial"/>
          <w:sz w:val="20"/>
          <w:szCs w:val="20"/>
          <w:lang w:val="sr-Cyrl-RS"/>
        </w:rPr>
        <w:t>имају управне органе и друге органе и службе, организације, јавне установе и јавна предузећа, а све њих оснивају у складу са законом и својим статутом. Постоји законом уређена могућност оснивања заједничких организација, служби, установа и предузећа за две или више ЈЛС, као и обављања послова од стране једне за другу или друге ЈЛС. Положај и зараде запослених у органима ЈЛС уређени су законом.</w:t>
      </w:r>
    </w:p>
    <w:p w14:paraId="6012EA05" w14:textId="77777777" w:rsidR="00324395" w:rsidRPr="00A021B7" w:rsidRDefault="00324395" w:rsidP="0DD3B114">
      <w:pPr>
        <w:ind w:firstLine="720"/>
        <w:jc w:val="both"/>
        <w:rPr>
          <w:rFonts w:ascii="Arial" w:hAnsi="Arial" w:cs="Arial"/>
          <w:sz w:val="20"/>
          <w:szCs w:val="20"/>
          <w:lang w:val="sr-Cyrl-RS"/>
        </w:rPr>
      </w:pPr>
    </w:p>
    <w:p w14:paraId="50A8AAF1" w14:textId="39E25F43" w:rsidR="0058571F" w:rsidRPr="00A021B7" w:rsidRDefault="00324395" w:rsidP="0DD3B114">
      <w:pPr>
        <w:ind w:firstLine="720"/>
        <w:jc w:val="both"/>
        <w:rPr>
          <w:rFonts w:ascii="Arial" w:hAnsi="Arial" w:cs="Arial"/>
          <w:sz w:val="20"/>
          <w:szCs w:val="20"/>
          <w:lang w:val="sr-Cyrl-RS"/>
        </w:rPr>
      </w:pPr>
      <w:r w:rsidRPr="00A021B7">
        <w:rPr>
          <w:rFonts w:ascii="Arial" w:hAnsi="Arial" w:cs="Arial"/>
          <w:sz w:val="20"/>
          <w:szCs w:val="20"/>
          <w:lang w:val="sr-Cyrl-RS"/>
        </w:rPr>
        <w:t xml:space="preserve">Према Уставу, разграничење надлежности између ЈЛС, АП и </w:t>
      </w:r>
      <w:r w:rsidR="00FE42F8" w:rsidRPr="00A021B7">
        <w:rPr>
          <w:rFonts w:ascii="Arial" w:hAnsi="Arial" w:cs="Arial"/>
          <w:sz w:val="20"/>
          <w:szCs w:val="20"/>
          <w:lang w:val="sr-Cyrl-RS"/>
        </w:rPr>
        <w:t>Републике</w:t>
      </w:r>
      <w:r w:rsidRPr="00A021B7">
        <w:rPr>
          <w:rFonts w:ascii="Arial" w:hAnsi="Arial" w:cs="Arial"/>
          <w:sz w:val="20"/>
          <w:szCs w:val="20"/>
          <w:lang w:val="sr-Cyrl-RS"/>
        </w:rPr>
        <w:t xml:space="preserve"> почива на начелу према коме су ЈЛС и АП надлежне у питањима која се на сврсисходан начин могу остваривати унутар њих, а у којима није надлежна </w:t>
      </w:r>
      <w:r w:rsidR="00C5028F" w:rsidRPr="00A021B7">
        <w:rPr>
          <w:rFonts w:ascii="Arial" w:hAnsi="Arial" w:cs="Arial"/>
          <w:sz w:val="20"/>
          <w:szCs w:val="20"/>
          <w:lang w:val="sr-Cyrl-RS"/>
        </w:rPr>
        <w:t>Република</w:t>
      </w:r>
      <w:r w:rsidRPr="00A021B7">
        <w:rPr>
          <w:rFonts w:ascii="Arial" w:hAnsi="Arial" w:cs="Arial"/>
          <w:sz w:val="20"/>
          <w:szCs w:val="20"/>
          <w:lang w:val="sr-Cyrl-RS"/>
        </w:rPr>
        <w:t xml:space="preserve">, с тим што се законом одређује која су питања од републичког, покрајинског </w:t>
      </w:r>
      <w:r w:rsidR="005C1905">
        <w:rPr>
          <w:rFonts w:ascii="Arial" w:hAnsi="Arial" w:cs="Arial"/>
          <w:sz w:val="20"/>
          <w:szCs w:val="20"/>
          <w:lang w:val="sr-Cyrl-RS"/>
        </w:rPr>
        <w:t>односно</w:t>
      </w:r>
      <w:r w:rsidR="005C1905" w:rsidRPr="00A021B7">
        <w:rPr>
          <w:rFonts w:ascii="Arial" w:hAnsi="Arial" w:cs="Arial"/>
          <w:sz w:val="20"/>
          <w:szCs w:val="20"/>
          <w:lang w:val="sr-Cyrl-RS"/>
        </w:rPr>
        <w:t xml:space="preserve"> </w:t>
      </w:r>
      <w:r w:rsidRPr="00A021B7">
        <w:rPr>
          <w:rFonts w:ascii="Arial" w:hAnsi="Arial" w:cs="Arial"/>
          <w:sz w:val="20"/>
          <w:szCs w:val="20"/>
          <w:lang w:val="sr-Cyrl-RS"/>
        </w:rPr>
        <w:t xml:space="preserve">локалног значаја. Основне уставне надлежности општине обухватају уређење организације </w:t>
      </w:r>
      <w:r w:rsidR="005C1905">
        <w:rPr>
          <w:rFonts w:ascii="Arial" w:hAnsi="Arial" w:cs="Arial"/>
          <w:sz w:val="20"/>
          <w:szCs w:val="20"/>
          <w:lang w:val="sr-Cyrl-RS"/>
        </w:rPr>
        <w:t>њених</w:t>
      </w:r>
      <w:r w:rsidR="005C1905" w:rsidRPr="00A021B7">
        <w:rPr>
          <w:rFonts w:ascii="Arial" w:hAnsi="Arial" w:cs="Arial"/>
          <w:sz w:val="20"/>
          <w:szCs w:val="20"/>
          <w:lang w:val="sr-Cyrl-RS"/>
        </w:rPr>
        <w:t xml:space="preserve"> </w:t>
      </w:r>
      <w:r w:rsidRPr="00A021B7">
        <w:rPr>
          <w:rFonts w:ascii="Arial" w:hAnsi="Arial" w:cs="Arial"/>
          <w:sz w:val="20"/>
          <w:szCs w:val="20"/>
          <w:lang w:val="sr-Cyrl-RS"/>
        </w:rPr>
        <w:t xml:space="preserve">органа и јавних служби, доношење буџета, урбанистичког плана и програма развоја општине, утврђивање симбола, управљање имовином, прописивање прекршаја за повреде општинских прописа, старање о остваривању, заштити и унапређењу људских и мањинских права и старање о јавном информисању. </w:t>
      </w:r>
      <w:r w:rsidR="00B621F7" w:rsidRPr="00A021B7">
        <w:rPr>
          <w:rFonts w:ascii="Arial" w:hAnsi="Arial" w:cs="Arial"/>
          <w:sz w:val="20"/>
          <w:szCs w:val="20"/>
          <w:lang w:val="sr-Cyrl-RS"/>
        </w:rPr>
        <w:t>Као о</w:t>
      </w:r>
      <w:r w:rsidRPr="00A021B7">
        <w:rPr>
          <w:rFonts w:ascii="Arial" w:hAnsi="Arial" w:cs="Arial"/>
          <w:sz w:val="20"/>
          <w:szCs w:val="20"/>
          <w:lang w:val="sr-Cyrl-RS"/>
        </w:rPr>
        <w:t xml:space="preserve">бласти у којима општина, у складу са законом, има сопствене надлежности </w:t>
      </w:r>
      <w:r w:rsidRPr="00A021B7" w:rsidDel="00D1068C">
        <w:rPr>
          <w:rFonts w:ascii="Arial" w:hAnsi="Arial" w:cs="Arial"/>
          <w:sz w:val="20"/>
          <w:szCs w:val="20"/>
          <w:lang w:val="sr-Cyrl-RS"/>
        </w:rPr>
        <w:t xml:space="preserve">утврђене </w:t>
      </w:r>
      <w:r w:rsidRPr="00A021B7">
        <w:rPr>
          <w:rFonts w:ascii="Arial" w:hAnsi="Arial" w:cs="Arial"/>
          <w:sz w:val="20"/>
          <w:szCs w:val="20"/>
          <w:lang w:val="sr-Cyrl-RS"/>
        </w:rPr>
        <w:t>су: комуналне делатности, грађевинско и пољопривредно земљиште, локални путеви и улице, локални превоз, просвета, култура, здравствена,</w:t>
      </w:r>
      <w:r w:rsidR="004D5004" w:rsidRPr="00A021B7">
        <w:rPr>
          <w:rFonts w:ascii="Arial" w:hAnsi="Arial" w:cs="Arial"/>
          <w:sz w:val="20"/>
          <w:szCs w:val="20"/>
          <w:lang w:val="sr-Cyrl-RS"/>
        </w:rPr>
        <w:t xml:space="preserve"> </w:t>
      </w:r>
      <w:r w:rsidRPr="00A021B7">
        <w:rPr>
          <w:rFonts w:ascii="Arial" w:hAnsi="Arial" w:cs="Arial"/>
          <w:sz w:val="20"/>
          <w:szCs w:val="20"/>
          <w:lang w:val="sr-Cyrl-RS"/>
        </w:rPr>
        <w:t xml:space="preserve">социјална и дечја заштита, спорт и физичка култура, заштита животне средине и заштита од елементарних непогода, заштита културних добара и др. Додатно је закону остављена могућност да </w:t>
      </w:r>
      <w:r w:rsidR="005C1905">
        <w:rPr>
          <w:rFonts w:ascii="Arial" w:hAnsi="Arial" w:cs="Arial"/>
          <w:sz w:val="20"/>
          <w:szCs w:val="20"/>
          <w:lang w:val="sr-Cyrl-RS"/>
        </w:rPr>
        <w:t xml:space="preserve">се </w:t>
      </w:r>
      <w:r w:rsidRPr="00A021B7">
        <w:rPr>
          <w:rFonts w:ascii="Arial" w:hAnsi="Arial" w:cs="Arial"/>
          <w:sz w:val="20"/>
          <w:szCs w:val="20"/>
          <w:lang w:val="sr-Cyrl-RS"/>
        </w:rPr>
        <w:t>одред</w:t>
      </w:r>
      <w:r w:rsidR="005C1905">
        <w:rPr>
          <w:rFonts w:ascii="Arial" w:hAnsi="Arial" w:cs="Arial"/>
          <w:sz w:val="20"/>
          <w:szCs w:val="20"/>
          <w:lang w:val="sr-Cyrl-RS"/>
        </w:rPr>
        <w:t>е</w:t>
      </w:r>
      <w:r w:rsidRPr="00A021B7">
        <w:rPr>
          <w:rFonts w:ascii="Arial" w:hAnsi="Arial" w:cs="Arial"/>
          <w:sz w:val="20"/>
          <w:szCs w:val="20"/>
          <w:lang w:val="sr-Cyrl-RS"/>
        </w:rPr>
        <w:t xml:space="preserve"> и друг</w:t>
      </w:r>
      <w:r w:rsidR="005C1905">
        <w:rPr>
          <w:rFonts w:ascii="Arial" w:hAnsi="Arial" w:cs="Arial"/>
          <w:sz w:val="20"/>
          <w:szCs w:val="20"/>
          <w:lang w:val="sr-Cyrl-RS"/>
        </w:rPr>
        <w:t>и</w:t>
      </w:r>
      <w:r w:rsidRPr="00A021B7">
        <w:rPr>
          <w:rFonts w:ascii="Arial" w:hAnsi="Arial" w:cs="Arial"/>
          <w:sz w:val="20"/>
          <w:szCs w:val="20"/>
          <w:lang w:val="sr-Cyrl-RS"/>
        </w:rPr>
        <w:t xml:space="preserve"> послов</w:t>
      </w:r>
      <w:r w:rsidR="005C1905">
        <w:rPr>
          <w:rFonts w:ascii="Arial" w:hAnsi="Arial" w:cs="Arial"/>
          <w:sz w:val="20"/>
          <w:szCs w:val="20"/>
          <w:lang w:val="sr-Cyrl-RS"/>
        </w:rPr>
        <w:t>и</w:t>
      </w:r>
      <w:r w:rsidRPr="00A021B7">
        <w:rPr>
          <w:rFonts w:ascii="Arial" w:hAnsi="Arial" w:cs="Arial"/>
          <w:sz w:val="20"/>
          <w:szCs w:val="20"/>
          <w:lang w:val="sr-Cyrl-RS"/>
        </w:rPr>
        <w:t xml:space="preserve"> које ће обављати општина (тј. послов</w:t>
      </w:r>
      <w:r w:rsidR="005C1905">
        <w:rPr>
          <w:rFonts w:ascii="Arial" w:hAnsi="Arial" w:cs="Arial"/>
          <w:sz w:val="20"/>
          <w:szCs w:val="20"/>
          <w:lang w:val="sr-Cyrl-RS"/>
        </w:rPr>
        <w:t>и</w:t>
      </w:r>
      <w:r w:rsidRPr="00A021B7">
        <w:rPr>
          <w:rFonts w:ascii="Arial" w:hAnsi="Arial" w:cs="Arial"/>
          <w:sz w:val="20"/>
          <w:szCs w:val="20"/>
          <w:lang w:val="sr-Cyrl-RS"/>
        </w:rPr>
        <w:t xml:space="preserve"> у другим областима), али та могућност није за сада </w:t>
      </w:r>
      <w:r w:rsidRPr="00A021B7">
        <w:rPr>
          <w:rFonts w:ascii="Arial" w:hAnsi="Arial" w:cs="Arial"/>
          <w:sz w:val="20"/>
          <w:szCs w:val="20"/>
          <w:lang w:val="sr-Cyrl-RS"/>
        </w:rPr>
        <w:lastRenderedPageBreak/>
        <w:t>довољно коришћена.</w:t>
      </w:r>
      <w:r w:rsidR="00FC47B9" w:rsidRPr="00A021B7">
        <w:rPr>
          <w:rStyle w:val="FootnoteReference"/>
          <w:rFonts w:ascii="Arial" w:hAnsi="Arial" w:cs="Arial"/>
          <w:sz w:val="20"/>
          <w:szCs w:val="20"/>
          <w:lang w:val="sr-Cyrl-RS"/>
        </w:rPr>
        <w:footnoteReference w:id="4"/>
      </w:r>
      <w:r w:rsidRPr="00A021B7">
        <w:rPr>
          <w:rFonts w:ascii="Arial" w:hAnsi="Arial" w:cs="Arial"/>
          <w:sz w:val="20"/>
          <w:szCs w:val="20"/>
          <w:lang w:val="sr-Cyrl-RS"/>
        </w:rPr>
        <w:t xml:space="preserve"> Уз сопствене послове, општина обавља и законом одређене поверене послове из надлежности Републике, за које јој Република обезбеђује средства. Такви послови се поверавају законима који уређују поједине </w:t>
      </w:r>
      <w:r w:rsidRPr="009C4314">
        <w:rPr>
          <w:rFonts w:ascii="Arial" w:hAnsi="Arial" w:cs="Arial"/>
          <w:sz w:val="20"/>
          <w:szCs w:val="20"/>
          <w:lang w:val="sr-Cyrl-RS"/>
        </w:rPr>
        <w:t xml:space="preserve">области. Као критеријуми за поверавање, према Уставу се узимају у обзир </w:t>
      </w:r>
      <w:r w:rsidRPr="002139C8">
        <w:rPr>
          <w:rFonts w:ascii="Arial" w:hAnsi="Arial" w:cs="Arial"/>
          <w:sz w:val="20"/>
          <w:szCs w:val="20"/>
          <w:lang w:val="sr-Cyrl-RS"/>
        </w:rPr>
        <w:t>ефикасније и рационалније остваривањ</w:t>
      </w:r>
      <w:r w:rsidR="005C1905" w:rsidRPr="005C1905">
        <w:rPr>
          <w:rFonts w:ascii="Arial" w:hAnsi="Arial" w:cs="Arial"/>
          <w:sz w:val="20"/>
          <w:szCs w:val="20"/>
          <w:lang w:val="sr-Cyrl-RS"/>
        </w:rPr>
        <w:t>е</w:t>
      </w:r>
      <w:r w:rsidRPr="002139C8">
        <w:rPr>
          <w:rFonts w:ascii="Arial" w:hAnsi="Arial" w:cs="Arial"/>
          <w:sz w:val="20"/>
          <w:szCs w:val="20"/>
          <w:lang w:val="sr-Cyrl-RS"/>
        </w:rPr>
        <w:t xml:space="preserve"> права и обавеза грађана и задовољавањ</w:t>
      </w:r>
      <w:r w:rsidR="005C1905" w:rsidRPr="005C1905">
        <w:rPr>
          <w:rFonts w:ascii="Arial" w:hAnsi="Arial" w:cs="Arial"/>
          <w:sz w:val="20"/>
          <w:szCs w:val="20"/>
          <w:lang w:val="sr-Cyrl-RS"/>
        </w:rPr>
        <w:t>е</w:t>
      </w:r>
      <w:r w:rsidRPr="002139C8">
        <w:rPr>
          <w:rFonts w:ascii="Arial" w:hAnsi="Arial" w:cs="Arial"/>
          <w:sz w:val="20"/>
          <w:szCs w:val="20"/>
          <w:lang w:val="sr-Cyrl-RS"/>
        </w:rPr>
        <w:t xml:space="preserve"> њихових потреба од непосредног интереса за живот и рад. Број таквих послова је велики и они постоје у разнородним областима. И аутономна покрајина може</w:t>
      </w:r>
      <w:r w:rsidRPr="00A021B7">
        <w:rPr>
          <w:rFonts w:ascii="Arial" w:hAnsi="Arial" w:cs="Arial"/>
          <w:sz w:val="20"/>
          <w:szCs w:val="20"/>
          <w:lang w:val="sr-Cyrl-RS"/>
        </w:rPr>
        <w:t xml:space="preserve"> поверити ЈЛС одређене послове из свог изворног делокруга.</w:t>
      </w:r>
      <w:r w:rsidR="00C91922" w:rsidRPr="00A021B7">
        <w:rPr>
          <w:rFonts w:ascii="Arial" w:hAnsi="Arial" w:cs="Arial"/>
          <w:sz w:val="20"/>
          <w:szCs w:val="20"/>
          <w:lang w:val="sr-Cyrl-RS"/>
        </w:rPr>
        <w:t xml:space="preserve"> </w:t>
      </w:r>
      <w:r w:rsidR="009C4314">
        <w:rPr>
          <w:rFonts w:ascii="Arial" w:hAnsi="Arial" w:cs="Arial"/>
          <w:sz w:val="20"/>
          <w:szCs w:val="20"/>
          <w:lang w:val="sr-Cyrl-RS"/>
        </w:rPr>
        <w:t>Кад је реч о</w:t>
      </w:r>
      <w:r w:rsidRPr="00A021B7">
        <w:rPr>
          <w:rFonts w:ascii="Arial" w:hAnsi="Arial" w:cs="Arial"/>
          <w:sz w:val="20"/>
          <w:szCs w:val="20"/>
          <w:lang w:val="sr-Cyrl-RS"/>
        </w:rPr>
        <w:t xml:space="preserve"> градов</w:t>
      </w:r>
      <w:r w:rsidR="009C4314">
        <w:rPr>
          <w:rFonts w:ascii="Arial" w:hAnsi="Arial" w:cs="Arial"/>
          <w:sz w:val="20"/>
          <w:szCs w:val="20"/>
          <w:lang w:val="sr-Cyrl-RS"/>
        </w:rPr>
        <w:t>им</w:t>
      </w:r>
      <w:r w:rsidRPr="00A021B7">
        <w:rPr>
          <w:rFonts w:ascii="Arial" w:hAnsi="Arial" w:cs="Arial"/>
          <w:sz w:val="20"/>
          <w:szCs w:val="20"/>
          <w:lang w:val="sr-Cyrl-RS"/>
        </w:rPr>
        <w:t xml:space="preserve">а и </w:t>
      </w:r>
      <w:r w:rsidRPr="00A021B7" w:rsidDel="009C4314">
        <w:rPr>
          <w:rFonts w:ascii="Arial" w:hAnsi="Arial" w:cs="Arial"/>
          <w:sz w:val="20"/>
          <w:szCs w:val="20"/>
          <w:lang w:val="sr-Cyrl-RS"/>
        </w:rPr>
        <w:t>г</w:t>
      </w:r>
      <w:r w:rsidRPr="00A021B7">
        <w:rPr>
          <w:rFonts w:ascii="Arial" w:hAnsi="Arial" w:cs="Arial"/>
          <w:sz w:val="20"/>
          <w:szCs w:val="20"/>
          <w:lang w:val="sr-Cyrl-RS"/>
        </w:rPr>
        <w:t>рад</w:t>
      </w:r>
      <w:r w:rsidRPr="00A021B7" w:rsidDel="009C4314">
        <w:rPr>
          <w:rFonts w:ascii="Arial" w:hAnsi="Arial" w:cs="Arial"/>
          <w:sz w:val="20"/>
          <w:szCs w:val="20"/>
          <w:lang w:val="sr-Cyrl-RS"/>
        </w:rPr>
        <w:t>а</w:t>
      </w:r>
      <w:r w:rsidRPr="00A021B7">
        <w:rPr>
          <w:rFonts w:ascii="Arial" w:hAnsi="Arial" w:cs="Arial"/>
          <w:sz w:val="20"/>
          <w:szCs w:val="20"/>
          <w:lang w:val="sr-Cyrl-RS"/>
        </w:rPr>
        <w:t xml:space="preserve"> Београд</w:t>
      </w:r>
      <w:r w:rsidRPr="00A021B7" w:rsidDel="009C4314">
        <w:rPr>
          <w:rFonts w:ascii="Arial" w:hAnsi="Arial" w:cs="Arial"/>
          <w:sz w:val="20"/>
          <w:szCs w:val="20"/>
          <w:lang w:val="sr-Cyrl-RS"/>
        </w:rPr>
        <w:t>а</w:t>
      </w:r>
      <w:r w:rsidR="00982D78" w:rsidRPr="00A021B7">
        <w:rPr>
          <w:rFonts w:ascii="Arial" w:hAnsi="Arial" w:cs="Arial"/>
          <w:sz w:val="20"/>
          <w:szCs w:val="20"/>
          <w:lang w:val="sr-Cyrl-RS"/>
        </w:rPr>
        <w:t>,</w:t>
      </w:r>
      <w:r w:rsidRPr="00A021B7">
        <w:rPr>
          <w:rFonts w:ascii="Arial" w:hAnsi="Arial" w:cs="Arial"/>
          <w:sz w:val="20"/>
          <w:szCs w:val="20"/>
          <w:lang w:val="sr-Cyrl-RS"/>
        </w:rPr>
        <w:t xml:space="preserve"> утврђено је да они имају надлежности које су Уставом дате општини, с тим што се градовима законом могу поверити и друге надлежности. Међутим, </w:t>
      </w:r>
      <w:r w:rsidR="00197B41" w:rsidRPr="00A021B7">
        <w:rPr>
          <w:rFonts w:ascii="Arial" w:hAnsi="Arial" w:cs="Arial"/>
          <w:sz w:val="20"/>
          <w:szCs w:val="20"/>
          <w:lang w:val="sr-Cyrl-RS"/>
        </w:rPr>
        <w:t xml:space="preserve">и </w:t>
      </w:r>
      <w:r w:rsidRPr="00A021B7">
        <w:rPr>
          <w:rFonts w:ascii="Arial" w:hAnsi="Arial" w:cs="Arial"/>
          <w:sz w:val="20"/>
          <w:szCs w:val="20"/>
          <w:lang w:val="sr-Cyrl-RS"/>
        </w:rPr>
        <w:t>та уставна могућност је незнатно искоришћена</w:t>
      </w:r>
      <w:r w:rsidR="00502636" w:rsidRPr="00A021B7">
        <w:rPr>
          <w:rFonts w:ascii="Arial" w:hAnsi="Arial" w:cs="Arial"/>
          <w:sz w:val="20"/>
          <w:szCs w:val="20"/>
          <w:lang w:val="sr-Cyrl-RS"/>
        </w:rPr>
        <w:t>,</w:t>
      </w:r>
      <w:r w:rsidR="00FC47B9" w:rsidRPr="00A021B7">
        <w:rPr>
          <w:rFonts w:ascii="Arial" w:hAnsi="Arial" w:cs="Arial"/>
          <w:sz w:val="20"/>
          <w:szCs w:val="20"/>
          <w:lang w:val="sr-Cyrl-RS"/>
        </w:rPr>
        <w:t xml:space="preserve"> а поједине мање разлике постоје само у односу на надлежности </w:t>
      </w:r>
      <w:r w:rsidR="00FC47B9" w:rsidRPr="00A021B7" w:rsidDel="009C4314">
        <w:rPr>
          <w:rFonts w:ascii="Arial" w:hAnsi="Arial" w:cs="Arial"/>
          <w:sz w:val="20"/>
          <w:szCs w:val="20"/>
          <w:lang w:val="sr-Cyrl-RS"/>
        </w:rPr>
        <w:t>г</w:t>
      </w:r>
      <w:r w:rsidR="00FC47B9" w:rsidRPr="00A021B7">
        <w:rPr>
          <w:rFonts w:ascii="Arial" w:hAnsi="Arial" w:cs="Arial"/>
          <w:sz w:val="20"/>
          <w:szCs w:val="20"/>
          <w:lang w:val="sr-Cyrl-RS"/>
        </w:rPr>
        <w:t>рада Београда</w:t>
      </w:r>
      <w:r w:rsidRPr="00A021B7">
        <w:rPr>
          <w:rFonts w:ascii="Arial" w:hAnsi="Arial" w:cs="Arial"/>
          <w:sz w:val="20"/>
          <w:szCs w:val="20"/>
          <w:lang w:val="sr-Cyrl-RS"/>
        </w:rPr>
        <w:t xml:space="preserve">. </w:t>
      </w:r>
      <w:r w:rsidR="0058571F" w:rsidRPr="00A021B7">
        <w:rPr>
          <w:rFonts w:ascii="Arial" w:hAnsi="Arial" w:cs="Arial"/>
          <w:sz w:val="20"/>
          <w:szCs w:val="20"/>
          <w:lang w:val="sr-Cyrl-RS"/>
        </w:rPr>
        <w:t>Послови ЈЛС финансирају се из њихових изворних прихода, буџета Републике, као и из покрајинског буџета када им покрајина поверава обављање послова из своје надлежности. На финансирање ЈЛС односе се системска решења о јавним финансијама, укључујући ту и решење о надзору Државне ревизорске институције. Конкретније уређење система финансирања пружа Закон о финансирању локалне самоуправе.</w:t>
      </w:r>
    </w:p>
    <w:p w14:paraId="71B2B351" w14:textId="77777777" w:rsidR="00106D70" w:rsidRPr="00A021B7" w:rsidRDefault="00106D70" w:rsidP="0DD3B114">
      <w:pPr>
        <w:ind w:firstLine="720"/>
        <w:jc w:val="both"/>
        <w:rPr>
          <w:rFonts w:ascii="Arial" w:hAnsi="Arial" w:cs="Arial"/>
          <w:sz w:val="20"/>
          <w:szCs w:val="20"/>
          <w:lang w:val="sr-Cyrl-RS"/>
        </w:rPr>
      </w:pPr>
    </w:p>
    <w:p w14:paraId="6F962D79" w14:textId="4F047329" w:rsidR="00324395" w:rsidRPr="00A021B7" w:rsidRDefault="7FA6243B"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Уставом је признато право ЈЛС на сарадњу са ЈЛС </w:t>
      </w:r>
      <w:r w:rsidR="009C4314" w:rsidRPr="0DD3B114">
        <w:rPr>
          <w:rFonts w:ascii="Arial" w:hAnsi="Arial" w:cs="Arial"/>
          <w:sz w:val="20"/>
          <w:szCs w:val="20"/>
          <w:lang w:val="sr-Cyrl-RS"/>
        </w:rPr>
        <w:t xml:space="preserve">из </w:t>
      </w:r>
      <w:r w:rsidRPr="0DD3B114">
        <w:rPr>
          <w:rFonts w:ascii="Arial" w:hAnsi="Arial" w:cs="Arial"/>
          <w:sz w:val="20"/>
          <w:szCs w:val="20"/>
          <w:lang w:val="sr-Cyrl-RS"/>
        </w:rPr>
        <w:t xml:space="preserve">других држава, а та сарадња мора да се </w:t>
      </w:r>
      <w:r w:rsidR="442DE3C7" w:rsidRPr="0DD3B114">
        <w:rPr>
          <w:rFonts w:ascii="Arial" w:hAnsi="Arial" w:cs="Arial"/>
          <w:sz w:val="20"/>
          <w:szCs w:val="20"/>
          <w:lang w:val="sr-Cyrl-RS"/>
        </w:rPr>
        <w:t xml:space="preserve">успостави и </w:t>
      </w:r>
      <w:r w:rsidRPr="0DD3B114">
        <w:rPr>
          <w:rFonts w:ascii="Arial" w:hAnsi="Arial" w:cs="Arial"/>
          <w:sz w:val="20"/>
          <w:szCs w:val="20"/>
          <w:lang w:val="sr-Cyrl-RS"/>
        </w:rPr>
        <w:t>одвија у оквиру спољне политике Р</w:t>
      </w:r>
      <w:r w:rsidR="48133519" w:rsidRPr="0DD3B114">
        <w:rPr>
          <w:rFonts w:ascii="Arial" w:hAnsi="Arial" w:cs="Arial"/>
          <w:sz w:val="20"/>
          <w:szCs w:val="20"/>
          <w:lang w:val="sr-Cyrl-RS"/>
        </w:rPr>
        <w:t xml:space="preserve">епублике </w:t>
      </w:r>
      <w:r w:rsidRPr="0DD3B114">
        <w:rPr>
          <w:rFonts w:ascii="Arial" w:hAnsi="Arial" w:cs="Arial"/>
          <w:sz w:val="20"/>
          <w:szCs w:val="20"/>
          <w:lang w:val="sr-Cyrl-RS"/>
        </w:rPr>
        <w:t>С</w:t>
      </w:r>
      <w:r w:rsidR="48133519" w:rsidRPr="0DD3B114">
        <w:rPr>
          <w:rFonts w:ascii="Arial" w:hAnsi="Arial" w:cs="Arial"/>
          <w:sz w:val="20"/>
          <w:szCs w:val="20"/>
          <w:lang w:val="sr-Cyrl-RS"/>
        </w:rPr>
        <w:t>рбије</w:t>
      </w:r>
      <w:r w:rsidR="6EED6960" w:rsidRPr="0DD3B114">
        <w:rPr>
          <w:rFonts w:ascii="Arial" w:hAnsi="Arial" w:cs="Arial"/>
          <w:sz w:val="20"/>
          <w:szCs w:val="20"/>
          <w:lang w:val="sr-Cyrl-RS"/>
        </w:rPr>
        <w:t>,</w:t>
      </w:r>
      <w:r w:rsidRPr="0DD3B114">
        <w:rPr>
          <w:rFonts w:ascii="Arial" w:hAnsi="Arial" w:cs="Arial"/>
          <w:sz w:val="20"/>
          <w:szCs w:val="20"/>
          <w:lang w:val="sr-Cyrl-RS"/>
        </w:rPr>
        <w:t xml:space="preserve"> уз поштовање њеног територијалног интегритета и правног поретка</w:t>
      </w:r>
      <w:r w:rsidR="21261746" w:rsidRPr="0DD3B114">
        <w:rPr>
          <w:rFonts w:ascii="Arial" w:hAnsi="Arial" w:cs="Arial"/>
          <w:sz w:val="20"/>
          <w:szCs w:val="20"/>
          <w:lang w:val="sr-Cyrl-RS"/>
        </w:rPr>
        <w:t xml:space="preserve"> и уз претходну сагласност Владе</w:t>
      </w:r>
      <w:r w:rsidRPr="0DD3B114">
        <w:rPr>
          <w:rFonts w:ascii="Arial" w:hAnsi="Arial" w:cs="Arial"/>
          <w:sz w:val="20"/>
          <w:szCs w:val="20"/>
          <w:lang w:val="sr-Cyrl-RS"/>
        </w:rPr>
        <w:t>. Поред међународне сарадње, у ЗЛС је ближе уређено право ЈЛС да развијају облике међусобне сарадње, да удружују средства и оснивају заједничке органе, установе, службе и друге организације, као и да се удружују у асоцијације локалних власти.</w:t>
      </w:r>
      <w:r w:rsidR="40B0398C" w:rsidRPr="0DD3B114">
        <w:rPr>
          <w:rFonts w:ascii="Arial" w:hAnsi="Arial" w:cs="Arial"/>
          <w:sz w:val="20"/>
          <w:szCs w:val="20"/>
          <w:lang w:val="sr-Cyrl-RS"/>
        </w:rPr>
        <w:t xml:space="preserve"> </w:t>
      </w:r>
      <w:r w:rsidRPr="0DD3B114">
        <w:rPr>
          <w:rFonts w:ascii="Arial" w:hAnsi="Arial" w:cs="Arial"/>
          <w:sz w:val="20"/>
          <w:szCs w:val="20"/>
          <w:lang w:val="sr-Cyrl-RS"/>
        </w:rPr>
        <w:t xml:space="preserve">Надзор над локалном самоуправом врше органи државне управе на начин уређен у ЗЛС, с тим што је тај надзор у погледу ЈЛС на подручју АПВ поверен покрајинским органима. </w:t>
      </w:r>
      <w:r w:rsidR="715E61AC" w:rsidRPr="0DD3B114">
        <w:rPr>
          <w:rFonts w:ascii="Arial" w:hAnsi="Arial" w:cs="Arial"/>
          <w:sz w:val="20"/>
          <w:szCs w:val="20"/>
          <w:lang w:val="sr-Cyrl-RS"/>
        </w:rPr>
        <w:t xml:space="preserve">У вези са спровођењем изворног делокруга, надзор </w:t>
      </w:r>
      <w:r w:rsidR="5AB797D5" w:rsidRPr="0DD3B114">
        <w:rPr>
          <w:rFonts w:ascii="Arial" w:hAnsi="Arial" w:cs="Arial"/>
          <w:sz w:val="20"/>
          <w:szCs w:val="20"/>
          <w:lang w:val="sr-Cyrl-RS"/>
        </w:rPr>
        <w:t>с</w:t>
      </w:r>
      <w:r w:rsidR="715E61AC" w:rsidRPr="0DD3B114">
        <w:rPr>
          <w:rFonts w:ascii="Arial" w:hAnsi="Arial" w:cs="Arial"/>
          <w:sz w:val="20"/>
          <w:szCs w:val="20"/>
          <w:lang w:val="sr-Cyrl-RS"/>
        </w:rPr>
        <w:t>е заснива на контроли уставности и законитости рада локалне самоуправе</w:t>
      </w:r>
      <w:r w:rsidR="6F240EC5" w:rsidRPr="0DD3B114">
        <w:rPr>
          <w:rFonts w:ascii="Arial" w:hAnsi="Arial" w:cs="Arial"/>
          <w:sz w:val="20"/>
          <w:szCs w:val="20"/>
          <w:lang w:val="sr-Cyrl-RS"/>
        </w:rPr>
        <w:t xml:space="preserve">. </w:t>
      </w:r>
      <w:r w:rsidRPr="0DD3B114">
        <w:rPr>
          <w:rFonts w:ascii="Arial" w:hAnsi="Arial" w:cs="Arial"/>
          <w:sz w:val="20"/>
          <w:szCs w:val="20"/>
          <w:lang w:val="sr-Cyrl-RS"/>
        </w:rPr>
        <w:t>Када се ради о надзору над обављањем поверених послова из надлежности Републике, тај је надзор потпунији и уређен је Законом о државној управи.</w:t>
      </w:r>
      <w:r w:rsidR="16D34707" w:rsidRPr="0DD3B114">
        <w:rPr>
          <w:rFonts w:ascii="Arial" w:hAnsi="Arial" w:cs="Arial"/>
          <w:sz w:val="20"/>
          <w:szCs w:val="20"/>
          <w:lang w:val="sr-Cyrl-RS"/>
        </w:rPr>
        <w:t xml:space="preserve"> </w:t>
      </w:r>
      <w:r w:rsidR="52DADF10" w:rsidRPr="0DD3B114">
        <w:rPr>
          <w:rFonts w:ascii="Arial" w:hAnsi="Arial" w:cs="Arial"/>
          <w:sz w:val="20"/>
          <w:szCs w:val="20"/>
          <w:lang w:val="sr-Cyrl-RS"/>
        </w:rPr>
        <w:t xml:space="preserve">У градовима у којима су образоване градске општине, статутом града се уређује надзор града над радом градских општина у обављању поверених послова града. </w:t>
      </w:r>
      <w:r w:rsidR="491AA414" w:rsidRPr="0DD3B114">
        <w:rPr>
          <w:rFonts w:ascii="Arial" w:hAnsi="Arial" w:cs="Arial"/>
          <w:sz w:val="20"/>
          <w:szCs w:val="20"/>
          <w:lang w:val="sr-Cyrl-RS"/>
        </w:rPr>
        <w:t xml:space="preserve">Судска </w:t>
      </w:r>
      <w:r w:rsidR="5A473A14" w:rsidRPr="0DD3B114">
        <w:rPr>
          <w:rFonts w:ascii="Arial" w:hAnsi="Arial" w:cs="Arial"/>
          <w:sz w:val="20"/>
          <w:szCs w:val="20"/>
          <w:lang w:val="sr-Cyrl-RS"/>
        </w:rPr>
        <w:t xml:space="preserve">контрола уставности </w:t>
      </w:r>
      <w:r w:rsidR="491AA414" w:rsidRPr="0DD3B114">
        <w:rPr>
          <w:rFonts w:ascii="Arial" w:hAnsi="Arial" w:cs="Arial"/>
          <w:sz w:val="20"/>
          <w:szCs w:val="20"/>
          <w:lang w:val="sr-Cyrl-RS"/>
        </w:rPr>
        <w:t xml:space="preserve">и законитости </w:t>
      </w:r>
      <w:r w:rsidR="5A473A14" w:rsidRPr="0DD3B114">
        <w:rPr>
          <w:rFonts w:ascii="Arial" w:hAnsi="Arial" w:cs="Arial"/>
          <w:sz w:val="20"/>
          <w:szCs w:val="20"/>
          <w:lang w:val="sr-Cyrl-RS"/>
        </w:rPr>
        <w:t>аката</w:t>
      </w:r>
      <w:r w:rsidR="491AA414" w:rsidRPr="0DD3B114">
        <w:rPr>
          <w:rFonts w:ascii="Arial" w:hAnsi="Arial" w:cs="Arial"/>
          <w:sz w:val="20"/>
          <w:szCs w:val="20"/>
          <w:lang w:val="sr-Cyrl-RS"/>
        </w:rPr>
        <w:t xml:space="preserve"> ЈЛС је обезбеђена пред Уставним судом за опште акте</w:t>
      </w:r>
      <w:r w:rsidR="022F4774" w:rsidRPr="0DD3B114">
        <w:rPr>
          <w:rFonts w:ascii="Arial" w:hAnsi="Arial" w:cs="Arial"/>
          <w:sz w:val="20"/>
          <w:szCs w:val="20"/>
          <w:lang w:val="sr-Cyrl-RS"/>
        </w:rPr>
        <w:t>,</w:t>
      </w:r>
      <w:r w:rsidR="491AA414" w:rsidRPr="0DD3B114">
        <w:rPr>
          <w:rFonts w:ascii="Arial" w:hAnsi="Arial" w:cs="Arial"/>
          <w:sz w:val="20"/>
          <w:szCs w:val="20"/>
          <w:lang w:val="sr-Cyrl-RS"/>
        </w:rPr>
        <w:t xml:space="preserve"> а пред Управним судом за појединачне акте. </w:t>
      </w:r>
      <w:r w:rsidR="16D34707" w:rsidRPr="0DD3B114">
        <w:rPr>
          <w:rFonts w:ascii="Arial" w:hAnsi="Arial" w:cs="Arial"/>
          <w:sz w:val="20"/>
          <w:szCs w:val="20"/>
          <w:lang w:val="sr-Cyrl-RS"/>
        </w:rPr>
        <w:t>Коначно, п</w:t>
      </w:r>
      <w:r w:rsidRPr="0DD3B114">
        <w:rPr>
          <w:rFonts w:ascii="Arial" w:hAnsi="Arial" w:cs="Arial"/>
          <w:sz w:val="20"/>
          <w:szCs w:val="20"/>
          <w:lang w:val="sr-Cyrl-RS"/>
        </w:rPr>
        <w:t>равна заштита локалне самоуправе постоји пред Уставним судом у виду (1) жалбе против појединачног акта или радње државног и покрајинског органа којим се онемогућава вршење надлежности општине и (2) покретања поступка за оцену уставности или законитости закона или другог општег акта Републике, односно општег акта покрајине којим се повређује право на локалну самоуправу.</w:t>
      </w:r>
    </w:p>
    <w:p w14:paraId="6F5B6F51" w14:textId="77777777" w:rsidR="0018766B" w:rsidRPr="00A021B7" w:rsidRDefault="0018766B" w:rsidP="0DD3B114">
      <w:pPr>
        <w:ind w:firstLine="720"/>
        <w:jc w:val="both"/>
        <w:rPr>
          <w:rFonts w:ascii="Arial" w:hAnsi="Arial" w:cs="Arial"/>
          <w:sz w:val="20"/>
          <w:szCs w:val="20"/>
          <w:lang w:val="sr-Cyrl-RS"/>
        </w:rPr>
      </w:pPr>
    </w:p>
    <w:p w14:paraId="21CA7A14" w14:textId="58D4620A" w:rsidR="00F040BE" w:rsidRPr="00A021B7" w:rsidRDefault="5D91BE79" w:rsidP="0DD3B114">
      <w:pPr>
        <w:ind w:firstLine="720"/>
        <w:jc w:val="both"/>
        <w:rPr>
          <w:rFonts w:ascii="Arial" w:hAnsi="Arial" w:cs="Arial"/>
          <w:sz w:val="20"/>
          <w:szCs w:val="20"/>
          <w:lang w:val="sr-Cyrl-RS"/>
        </w:rPr>
      </w:pPr>
      <w:r w:rsidRPr="00A021B7">
        <w:rPr>
          <w:rFonts w:ascii="Arial" w:hAnsi="Arial" w:cs="Arial"/>
          <w:sz w:val="20"/>
          <w:szCs w:val="20"/>
          <w:lang w:val="sr-Cyrl-RS"/>
        </w:rPr>
        <w:t>У</w:t>
      </w:r>
      <w:r w:rsidR="66B72C16" w:rsidRPr="00A021B7">
        <w:rPr>
          <w:rFonts w:ascii="Arial" w:hAnsi="Arial" w:cs="Arial"/>
          <w:sz w:val="20"/>
          <w:szCs w:val="20"/>
          <w:lang w:val="sr-Cyrl-RS"/>
        </w:rPr>
        <w:t>ставни</w:t>
      </w:r>
      <w:r w:rsidR="294775A4" w:rsidRPr="00A021B7">
        <w:rPr>
          <w:rFonts w:ascii="Arial" w:hAnsi="Arial" w:cs="Arial"/>
          <w:sz w:val="20"/>
          <w:szCs w:val="20"/>
          <w:lang w:val="sr-Cyrl-RS"/>
        </w:rPr>
        <w:t xml:space="preserve"> и </w:t>
      </w:r>
      <w:r w:rsidR="66B72C16" w:rsidRPr="00A021B7">
        <w:rPr>
          <w:rFonts w:ascii="Arial" w:hAnsi="Arial" w:cs="Arial"/>
          <w:sz w:val="20"/>
          <w:szCs w:val="20"/>
          <w:lang w:val="sr-Cyrl-RS"/>
        </w:rPr>
        <w:t>законски оквир</w:t>
      </w:r>
      <w:r w:rsidR="5CB893FA" w:rsidRPr="00A021B7">
        <w:rPr>
          <w:rFonts w:ascii="Arial" w:hAnsi="Arial" w:cs="Arial"/>
          <w:sz w:val="20"/>
          <w:szCs w:val="20"/>
          <w:lang w:val="sr-Cyrl-RS"/>
        </w:rPr>
        <w:t xml:space="preserve"> у Републици Србији </w:t>
      </w:r>
      <w:r w:rsidR="2E3AB3E8" w:rsidRPr="00A021B7">
        <w:rPr>
          <w:rFonts w:ascii="Arial" w:hAnsi="Arial" w:cs="Arial"/>
          <w:sz w:val="20"/>
          <w:szCs w:val="20"/>
          <w:lang w:val="sr-Cyrl-RS"/>
        </w:rPr>
        <w:t xml:space="preserve">обезбедио </w:t>
      </w:r>
      <w:r w:rsidRPr="00A021B7">
        <w:rPr>
          <w:rFonts w:ascii="Arial" w:hAnsi="Arial" w:cs="Arial"/>
          <w:sz w:val="20"/>
          <w:szCs w:val="20"/>
          <w:lang w:val="sr-Cyrl-RS"/>
        </w:rPr>
        <w:t xml:space="preserve">је </w:t>
      </w:r>
      <w:r w:rsidR="2E3AB3E8" w:rsidRPr="00A021B7">
        <w:rPr>
          <w:rFonts w:ascii="Arial" w:hAnsi="Arial" w:cs="Arial"/>
          <w:sz w:val="20"/>
          <w:szCs w:val="20"/>
          <w:lang w:val="sr-Cyrl-RS"/>
        </w:rPr>
        <w:t xml:space="preserve">основне </w:t>
      </w:r>
      <w:r w:rsidR="72CEA08A" w:rsidRPr="00A021B7">
        <w:rPr>
          <w:rFonts w:ascii="Arial" w:hAnsi="Arial" w:cs="Arial"/>
          <w:sz w:val="20"/>
          <w:szCs w:val="20"/>
          <w:lang w:val="sr-Cyrl-RS"/>
        </w:rPr>
        <w:t xml:space="preserve">правне </w:t>
      </w:r>
      <w:r w:rsidR="2E3AB3E8" w:rsidRPr="00A021B7">
        <w:rPr>
          <w:rFonts w:ascii="Arial" w:hAnsi="Arial" w:cs="Arial"/>
          <w:sz w:val="20"/>
          <w:szCs w:val="20"/>
          <w:lang w:val="sr-Cyrl-RS"/>
        </w:rPr>
        <w:t xml:space="preserve">стандарде за </w:t>
      </w:r>
      <w:r w:rsidR="194F5333" w:rsidRPr="00A021B7">
        <w:rPr>
          <w:rFonts w:ascii="Arial" w:hAnsi="Arial" w:cs="Arial"/>
          <w:sz w:val="20"/>
          <w:szCs w:val="20"/>
          <w:lang w:val="sr-Cyrl-RS"/>
        </w:rPr>
        <w:t xml:space="preserve">успостављање </w:t>
      </w:r>
      <w:r w:rsidR="5CB893FA" w:rsidRPr="00A021B7">
        <w:rPr>
          <w:rFonts w:ascii="Arial" w:hAnsi="Arial" w:cs="Arial"/>
          <w:sz w:val="20"/>
          <w:szCs w:val="20"/>
          <w:lang w:val="sr-Cyrl-RS"/>
        </w:rPr>
        <w:t>локалне самоуправе</w:t>
      </w:r>
      <w:r w:rsidR="4665D395" w:rsidRPr="00A021B7">
        <w:rPr>
          <w:rFonts w:ascii="Arial" w:hAnsi="Arial" w:cs="Arial"/>
          <w:sz w:val="20"/>
          <w:szCs w:val="20"/>
          <w:lang w:val="sr-Cyrl-RS"/>
        </w:rPr>
        <w:t>. Њиме је утврђено</w:t>
      </w:r>
      <w:r w:rsidR="549DCC4F" w:rsidRPr="00A021B7">
        <w:rPr>
          <w:rFonts w:ascii="Arial" w:hAnsi="Arial" w:cs="Arial"/>
          <w:sz w:val="20"/>
          <w:szCs w:val="20"/>
          <w:lang w:val="sr-Cyrl-RS"/>
        </w:rPr>
        <w:t>:</w:t>
      </w:r>
      <w:r w:rsidR="4665D395" w:rsidRPr="00A021B7">
        <w:rPr>
          <w:rFonts w:ascii="Arial" w:hAnsi="Arial" w:cs="Arial"/>
          <w:sz w:val="20"/>
          <w:szCs w:val="20"/>
          <w:lang w:val="sr-Cyrl-RS"/>
        </w:rPr>
        <w:t xml:space="preserve"> </w:t>
      </w:r>
      <w:r w:rsidR="72CEA08A" w:rsidRPr="00A021B7">
        <w:rPr>
          <w:rFonts w:ascii="Arial" w:hAnsi="Arial" w:cs="Arial"/>
          <w:sz w:val="20"/>
          <w:szCs w:val="20"/>
          <w:lang w:val="sr-Cyrl-RS"/>
        </w:rPr>
        <w:t xml:space="preserve">право грађана да </w:t>
      </w:r>
      <w:r w:rsidR="3EF48330" w:rsidRPr="00A021B7">
        <w:rPr>
          <w:rFonts w:ascii="Arial" w:hAnsi="Arial" w:cs="Arial"/>
          <w:sz w:val="20"/>
          <w:szCs w:val="20"/>
          <w:lang w:val="sr-Cyrl-RS"/>
        </w:rPr>
        <w:t xml:space="preserve">успоставе </w:t>
      </w:r>
      <w:r w:rsidR="549DCC4F" w:rsidRPr="00A021B7">
        <w:rPr>
          <w:rFonts w:ascii="Arial" w:hAnsi="Arial" w:cs="Arial"/>
          <w:sz w:val="20"/>
          <w:szCs w:val="20"/>
          <w:lang w:val="sr-Cyrl-RS"/>
        </w:rPr>
        <w:t xml:space="preserve">локалну самоуправу </w:t>
      </w:r>
      <w:r w:rsidR="3EF48330" w:rsidRPr="00A021B7">
        <w:rPr>
          <w:rFonts w:ascii="Arial" w:hAnsi="Arial" w:cs="Arial"/>
          <w:sz w:val="20"/>
          <w:szCs w:val="20"/>
          <w:lang w:val="sr-Cyrl-RS"/>
        </w:rPr>
        <w:t>и</w:t>
      </w:r>
      <w:r w:rsidR="1653C241" w:rsidRPr="00A021B7">
        <w:rPr>
          <w:rFonts w:ascii="Arial" w:hAnsi="Arial" w:cs="Arial"/>
          <w:sz w:val="20"/>
          <w:szCs w:val="20"/>
          <w:lang w:val="sr-Cyrl-RS"/>
        </w:rPr>
        <w:t xml:space="preserve"> њоме управљају непосредно или преко својих представника</w:t>
      </w:r>
      <w:r w:rsidR="549DCC4F" w:rsidRPr="00A021B7">
        <w:rPr>
          <w:rFonts w:ascii="Arial" w:hAnsi="Arial" w:cs="Arial"/>
          <w:sz w:val="20"/>
          <w:szCs w:val="20"/>
          <w:lang w:val="sr-Cyrl-RS"/>
        </w:rPr>
        <w:t>;</w:t>
      </w:r>
      <w:r w:rsidR="1653C241" w:rsidRPr="00A021B7">
        <w:rPr>
          <w:rFonts w:ascii="Arial" w:hAnsi="Arial" w:cs="Arial"/>
          <w:sz w:val="20"/>
          <w:szCs w:val="20"/>
          <w:lang w:val="sr-Cyrl-RS"/>
        </w:rPr>
        <w:t xml:space="preserve"> обезбеђено је да грађани</w:t>
      </w:r>
      <w:r w:rsidR="7CA68E9C" w:rsidRPr="00A021B7">
        <w:rPr>
          <w:rFonts w:ascii="Arial" w:hAnsi="Arial" w:cs="Arial"/>
          <w:sz w:val="20"/>
          <w:szCs w:val="20"/>
          <w:lang w:val="sr-Cyrl-RS"/>
        </w:rPr>
        <w:t xml:space="preserve"> </w:t>
      </w:r>
      <w:r w:rsidR="7CA68E9C" w:rsidRPr="00A021B7" w:rsidDel="00B4769C">
        <w:rPr>
          <w:rFonts w:ascii="Arial" w:hAnsi="Arial" w:cs="Arial"/>
          <w:sz w:val="20"/>
          <w:szCs w:val="20"/>
          <w:lang w:val="sr-Cyrl-RS"/>
        </w:rPr>
        <w:t>путем референду</w:t>
      </w:r>
      <w:r w:rsidR="175FA359" w:rsidRPr="00A021B7" w:rsidDel="00B4769C">
        <w:rPr>
          <w:rFonts w:ascii="Arial" w:hAnsi="Arial" w:cs="Arial"/>
          <w:sz w:val="20"/>
          <w:szCs w:val="20"/>
          <w:lang w:val="sr-Cyrl-RS"/>
        </w:rPr>
        <w:t>м</w:t>
      </w:r>
      <w:r w:rsidR="54956315" w:rsidRPr="00A021B7" w:rsidDel="00B4769C">
        <w:rPr>
          <w:rFonts w:ascii="Arial" w:hAnsi="Arial" w:cs="Arial"/>
          <w:sz w:val="20"/>
          <w:szCs w:val="20"/>
          <w:lang w:val="sr-Cyrl-RS"/>
        </w:rPr>
        <w:t xml:space="preserve">а </w:t>
      </w:r>
      <w:r w:rsidR="3894C8FD" w:rsidRPr="00A021B7">
        <w:rPr>
          <w:rFonts w:ascii="Arial" w:hAnsi="Arial" w:cs="Arial"/>
          <w:sz w:val="20"/>
          <w:szCs w:val="20"/>
          <w:lang w:val="sr-Cyrl-RS"/>
        </w:rPr>
        <w:t>исказују свој став приликом</w:t>
      </w:r>
      <w:r w:rsidR="54956315" w:rsidRPr="00A021B7">
        <w:rPr>
          <w:rFonts w:ascii="Arial" w:hAnsi="Arial" w:cs="Arial"/>
          <w:sz w:val="20"/>
          <w:szCs w:val="20"/>
          <w:lang w:val="sr-Cyrl-RS"/>
        </w:rPr>
        <w:t xml:space="preserve"> </w:t>
      </w:r>
      <w:r w:rsidR="71F12442" w:rsidRPr="00A021B7">
        <w:rPr>
          <w:rFonts w:ascii="Arial" w:hAnsi="Arial" w:cs="Arial"/>
          <w:sz w:val="20"/>
          <w:szCs w:val="20"/>
          <w:lang w:val="sr-Cyrl-RS"/>
        </w:rPr>
        <w:t>оснивањ</w:t>
      </w:r>
      <w:r w:rsidR="3894C8FD" w:rsidRPr="00A021B7">
        <w:rPr>
          <w:rFonts w:ascii="Arial" w:hAnsi="Arial" w:cs="Arial"/>
          <w:sz w:val="20"/>
          <w:szCs w:val="20"/>
          <w:lang w:val="sr-Cyrl-RS"/>
        </w:rPr>
        <w:t>а</w:t>
      </w:r>
      <w:r w:rsidR="71F12442" w:rsidRPr="00A021B7">
        <w:rPr>
          <w:rFonts w:ascii="Arial" w:hAnsi="Arial" w:cs="Arial"/>
          <w:sz w:val="20"/>
          <w:szCs w:val="20"/>
          <w:lang w:val="sr-Cyrl-RS"/>
        </w:rPr>
        <w:t xml:space="preserve">, </w:t>
      </w:r>
      <w:r w:rsidR="7CA68E9C" w:rsidRPr="00A021B7">
        <w:rPr>
          <w:rFonts w:ascii="Arial" w:hAnsi="Arial" w:cs="Arial"/>
          <w:sz w:val="20"/>
          <w:szCs w:val="20"/>
          <w:lang w:val="sr-Cyrl-RS"/>
        </w:rPr>
        <w:t>укидањ</w:t>
      </w:r>
      <w:r w:rsidR="3894C8FD" w:rsidRPr="00A021B7">
        <w:rPr>
          <w:rFonts w:ascii="Arial" w:hAnsi="Arial" w:cs="Arial"/>
          <w:sz w:val="20"/>
          <w:szCs w:val="20"/>
          <w:lang w:val="sr-Cyrl-RS"/>
        </w:rPr>
        <w:t>а</w:t>
      </w:r>
      <w:r w:rsidR="7CA68E9C" w:rsidRPr="00A021B7">
        <w:rPr>
          <w:rFonts w:ascii="Arial" w:hAnsi="Arial" w:cs="Arial"/>
          <w:sz w:val="20"/>
          <w:szCs w:val="20"/>
          <w:lang w:val="sr-Cyrl-RS"/>
        </w:rPr>
        <w:t xml:space="preserve"> или </w:t>
      </w:r>
      <w:r w:rsidR="394BCEA9" w:rsidRPr="00A021B7">
        <w:rPr>
          <w:rFonts w:ascii="Arial" w:hAnsi="Arial" w:cs="Arial"/>
          <w:sz w:val="20"/>
          <w:szCs w:val="20"/>
          <w:lang w:val="sr-Cyrl-RS"/>
        </w:rPr>
        <w:t>промен</w:t>
      </w:r>
      <w:r w:rsidR="3894C8FD" w:rsidRPr="00A021B7">
        <w:rPr>
          <w:rFonts w:ascii="Arial" w:hAnsi="Arial" w:cs="Arial"/>
          <w:sz w:val="20"/>
          <w:szCs w:val="20"/>
          <w:lang w:val="sr-Cyrl-RS"/>
        </w:rPr>
        <w:t>е</w:t>
      </w:r>
      <w:r w:rsidR="394BCEA9" w:rsidRPr="00A021B7">
        <w:rPr>
          <w:rFonts w:ascii="Arial" w:hAnsi="Arial" w:cs="Arial"/>
          <w:sz w:val="20"/>
          <w:szCs w:val="20"/>
          <w:lang w:val="sr-Cyrl-RS"/>
        </w:rPr>
        <w:t xml:space="preserve"> териториј</w:t>
      </w:r>
      <w:r w:rsidR="71F12442" w:rsidRPr="00A021B7">
        <w:rPr>
          <w:rFonts w:ascii="Arial" w:hAnsi="Arial" w:cs="Arial"/>
          <w:sz w:val="20"/>
          <w:szCs w:val="20"/>
          <w:lang w:val="sr-Cyrl-RS"/>
        </w:rPr>
        <w:t>е ЈЛС</w:t>
      </w:r>
      <w:r w:rsidR="54956315" w:rsidRPr="00A021B7">
        <w:rPr>
          <w:rFonts w:ascii="Arial" w:hAnsi="Arial" w:cs="Arial"/>
          <w:sz w:val="20"/>
          <w:szCs w:val="20"/>
          <w:lang w:val="sr-Cyrl-RS"/>
        </w:rPr>
        <w:t xml:space="preserve">; </w:t>
      </w:r>
      <w:r w:rsidR="4665D395" w:rsidRPr="00A021B7">
        <w:rPr>
          <w:rFonts w:ascii="Arial" w:hAnsi="Arial" w:cs="Arial"/>
          <w:sz w:val="20"/>
          <w:szCs w:val="20"/>
          <w:lang w:val="sr-Cyrl-RS"/>
        </w:rPr>
        <w:t>успостављен</w:t>
      </w:r>
      <w:r w:rsidR="6C125506" w:rsidRPr="00A021B7">
        <w:rPr>
          <w:rFonts w:ascii="Arial" w:hAnsi="Arial" w:cs="Arial"/>
          <w:sz w:val="20"/>
          <w:szCs w:val="20"/>
          <w:lang w:val="sr-Cyrl-RS"/>
        </w:rPr>
        <w:t>е су надлежности локалних власти</w:t>
      </w:r>
      <w:r w:rsidR="54956315" w:rsidRPr="00A021B7">
        <w:rPr>
          <w:rFonts w:ascii="Arial" w:hAnsi="Arial" w:cs="Arial"/>
          <w:sz w:val="20"/>
          <w:szCs w:val="20"/>
          <w:lang w:val="sr-Cyrl-RS"/>
        </w:rPr>
        <w:t>;</w:t>
      </w:r>
      <w:r w:rsidR="6C125506" w:rsidRPr="00A021B7">
        <w:rPr>
          <w:rFonts w:ascii="Arial" w:hAnsi="Arial" w:cs="Arial"/>
          <w:sz w:val="20"/>
          <w:szCs w:val="20"/>
          <w:lang w:val="sr-Cyrl-RS"/>
        </w:rPr>
        <w:t xml:space="preserve"> систем надзора</w:t>
      </w:r>
      <w:r w:rsidR="0C95EB7C" w:rsidRPr="00A021B7">
        <w:rPr>
          <w:rFonts w:ascii="Arial" w:hAnsi="Arial" w:cs="Arial"/>
          <w:sz w:val="20"/>
          <w:szCs w:val="20"/>
          <w:lang w:val="sr-Cyrl-RS"/>
        </w:rPr>
        <w:t xml:space="preserve"> је</w:t>
      </w:r>
      <w:r w:rsidR="6C125506" w:rsidRPr="00A021B7">
        <w:rPr>
          <w:rFonts w:ascii="Arial" w:hAnsi="Arial" w:cs="Arial"/>
          <w:sz w:val="20"/>
          <w:szCs w:val="20"/>
          <w:lang w:val="sr-Cyrl-RS"/>
        </w:rPr>
        <w:t xml:space="preserve"> </w:t>
      </w:r>
      <w:r w:rsidR="6D1918FA" w:rsidRPr="00A021B7">
        <w:rPr>
          <w:rFonts w:ascii="Arial" w:hAnsi="Arial" w:cs="Arial"/>
          <w:sz w:val="20"/>
          <w:szCs w:val="20"/>
          <w:lang w:val="sr-Cyrl-RS"/>
        </w:rPr>
        <w:t>заснован на контроли уставности и законитости рада локалне самоуправе</w:t>
      </w:r>
      <w:r w:rsidR="54956315" w:rsidRPr="00A021B7">
        <w:rPr>
          <w:rFonts w:ascii="Arial" w:hAnsi="Arial" w:cs="Arial"/>
          <w:sz w:val="20"/>
          <w:szCs w:val="20"/>
          <w:lang w:val="sr-Cyrl-RS"/>
        </w:rPr>
        <w:t xml:space="preserve"> </w:t>
      </w:r>
      <w:r w:rsidR="6D1918FA" w:rsidRPr="00A021B7">
        <w:rPr>
          <w:rFonts w:ascii="Arial" w:hAnsi="Arial" w:cs="Arial"/>
          <w:sz w:val="20"/>
          <w:szCs w:val="20"/>
          <w:lang w:val="sr-Cyrl-RS"/>
        </w:rPr>
        <w:t>и</w:t>
      </w:r>
      <w:r w:rsidR="7B21A45B" w:rsidRPr="00A021B7">
        <w:rPr>
          <w:rFonts w:ascii="Arial" w:hAnsi="Arial" w:cs="Arial"/>
          <w:sz w:val="20"/>
          <w:szCs w:val="20"/>
          <w:lang w:val="sr-Cyrl-RS"/>
        </w:rPr>
        <w:t>,</w:t>
      </w:r>
      <w:r w:rsidR="6D1918FA" w:rsidRPr="00A021B7">
        <w:rPr>
          <w:rFonts w:ascii="Arial" w:hAnsi="Arial" w:cs="Arial"/>
          <w:sz w:val="20"/>
          <w:szCs w:val="20"/>
          <w:lang w:val="sr-Cyrl-RS"/>
        </w:rPr>
        <w:t xml:space="preserve"> коначно</w:t>
      </w:r>
      <w:r w:rsidR="7B21A45B" w:rsidRPr="00A021B7">
        <w:rPr>
          <w:rFonts w:ascii="Arial" w:hAnsi="Arial" w:cs="Arial"/>
          <w:sz w:val="20"/>
          <w:szCs w:val="20"/>
          <w:lang w:val="sr-Cyrl-RS"/>
        </w:rPr>
        <w:t>,</w:t>
      </w:r>
      <w:r w:rsidR="6D1918FA" w:rsidRPr="00A021B7">
        <w:rPr>
          <w:rFonts w:ascii="Arial" w:hAnsi="Arial" w:cs="Arial"/>
          <w:sz w:val="20"/>
          <w:szCs w:val="20"/>
          <w:lang w:val="sr-Cyrl-RS"/>
        </w:rPr>
        <w:t xml:space="preserve"> </w:t>
      </w:r>
      <w:r w:rsidR="0C95EB7C" w:rsidRPr="00A021B7">
        <w:rPr>
          <w:rFonts w:ascii="Arial" w:hAnsi="Arial" w:cs="Arial"/>
          <w:sz w:val="20"/>
          <w:szCs w:val="20"/>
          <w:lang w:val="sr-Cyrl-RS"/>
        </w:rPr>
        <w:t xml:space="preserve">обезбеђена је </w:t>
      </w:r>
      <w:r w:rsidR="3026F809" w:rsidRPr="00A021B7">
        <w:rPr>
          <w:rFonts w:ascii="Arial" w:hAnsi="Arial" w:cs="Arial"/>
          <w:sz w:val="20"/>
          <w:szCs w:val="20"/>
          <w:lang w:val="sr-Cyrl-RS"/>
        </w:rPr>
        <w:t xml:space="preserve">уставна и законска заштита локалне самоуправе. </w:t>
      </w:r>
      <w:r w:rsidR="40F435EF" w:rsidRPr="00A021B7" w:rsidDel="007E1680">
        <w:rPr>
          <w:rFonts w:ascii="Arial" w:hAnsi="Arial" w:cs="Arial"/>
          <w:sz w:val="20"/>
          <w:szCs w:val="20"/>
          <w:lang w:val="sr-Cyrl-RS"/>
        </w:rPr>
        <w:t>Међутим, и</w:t>
      </w:r>
      <w:r w:rsidR="497B87F3" w:rsidRPr="00A021B7">
        <w:rPr>
          <w:rFonts w:ascii="Arial" w:hAnsi="Arial" w:cs="Arial"/>
          <w:sz w:val="20"/>
          <w:szCs w:val="20"/>
          <w:lang w:val="sr-Cyrl-RS"/>
        </w:rPr>
        <w:t>ако је</w:t>
      </w:r>
      <w:r w:rsidR="708135B7" w:rsidRPr="00A021B7">
        <w:rPr>
          <w:rFonts w:ascii="Arial" w:hAnsi="Arial" w:cs="Arial"/>
          <w:sz w:val="20"/>
          <w:szCs w:val="20"/>
          <w:lang w:val="sr-Cyrl-RS"/>
        </w:rPr>
        <w:t xml:space="preserve"> </w:t>
      </w:r>
      <w:r w:rsidR="3894C8FD" w:rsidRPr="00A021B7">
        <w:rPr>
          <w:rFonts w:ascii="Arial" w:hAnsi="Arial" w:cs="Arial"/>
          <w:sz w:val="20"/>
          <w:szCs w:val="20"/>
          <w:lang w:val="sr-Cyrl-RS"/>
        </w:rPr>
        <w:t>правни</w:t>
      </w:r>
      <w:r w:rsidR="7FA6243B" w:rsidRPr="00A021B7">
        <w:rPr>
          <w:rFonts w:ascii="Arial" w:hAnsi="Arial" w:cs="Arial"/>
          <w:sz w:val="20"/>
          <w:szCs w:val="20"/>
          <w:lang w:val="sr-Cyrl-RS"/>
        </w:rPr>
        <w:t xml:space="preserve"> оквир</w:t>
      </w:r>
      <w:r w:rsidR="497B87F3" w:rsidRPr="00A021B7">
        <w:rPr>
          <w:rFonts w:ascii="Arial" w:hAnsi="Arial" w:cs="Arial"/>
          <w:sz w:val="20"/>
          <w:szCs w:val="20"/>
          <w:lang w:val="sr-Cyrl-RS"/>
        </w:rPr>
        <w:t xml:space="preserve"> </w:t>
      </w:r>
      <w:r w:rsidR="757075BA" w:rsidRPr="00A021B7">
        <w:rPr>
          <w:rFonts w:ascii="Arial" w:hAnsi="Arial" w:cs="Arial"/>
          <w:sz w:val="20"/>
          <w:szCs w:val="20"/>
          <w:lang w:val="sr-Cyrl-RS"/>
        </w:rPr>
        <w:t>који уређује систем</w:t>
      </w:r>
      <w:r w:rsidR="7FA6243B" w:rsidRPr="00A021B7">
        <w:rPr>
          <w:rFonts w:ascii="Arial" w:hAnsi="Arial" w:cs="Arial"/>
          <w:sz w:val="20"/>
          <w:szCs w:val="20"/>
          <w:lang w:val="sr-Cyrl-RS"/>
        </w:rPr>
        <w:t xml:space="preserve"> локалн</w:t>
      </w:r>
      <w:r w:rsidR="757075BA" w:rsidRPr="00A021B7">
        <w:rPr>
          <w:rFonts w:ascii="Arial" w:hAnsi="Arial" w:cs="Arial"/>
          <w:sz w:val="20"/>
          <w:szCs w:val="20"/>
          <w:lang w:val="sr-Cyrl-RS"/>
        </w:rPr>
        <w:t>е</w:t>
      </w:r>
      <w:r w:rsidR="7FA6243B" w:rsidRPr="00A021B7">
        <w:rPr>
          <w:rFonts w:ascii="Arial" w:hAnsi="Arial" w:cs="Arial"/>
          <w:sz w:val="20"/>
          <w:szCs w:val="20"/>
          <w:lang w:val="sr-Cyrl-RS"/>
        </w:rPr>
        <w:t xml:space="preserve"> самоуправ</w:t>
      </w:r>
      <w:r w:rsidR="757075BA" w:rsidRPr="00A021B7">
        <w:rPr>
          <w:rFonts w:ascii="Arial" w:hAnsi="Arial" w:cs="Arial"/>
          <w:sz w:val="20"/>
          <w:szCs w:val="20"/>
          <w:lang w:val="sr-Cyrl-RS"/>
        </w:rPr>
        <w:t>е</w:t>
      </w:r>
      <w:r w:rsidR="7FA6243B" w:rsidRPr="00A021B7">
        <w:rPr>
          <w:rFonts w:ascii="Arial" w:hAnsi="Arial" w:cs="Arial"/>
          <w:sz w:val="20"/>
          <w:szCs w:val="20"/>
          <w:lang w:val="sr-Cyrl-RS"/>
        </w:rPr>
        <w:t xml:space="preserve"> веома развијен</w:t>
      </w:r>
      <w:r w:rsidR="58C9CCB0" w:rsidRPr="00A021B7">
        <w:rPr>
          <w:rFonts w:ascii="Arial" w:hAnsi="Arial" w:cs="Arial"/>
          <w:sz w:val="20"/>
          <w:szCs w:val="20"/>
          <w:lang w:val="sr-Cyrl-RS"/>
        </w:rPr>
        <w:t>,</w:t>
      </w:r>
      <w:r w:rsidR="497B87F3" w:rsidRPr="00A021B7">
        <w:rPr>
          <w:rFonts w:ascii="Arial" w:hAnsi="Arial" w:cs="Arial"/>
          <w:sz w:val="20"/>
          <w:szCs w:val="20"/>
          <w:lang w:val="sr-Cyrl-RS"/>
        </w:rPr>
        <w:t xml:space="preserve"> то</w:t>
      </w:r>
      <w:r w:rsidR="7FA6243B" w:rsidRPr="00A021B7">
        <w:rPr>
          <w:rFonts w:ascii="Arial" w:hAnsi="Arial" w:cs="Arial"/>
          <w:sz w:val="20"/>
          <w:szCs w:val="20"/>
          <w:lang w:val="sr-Cyrl-RS"/>
        </w:rPr>
        <w:t xml:space="preserve"> не значи да је у свему комплетан и да нема одређених недостатака.</w:t>
      </w:r>
      <w:r w:rsidR="3894C8FD" w:rsidRPr="00A021B7">
        <w:rPr>
          <w:rFonts w:ascii="Arial" w:hAnsi="Arial" w:cs="Arial"/>
          <w:sz w:val="20"/>
          <w:szCs w:val="20"/>
          <w:lang w:val="sr-Cyrl-RS"/>
        </w:rPr>
        <w:t xml:space="preserve"> </w:t>
      </w:r>
      <w:r w:rsidR="009C4314">
        <w:rPr>
          <w:rFonts w:ascii="Arial" w:hAnsi="Arial" w:cs="Arial"/>
          <w:sz w:val="20"/>
          <w:szCs w:val="20"/>
          <w:lang w:val="sr-Cyrl-RS"/>
        </w:rPr>
        <w:t>Кад је реч о</w:t>
      </w:r>
      <w:r w:rsidR="417E5790" w:rsidRPr="00A021B7">
        <w:rPr>
          <w:rFonts w:ascii="Arial" w:hAnsi="Arial" w:cs="Arial"/>
          <w:sz w:val="20"/>
          <w:szCs w:val="20"/>
          <w:lang w:val="sr-Cyrl-RS"/>
        </w:rPr>
        <w:t xml:space="preserve"> усаглашености домаћег законодавства са ЕПЛС</w:t>
      </w:r>
      <w:r w:rsidR="000C5F1D" w:rsidRPr="00A021B7">
        <w:rPr>
          <w:rStyle w:val="FootnoteReference"/>
          <w:rFonts w:ascii="Arial" w:hAnsi="Arial" w:cs="Arial"/>
          <w:sz w:val="20"/>
          <w:szCs w:val="20"/>
          <w:lang w:val="sr-Cyrl-RS"/>
        </w:rPr>
        <w:footnoteReference w:id="5"/>
      </w:r>
      <w:r w:rsidR="7BEAAD7B" w:rsidRPr="00A021B7">
        <w:rPr>
          <w:rFonts w:ascii="Arial" w:hAnsi="Arial" w:cs="Arial"/>
          <w:sz w:val="20"/>
          <w:szCs w:val="20"/>
          <w:lang w:val="sr-Cyrl-RS"/>
        </w:rPr>
        <w:t>,</w:t>
      </w:r>
      <w:r w:rsidR="417E5790" w:rsidRPr="00A021B7">
        <w:rPr>
          <w:rFonts w:ascii="Arial" w:hAnsi="Arial" w:cs="Arial"/>
          <w:sz w:val="20"/>
          <w:szCs w:val="20"/>
          <w:lang w:val="sr-Cyrl-RS"/>
        </w:rPr>
        <w:t xml:space="preserve"> могло би се констатовати да је оно у </w:t>
      </w:r>
      <w:r w:rsidR="4C7487D4" w:rsidRPr="00A021B7">
        <w:rPr>
          <w:rFonts w:ascii="Arial" w:hAnsi="Arial" w:cs="Arial"/>
          <w:sz w:val="20"/>
          <w:szCs w:val="20"/>
          <w:lang w:val="sr-Cyrl-RS"/>
        </w:rPr>
        <w:t>значајној</w:t>
      </w:r>
      <w:r w:rsidR="417E5790" w:rsidRPr="00A021B7">
        <w:rPr>
          <w:rFonts w:ascii="Arial" w:hAnsi="Arial" w:cs="Arial"/>
          <w:sz w:val="20"/>
          <w:szCs w:val="20"/>
          <w:lang w:val="sr-Cyrl-RS"/>
        </w:rPr>
        <w:t xml:space="preserve"> мери, али не и у потпуности усаглашено</w:t>
      </w:r>
      <w:r w:rsidR="7E95D202" w:rsidRPr="00A021B7">
        <w:rPr>
          <w:rFonts w:ascii="Arial" w:hAnsi="Arial" w:cs="Arial"/>
          <w:sz w:val="20"/>
          <w:szCs w:val="20"/>
          <w:lang w:val="sr-Cyrl-RS"/>
        </w:rPr>
        <w:t>,</w:t>
      </w:r>
      <w:r w:rsidR="278B18F5" w:rsidRPr="00A021B7">
        <w:rPr>
          <w:rFonts w:ascii="Arial" w:hAnsi="Arial" w:cs="Arial"/>
          <w:sz w:val="20"/>
          <w:szCs w:val="20"/>
          <w:lang w:val="sr-Cyrl-RS"/>
        </w:rPr>
        <w:t xml:space="preserve"> као</w:t>
      </w:r>
      <w:r w:rsidR="0894BE5F" w:rsidRPr="00A021B7">
        <w:rPr>
          <w:rFonts w:ascii="Arial" w:hAnsi="Arial" w:cs="Arial"/>
          <w:sz w:val="20"/>
          <w:szCs w:val="20"/>
          <w:lang w:val="sr-Cyrl-RS"/>
        </w:rPr>
        <w:t xml:space="preserve"> и то</w:t>
      </w:r>
      <w:r w:rsidR="278B18F5" w:rsidRPr="00A021B7">
        <w:rPr>
          <w:rFonts w:ascii="Arial" w:hAnsi="Arial" w:cs="Arial"/>
          <w:sz w:val="20"/>
          <w:szCs w:val="20"/>
          <w:lang w:val="sr-Cyrl-RS"/>
        </w:rPr>
        <w:t xml:space="preserve"> да се </w:t>
      </w:r>
      <w:r w:rsidR="278B18F5" w:rsidRPr="00A021B7" w:rsidDel="00FA2DA4">
        <w:rPr>
          <w:rFonts w:ascii="Arial" w:hAnsi="Arial" w:cs="Arial"/>
          <w:sz w:val="20"/>
          <w:szCs w:val="20"/>
          <w:lang w:val="sr-Cyrl-RS"/>
        </w:rPr>
        <w:t xml:space="preserve">у пракси </w:t>
      </w:r>
      <w:r w:rsidR="0894BE5F" w:rsidRPr="00A021B7">
        <w:rPr>
          <w:rFonts w:ascii="Arial" w:hAnsi="Arial" w:cs="Arial"/>
          <w:sz w:val="20"/>
          <w:szCs w:val="20"/>
          <w:lang w:val="sr-Cyrl-RS"/>
        </w:rPr>
        <w:t xml:space="preserve">не спроводи </w:t>
      </w:r>
      <w:r w:rsidR="278B18F5" w:rsidRPr="00A021B7" w:rsidDel="00FA2DA4">
        <w:rPr>
          <w:rFonts w:ascii="Arial" w:hAnsi="Arial" w:cs="Arial"/>
          <w:sz w:val="20"/>
          <w:szCs w:val="20"/>
          <w:lang w:val="sr-Cyrl-RS"/>
        </w:rPr>
        <w:t>п</w:t>
      </w:r>
      <w:r w:rsidR="417E5790" w:rsidRPr="00A021B7" w:rsidDel="00FA2DA4">
        <w:rPr>
          <w:rFonts w:ascii="Arial" w:hAnsi="Arial" w:cs="Arial"/>
          <w:sz w:val="20"/>
          <w:szCs w:val="20"/>
          <w:lang w:val="sr-Cyrl-RS"/>
        </w:rPr>
        <w:t>отпун</w:t>
      </w:r>
      <w:r w:rsidR="278B18F5" w:rsidRPr="00A021B7" w:rsidDel="00FA2DA4">
        <w:rPr>
          <w:rFonts w:ascii="Arial" w:hAnsi="Arial" w:cs="Arial"/>
          <w:sz w:val="20"/>
          <w:szCs w:val="20"/>
          <w:lang w:val="sr-Cyrl-RS"/>
        </w:rPr>
        <w:t>о и суштински</w:t>
      </w:r>
      <w:r w:rsidR="417E5790" w:rsidRPr="00A021B7" w:rsidDel="00FA2DA4">
        <w:rPr>
          <w:rFonts w:ascii="Arial" w:hAnsi="Arial" w:cs="Arial"/>
          <w:sz w:val="20"/>
          <w:szCs w:val="20"/>
          <w:lang w:val="sr-Cyrl-RS"/>
        </w:rPr>
        <w:t xml:space="preserve"> </w:t>
      </w:r>
      <w:r w:rsidR="417E5790" w:rsidRPr="00A021B7">
        <w:rPr>
          <w:rFonts w:ascii="Arial" w:hAnsi="Arial" w:cs="Arial"/>
          <w:sz w:val="20"/>
          <w:szCs w:val="20"/>
          <w:lang w:val="sr-Cyrl-RS"/>
        </w:rPr>
        <w:t xml:space="preserve">садржај појединих </w:t>
      </w:r>
      <w:r w:rsidR="417E5790" w:rsidRPr="00A021B7" w:rsidDel="00952723">
        <w:rPr>
          <w:rFonts w:ascii="Arial" w:hAnsi="Arial" w:cs="Arial"/>
          <w:sz w:val="20"/>
          <w:szCs w:val="20"/>
          <w:lang w:val="sr-Cyrl-RS"/>
        </w:rPr>
        <w:t xml:space="preserve">од </w:t>
      </w:r>
      <w:r w:rsidR="005D7248">
        <w:rPr>
          <w:rFonts w:ascii="Arial" w:hAnsi="Arial" w:cs="Arial"/>
          <w:sz w:val="20"/>
          <w:szCs w:val="20"/>
          <w:lang w:val="sr-Cyrl-RS"/>
        </w:rPr>
        <w:t>начел</w:t>
      </w:r>
      <w:r w:rsidR="417E5790" w:rsidRPr="00A021B7" w:rsidDel="00952723">
        <w:rPr>
          <w:rFonts w:ascii="Arial" w:hAnsi="Arial" w:cs="Arial"/>
          <w:sz w:val="20"/>
          <w:szCs w:val="20"/>
          <w:lang w:val="sr-Cyrl-RS"/>
        </w:rPr>
        <w:t xml:space="preserve">а </w:t>
      </w:r>
      <w:r w:rsidR="417E5790" w:rsidRPr="00A021B7">
        <w:rPr>
          <w:rFonts w:ascii="Arial" w:hAnsi="Arial" w:cs="Arial"/>
          <w:sz w:val="20"/>
          <w:szCs w:val="20"/>
          <w:lang w:val="sr-Cyrl-RS"/>
        </w:rPr>
        <w:t>ЕПЛС</w:t>
      </w:r>
      <w:r w:rsidR="6E62623F" w:rsidRPr="00A021B7">
        <w:rPr>
          <w:rFonts w:ascii="Arial" w:hAnsi="Arial" w:cs="Arial"/>
          <w:sz w:val="20"/>
          <w:szCs w:val="20"/>
          <w:lang w:val="sr-Cyrl-RS"/>
        </w:rPr>
        <w:t xml:space="preserve"> приликом дефинисања и спровођења оквира за локалну самоуправу</w:t>
      </w:r>
      <w:r w:rsidR="417E5790" w:rsidRPr="00A021B7">
        <w:rPr>
          <w:rFonts w:ascii="Arial" w:hAnsi="Arial" w:cs="Arial"/>
          <w:sz w:val="20"/>
          <w:szCs w:val="20"/>
          <w:lang w:val="sr-Cyrl-RS"/>
        </w:rPr>
        <w:t xml:space="preserve">. </w:t>
      </w:r>
      <w:r w:rsidR="6DEDB56C" w:rsidRPr="00A021B7">
        <w:rPr>
          <w:rFonts w:ascii="Arial" w:hAnsi="Arial" w:cs="Arial"/>
          <w:sz w:val="20"/>
          <w:szCs w:val="20"/>
          <w:lang w:val="sr-Cyrl-RS"/>
        </w:rPr>
        <w:t xml:space="preserve">Међу одредбама које </w:t>
      </w:r>
      <w:r w:rsidR="590AC9A1" w:rsidRPr="00A021B7">
        <w:rPr>
          <w:rFonts w:ascii="Arial" w:hAnsi="Arial" w:cs="Arial"/>
          <w:sz w:val="20"/>
          <w:szCs w:val="20"/>
          <w:lang w:val="sr-Cyrl-RS"/>
        </w:rPr>
        <w:t xml:space="preserve">Република Србија </w:t>
      </w:r>
      <w:r w:rsidR="6DEDB56C" w:rsidRPr="00A021B7">
        <w:rPr>
          <w:rFonts w:ascii="Arial" w:hAnsi="Arial" w:cs="Arial"/>
          <w:sz w:val="20"/>
          <w:szCs w:val="20"/>
          <w:lang w:val="sr-Cyrl-RS"/>
        </w:rPr>
        <w:t>није ратификовала</w:t>
      </w:r>
      <w:r w:rsidR="00201DFF" w:rsidRPr="00A021B7">
        <w:rPr>
          <w:rStyle w:val="FootnoteReference"/>
          <w:rFonts w:ascii="Arial" w:hAnsi="Arial" w:cs="Arial"/>
          <w:sz w:val="20"/>
          <w:szCs w:val="20"/>
          <w:lang w:val="sr-Cyrl-RS"/>
        </w:rPr>
        <w:footnoteReference w:id="6"/>
      </w:r>
      <w:r w:rsidR="6DEDB56C" w:rsidRPr="00A021B7">
        <w:rPr>
          <w:rFonts w:ascii="Arial" w:hAnsi="Arial" w:cs="Arial"/>
          <w:sz w:val="20"/>
          <w:szCs w:val="20"/>
          <w:lang w:val="sr-Cyrl-RS"/>
        </w:rPr>
        <w:t xml:space="preserve"> од великог значаја за положај локалне самоуправе </w:t>
      </w:r>
      <w:r w:rsidR="0894BE5F" w:rsidRPr="00A021B7">
        <w:rPr>
          <w:rFonts w:ascii="Arial" w:hAnsi="Arial" w:cs="Arial"/>
          <w:sz w:val="20"/>
          <w:szCs w:val="20"/>
          <w:lang w:val="sr-Cyrl-RS"/>
        </w:rPr>
        <w:t>било би</w:t>
      </w:r>
      <w:r w:rsidR="6DEDB56C" w:rsidRPr="00A021B7">
        <w:rPr>
          <w:rFonts w:ascii="Arial" w:hAnsi="Arial" w:cs="Arial"/>
          <w:sz w:val="20"/>
          <w:szCs w:val="20"/>
          <w:lang w:val="sr-Cyrl-RS"/>
        </w:rPr>
        <w:t xml:space="preserve"> прихватање </w:t>
      </w:r>
      <w:r w:rsidR="6036E5F6" w:rsidRPr="00A021B7">
        <w:rPr>
          <w:rFonts w:ascii="Arial" w:hAnsi="Arial" w:cs="Arial"/>
          <w:sz w:val="20"/>
          <w:szCs w:val="20"/>
          <w:lang w:val="sr-Cyrl-RS"/>
        </w:rPr>
        <w:t xml:space="preserve">начела </w:t>
      </w:r>
      <w:r w:rsidR="6DEDB56C" w:rsidRPr="00A021B7">
        <w:rPr>
          <w:rFonts w:ascii="Arial" w:hAnsi="Arial" w:cs="Arial"/>
          <w:sz w:val="20"/>
          <w:szCs w:val="20"/>
          <w:lang w:val="sr-Cyrl-RS"/>
        </w:rPr>
        <w:t>супсидијарности (члан 4.</w:t>
      </w:r>
      <w:r w:rsidR="1CDBDE39" w:rsidRPr="00A021B7">
        <w:rPr>
          <w:rFonts w:ascii="Arial" w:hAnsi="Arial" w:cs="Arial"/>
          <w:sz w:val="20"/>
          <w:szCs w:val="20"/>
          <w:lang w:val="sr-Cyrl-RS"/>
        </w:rPr>
        <w:t xml:space="preserve"> став </w:t>
      </w:r>
      <w:r w:rsidR="6DEDB56C" w:rsidRPr="00A021B7">
        <w:rPr>
          <w:rFonts w:ascii="Arial" w:hAnsi="Arial" w:cs="Arial"/>
          <w:sz w:val="20"/>
          <w:szCs w:val="20"/>
          <w:lang w:val="sr-Cyrl-RS"/>
        </w:rPr>
        <w:t>3. ЕПЛС), према коме</w:t>
      </w:r>
      <w:r w:rsidR="6656D108" w:rsidRPr="00A021B7">
        <w:rPr>
          <w:rFonts w:ascii="Arial" w:hAnsi="Arial" w:cs="Arial"/>
          <w:sz w:val="20"/>
          <w:szCs w:val="20"/>
          <w:lang w:val="sr-Cyrl-RS"/>
        </w:rPr>
        <w:t>:</w:t>
      </w:r>
      <w:r w:rsidR="7DC81031" w:rsidRPr="00A021B7">
        <w:rPr>
          <w:rFonts w:ascii="Arial" w:hAnsi="Arial" w:cs="Arial"/>
          <w:sz w:val="20"/>
          <w:szCs w:val="20"/>
          <w:lang w:val="sr-Cyrl-RS"/>
        </w:rPr>
        <w:t xml:space="preserve"> </w:t>
      </w:r>
      <w:r w:rsidR="6656D108" w:rsidRPr="00A021B7">
        <w:rPr>
          <w:rFonts w:ascii="Arial" w:hAnsi="Arial" w:cs="Arial"/>
          <w:sz w:val="20"/>
          <w:szCs w:val="20"/>
          <w:lang w:val="sr-Cyrl-RS"/>
        </w:rPr>
        <w:t xml:space="preserve">„Јавне послове ће првенствено обављати они органи власти који су најближи грађанима. Уступање послова другом органу власти требало </w:t>
      </w:r>
      <w:r w:rsidR="6656D108" w:rsidRPr="00A021B7">
        <w:rPr>
          <w:rFonts w:ascii="Arial" w:hAnsi="Arial" w:cs="Arial"/>
          <w:sz w:val="20"/>
          <w:szCs w:val="20"/>
          <w:lang w:val="sr-Cyrl-RS"/>
        </w:rPr>
        <w:lastRenderedPageBreak/>
        <w:t>би да се заснива на процени обима и природе задатка и захтева у погледу ефикасности управе и функционисања привреде</w:t>
      </w:r>
      <w:r w:rsidR="009C4314">
        <w:rPr>
          <w:rFonts w:ascii="Arial" w:hAnsi="Arial" w:cs="Arial"/>
          <w:sz w:val="20"/>
          <w:szCs w:val="20"/>
        </w:rPr>
        <w:t>”</w:t>
      </w:r>
      <w:r w:rsidR="7DC81031" w:rsidRPr="00A021B7">
        <w:rPr>
          <w:rFonts w:ascii="Arial" w:hAnsi="Arial" w:cs="Arial"/>
          <w:sz w:val="20"/>
          <w:szCs w:val="20"/>
          <w:lang w:val="sr-Cyrl-RS"/>
        </w:rPr>
        <w:t>.</w:t>
      </w:r>
      <w:r w:rsidR="000858A7" w:rsidRPr="00A021B7">
        <w:rPr>
          <w:rStyle w:val="FootnoteReference"/>
          <w:rFonts w:ascii="Arial" w:hAnsi="Arial" w:cs="Arial"/>
          <w:sz w:val="20"/>
          <w:szCs w:val="20"/>
          <w:lang w:val="sr-Cyrl-RS"/>
        </w:rPr>
        <w:footnoteReference w:id="7"/>
      </w:r>
      <w:r w:rsidR="7DC81031" w:rsidRPr="00A021B7">
        <w:rPr>
          <w:rFonts w:ascii="Arial" w:hAnsi="Arial" w:cs="Arial"/>
          <w:sz w:val="20"/>
          <w:szCs w:val="20"/>
          <w:lang w:val="sr-Cyrl-RS"/>
        </w:rPr>
        <w:t xml:space="preserve"> </w:t>
      </w:r>
      <w:r w:rsidR="2FF8E630" w:rsidRPr="00A021B7">
        <w:rPr>
          <w:rFonts w:ascii="Arial" w:hAnsi="Arial" w:cs="Arial"/>
          <w:sz w:val="20"/>
          <w:szCs w:val="20"/>
          <w:lang w:val="sr-Cyrl-RS"/>
        </w:rPr>
        <w:t xml:space="preserve">Ово начело </w:t>
      </w:r>
      <w:r w:rsidR="0AD25505" w:rsidRPr="00A021B7">
        <w:rPr>
          <w:rFonts w:ascii="Arial" w:hAnsi="Arial" w:cs="Arial"/>
          <w:sz w:val="20"/>
          <w:szCs w:val="20"/>
          <w:lang w:val="sr-Cyrl-RS"/>
        </w:rPr>
        <w:t xml:space="preserve">је у самим темељима европског концепта локалне самоуправе, а заузима значајно место и у уређењу Европске уније (као </w:t>
      </w:r>
      <w:r w:rsidR="4409AAEF" w:rsidRPr="00A021B7">
        <w:rPr>
          <w:rFonts w:ascii="Arial" w:hAnsi="Arial" w:cs="Arial"/>
          <w:sz w:val="20"/>
          <w:szCs w:val="20"/>
          <w:lang w:val="sr-Cyrl-RS"/>
        </w:rPr>
        <w:t xml:space="preserve">начело </w:t>
      </w:r>
      <w:r w:rsidR="59FEBE53" w:rsidRPr="00A021B7">
        <w:rPr>
          <w:rFonts w:ascii="Arial" w:hAnsi="Arial" w:cs="Arial"/>
          <w:sz w:val="20"/>
          <w:szCs w:val="20"/>
          <w:lang w:val="sr-Cyrl-RS"/>
        </w:rPr>
        <w:t xml:space="preserve">које </w:t>
      </w:r>
      <w:r w:rsidR="0AD25505" w:rsidRPr="00A021B7">
        <w:rPr>
          <w:rFonts w:ascii="Arial" w:hAnsi="Arial" w:cs="Arial"/>
          <w:sz w:val="20"/>
          <w:szCs w:val="20"/>
          <w:lang w:val="sr-Cyrl-RS"/>
        </w:rPr>
        <w:t xml:space="preserve">служи за расподелу надлежности између држава чланица и органа </w:t>
      </w:r>
      <w:r w:rsidR="0AD25505" w:rsidRPr="00A021B7" w:rsidDel="00ED5043">
        <w:rPr>
          <w:rFonts w:ascii="Arial" w:hAnsi="Arial" w:cs="Arial"/>
          <w:sz w:val="20"/>
          <w:szCs w:val="20"/>
          <w:lang w:val="sr-Cyrl-RS"/>
        </w:rPr>
        <w:t>Европске уније</w:t>
      </w:r>
      <w:r w:rsidR="0AD25505" w:rsidRPr="00A021B7">
        <w:rPr>
          <w:rFonts w:ascii="Arial" w:hAnsi="Arial" w:cs="Arial"/>
          <w:sz w:val="20"/>
          <w:szCs w:val="20"/>
          <w:lang w:val="sr-Cyrl-RS"/>
        </w:rPr>
        <w:t>).</w:t>
      </w:r>
    </w:p>
    <w:p w14:paraId="6FBA0A49" w14:textId="77777777" w:rsidR="00F040BE" w:rsidRPr="00A021B7" w:rsidRDefault="00F040BE" w:rsidP="0DD3B114">
      <w:pPr>
        <w:ind w:firstLine="720"/>
        <w:jc w:val="both"/>
        <w:rPr>
          <w:rFonts w:ascii="Arial" w:hAnsi="Arial" w:cs="Arial"/>
          <w:sz w:val="20"/>
          <w:szCs w:val="20"/>
          <w:lang w:val="sr-Cyrl-RS"/>
        </w:rPr>
      </w:pPr>
    </w:p>
    <w:p w14:paraId="4F297520" w14:textId="085104D1" w:rsidR="00E41031" w:rsidRPr="00A021B7" w:rsidRDefault="00F040BE"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Један од </w:t>
      </w:r>
      <w:r w:rsidR="00C829B6" w:rsidRPr="0DD3B114">
        <w:rPr>
          <w:rFonts w:ascii="Arial" w:hAnsi="Arial" w:cs="Arial"/>
          <w:sz w:val="20"/>
          <w:szCs w:val="20"/>
          <w:lang w:val="sr-Cyrl-RS"/>
        </w:rPr>
        <w:t>добрих</w:t>
      </w:r>
      <w:r w:rsidRPr="0DD3B114">
        <w:rPr>
          <w:rFonts w:ascii="Arial" w:hAnsi="Arial" w:cs="Arial"/>
          <w:sz w:val="20"/>
          <w:szCs w:val="20"/>
          <w:lang w:val="sr-Cyrl-RS"/>
        </w:rPr>
        <w:t xml:space="preserve"> </w:t>
      </w:r>
      <w:r w:rsidR="005E49FF" w:rsidRPr="0DD3B114">
        <w:rPr>
          <w:rFonts w:ascii="Arial" w:hAnsi="Arial" w:cs="Arial"/>
          <w:sz w:val="20"/>
          <w:szCs w:val="20"/>
          <w:lang w:val="sr-Cyrl-RS"/>
        </w:rPr>
        <w:t xml:space="preserve">показатеља </w:t>
      </w:r>
      <w:r w:rsidRPr="0DD3B114">
        <w:rPr>
          <w:rFonts w:ascii="Arial" w:hAnsi="Arial" w:cs="Arial"/>
          <w:sz w:val="20"/>
          <w:szCs w:val="20"/>
          <w:lang w:val="sr-Cyrl-RS"/>
        </w:rPr>
        <w:t xml:space="preserve">да је </w:t>
      </w:r>
      <w:r w:rsidR="00FD55AE" w:rsidRPr="0DD3B114">
        <w:rPr>
          <w:rFonts w:ascii="Arial" w:hAnsi="Arial" w:cs="Arial"/>
          <w:sz w:val="20"/>
          <w:szCs w:val="20"/>
          <w:lang w:val="sr-Cyrl-RS"/>
        </w:rPr>
        <w:t>начело су</w:t>
      </w:r>
      <w:r w:rsidR="00AD5CF3" w:rsidRPr="0DD3B114">
        <w:rPr>
          <w:rFonts w:ascii="Arial" w:hAnsi="Arial" w:cs="Arial"/>
          <w:sz w:val="20"/>
          <w:szCs w:val="20"/>
          <w:lang w:val="sr-Cyrl-RS"/>
        </w:rPr>
        <w:t>п</w:t>
      </w:r>
      <w:r w:rsidR="00FD55AE" w:rsidRPr="0DD3B114">
        <w:rPr>
          <w:rFonts w:ascii="Arial" w:hAnsi="Arial" w:cs="Arial"/>
          <w:sz w:val="20"/>
          <w:szCs w:val="20"/>
          <w:lang w:val="sr-Cyrl-RS"/>
        </w:rPr>
        <w:t xml:space="preserve">сидијарности </w:t>
      </w:r>
      <w:r w:rsidRPr="0DD3B114">
        <w:rPr>
          <w:rFonts w:ascii="Arial" w:hAnsi="Arial" w:cs="Arial"/>
          <w:sz w:val="20"/>
          <w:szCs w:val="20"/>
          <w:lang w:val="sr-Cyrl-RS"/>
        </w:rPr>
        <w:t>заиста прихваћен</w:t>
      </w:r>
      <w:r w:rsidR="005E49FF" w:rsidRPr="0DD3B114">
        <w:rPr>
          <w:rFonts w:ascii="Arial" w:hAnsi="Arial" w:cs="Arial"/>
          <w:sz w:val="20"/>
          <w:szCs w:val="20"/>
          <w:lang w:val="sr-Cyrl-RS"/>
        </w:rPr>
        <w:t>о</w:t>
      </w:r>
      <w:r w:rsidRPr="0DD3B114">
        <w:rPr>
          <w:rFonts w:ascii="Arial" w:hAnsi="Arial" w:cs="Arial"/>
          <w:sz w:val="20"/>
          <w:szCs w:val="20"/>
          <w:lang w:val="sr-Cyrl-RS"/>
        </w:rPr>
        <w:t xml:space="preserve"> и </w:t>
      </w:r>
      <w:r w:rsidR="005E49FF" w:rsidRPr="0DD3B114">
        <w:rPr>
          <w:rFonts w:ascii="Arial" w:hAnsi="Arial" w:cs="Arial"/>
          <w:sz w:val="20"/>
          <w:szCs w:val="20"/>
          <w:lang w:val="sr-Cyrl-RS"/>
        </w:rPr>
        <w:t xml:space="preserve">остварено </w:t>
      </w:r>
      <w:r w:rsidRPr="0DD3B114">
        <w:rPr>
          <w:rFonts w:ascii="Arial" w:hAnsi="Arial" w:cs="Arial"/>
          <w:sz w:val="20"/>
          <w:szCs w:val="20"/>
          <w:lang w:val="sr-Cyrl-RS"/>
        </w:rPr>
        <w:t>јесте анализа релевантних закона и расподела надлежности. Тамо где је он</w:t>
      </w:r>
      <w:r w:rsidR="00516769" w:rsidRPr="0DD3B114">
        <w:rPr>
          <w:rFonts w:ascii="Arial" w:hAnsi="Arial" w:cs="Arial"/>
          <w:sz w:val="20"/>
          <w:szCs w:val="20"/>
          <w:lang w:val="sr-Cyrl-RS"/>
        </w:rPr>
        <w:t>о</w:t>
      </w:r>
      <w:r w:rsidRPr="0DD3B114">
        <w:rPr>
          <w:rFonts w:ascii="Arial" w:hAnsi="Arial" w:cs="Arial"/>
          <w:sz w:val="20"/>
          <w:szCs w:val="20"/>
          <w:lang w:val="sr-Cyrl-RS"/>
        </w:rPr>
        <w:t xml:space="preserve"> </w:t>
      </w:r>
      <w:r w:rsidR="00DE292D" w:rsidRPr="0DD3B114">
        <w:rPr>
          <w:rFonts w:ascii="Arial" w:hAnsi="Arial" w:cs="Arial"/>
          <w:sz w:val="20"/>
          <w:szCs w:val="20"/>
          <w:lang w:val="sr-Cyrl-RS"/>
        </w:rPr>
        <w:t>само формално усвојен</w:t>
      </w:r>
      <w:r w:rsidR="00516769" w:rsidRPr="0DD3B114">
        <w:rPr>
          <w:rFonts w:ascii="Arial" w:hAnsi="Arial" w:cs="Arial"/>
          <w:sz w:val="20"/>
          <w:szCs w:val="20"/>
          <w:lang w:val="sr-Cyrl-RS"/>
        </w:rPr>
        <w:t>о</w:t>
      </w:r>
      <w:r w:rsidRPr="0DD3B114">
        <w:rPr>
          <w:rFonts w:ascii="Arial" w:hAnsi="Arial" w:cs="Arial"/>
          <w:sz w:val="20"/>
          <w:szCs w:val="20"/>
          <w:lang w:val="sr-Cyrl-RS"/>
        </w:rPr>
        <w:t xml:space="preserve">, надлежности општина и градова су </w:t>
      </w:r>
      <w:r w:rsidR="00AD5CF3" w:rsidRPr="0DD3B114">
        <w:rPr>
          <w:rFonts w:ascii="Arial" w:hAnsi="Arial" w:cs="Arial"/>
          <w:sz w:val="20"/>
          <w:szCs w:val="20"/>
          <w:lang w:val="sr-Cyrl-RS"/>
        </w:rPr>
        <w:t>енумерисане</w:t>
      </w:r>
      <w:r w:rsidR="009C4314" w:rsidRPr="0DD3B114">
        <w:rPr>
          <w:rFonts w:ascii="Arial" w:hAnsi="Arial" w:cs="Arial"/>
          <w:sz w:val="20"/>
          <w:szCs w:val="20"/>
          <w:lang w:val="sr-Cyrl-RS"/>
        </w:rPr>
        <w:t>,</w:t>
      </w:r>
      <w:r w:rsidRPr="0DD3B114">
        <w:rPr>
          <w:rFonts w:ascii="Arial" w:hAnsi="Arial" w:cs="Arial"/>
          <w:sz w:val="20"/>
          <w:szCs w:val="20"/>
          <w:lang w:val="sr-Cyrl-RS"/>
        </w:rPr>
        <w:t xml:space="preserve"> тј. побројане у закону, а оно </w:t>
      </w:r>
      <w:r w:rsidR="009C4314" w:rsidRPr="0DD3B114">
        <w:rPr>
          <w:rFonts w:ascii="Arial" w:hAnsi="Arial" w:cs="Arial"/>
          <w:sz w:val="20"/>
          <w:szCs w:val="20"/>
          <w:lang w:val="sr-Cyrl-RS"/>
        </w:rPr>
        <w:t xml:space="preserve">за </w:t>
      </w:r>
      <w:r w:rsidRPr="0DD3B114">
        <w:rPr>
          <w:rFonts w:ascii="Arial" w:hAnsi="Arial" w:cs="Arial"/>
          <w:sz w:val="20"/>
          <w:szCs w:val="20"/>
          <w:lang w:val="sr-Cyrl-RS"/>
        </w:rPr>
        <w:t>шт</w:t>
      </w:r>
      <w:r w:rsidR="009C4314" w:rsidRPr="0DD3B114">
        <w:rPr>
          <w:rFonts w:ascii="Arial" w:hAnsi="Arial" w:cs="Arial"/>
          <w:sz w:val="20"/>
          <w:szCs w:val="20"/>
          <w:lang w:val="sr-Cyrl-RS"/>
        </w:rPr>
        <w:t>а</w:t>
      </w:r>
      <w:r w:rsidRPr="0DD3B114">
        <w:rPr>
          <w:rFonts w:ascii="Arial" w:hAnsi="Arial" w:cs="Arial"/>
          <w:sz w:val="20"/>
          <w:szCs w:val="20"/>
          <w:lang w:val="sr-Cyrl-RS"/>
        </w:rPr>
        <w:t xml:space="preserve"> није изричито речено да је надлежност општине</w:t>
      </w:r>
      <w:r w:rsidR="009C4314" w:rsidRPr="0DD3B114">
        <w:rPr>
          <w:rFonts w:ascii="Arial" w:hAnsi="Arial" w:cs="Arial"/>
          <w:sz w:val="20"/>
          <w:szCs w:val="20"/>
          <w:lang w:val="sr-Cyrl-RS"/>
        </w:rPr>
        <w:t>,</w:t>
      </w:r>
      <w:r w:rsidRPr="0DD3B114">
        <w:rPr>
          <w:rFonts w:ascii="Arial" w:hAnsi="Arial" w:cs="Arial"/>
          <w:sz w:val="20"/>
          <w:szCs w:val="20"/>
          <w:lang w:val="sr-Cyrl-RS"/>
        </w:rPr>
        <w:t xml:space="preserve"> припада вишим нивоима власти (обично држави). Насупрот томе, у законима неких држава надлежности локалних власти су све оне које нису експлицитно наведене као надлежност</w:t>
      </w:r>
      <w:r w:rsidR="009C4314" w:rsidRPr="0DD3B114">
        <w:rPr>
          <w:rFonts w:ascii="Arial" w:hAnsi="Arial" w:cs="Arial"/>
          <w:sz w:val="20"/>
          <w:szCs w:val="20"/>
          <w:lang w:val="sr-Cyrl-RS"/>
        </w:rPr>
        <w:t>и</w:t>
      </w:r>
      <w:r w:rsidRPr="0DD3B114">
        <w:rPr>
          <w:rFonts w:ascii="Arial" w:hAnsi="Arial" w:cs="Arial"/>
          <w:sz w:val="20"/>
          <w:szCs w:val="20"/>
          <w:lang w:val="sr-Cyrl-RS"/>
        </w:rPr>
        <w:t xml:space="preserve"> региона или државе. </w:t>
      </w:r>
      <w:r w:rsidR="00063C26" w:rsidRPr="0DD3B114">
        <w:rPr>
          <w:rFonts w:ascii="Arial" w:hAnsi="Arial" w:cs="Arial"/>
          <w:sz w:val="20"/>
          <w:szCs w:val="20"/>
          <w:lang w:val="sr-Cyrl-RS"/>
        </w:rPr>
        <w:t>То</w:t>
      </w:r>
      <w:r w:rsidR="009C4314" w:rsidRPr="0DD3B114">
        <w:rPr>
          <w:rFonts w:ascii="Arial" w:hAnsi="Arial" w:cs="Arial"/>
          <w:sz w:val="20"/>
          <w:szCs w:val="20"/>
          <w:lang w:val="sr-Cyrl-RS"/>
        </w:rPr>
        <w:t>,</w:t>
      </w:r>
      <w:r w:rsidR="00063C26" w:rsidRPr="0DD3B114">
        <w:rPr>
          <w:rFonts w:ascii="Arial" w:hAnsi="Arial" w:cs="Arial"/>
          <w:sz w:val="20"/>
          <w:szCs w:val="20"/>
          <w:lang w:val="sr-Cyrl-RS"/>
        </w:rPr>
        <w:t xml:space="preserve"> по </w:t>
      </w:r>
      <w:r w:rsidRPr="0DD3B114">
        <w:rPr>
          <w:rFonts w:ascii="Arial" w:hAnsi="Arial" w:cs="Arial"/>
          <w:sz w:val="20"/>
          <w:szCs w:val="20"/>
          <w:lang w:val="sr-Cyrl-RS"/>
        </w:rPr>
        <w:t>правилу</w:t>
      </w:r>
      <w:r w:rsidR="009C4314" w:rsidRPr="0DD3B114">
        <w:rPr>
          <w:rFonts w:ascii="Arial" w:hAnsi="Arial" w:cs="Arial"/>
          <w:sz w:val="20"/>
          <w:szCs w:val="20"/>
          <w:lang w:val="sr-Cyrl-RS"/>
        </w:rPr>
        <w:t>,</w:t>
      </w:r>
      <w:r w:rsidRPr="0DD3B114">
        <w:rPr>
          <w:rFonts w:ascii="Arial" w:hAnsi="Arial" w:cs="Arial"/>
          <w:sz w:val="20"/>
          <w:szCs w:val="20"/>
          <w:lang w:val="sr-Cyrl-RS"/>
        </w:rPr>
        <w:t xml:space="preserve"> подразумева да је општина примарно одговорна за одређену јавну услугу на својој територији. </w:t>
      </w:r>
      <w:r w:rsidR="00007DFF" w:rsidRPr="0DD3B114">
        <w:rPr>
          <w:rFonts w:ascii="Arial" w:hAnsi="Arial" w:cs="Arial"/>
          <w:sz w:val="20"/>
          <w:szCs w:val="20"/>
          <w:lang w:val="sr-Cyrl-RS"/>
        </w:rPr>
        <w:t xml:space="preserve">У случају да општина нема довољно капацитета за </w:t>
      </w:r>
      <w:r w:rsidR="00832D55" w:rsidRPr="0DD3B114">
        <w:rPr>
          <w:rFonts w:ascii="Arial" w:hAnsi="Arial" w:cs="Arial"/>
          <w:sz w:val="20"/>
          <w:szCs w:val="20"/>
          <w:lang w:val="sr-Cyrl-RS"/>
        </w:rPr>
        <w:t xml:space="preserve">спровођење неке </w:t>
      </w:r>
      <w:r w:rsidR="00007DFF" w:rsidRPr="0DD3B114">
        <w:rPr>
          <w:rFonts w:ascii="Arial" w:hAnsi="Arial" w:cs="Arial"/>
          <w:sz w:val="20"/>
          <w:szCs w:val="20"/>
          <w:lang w:val="sr-Cyrl-RS"/>
        </w:rPr>
        <w:t>надлежности</w:t>
      </w:r>
      <w:r w:rsidR="00832D55" w:rsidRPr="0DD3B114">
        <w:rPr>
          <w:rFonts w:ascii="Arial" w:hAnsi="Arial" w:cs="Arial"/>
          <w:sz w:val="20"/>
          <w:szCs w:val="20"/>
          <w:lang w:val="sr-Cyrl-RS"/>
        </w:rPr>
        <w:t>,</w:t>
      </w:r>
      <w:r w:rsidR="00007DFF" w:rsidRPr="0DD3B114">
        <w:rPr>
          <w:rFonts w:ascii="Arial" w:hAnsi="Arial" w:cs="Arial"/>
          <w:sz w:val="20"/>
          <w:szCs w:val="20"/>
          <w:lang w:val="sr-Cyrl-RS"/>
        </w:rPr>
        <w:t xml:space="preserve"> она је препушта</w:t>
      </w:r>
      <w:r w:rsidR="00832D55" w:rsidRPr="0DD3B114">
        <w:rPr>
          <w:rFonts w:ascii="Arial" w:hAnsi="Arial" w:cs="Arial"/>
          <w:sz w:val="20"/>
          <w:szCs w:val="20"/>
          <w:lang w:val="sr-Cyrl-RS"/>
        </w:rPr>
        <w:t>,</w:t>
      </w:r>
      <w:r w:rsidR="00007DFF" w:rsidRPr="0DD3B114">
        <w:rPr>
          <w:rFonts w:ascii="Arial" w:hAnsi="Arial" w:cs="Arial"/>
          <w:sz w:val="20"/>
          <w:szCs w:val="20"/>
          <w:lang w:val="sr-Cyrl-RS"/>
        </w:rPr>
        <w:t xml:space="preserve"> </w:t>
      </w:r>
      <w:r w:rsidR="005C7182" w:rsidRPr="0DD3B114">
        <w:rPr>
          <w:rFonts w:ascii="Arial" w:hAnsi="Arial" w:cs="Arial"/>
          <w:sz w:val="20"/>
          <w:szCs w:val="20"/>
          <w:lang w:val="sr-Cyrl-RS"/>
        </w:rPr>
        <w:t>односно</w:t>
      </w:r>
      <w:r w:rsidR="00007DFF" w:rsidRPr="0DD3B114">
        <w:rPr>
          <w:rFonts w:ascii="Arial" w:hAnsi="Arial" w:cs="Arial"/>
          <w:sz w:val="20"/>
          <w:szCs w:val="20"/>
          <w:lang w:val="sr-Cyrl-RS"/>
        </w:rPr>
        <w:t xml:space="preserve"> преноси неком другом (нпр. већој општини, савезу општина, округу, региону, држави). </w:t>
      </w:r>
      <w:r w:rsidR="00E41031" w:rsidRPr="0DD3B114">
        <w:rPr>
          <w:rFonts w:ascii="Arial" w:hAnsi="Arial" w:cs="Arial"/>
          <w:sz w:val="20"/>
          <w:szCs w:val="20"/>
          <w:lang w:val="sr-Cyrl-RS"/>
        </w:rPr>
        <w:t xml:space="preserve">Када се погледа већ поменуто решење из Устава Србије </w:t>
      </w:r>
      <w:r w:rsidR="006410E1" w:rsidRPr="0DD3B114">
        <w:rPr>
          <w:rFonts w:ascii="Arial" w:hAnsi="Arial" w:cs="Arial"/>
          <w:sz w:val="20"/>
          <w:szCs w:val="20"/>
          <w:lang w:val="sr-Cyrl-RS"/>
        </w:rPr>
        <w:t>(члан 177)</w:t>
      </w:r>
      <w:r w:rsidR="00C81722" w:rsidRPr="0DD3B114">
        <w:rPr>
          <w:rFonts w:ascii="Arial" w:hAnsi="Arial" w:cs="Arial"/>
          <w:sz w:val="20"/>
          <w:szCs w:val="20"/>
          <w:lang w:val="sr-Cyrl-RS"/>
        </w:rPr>
        <w:t>,</w:t>
      </w:r>
      <w:r w:rsidR="00BD3FC5" w:rsidRPr="0DD3B114">
        <w:rPr>
          <w:rFonts w:ascii="Arial" w:hAnsi="Arial" w:cs="Arial"/>
          <w:sz w:val="20"/>
          <w:szCs w:val="20"/>
          <w:lang w:val="sr-Cyrl-RS"/>
        </w:rPr>
        <w:t xml:space="preserve"> </w:t>
      </w:r>
      <w:r w:rsidR="00122D3F" w:rsidRPr="0DD3B114">
        <w:rPr>
          <w:rFonts w:ascii="Arial" w:hAnsi="Arial" w:cs="Arial"/>
          <w:sz w:val="20"/>
          <w:szCs w:val="20"/>
          <w:lang w:val="sr-Cyrl-RS"/>
        </w:rPr>
        <w:t>по коме су</w:t>
      </w:r>
      <w:r w:rsidR="00943D6B" w:rsidRPr="0DD3B114">
        <w:rPr>
          <w:rFonts w:ascii="Arial" w:hAnsi="Arial" w:cs="Arial"/>
          <w:sz w:val="20"/>
          <w:szCs w:val="20"/>
          <w:lang w:val="sr-Cyrl-RS"/>
        </w:rPr>
        <w:t xml:space="preserve"> ЈЛС и АП надлежне у оним пословима које је сврс</w:t>
      </w:r>
      <w:r w:rsidR="00206A60" w:rsidRPr="0DD3B114">
        <w:rPr>
          <w:rFonts w:ascii="Arial" w:hAnsi="Arial" w:cs="Arial"/>
          <w:sz w:val="20"/>
          <w:szCs w:val="20"/>
          <w:lang w:val="sr-Cyrl-RS"/>
        </w:rPr>
        <w:t>ис</w:t>
      </w:r>
      <w:r w:rsidR="00943D6B" w:rsidRPr="0DD3B114">
        <w:rPr>
          <w:rFonts w:ascii="Arial" w:hAnsi="Arial" w:cs="Arial"/>
          <w:sz w:val="20"/>
          <w:szCs w:val="20"/>
          <w:lang w:val="sr-Cyrl-RS"/>
        </w:rPr>
        <w:t>х</w:t>
      </w:r>
      <w:r w:rsidR="00206A60" w:rsidRPr="0DD3B114">
        <w:rPr>
          <w:rFonts w:ascii="Arial" w:hAnsi="Arial" w:cs="Arial"/>
          <w:sz w:val="20"/>
          <w:szCs w:val="20"/>
          <w:lang w:val="sr-Cyrl-RS"/>
        </w:rPr>
        <w:t>о</w:t>
      </w:r>
      <w:r w:rsidR="00943D6B" w:rsidRPr="0DD3B114">
        <w:rPr>
          <w:rFonts w:ascii="Arial" w:hAnsi="Arial" w:cs="Arial"/>
          <w:sz w:val="20"/>
          <w:szCs w:val="20"/>
          <w:lang w:val="sr-Cyrl-RS"/>
        </w:rPr>
        <w:t>дно да оне обављају</w:t>
      </w:r>
      <w:r w:rsidR="005C7182" w:rsidRPr="0DD3B114">
        <w:rPr>
          <w:rFonts w:ascii="Arial" w:hAnsi="Arial" w:cs="Arial"/>
          <w:sz w:val="20"/>
          <w:szCs w:val="20"/>
          <w:lang w:val="sr-Cyrl-RS"/>
        </w:rPr>
        <w:t>,</w:t>
      </w:r>
      <w:r w:rsidR="00943D6B" w:rsidRPr="0DD3B114">
        <w:rPr>
          <w:rFonts w:ascii="Arial" w:hAnsi="Arial" w:cs="Arial"/>
          <w:sz w:val="20"/>
          <w:szCs w:val="20"/>
          <w:lang w:val="sr-Cyrl-RS"/>
        </w:rPr>
        <w:t xml:space="preserve"> осим ако ти послови нису у надлежности државе</w:t>
      </w:r>
      <w:r w:rsidR="00122D3F" w:rsidRPr="0DD3B114">
        <w:rPr>
          <w:rFonts w:ascii="Arial" w:hAnsi="Arial" w:cs="Arial"/>
          <w:sz w:val="20"/>
          <w:szCs w:val="20"/>
          <w:lang w:val="sr-Cyrl-RS"/>
        </w:rPr>
        <w:t xml:space="preserve">, чини се </w:t>
      </w:r>
      <w:r w:rsidR="00BA2375" w:rsidRPr="0DD3B114">
        <w:rPr>
          <w:rFonts w:ascii="Arial" w:hAnsi="Arial" w:cs="Arial"/>
          <w:sz w:val="20"/>
          <w:szCs w:val="20"/>
          <w:lang w:val="sr-Cyrl-RS"/>
        </w:rPr>
        <w:t xml:space="preserve">да </w:t>
      </w:r>
      <w:r w:rsidR="00007DFF" w:rsidRPr="0DD3B114">
        <w:rPr>
          <w:rFonts w:ascii="Arial" w:hAnsi="Arial" w:cs="Arial"/>
          <w:sz w:val="20"/>
          <w:szCs w:val="20"/>
          <w:lang w:val="sr-Cyrl-RS"/>
        </w:rPr>
        <w:t xml:space="preserve">нема препрека </w:t>
      </w:r>
      <w:r w:rsidR="00122D3F" w:rsidRPr="0DD3B114">
        <w:rPr>
          <w:rFonts w:ascii="Arial" w:hAnsi="Arial" w:cs="Arial"/>
          <w:sz w:val="20"/>
          <w:szCs w:val="20"/>
          <w:lang w:val="sr-Cyrl-RS"/>
        </w:rPr>
        <w:t xml:space="preserve">да се </w:t>
      </w:r>
      <w:r w:rsidR="00EF2C53" w:rsidRPr="0DD3B114">
        <w:rPr>
          <w:rFonts w:ascii="Arial" w:hAnsi="Arial" w:cs="Arial"/>
          <w:sz w:val="20"/>
          <w:szCs w:val="20"/>
          <w:lang w:val="sr-Cyrl-RS"/>
        </w:rPr>
        <w:t xml:space="preserve">ЕПЛС </w:t>
      </w:r>
      <w:r w:rsidR="00122D3F" w:rsidRPr="0DD3B114">
        <w:rPr>
          <w:rFonts w:ascii="Arial" w:hAnsi="Arial" w:cs="Arial"/>
          <w:sz w:val="20"/>
          <w:szCs w:val="20"/>
          <w:lang w:val="sr-Cyrl-RS"/>
        </w:rPr>
        <w:t>ратификује у овом делу.</w:t>
      </w:r>
    </w:p>
    <w:p w14:paraId="047F27F7" w14:textId="77777777" w:rsidR="00F040BE" w:rsidRPr="00A021B7" w:rsidRDefault="00F040BE" w:rsidP="0DD3B114">
      <w:pPr>
        <w:ind w:firstLine="720"/>
        <w:jc w:val="both"/>
        <w:rPr>
          <w:rFonts w:ascii="Arial" w:hAnsi="Arial" w:cs="Arial"/>
          <w:sz w:val="20"/>
          <w:szCs w:val="20"/>
          <w:lang w:val="sr-Cyrl-RS"/>
        </w:rPr>
      </w:pPr>
    </w:p>
    <w:p w14:paraId="1D2CF251" w14:textId="3545B5FC" w:rsidR="008405D3" w:rsidRPr="00A021B7" w:rsidRDefault="062234C0" w:rsidP="0DD3B114">
      <w:pPr>
        <w:ind w:firstLine="720"/>
        <w:jc w:val="both"/>
        <w:rPr>
          <w:rFonts w:ascii="Arial" w:hAnsi="Arial" w:cs="Arial"/>
          <w:sz w:val="20"/>
          <w:szCs w:val="20"/>
          <w:lang w:val="sr-Cyrl-RS"/>
        </w:rPr>
      </w:pPr>
      <w:r w:rsidRPr="00A021B7">
        <w:rPr>
          <w:rFonts w:ascii="Arial" w:hAnsi="Arial" w:cs="Arial"/>
          <w:sz w:val="20"/>
          <w:szCs w:val="20"/>
          <w:lang w:val="sr-Cyrl-RS"/>
        </w:rPr>
        <w:t>Србија није</w:t>
      </w:r>
      <w:r w:rsidR="6DEDB56C" w:rsidRPr="00A021B7">
        <w:rPr>
          <w:rFonts w:ascii="Arial" w:hAnsi="Arial" w:cs="Arial"/>
          <w:sz w:val="20"/>
          <w:szCs w:val="20"/>
          <w:lang w:val="sr-Cyrl-RS"/>
        </w:rPr>
        <w:t xml:space="preserve"> ратификов</w:t>
      </w:r>
      <w:r w:rsidRPr="00A021B7">
        <w:rPr>
          <w:rFonts w:ascii="Arial" w:hAnsi="Arial" w:cs="Arial"/>
          <w:sz w:val="20"/>
          <w:szCs w:val="20"/>
          <w:lang w:val="sr-Cyrl-RS"/>
        </w:rPr>
        <w:t>ала</w:t>
      </w:r>
      <w:r w:rsidR="6DEDB56C" w:rsidRPr="00A021B7">
        <w:rPr>
          <w:rFonts w:ascii="Arial" w:hAnsi="Arial" w:cs="Arial"/>
          <w:sz w:val="20"/>
          <w:szCs w:val="20"/>
          <w:lang w:val="sr-Cyrl-RS"/>
        </w:rPr>
        <w:t xml:space="preserve"> </w:t>
      </w:r>
      <w:r w:rsidRPr="00A021B7">
        <w:rPr>
          <w:rFonts w:ascii="Arial" w:hAnsi="Arial" w:cs="Arial"/>
          <w:sz w:val="20"/>
          <w:szCs w:val="20"/>
          <w:lang w:val="sr-Cyrl-RS"/>
        </w:rPr>
        <w:t xml:space="preserve">ни </w:t>
      </w:r>
      <w:r w:rsidR="6DEDB56C" w:rsidRPr="00A021B7">
        <w:rPr>
          <w:rFonts w:ascii="Arial" w:hAnsi="Arial" w:cs="Arial"/>
          <w:sz w:val="20"/>
          <w:szCs w:val="20"/>
          <w:lang w:val="sr-Cyrl-RS"/>
        </w:rPr>
        <w:t>став 5. истог члана</w:t>
      </w:r>
      <w:r w:rsidR="368F45C8" w:rsidRPr="00A021B7">
        <w:rPr>
          <w:rFonts w:ascii="Arial" w:hAnsi="Arial" w:cs="Arial"/>
          <w:sz w:val="20"/>
          <w:szCs w:val="20"/>
          <w:lang w:val="sr-Cyrl-RS"/>
        </w:rPr>
        <w:t>, који гласи:</w:t>
      </w:r>
      <w:r w:rsidR="6656D108" w:rsidRPr="00A021B7">
        <w:rPr>
          <w:rFonts w:ascii="Arial" w:hAnsi="Arial" w:cs="Arial"/>
          <w:sz w:val="20"/>
          <w:szCs w:val="20"/>
          <w:lang w:val="sr-Cyrl-RS"/>
        </w:rPr>
        <w:t xml:space="preserve"> „</w:t>
      </w:r>
      <w:r w:rsidR="24E222C4" w:rsidRPr="00A021B7">
        <w:rPr>
          <w:rFonts w:ascii="Arial" w:hAnsi="Arial" w:cs="Arial"/>
          <w:sz w:val="20"/>
          <w:szCs w:val="20"/>
          <w:lang w:val="sr-Cyrl-RS"/>
        </w:rPr>
        <w:t>Тамо где су им овлашћења додељена од стране централне или регионалне власти, локалним органима власти ће, у мери у којој је то могућно, бити дата пуна слобода одлучивања у прилагођавању својих активности локалним условима</w:t>
      </w:r>
      <w:r w:rsidR="00C10A77">
        <w:rPr>
          <w:rFonts w:ascii="Arial" w:hAnsi="Arial" w:cs="Arial"/>
          <w:sz w:val="20"/>
          <w:szCs w:val="20"/>
        </w:rPr>
        <w:t>”</w:t>
      </w:r>
      <w:r w:rsidR="7DC81031" w:rsidRPr="00A021B7">
        <w:rPr>
          <w:rFonts w:ascii="Arial" w:hAnsi="Arial" w:cs="Arial"/>
          <w:sz w:val="20"/>
          <w:szCs w:val="20"/>
          <w:lang w:val="sr-Cyrl-RS"/>
        </w:rPr>
        <w:t xml:space="preserve">. </w:t>
      </w:r>
      <w:r w:rsidR="6DEDB56C" w:rsidRPr="00A021B7">
        <w:rPr>
          <w:rFonts w:ascii="Arial" w:hAnsi="Arial" w:cs="Arial"/>
          <w:sz w:val="20"/>
          <w:szCs w:val="20"/>
          <w:lang w:val="sr-Cyrl-RS"/>
        </w:rPr>
        <w:t xml:space="preserve">Нератификовани члан 6. ЕПЛС утврђује </w:t>
      </w:r>
      <w:r w:rsidR="198F1067" w:rsidRPr="00A021B7">
        <w:rPr>
          <w:rFonts w:ascii="Arial" w:hAnsi="Arial" w:cs="Arial"/>
          <w:sz w:val="20"/>
          <w:szCs w:val="20"/>
          <w:lang w:val="sr-Cyrl-RS"/>
        </w:rPr>
        <w:t xml:space="preserve">начела </w:t>
      </w:r>
      <w:r w:rsidR="6DEDB56C" w:rsidRPr="00A021B7">
        <w:rPr>
          <w:rFonts w:ascii="Arial" w:hAnsi="Arial" w:cs="Arial"/>
          <w:sz w:val="20"/>
          <w:szCs w:val="20"/>
          <w:lang w:val="sr-Cyrl-RS"/>
        </w:rPr>
        <w:t xml:space="preserve">за успостављање адекватне управне структуре, у виду права локалних власти да ту структуру, у границама општијих законских одредби, прилагоде локалним потребама и да услове рада локалних службеника ускладе са захтевима </w:t>
      </w:r>
      <w:r w:rsidR="00C10A77">
        <w:rPr>
          <w:rFonts w:ascii="Arial" w:hAnsi="Arial" w:cs="Arial"/>
          <w:sz w:val="20"/>
          <w:szCs w:val="20"/>
          <w:lang w:val="sr-Cyrl-RS"/>
        </w:rPr>
        <w:t xml:space="preserve">у погледу </w:t>
      </w:r>
      <w:r w:rsidR="6DEDB56C" w:rsidRPr="00A021B7">
        <w:rPr>
          <w:rFonts w:ascii="Arial" w:hAnsi="Arial" w:cs="Arial"/>
          <w:sz w:val="20"/>
          <w:szCs w:val="20"/>
          <w:lang w:val="sr-Cyrl-RS"/>
        </w:rPr>
        <w:t>ангажовања особља високог квалитета</w:t>
      </w:r>
      <w:r w:rsidR="5D084F0D" w:rsidRPr="00A021B7">
        <w:rPr>
          <w:rFonts w:ascii="Arial" w:hAnsi="Arial" w:cs="Arial"/>
          <w:sz w:val="20"/>
          <w:szCs w:val="20"/>
          <w:lang w:val="sr-Cyrl-RS"/>
        </w:rPr>
        <w:t>,</w:t>
      </w:r>
      <w:r w:rsidR="6DEDB56C" w:rsidRPr="00A021B7">
        <w:rPr>
          <w:rFonts w:ascii="Arial" w:hAnsi="Arial" w:cs="Arial"/>
          <w:sz w:val="20"/>
          <w:szCs w:val="20"/>
          <w:lang w:val="sr-Cyrl-RS"/>
        </w:rPr>
        <w:t xml:space="preserve"> на основу способности и компетентности и уз стварање одговарајућих могућности за обуку, накнаде и напредовање у каријери. Други став члана 7. ЕПЛС, који такође није ратификован</w:t>
      </w:r>
      <w:r w:rsidR="00C10A77">
        <w:rPr>
          <w:rFonts w:ascii="Arial" w:hAnsi="Arial" w:cs="Arial"/>
          <w:sz w:val="20"/>
          <w:szCs w:val="20"/>
          <w:lang w:val="sr-Cyrl-RS"/>
        </w:rPr>
        <w:t>,</w:t>
      </w:r>
      <w:r w:rsidR="0894BE5F" w:rsidRPr="00A021B7">
        <w:rPr>
          <w:rFonts w:ascii="Arial" w:hAnsi="Arial" w:cs="Arial"/>
          <w:sz w:val="20"/>
          <w:szCs w:val="20"/>
          <w:lang w:val="sr-Cyrl-RS"/>
        </w:rPr>
        <w:t xml:space="preserve"> односи се на услове рада и гласи</w:t>
      </w:r>
      <w:r w:rsidR="24E222C4" w:rsidRPr="00A021B7">
        <w:rPr>
          <w:rFonts w:ascii="Arial" w:hAnsi="Arial" w:cs="Arial"/>
          <w:sz w:val="20"/>
          <w:szCs w:val="20"/>
          <w:lang w:val="sr-Cyrl-RS"/>
        </w:rPr>
        <w:t>: „Они треба да обухвате одговарајућу финансијску надокнаду трошкова који настану у току обављања посла о коме је реч, као и надокнаду, тамо где је то могућно, за губитак зараде или плате за посао који је обављен и одговарајућу заштиту социјалног осигурања.</w:t>
      </w:r>
      <w:r w:rsidR="00C10A77">
        <w:rPr>
          <w:rFonts w:ascii="Arial" w:hAnsi="Arial" w:cs="Arial"/>
          <w:sz w:val="20"/>
          <w:szCs w:val="20"/>
        </w:rPr>
        <w:t>”</w:t>
      </w:r>
      <w:r w:rsidR="00BD2F80" w:rsidRPr="00A021B7">
        <w:rPr>
          <w:rStyle w:val="FootnoteReference"/>
          <w:rFonts w:ascii="Arial" w:hAnsi="Arial" w:cs="Arial"/>
          <w:sz w:val="20"/>
          <w:szCs w:val="20"/>
          <w:lang w:val="sr-Cyrl-RS"/>
        </w:rPr>
        <w:footnoteReference w:id="8"/>
      </w:r>
      <w:r w:rsidR="6DEDB56C" w:rsidRPr="00A021B7">
        <w:rPr>
          <w:rFonts w:ascii="Arial" w:hAnsi="Arial" w:cs="Arial"/>
          <w:sz w:val="20"/>
          <w:szCs w:val="20"/>
          <w:lang w:val="sr-Cyrl-RS"/>
        </w:rPr>
        <w:t xml:space="preserve"> Коначно, према нератификованом ставу 3. члана 8</w:t>
      </w:r>
      <w:r w:rsidR="15162E79" w:rsidRPr="00A021B7">
        <w:rPr>
          <w:rFonts w:ascii="Arial" w:hAnsi="Arial" w:cs="Arial"/>
          <w:sz w:val="20"/>
          <w:szCs w:val="20"/>
          <w:lang w:val="sr-Cyrl-RS"/>
        </w:rPr>
        <w:t xml:space="preserve">, </w:t>
      </w:r>
      <w:r w:rsidR="6DEDB56C" w:rsidRPr="00A021B7">
        <w:rPr>
          <w:rFonts w:ascii="Arial" w:hAnsi="Arial" w:cs="Arial"/>
          <w:sz w:val="20"/>
          <w:szCs w:val="20"/>
          <w:lang w:val="sr-Cyrl-RS"/>
        </w:rPr>
        <w:t>ЕПЛС захтева се да</w:t>
      </w:r>
      <w:r w:rsidR="00C10A77">
        <w:rPr>
          <w:rFonts w:ascii="Arial" w:hAnsi="Arial" w:cs="Arial"/>
          <w:sz w:val="20"/>
          <w:szCs w:val="20"/>
          <w:lang w:val="sr-Cyrl-RS"/>
        </w:rPr>
        <w:t xml:space="preserve"> се</w:t>
      </w:r>
      <w:r w:rsidR="6DEDB56C" w:rsidRPr="00A021B7">
        <w:rPr>
          <w:rFonts w:ascii="Arial" w:hAnsi="Arial" w:cs="Arial"/>
          <w:sz w:val="20"/>
          <w:szCs w:val="20"/>
          <w:lang w:val="sr-Cyrl-RS"/>
        </w:rPr>
        <w:t xml:space="preserve"> у обављању надзора над локалним властима </w:t>
      </w:r>
      <w:r w:rsidR="6DEDB56C" w:rsidRPr="00A021B7" w:rsidDel="00C10A77">
        <w:rPr>
          <w:rFonts w:ascii="Arial" w:hAnsi="Arial" w:cs="Arial"/>
          <w:sz w:val="20"/>
          <w:szCs w:val="20"/>
          <w:lang w:val="sr-Cyrl-RS"/>
        </w:rPr>
        <w:t xml:space="preserve">буде </w:t>
      </w:r>
      <w:r w:rsidR="6DEDB56C" w:rsidRPr="00A021B7">
        <w:rPr>
          <w:rFonts w:ascii="Arial" w:hAnsi="Arial" w:cs="Arial"/>
          <w:sz w:val="20"/>
          <w:szCs w:val="20"/>
          <w:lang w:val="sr-Cyrl-RS"/>
        </w:rPr>
        <w:t>пошт</w:t>
      </w:r>
      <w:r w:rsidR="6DEDB56C" w:rsidRPr="00A021B7" w:rsidDel="00C10A77">
        <w:rPr>
          <w:rFonts w:ascii="Arial" w:hAnsi="Arial" w:cs="Arial"/>
          <w:sz w:val="20"/>
          <w:szCs w:val="20"/>
          <w:lang w:val="sr-Cyrl-RS"/>
        </w:rPr>
        <w:t>ован</w:t>
      </w:r>
      <w:r w:rsidR="3E86E5FD" w:rsidRPr="00A021B7" w:rsidDel="00C10A77">
        <w:rPr>
          <w:rFonts w:ascii="Arial" w:hAnsi="Arial" w:cs="Arial"/>
          <w:sz w:val="20"/>
          <w:szCs w:val="20"/>
          <w:lang w:val="sr-Cyrl-RS"/>
        </w:rPr>
        <w:t>о</w:t>
      </w:r>
      <w:r w:rsidR="6DEDB56C" w:rsidRPr="00A021B7">
        <w:rPr>
          <w:rFonts w:ascii="Arial" w:hAnsi="Arial" w:cs="Arial"/>
          <w:sz w:val="20"/>
          <w:szCs w:val="20"/>
          <w:lang w:val="sr-Cyrl-RS"/>
        </w:rPr>
        <w:t xml:space="preserve"> </w:t>
      </w:r>
      <w:r w:rsidR="3E86E5FD" w:rsidRPr="00A021B7">
        <w:rPr>
          <w:rFonts w:ascii="Arial" w:hAnsi="Arial" w:cs="Arial"/>
          <w:sz w:val="20"/>
          <w:szCs w:val="20"/>
          <w:lang w:val="sr-Cyrl-RS"/>
        </w:rPr>
        <w:t xml:space="preserve">начело </w:t>
      </w:r>
      <w:r w:rsidR="6DEDB56C" w:rsidRPr="00A021B7">
        <w:rPr>
          <w:rFonts w:ascii="Arial" w:hAnsi="Arial" w:cs="Arial"/>
          <w:sz w:val="20"/>
          <w:szCs w:val="20"/>
          <w:lang w:val="sr-Cyrl-RS"/>
        </w:rPr>
        <w:t xml:space="preserve">сразмерности (између интервенције контролне власти и значаја интереса који треба да </w:t>
      </w:r>
      <w:r w:rsidR="3E86E5FD" w:rsidRPr="00A021B7">
        <w:rPr>
          <w:rFonts w:ascii="Arial" w:hAnsi="Arial" w:cs="Arial"/>
          <w:sz w:val="20"/>
          <w:szCs w:val="20"/>
          <w:lang w:val="sr-Cyrl-RS"/>
        </w:rPr>
        <w:t xml:space="preserve">се њоме </w:t>
      </w:r>
      <w:r w:rsidR="6DEDB56C" w:rsidRPr="00A021B7">
        <w:rPr>
          <w:rFonts w:ascii="Arial" w:hAnsi="Arial" w:cs="Arial"/>
          <w:sz w:val="20"/>
          <w:szCs w:val="20"/>
          <w:lang w:val="sr-Cyrl-RS"/>
        </w:rPr>
        <w:t>штити).</w:t>
      </w:r>
    </w:p>
    <w:p w14:paraId="6058E11E" w14:textId="77777777" w:rsidR="008405D3" w:rsidRPr="00A021B7" w:rsidRDefault="008405D3" w:rsidP="0DD3B114">
      <w:pPr>
        <w:ind w:firstLine="720"/>
        <w:jc w:val="both"/>
        <w:rPr>
          <w:rFonts w:ascii="Arial" w:hAnsi="Arial" w:cs="Arial"/>
          <w:sz w:val="20"/>
          <w:szCs w:val="20"/>
          <w:lang w:val="sr-Cyrl-RS"/>
        </w:rPr>
      </w:pPr>
    </w:p>
    <w:p w14:paraId="4CC137FB" w14:textId="7F278FE5" w:rsidR="001F7E5F" w:rsidRPr="00A021B7" w:rsidRDefault="2D6AC670" w:rsidP="0DD3B114">
      <w:pPr>
        <w:ind w:firstLine="720"/>
        <w:jc w:val="both"/>
        <w:rPr>
          <w:rFonts w:ascii="Arial" w:hAnsi="Arial" w:cs="Arial"/>
          <w:sz w:val="20"/>
          <w:szCs w:val="20"/>
          <w:lang w:val="sr-Cyrl-RS"/>
        </w:rPr>
      </w:pPr>
      <w:r w:rsidRPr="00A021B7">
        <w:rPr>
          <w:rFonts w:ascii="Arial" w:hAnsi="Arial" w:cs="Arial"/>
          <w:sz w:val="20"/>
          <w:szCs w:val="20"/>
          <w:lang w:val="sr-Cyrl-RS"/>
        </w:rPr>
        <w:t xml:space="preserve">Поред тога што значајан део ЕПЛС није ратификован, ни </w:t>
      </w:r>
      <w:r w:rsidR="3E86E5FD" w:rsidRPr="00A021B7">
        <w:rPr>
          <w:rFonts w:ascii="Arial" w:hAnsi="Arial" w:cs="Arial"/>
          <w:sz w:val="20"/>
          <w:szCs w:val="20"/>
          <w:lang w:val="sr-Cyrl-RS"/>
        </w:rPr>
        <w:t xml:space="preserve">начела садржана </w:t>
      </w:r>
      <w:r w:rsidR="25C2F627" w:rsidRPr="00A021B7">
        <w:rPr>
          <w:rFonts w:ascii="Arial" w:hAnsi="Arial" w:cs="Arial"/>
          <w:sz w:val="20"/>
          <w:szCs w:val="20"/>
          <w:lang w:val="sr-Cyrl-RS"/>
        </w:rPr>
        <w:t xml:space="preserve">у појединим одредбама </w:t>
      </w:r>
      <w:r w:rsidRPr="00A021B7">
        <w:rPr>
          <w:rFonts w:ascii="Arial" w:hAnsi="Arial" w:cs="Arial"/>
          <w:sz w:val="20"/>
          <w:szCs w:val="20"/>
          <w:lang w:val="sr-Cyrl-RS"/>
        </w:rPr>
        <w:t>ЕПЛС нису</w:t>
      </w:r>
      <w:r w:rsidR="25C2F627" w:rsidRPr="00A021B7">
        <w:rPr>
          <w:rFonts w:ascii="Arial" w:hAnsi="Arial" w:cs="Arial"/>
          <w:sz w:val="20"/>
          <w:szCs w:val="20"/>
          <w:lang w:val="sr-Cyrl-RS"/>
        </w:rPr>
        <w:t xml:space="preserve"> доследн</w:t>
      </w:r>
      <w:r w:rsidRPr="00A021B7">
        <w:rPr>
          <w:rFonts w:ascii="Arial" w:hAnsi="Arial" w:cs="Arial"/>
          <w:sz w:val="20"/>
          <w:szCs w:val="20"/>
          <w:lang w:val="sr-Cyrl-RS"/>
        </w:rPr>
        <w:t xml:space="preserve">о </w:t>
      </w:r>
      <w:r w:rsidR="5FCBEDB0" w:rsidRPr="00A021B7">
        <w:rPr>
          <w:rFonts w:ascii="Arial" w:hAnsi="Arial" w:cs="Arial"/>
          <w:sz w:val="20"/>
          <w:szCs w:val="20"/>
          <w:lang w:val="sr-Cyrl-RS"/>
        </w:rPr>
        <w:t xml:space="preserve">изражена </w:t>
      </w:r>
      <w:r w:rsidR="25C2F627" w:rsidRPr="00A021B7">
        <w:rPr>
          <w:rFonts w:ascii="Arial" w:hAnsi="Arial" w:cs="Arial"/>
          <w:sz w:val="20"/>
          <w:szCs w:val="20"/>
          <w:lang w:val="sr-Cyrl-RS"/>
        </w:rPr>
        <w:t>у домаћем законодавству</w:t>
      </w:r>
      <w:r w:rsidR="6C375E42" w:rsidRPr="00A021B7">
        <w:rPr>
          <w:rFonts w:ascii="Arial" w:hAnsi="Arial" w:cs="Arial"/>
          <w:sz w:val="20"/>
          <w:szCs w:val="20"/>
          <w:lang w:val="sr-Cyrl-RS"/>
        </w:rPr>
        <w:t xml:space="preserve"> и пракси</w:t>
      </w:r>
      <w:r w:rsidRPr="00A021B7">
        <w:rPr>
          <w:rFonts w:ascii="Arial" w:hAnsi="Arial" w:cs="Arial"/>
          <w:sz w:val="20"/>
          <w:szCs w:val="20"/>
          <w:lang w:val="sr-Cyrl-RS"/>
        </w:rPr>
        <w:t>. П</w:t>
      </w:r>
      <w:r w:rsidR="25C2F627" w:rsidRPr="00A021B7">
        <w:rPr>
          <w:rFonts w:ascii="Arial" w:hAnsi="Arial" w:cs="Arial"/>
          <w:sz w:val="20"/>
          <w:szCs w:val="20"/>
          <w:lang w:val="sr-Cyrl-RS"/>
        </w:rPr>
        <w:t xml:space="preserve">осебно </w:t>
      </w:r>
      <w:r w:rsidRPr="00A021B7">
        <w:rPr>
          <w:rFonts w:ascii="Arial" w:hAnsi="Arial" w:cs="Arial"/>
          <w:sz w:val="20"/>
          <w:szCs w:val="20"/>
          <w:lang w:val="sr-Cyrl-RS"/>
        </w:rPr>
        <w:t xml:space="preserve">је </w:t>
      </w:r>
      <w:r w:rsidR="25C2F627" w:rsidRPr="00A021B7">
        <w:rPr>
          <w:rFonts w:ascii="Arial" w:hAnsi="Arial" w:cs="Arial"/>
          <w:sz w:val="20"/>
          <w:szCs w:val="20"/>
          <w:lang w:val="sr-Cyrl-RS"/>
        </w:rPr>
        <w:t>уочљива потреба д</w:t>
      </w:r>
      <w:r w:rsidRPr="00A021B7">
        <w:rPr>
          <w:rFonts w:ascii="Arial" w:hAnsi="Arial" w:cs="Arial"/>
          <w:sz w:val="20"/>
          <w:szCs w:val="20"/>
          <w:lang w:val="sr-Cyrl-RS"/>
        </w:rPr>
        <w:t xml:space="preserve">а </w:t>
      </w:r>
      <w:r w:rsidR="25C2F627" w:rsidRPr="00A021B7">
        <w:rPr>
          <w:rFonts w:ascii="Arial" w:hAnsi="Arial" w:cs="Arial"/>
          <w:sz w:val="20"/>
          <w:szCs w:val="20"/>
          <w:lang w:val="sr-Cyrl-RS"/>
        </w:rPr>
        <w:t xml:space="preserve">се развојем додатних законских механизама, адекватнијих инструмената надзора и, нарочито, оспособљавањем самих локалних власти за одговорније вршење </w:t>
      </w:r>
      <w:r w:rsidR="25C2F627" w:rsidRPr="00A021B7" w:rsidDel="00C10A77">
        <w:rPr>
          <w:rFonts w:ascii="Arial" w:hAnsi="Arial" w:cs="Arial"/>
          <w:sz w:val="20"/>
          <w:szCs w:val="20"/>
          <w:lang w:val="sr-Cyrl-RS"/>
        </w:rPr>
        <w:t xml:space="preserve">својих </w:t>
      </w:r>
      <w:r w:rsidR="25C2F627" w:rsidRPr="00A021B7">
        <w:rPr>
          <w:rFonts w:ascii="Arial" w:hAnsi="Arial" w:cs="Arial"/>
          <w:sz w:val="20"/>
          <w:szCs w:val="20"/>
          <w:lang w:val="sr-Cyrl-RS"/>
        </w:rPr>
        <w:t xml:space="preserve">функција, спрече одступања у пракси од Уставом и законом пројектованих решења. Ово се нарочито односи на </w:t>
      </w:r>
      <w:r w:rsidR="5FCBEDB0" w:rsidRPr="00A021B7">
        <w:rPr>
          <w:rFonts w:ascii="Arial" w:hAnsi="Arial" w:cs="Arial"/>
          <w:sz w:val="20"/>
          <w:szCs w:val="20"/>
          <w:lang w:val="sr-Cyrl-RS"/>
        </w:rPr>
        <w:t xml:space="preserve">начела </w:t>
      </w:r>
      <w:r w:rsidR="25C2F627" w:rsidRPr="00A021B7">
        <w:rPr>
          <w:rFonts w:ascii="Arial" w:hAnsi="Arial" w:cs="Arial"/>
          <w:sz w:val="20"/>
          <w:szCs w:val="20"/>
          <w:lang w:val="sr-Cyrl-RS"/>
        </w:rPr>
        <w:t>Повеље кој</w:t>
      </w:r>
      <w:r w:rsidR="00C10A77">
        <w:rPr>
          <w:rFonts w:ascii="Arial" w:hAnsi="Arial" w:cs="Arial"/>
          <w:sz w:val="20"/>
          <w:szCs w:val="20"/>
          <w:lang w:val="sr-Cyrl-RS"/>
        </w:rPr>
        <w:t>а</w:t>
      </w:r>
      <w:r w:rsidR="25C2F627" w:rsidRPr="00A021B7">
        <w:rPr>
          <w:rFonts w:ascii="Arial" w:hAnsi="Arial" w:cs="Arial"/>
          <w:sz w:val="20"/>
          <w:szCs w:val="20"/>
          <w:lang w:val="sr-Cyrl-RS"/>
        </w:rPr>
        <w:t xml:space="preserve"> се тичу непосредног учешћа грађана у остваривању локалне самоуправе (члан 3. став 2</w:t>
      </w:r>
      <w:r w:rsidR="25C2F627" w:rsidRPr="00A021B7" w:rsidDel="00442BF0">
        <w:rPr>
          <w:rFonts w:ascii="Arial" w:hAnsi="Arial" w:cs="Arial"/>
          <w:sz w:val="20"/>
          <w:szCs w:val="20"/>
          <w:lang w:val="sr-Cyrl-RS"/>
        </w:rPr>
        <w:t>. Повеље</w:t>
      </w:r>
      <w:r w:rsidR="25C2F627" w:rsidRPr="00A021B7">
        <w:rPr>
          <w:rFonts w:ascii="Arial" w:hAnsi="Arial" w:cs="Arial"/>
          <w:sz w:val="20"/>
          <w:szCs w:val="20"/>
          <w:lang w:val="sr-Cyrl-RS"/>
        </w:rPr>
        <w:t>), делокруга и права на консултовање локалне самоуправе (члан 4</w:t>
      </w:r>
      <w:r w:rsidR="25C2F627" w:rsidRPr="00A021B7" w:rsidDel="00442BF0">
        <w:rPr>
          <w:rFonts w:ascii="Arial" w:hAnsi="Arial" w:cs="Arial"/>
          <w:sz w:val="20"/>
          <w:szCs w:val="20"/>
          <w:lang w:val="sr-Cyrl-RS"/>
        </w:rPr>
        <w:t>. Повеље</w:t>
      </w:r>
      <w:r w:rsidR="25C2F627" w:rsidRPr="00A021B7">
        <w:rPr>
          <w:rFonts w:ascii="Arial" w:hAnsi="Arial" w:cs="Arial"/>
          <w:sz w:val="20"/>
          <w:szCs w:val="20"/>
          <w:lang w:val="sr-Cyrl-RS"/>
        </w:rPr>
        <w:t>), управног надзора од стране централних органа (члан 8</w:t>
      </w:r>
      <w:r w:rsidR="25C2F627" w:rsidRPr="00A021B7" w:rsidDel="00442BF0">
        <w:rPr>
          <w:rFonts w:ascii="Arial" w:hAnsi="Arial" w:cs="Arial"/>
          <w:sz w:val="20"/>
          <w:szCs w:val="20"/>
          <w:lang w:val="sr-Cyrl-RS"/>
        </w:rPr>
        <w:t>. Повеље</w:t>
      </w:r>
      <w:r w:rsidR="25C2F627" w:rsidRPr="00A021B7">
        <w:rPr>
          <w:rFonts w:ascii="Arial" w:hAnsi="Arial" w:cs="Arial"/>
          <w:sz w:val="20"/>
          <w:szCs w:val="20"/>
          <w:lang w:val="sr-Cyrl-RS"/>
        </w:rPr>
        <w:t>) и финансирања локалне самоуправе (члан 9</w:t>
      </w:r>
      <w:r w:rsidR="25C2F627" w:rsidRPr="00A021B7" w:rsidDel="00442BF0">
        <w:rPr>
          <w:rFonts w:ascii="Arial" w:hAnsi="Arial" w:cs="Arial"/>
          <w:sz w:val="20"/>
          <w:szCs w:val="20"/>
          <w:lang w:val="sr-Cyrl-RS"/>
        </w:rPr>
        <w:t>. Повеље</w:t>
      </w:r>
      <w:r w:rsidR="25C2F627" w:rsidRPr="00A021B7">
        <w:rPr>
          <w:rFonts w:ascii="Arial" w:hAnsi="Arial" w:cs="Arial"/>
          <w:sz w:val="20"/>
          <w:szCs w:val="20"/>
          <w:lang w:val="sr-Cyrl-RS"/>
        </w:rPr>
        <w:t xml:space="preserve">). </w:t>
      </w:r>
      <w:r w:rsidR="38CA3E2D" w:rsidRPr="00A021B7">
        <w:rPr>
          <w:rFonts w:ascii="Arial" w:hAnsi="Arial" w:cs="Arial"/>
          <w:sz w:val="20"/>
          <w:szCs w:val="20"/>
          <w:lang w:val="sr-Cyrl-RS"/>
        </w:rPr>
        <w:t xml:space="preserve">На одређене проблеме у вези са </w:t>
      </w:r>
      <w:r w:rsidR="1A04D3DA" w:rsidRPr="00A021B7">
        <w:rPr>
          <w:rFonts w:ascii="Arial" w:hAnsi="Arial" w:cs="Arial"/>
          <w:sz w:val="20"/>
          <w:szCs w:val="20"/>
          <w:lang w:val="sr-Cyrl-RS"/>
        </w:rPr>
        <w:t xml:space="preserve">спровођењем </w:t>
      </w:r>
      <w:r w:rsidR="38CA3E2D" w:rsidRPr="00A021B7">
        <w:rPr>
          <w:rFonts w:ascii="Arial" w:hAnsi="Arial" w:cs="Arial"/>
          <w:sz w:val="20"/>
          <w:szCs w:val="20"/>
          <w:lang w:val="sr-Cyrl-RS"/>
        </w:rPr>
        <w:t>ЕПЛС</w:t>
      </w:r>
      <w:r w:rsidR="1A04D3DA" w:rsidRPr="00A021B7">
        <w:rPr>
          <w:rFonts w:ascii="Arial" w:hAnsi="Arial" w:cs="Arial"/>
          <w:sz w:val="20"/>
          <w:szCs w:val="20"/>
          <w:lang w:val="sr-Cyrl-RS"/>
        </w:rPr>
        <w:t>,</w:t>
      </w:r>
      <w:r w:rsidR="38CA3E2D" w:rsidRPr="00A021B7">
        <w:rPr>
          <w:rFonts w:ascii="Arial" w:hAnsi="Arial" w:cs="Arial"/>
          <w:sz w:val="20"/>
          <w:szCs w:val="20"/>
          <w:lang w:val="sr-Cyrl-RS"/>
        </w:rPr>
        <w:t xml:space="preserve"> кој</w:t>
      </w:r>
      <w:r w:rsidR="57D0FBA2" w:rsidRPr="00A021B7">
        <w:rPr>
          <w:rFonts w:ascii="Arial" w:hAnsi="Arial" w:cs="Arial"/>
          <w:sz w:val="20"/>
          <w:szCs w:val="20"/>
          <w:lang w:val="sr-Cyrl-RS"/>
        </w:rPr>
        <w:t xml:space="preserve">е је потребно </w:t>
      </w:r>
      <w:r w:rsidR="00C10A77">
        <w:rPr>
          <w:rFonts w:ascii="Arial" w:hAnsi="Arial" w:cs="Arial"/>
          <w:sz w:val="20"/>
          <w:szCs w:val="20"/>
          <w:lang w:val="sr-Cyrl-RS"/>
        </w:rPr>
        <w:t>истаћи</w:t>
      </w:r>
      <w:r w:rsidR="00C10A77" w:rsidRPr="00A021B7">
        <w:rPr>
          <w:rFonts w:ascii="Arial" w:hAnsi="Arial" w:cs="Arial"/>
          <w:sz w:val="20"/>
          <w:szCs w:val="20"/>
          <w:lang w:val="sr-Cyrl-RS"/>
        </w:rPr>
        <w:t xml:space="preserve"> </w:t>
      </w:r>
      <w:r w:rsidR="38CA3E2D" w:rsidRPr="00A021B7" w:rsidDel="009924F5">
        <w:rPr>
          <w:rFonts w:ascii="Arial" w:hAnsi="Arial" w:cs="Arial"/>
          <w:sz w:val="20"/>
          <w:szCs w:val="20"/>
          <w:lang w:val="sr-Cyrl-RS"/>
        </w:rPr>
        <w:t>у наредном периоду</w:t>
      </w:r>
      <w:r w:rsidR="38CA3E2D" w:rsidRPr="00A021B7">
        <w:rPr>
          <w:rFonts w:ascii="Arial" w:hAnsi="Arial" w:cs="Arial"/>
          <w:sz w:val="20"/>
          <w:szCs w:val="20"/>
          <w:lang w:val="sr-Cyrl-RS"/>
        </w:rPr>
        <w:t xml:space="preserve">, указивано је и у извештајима и препорукама Комитета министара држава чланица Савета Европе и Конгреса локалних и регионалних власти Европе. Препоруке које се тичу унапређења локалне самоуправе заснивају се на извештајима о стању локалне самоуправе, а у њима се констатују уочене слабости у односу на поштовање појединих </w:t>
      </w:r>
      <w:r w:rsidR="005D7248">
        <w:rPr>
          <w:rFonts w:ascii="Arial" w:hAnsi="Arial" w:cs="Arial"/>
          <w:sz w:val="20"/>
          <w:szCs w:val="20"/>
          <w:lang w:val="sr-Cyrl-RS"/>
        </w:rPr>
        <w:t>начел</w:t>
      </w:r>
      <w:r w:rsidR="38CA3E2D" w:rsidRPr="00A021B7">
        <w:rPr>
          <w:rFonts w:ascii="Arial" w:hAnsi="Arial" w:cs="Arial"/>
          <w:sz w:val="20"/>
          <w:szCs w:val="20"/>
          <w:lang w:val="sr-Cyrl-RS"/>
        </w:rPr>
        <w:t xml:space="preserve">а ЕПЛС и дају предлози мера за унапређење стања. Тако су у препоруци за Републику Србију из 2017. године (Rec. 403/2017) међу слабостима констатовани: недостатак одговарајућих капацитета за извршавање функција ЈЛС, последице забране запошљавања на </w:t>
      </w:r>
      <w:r w:rsidR="38CA3E2D" w:rsidRPr="00A021B7" w:rsidDel="00CF7E7C">
        <w:rPr>
          <w:rFonts w:ascii="Arial" w:hAnsi="Arial" w:cs="Arial"/>
          <w:sz w:val="20"/>
          <w:szCs w:val="20"/>
          <w:lang w:val="sr-Cyrl-RS"/>
        </w:rPr>
        <w:t xml:space="preserve">регрутовање </w:t>
      </w:r>
      <w:r w:rsidR="38CA3E2D" w:rsidRPr="00A021B7">
        <w:rPr>
          <w:rFonts w:ascii="Arial" w:hAnsi="Arial" w:cs="Arial"/>
          <w:sz w:val="20"/>
          <w:szCs w:val="20"/>
          <w:lang w:val="sr-Cyrl-RS"/>
        </w:rPr>
        <w:t xml:space="preserve">службеника, одсуство јасних законских решења о овлашћењима привременог органа који обавља функције распуштене скупштине, смањење финансијских </w:t>
      </w:r>
      <w:r w:rsidR="38CA3E2D" w:rsidRPr="00A021B7">
        <w:rPr>
          <w:rFonts w:ascii="Arial" w:hAnsi="Arial" w:cs="Arial"/>
          <w:sz w:val="20"/>
          <w:szCs w:val="20"/>
          <w:lang w:val="sr-Cyrl-RS"/>
        </w:rPr>
        <w:lastRenderedPageBreak/>
        <w:t>средстава којима располаже локална самоуправа, недостатак критеријума за доделу средстава из буџетске резерве и транспаре</w:t>
      </w:r>
      <w:r w:rsidR="58B31ED3" w:rsidRPr="00A021B7">
        <w:rPr>
          <w:rFonts w:ascii="Arial" w:hAnsi="Arial" w:cs="Arial"/>
          <w:sz w:val="20"/>
          <w:szCs w:val="20"/>
          <w:lang w:val="sr-Cyrl-RS"/>
        </w:rPr>
        <w:t>н</w:t>
      </w:r>
      <w:r w:rsidR="38CA3E2D" w:rsidRPr="00A021B7">
        <w:rPr>
          <w:rFonts w:ascii="Arial" w:hAnsi="Arial" w:cs="Arial"/>
          <w:sz w:val="20"/>
          <w:szCs w:val="20"/>
          <w:lang w:val="sr-Cyrl-RS"/>
        </w:rPr>
        <w:t>тности у процесу финансијског уједначавања.</w:t>
      </w:r>
      <w:r w:rsidR="001F7E5F" w:rsidRPr="00A021B7">
        <w:rPr>
          <w:rStyle w:val="FootnoteReference"/>
          <w:rFonts w:ascii="Arial" w:hAnsi="Arial" w:cs="Arial"/>
          <w:sz w:val="20"/>
          <w:szCs w:val="20"/>
          <w:lang w:val="sr-Cyrl-RS"/>
        </w:rPr>
        <w:footnoteReference w:id="9"/>
      </w:r>
      <w:r w:rsidR="38CA3E2D" w:rsidRPr="00A021B7">
        <w:rPr>
          <w:rFonts w:ascii="Arial" w:hAnsi="Arial" w:cs="Arial"/>
          <w:sz w:val="20"/>
          <w:szCs w:val="20"/>
          <w:lang w:val="sr-Cyrl-RS"/>
        </w:rPr>
        <w:t xml:space="preserve"> </w:t>
      </w:r>
    </w:p>
    <w:p w14:paraId="2B8D6A3B" w14:textId="77777777" w:rsidR="00A96F51" w:rsidRPr="00A021B7" w:rsidRDefault="00A96F51" w:rsidP="0DD3B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hAnsi="Arial" w:cs="Arial"/>
          <w:color w:val="000000"/>
          <w:sz w:val="20"/>
          <w:szCs w:val="20"/>
          <w:lang w:val="sr-Cyrl-RS"/>
        </w:rPr>
      </w:pPr>
    </w:p>
    <w:p w14:paraId="6B312F4D" w14:textId="61B22E7E" w:rsidR="00B63D21" w:rsidRPr="00A021B7" w:rsidRDefault="727FFB5B" w:rsidP="0DD3B114">
      <w:pPr>
        <w:ind w:firstLine="720"/>
        <w:jc w:val="both"/>
        <w:rPr>
          <w:rFonts w:ascii="Arial" w:hAnsi="Arial" w:cs="Arial"/>
          <w:sz w:val="20"/>
          <w:szCs w:val="20"/>
          <w:lang w:val="sr-Cyrl-RS"/>
        </w:rPr>
      </w:pPr>
      <w:r w:rsidRPr="00A021B7">
        <w:rPr>
          <w:rFonts w:ascii="Arial" w:hAnsi="Arial" w:cs="Arial"/>
          <w:sz w:val="20"/>
          <w:szCs w:val="20"/>
          <w:lang w:val="sr-Cyrl-RS"/>
        </w:rPr>
        <w:t xml:space="preserve">Системски правни оквир тежио је успостављању система локалне самоуправе као једнообразног (монотипског) система, јер општине, градови и </w:t>
      </w:r>
      <w:r w:rsidRPr="00A021B7" w:rsidDel="00CE5513">
        <w:rPr>
          <w:rFonts w:ascii="Arial" w:hAnsi="Arial" w:cs="Arial"/>
          <w:sz w:val="20"/>
          <w:szCs w:val="20"/>
          <w:lang w:val="sr-Cyrl-RS"/>
        </w:rPr>
        <w:t>г</w:t>
      </w:r>
      <w:r w:rsidRPr="00A021B7">
        <w:rPr>
          <w:rFonts w:ascii="Arial" w:hAnsi="Arial" w:cs="Arial"/>
          <w:sz w:val="20"/>
          <w:szCs w:val="20"/>
          <w:lang w:val="sr-Cyrl-RS"/>
        </w:rPr>
        <w:t xml:space="preserve">рад Београд имају у основи исти положај, исте органе и надлежности. </w:t>
      </w:r>
      <w:r w:rsidR="17BDF03E" w:rsidRPr="00A021B7">
        <w:rPr>
          <w:rFonts w:ascii="Arial" w:hAnsi="Arial" w:cs="Arial"/>
          <w:sz w:val="20"/>
          <w:szCs w:val="20"/>
          <w:lang w:val="sr-Cyrl-RS"/>
        </w:rPr>
        <w:t>О мон</w:t>
      </w:r>
      <w:r w:rsidR="551B75A7" w:rsidRPr="00A021B7">
        <w:rPr>
          <w:rFonts w:ascii="Arial" w:hAnsi="Arial" w:cs="Arial"/>
          <w:sz w:val="20"/>
          <w:szCs w:val="20"/>
          <w:lang w:val="sr-Cyrl-RS"/>
        </w:rPr>
        <w:t>отипности</w:t>
      </w:r>
      <w:r w:rsidR="0ECAE4FA" w:rsidRPr="00A021B7" w:rsidDel="006821AA">
        <w:rPr>
          <w:rFonts w:ascii="Arial" w:hAnsi="Arial" w:cs="Arial"/>
          <w:sz w:val="20"/>
          <w:szCs w:val="20"/>
          <w:lang w:val="sr-Cyrl-RS"/>
        </w:rPr>
        <w:t xml:space="preserve"> </w:t>
      </w:r>
      <w:r w:rsidR="17BDF03E" w:rsidRPr="00A021B7">
        <w:rPr>
          <w:rFonts w:ascii="Arial" w:hAnsi="Arial" w:cs="Arial"/>
          <w:sz w:val="20"/>
          <w:szCs w:val="20"/>
          <w:lang w:val="sr-Cyrl-RS"/>
        </w:rPr>
        <w:t>или политипности</w:t>
      </w:r>
      <w:r w:rsidR="00DB09A6" w:rsidRPr="00A021B7">
        <w:rPr>
          <w:rStyle w:val="FootnoteReference"/>
          <w:rFonts w:ascii="Arial" w:hAnsi="Arial" w:cs="Arial"/>
          <w:sz w:val="20"/>
          <w:szCs w:val="20"/>
          <w:lang w:val="sr-Cyrl-RS"/>
        </w:rPr>
        <w:footnoteReference w:id="10"/>
      </w:r>
      <w:r w:rsidR="17BDF03E" w:rsidRPr="00A021B7">
        <w:rPr>
          <w:rFonts w:ascii="Arial" w:hAnsi="Arial" w:cs="Arial"/>
          <w:sz w:val="20"/>
          <w:szCs w:val="20"/>
          <w:lang w:val="sr-Cyrl-RS"/>
        </w:rPr>
        <w:t xml:space="preserve"> конкретног система локалне самоуправе не може </w:t>
      </w:r>
      <w:r w:rsidR="4AA71390" w:rsidRPr="00A021B7">
        <w:rPr>
          <w:rFonts w:ascii="Arial" w:hAnsi="Arial" w:cs="Arial"/>
          <w:sz w:val="20"/>
          <w:szCs w:val="20"/>
          <w:lang w:val="sr-Cyrl-RS"/>
        </w:rPr>
        <w:t xml:space="preserve">се </w:t>
      </w:r>
      <w:r w:rsidR="17BDF03E" w:rsidRPr="00A021B7">
        <w:rPr>
          <w:rFonts w:ascii="Arial" w:hAnsi="Arial" w:cs="Arial"/>
          <w:sz w:val="20"/>
          <w:szCs w:val="20"/>
          <w:lang w:val="sr-Cyrl-RS"/>
        </w:rPr>
        <w:t>увек једнозначно говорити</w:t>
      </w:r>
      <w:r w:rsidR="4AA71390" w:rsidRPr="00A021B7">
        <w:rPr>
          <w:rFonts w:ascii="Arial" w:hAnsi="Arial" w:cs="Arial"/>
          <w:sz w:val="20"/>
          <w:szCs w:val="20"/>
          <w:lang w:val="sr-Cyrl-RS"/>
        </w:rPr>
        <w:t>,</w:t>
      </w:r>
      <w:r w:rsidR="17BDF03E" w:rsidRPr="00A021B7">
        <w:rPr>
          <w:rFonts w:ascii="Arial" w:hAnsi="Arial" w:cs="Arial"/>
          <w:sz w:val="20"/>
          <w:szCs w:val="20"/>
          <w:lang w:val="sr-Cyrl-RS"/>
        </w:rPr>
        <w:t xml:space="preserve"> јер није реч о искључивим обележјима, будући да један систем може бити претежно</w:t>
      </w:r>
      <w:r w:rsidR="4AA71390" w:rsidRPr="00A021B7">
        <w:rPr>
          <w:rFonts w:ascii="Arial" w:hAnsi="Arial" w:cs="Arial"/>
          <w:sz w:val="20"/>
          <w:szCs w:val="20"/>
          <w:lang w:val="sr-Cyrl-RS"/>
        </w:rPr>
        <w:t>,</w:t>
      </w:r>
      <w:r w:rsidR="17BDF03E" w:rsidRPr="00A021B7">
        <w:rPr>
          <w:rFonts w:ascii="Arial" w:hAnsi="Arial" w:cs="Arial"/>
          <w:sz w:val="20"/>
          <w:szCs w:val="20"/>
          <w:lang w:val="sr-Cyrl-RS"/>
        </w:rPr>
        <w:t xml:space="preserve"> али не и искључиво монотипски односно политипски. Поред тога, само анализа прописа и кључних аката којим</w:t>
      </w:r>
      <w:r w:rsidR="00CE5513">
        <w:rPr>
          <w:rFonts w:ascii="Arial" w:hAnsi="Arial" w:cs="Arial"/>
          <w:sz w:val="20"/>
          <w:szCs w:val="20"/>
          <w:lang w:val="sr-Cyrl-RS"/>
        </w:rPr>
        <w:t>а</w:t>
      </w:r>
      <w:r w:rsidR="17BDF03E" w:rsidRPr="00A021B7">
        <w:rPr>
          <w:rFonts w:ascii="Arial" w:hAnsi="Arial" w:cs="Arial"/>
          <w:sz w:val="20"/>
          <w:szCs w:val="20"/>
          <w:lang w:val="sr-Cyrl-RS"/>
        </w:rPr>
        <w:t xml:space="preserve"> је дефинисан систем локалне самоуправе није довољна да би се прецизно могло говорити о овим категоријама</w:t>
      </w:r>
      <w:r w:rsidR="18E65AA1" w:rsidRPr="00A021B7">
        <w:rPr>
          <w:rFonts w:ascii="Arial" w:hAnsi="Arial" w:cs="Arial"/>
          <w:sz w:val="20"/>
          <w:szCs w:val="20"/>
          <w:lang w:val="sr-Cyrl-RS"/>
        </w:rPr>
        <w:t>,</w:t>
      </w:r>
      <w:r w:rsidR="17BDF03E" w:rsidRPr="00A021B7">
        <w:rPr>
          <w:rFonts w:ascii="Arial" w:hAnsi="Arial" w:cs="Arial"/>
          <w:sz w:val="20"/>
          <w:szCs w:val="20"/>
          <w:lang w:val="sr-Cyrl-RS"/>
        </w:rPr>
        <w:t xml:space="preserve"> јер у зависности од конкретизације бројних законских решења систем </w:t>
      </w:r>
      <w:r w:rsidR="17BDF03E" w:rsidRPr="00A021B7" w:rsidDel="00D85884">
        <w:rPr>
          <w:rFonts w:ascii="Arial" w:hAnsi="Arial" w:cs="Arial"/>
          <w:sz w:val="20"/>
          <w:szCs w:val="20"/>
          <w:lang w:val="sr-Cyrl-RS"/>
        </w:rPr>
        <w:t xml:space="preserve">локалне самоуправе </w:t>
      </w:r>
      <w:r w:rsidR="17BDF03E" w:rsidRPr="00A021B7">
        <w:rPr>
          <w:rFonts w:ascii="Arial" w:hAnsi="Arial" w:cs="Arial"/>
          <w:sz w:val="20"/>
          <w:szCs w:val="20"/>
          <w:lang w:val="sr-Cyrl-RS"/>
        </w:rPr>
        <w:t xml:space="preserve">може имати више карактеристика једног или другог модела. Тако, на пример, </w:t>
      </w:r>
      <w:r w:rsidR="16625F8D" w:rsidRPr="00A021B7">
        <w:rPr>
          <w:rFonts w:ascii="Arial" w:hAnsi="Arial" w:cs="Arial"/>
          <w:sz w:val="20"/>
          <w:szCs w:val="20"/>
          <w:lang w:val="sr-Cyrl-RS"/>
        </w:rPr>
        <w:t xml:space="preserve">иако </w:t>
      </w:r>
      <w:r w:rsidR="17BDF03E" w:rsidRPr="00A021B7">
        <w:rPr>
          <w:rFonts w:ascii="Arial" w:hAnsi="Arial" w:cs="Arial"/>
          <w:sz w:val="20"/>
          <w:szCs w:val="20"/>
          <w:lang w:val="sr-Cyrl-RS"/>
        </w:rPr>
        <w:t xml:space="preserve">Устав Србије као </w:t>
      </w:r>
      <w:r w:rsidR="0BDB6F10" w:rsidRPr="00A021B7">
        <w:rPr>
          <w:rFonts w:ascii="Arial" w:hAnsi="Arial" w:cs="Arial"/>
          <w:sz w:val="20"/>
          <w:szCs w:val="20"/>
          <w:lang w:val="sr-Cyrl-RS"/>
        </w:rPr>
        <w:t>ЈЛС</w:t>
      </w:r>
      <w:r w:rsidR="17BDF03E" w:rsidRPr="00A021B7">
        <w:rPr>
          <w:rFonts w:ascii="Arial" w:hAnsi="Arial" w:cs="Arial"/>
          <w:sz w:val="20"/>
          <w:szCs w:val="20"/>
          <w:lang w:val="sr-Cyrl-RS"/>
        </w:rPr>
        <w:t xml:space="preserve"> разликује општине, градове и </w:t>
      </w:r>
      <w:r w:rsidR="17BDF03E" w:rsidRPr="00A021B7" w:rsidDel="00CE5513">
        <w:rPr>
          <w:rFonts w:ascii="Arial" w:hAnsi="Arial" w:cs="Arial"/>
          <w:sz w:val="20"/>
          <w:szCs w:val="20"/>
          <w:lang w:val="sr-Cyrl-RS"/>
        </w:rPr>
        <w:t>г</w:t>
      </w:r>
      <w:r w:rsidR="17BDF03E" w:rsidRPr="00A021B7">
        <w:rPr>
          <w:rFonts w:ascii="Arial" w:hAnsi="Arial" w:cs="Arial"/>
          <w:sz w:val="20"/>
          <w:szCs w:val="20"/>
          <w:lang w:val="sr-Cyrl-RS"/>
        </w:rPr>
        <w:t>рад Београд, што може бити основа за полит</w:t>
      </w:r>
      <w:r w:rsidR="6FBA0D42" w:rsidRPr="00A021B7">
        <w:rPr>
          <w:rFonts w:ascii="Arial" w:hAnsi="Arial" w:cs="Arial"/>
          <w:sz w:val="20"/>
          <w:szCs w:val="20"/>
          <w:lang w:val="sr-Cyrl-RS"/>
        </w:rPr>
        <w:t>и</w:t>
      </w:r>
      <w:r w:rsidR="17BDF03E" w:rsidRPr="00A021B7">
        <w:rPr>
          <w:rFonts w:ascii="Arial" w:hAnsi="Arial" w:cs="Arial"/>
          <w:sz w:val="20"/>
          <w:szCs w:val="20"/>
          <w:lang w:val="sr-Cyrl-RS"/>
        </w:rPr>
        <w:t xml:space="preserve">пски приступ, тренутно стање у пракси је такво да ЈЛС са статусом града нису битно другачије од општина, што систем локалне самоуправе у Србији чини монотипским. </w:t>
      </w:r>
      <w:r w:rsidR="06C247F2" w:rsidRPr="00A021B7">
        <w:rPr>
          <w:rFonts w:ascii="Arial" w:hAnsi="Arial" w:cs="Arial"/>
          <w:sz w:val="20"/>
          <w:szCs w:val="20"/>
          <w:lang w:val="sr-Cyrl-RS"/>
        </w:rPr>
        <w:t xml:space="preserve">Разлике у погледу органа огледају </w:t>
      </w:r>
      <w:r w:rsidR="18E65AA1" w:rsidRPr="00A021B7">
        <w:rPr>
          <w:rFonts w:ascii="Arial" w:hAnsi="Arial" w:cs="Arial"/>
          <w:sz w:val="20"/>
          <w:szCs w:val="20"/>
          <w:lang w:val="sr-Cyrl-RS"/>
        </w:rPr>
        <w:t xml:space="preserve">се </w:t>
      </w:r>
      <w:r w:rsidR="06C247F2" w:rsidRPr="00A021B7">
        <w:rPr>
          <w:rFonts w:ascii="Arial" w:hAnsi="Arial" w:cs="Arial"/>
          <w:sz w:val="20"/>
          <w:szCs w:val="20"/>
          <w:lang w:val="sr-Cyrl-RS"/>
        </w:rPr>
        <w:t xml:space="preserve">само у називима и бројном саставу бираних органа (скупштине и општинског, односно градског већа), а разлике у погледу надлежности су минималне и тичу се могућности делегирања градовима већег обима поверених послова, као и неколико додатних надлежности </w:t>
      </w:r>
      <w:r w:rsidR="06C247F2" w:rsidRPr="00A021B7" w:rsidDel="00CE5513">
        <w:rPr>
          <w:rFonts w:ascii="Arial" w:hAnsi="Arial" w:cs="Arial"/>
          <w:sz w:val="20"/>
          <w:szCs w:val="20"/>
          <w:lang w:val="sr-Cyrl-RS"/>
        </w:rPr>
        <w:t>г</w:t>
      </w:r>
      <w:r w:rsidR="06C247F2" w:rsidRPr="00A021B7">
        <w:rPr>
          <w:rFonts w:ascii="Arial" w:hAnsi="Arial" w:cs="Arial"/>
          <w:sz w:val="20"/>
          <w:szCs w:val="20"/>
          <w:lang w:val="sr-Cyrl-RS"/>
        </w:rPr>
        <w:t xml:space="preserve">рада Београда. </w:t>
      </w:r>
      <w:r w:rsidR="17BDF03E" w:rsidRPr="00A021B7">
        <w:rPr>
          <w:rFonts w:ascii="Arial" w:hAnsi="Arial" w:cs="Arial"/>
          <w:sz w:val="20"/>
          <w:szCs w:val="20"/>
          <w:lang w:val="sr-Cyrl-RS"/>
        </w:rPr>
        <w:t>Насупрот томе, анализа прописа у</w:t>
      </w:r>
      <w:r w:rsidR="6FBA0D42" w:rsidRPr="00A021B7">
        <w:rPr>
          <w:rFonts w:ascii="Arial" w:hAnsi="Arial" w:cs="Arial"/>
          <w:sz w:val="20"/>
          <w:szCs w:val="20"/>
          <w:lang w:val="sr-Cyrl-RS"/>
        </w:rPr>
        <w:t xml:space="preserve"> некој другој европској земљи </w:t>
      </w:r>
      <w:r w:rsidR="7D599429" w:rsidRPr="00A021B7">
        <w:rPr>
          <w:rFonts w:ascii="Arial" w:hAnsi="Arial" w:cs="Arial"/>
          <w:sz w:val="20"/>
          <w:szCs w:val="20"/>
          <w:lang w:val="sr-Cyrl-RS"/>
        </w:rPr>
        <w:t>можда неће дати</w:t>
      </w:r>
      <w:r w:rsidR="17BDF03E" w:rsidRPr="00A021B7">
        <w:rPr>
          <w:rFonts w:ascii="Arial" w:hAnsi="Arial" w:cs="Arial"/>
          <w:sz w:val="20"/>
          <w:szCs w:val="20"/>
          <w:lang w:val="sr-Cyrl-RS"/>
        </w:rPr>
        <w:t xml:space="preserve"> толико аргумената о политипности локалне самоуправе, али </w:t>
      </w:r>
      <w:r w:rsidR="7D599429" w:rsidRPr="00A021B7">
        <w:rPr>
          <w:rFonts w:ascii="Arial" w:hAnsi="Arial" w:cs="Arial"/>
          <w:sz w:val="20"/>
          <w:szCs w:val="20"/>
          <w:lang w:val="sr-Cyrl-RS"/>
        </w:rPr>
        <w:t>је</w:t>
      </w:r>
      <w:r w:rsidR="17BDF03E" w:rsidRPr="00A021B7">
        <w:rPr>
          <w:rFonts w:ascii="Arial" w:hAnsi="Arial" w:cs="Arial"/>
          <w:sz w:val="20"/>
          <w:szCs w:val="20"/>
          <w:lang w:val="sr-Cyrl-RS"/>
        </w:rPr>
        <w:t xml:space="preserve"> општинама да</w:t>
      </w:r>
      <w:r w:rsidR="7D599429" w:rsidRPr="00A021B7">
        <w:rPr>
          <w:rFonts w:ascii="Arial" w:hAnsi="Arial" w:cs="Arial"/>
          <w:sz w:val="20"/>
          <w:szCs w:val="20"/>
          <w:lang w:val="sr-Cyrl-RS"/>
        </w:rPr>
        <w:t>та</w:t>
      </w:r>
      <w:r w:rsidR="17BDF03E" w:rsidRPr="00A021B7">
        <w:rPr>
          <w:rFonts w:ascii="Arial" w:hAnsi="Arial" w:cs="Arial"/>
          <w:sz w:val="20"/>
          <w:szCs w:val="20"/>
          <w:lang w:val="sr-Cyrl-RS"/>
        </w:rPr>
        <w:t xml:space="preserve"> начелно велика слобода у начину организовања и обављања послова</w:t>
      </w:r>
      <w:r w:rsidR="00CE5513">
        <w:rPr>
          <w:rFonts w:ascii="Arial" w:hAnsi="Arial" w:cs="Arial"/>
          <w:sz w:val="20"/>
          <w:szCs w:val="20"/>
          <w:lang w:val="sr-Cyrl-RS"/>
        </w:rPr>
        <w:t>,</w:t>
      </w:r>
      <w:r w:rsidR="17BDF03E" w:rsidRPr="00A021B7">
        <w:rPr>
          <w:rFonts w:ascii="Arial" w:hAnsi="Arial" w:cs="Arial"/>
          <w:sz w:val="20"/>
          <w:szCs w:val="20"/>
          <w:lang w:val="sr-Cyrl-RS"/>
        </w:rPr>
        <w:t xml:space="preserve"> што у пракси доводи до битних разлика међу њима, па се може говор</w:t>
      </w:r>
      <w:r w:rsidR="3CB18F3F" w:rsidRPr="00A021B7">
        <w:rPr>
          <w:rFonts w:ascii="Arial" w:hAnsi="Arial" w:cs="Arial"/>
          <w:sz w:val="20"/>
          <w:szCs w:val="20"/>
          <w:lang w:val="sr-Cyrl-RS"/>
        </w:rPr>
        <w:t>ити</w:t>
      </w:r>
      <w:r w:rsidR="10FB4FBF" w:rsidRPr="00A021B7">
        <w:rPr>
          <w:rFonts w:ascii="Arial" w:hAnsi="Arial" w:cs="Arial"/>
          <w:sz w:val="20"/>
          <w:szCs w:val="20"/>
          <w:lang w:val="sr-Cyrl-RS"/>
        </w:rPr>
        <w:t xml:space="preserve"> о политипности, иако она није строго дефинисана у формално-правном смислу.</w:t>
      </w:r>
    </w:p>
    <w:p w14:paraId="58F07CF4" w14:textId="77777777" w:rsidR="00C54B71" w:rsidRPr="00A021B7" w:rsidRDefault="00C54B71" w:rsidP="0DD3B114">
      <w:pPr>
        <w:ind w:firstLine="720"/>
        <w:jc w:val="both"/>
        <w:rPr>
          <w:rFonts w:ascii="Arial" w:hAnsi="Arial" w:cs="Arial"/>
          <w:sz w:val="20"/>
          <w:szCs w:val="20"/>
          <w:lang w:val="sr-Cyrl-RS"/>
        </w:rPr>
      </w:pPr>
    </w:p>
    <w:p w14:paraId="1CF690B5" w14:textId="63EE9489" w:rsidR="00C31C51" w:rsidRPr="00A021B7" w:rsidRDefault="10FB4FBF" w:rsidP="0DD3B114">
      <w:pPr>
        <w:ind w:firstLine="720"/>
        <w:jc w:val="both"/>
        <w:rPr>
          <w:rFonts w:ascii="Arial" w:hAnsi="Arial" w:cs="Arial"/>
          <w:sz w:val="20"/>
          <w:szCs w:val="20"/>
          <w:lang w:val="sr-Cyrl-RS"/>
        </w:rPr>
      </w:pPr>
      <w:r w:rsidRPr="00A021B7">
        <w:rPr>
          <w:rFonts w:ascii="Arial" w:hAnsi="Arial" w:cs="Arial"/>
          <w:sz w:val="20"/>
          <w:szCs w:val="20"/>
          <w:lang w:val="sr-Cyrl-RS"/>
        </w:rPr>
        <w:t>М</w:t>
      </w:r>
      <w:r w:rsidR="3EA932EE" w:rsidRPr="00A021B7">
        <w:rPr>
          <w:rFonts w:ascii="Arial" w:hAnsi="Arial" w:cs="Arial"/>
          <w:sz w:val="20"/>
          <w:szCs w:val="20"/>
          <w:lang w:val="sr-Cyrl-RS"/>
        </w:rPr>
        <w:t>онотипни</w:t>
      </w:r>
      <w:r w:rsidR="727FFB5B" w:rsidRPr="00A021B7">
        <w:rPr>
          <w:rFonts w:ascii="Arial" w:hAnsi="Arial" w:cs="Arial"/>
          <w:sz w:val="20"/>
          <w:szCs w:val="20"/>
          <w:lang w:val="sr-Cyrl-RS"/>
        </w:rPr>
        <w:t xml:space="preserve"> </w:t>
      </w:r>
      <w:r w:rsidR="3EA932EE" w:rsidRPr="00A021B7">
        <w:rPr>
          <w:rFonts w:ascii="Arial" w:hAnsi="Arial" w:cs="Arial"/>
          <w:sz w:val="20"/>
          <w:szCs w:val="20"/>
          <w:lang w:val="sr-Cyrl-RS"/>
        </w:rPr>
        <w:t>систем локалне самоуправе у Републици Србији</w:t>
      </w:r>
      <w:r w:rsidR="2C778AC8" w:rsidRPr="00A021B7">
        <w:rPr>
          <w:rFonts w:ascii="Arial" w:hAnsi="Arial" w:cs="Arial"/>
          <w:sz w:val="20"/>
          <w:szCs w:val="20"/>
          <w:lang w:val="sr-Cyrl-RS"/>
        </w:rPr>
        <w:t xml:space="preserve"> све више постаје кључна системска препрека </w:t>
      </w:r>
      <w:r w:rsidR="1B71B767" w:rsidRPr="00A021B7">
        <w:rPr>
          <w:rFonts w:ascii="Arial" w:hAnsi="Arial" w:cs="Arial"/>
          <w:sz w:val="20"/>
          <w:szCs w:val="20"/>
          <w:lang w:val="sr-Cyrl-RS"/>
        </w:rPr>
        <w:t xml:space="preserve">због </w:t>
      </w:r>
      <w:r w:rsidR="2C778AC8" w:rsidRPr="00A021B7">
        <w:rPr>
          <w:rFonts w:ascii="Arial" w:hAnsi="Arial" w:cs="Arial"/>
          <w:sz w:val="20"/>
          <w:szCs w:val="20"/>
          <w:lang w:val="sr-Cyrl-RS"/>
        </w:rPr>
        <w:t>негативни</w:t>
      </w:r>
      <w:r w:rsidR="1B71B767" w:rsidRPr="00A021B7">
        <w:rPr>
          <w:rFonts w:ascii="Arial" w:hAnsi="Arial" w:cs="Arial"/>
          <w:sz w:val="20"/>
          <w:szCs w:val="20"/>
          <w:lang w:val="sr-Cyrl-RS"/>
        </w:rPr>
        <w:t>х</w:t>
      </w:r>
      <w:r w:rsidR="2C778AC8" w:rsidRPr="00A021B7">
        <w:rPr>
          <w:rFonts w:ascii="Arial" w:hAnsi="Arial" w:cs="Arial"/>
          <w:sz w:val="20"/>
          <w:szCs w:val="20"/>
          <w:lang w:val="sr-Cyrl-RS"/>
        </w:rPr>
        <w:t xml:space="preserve"> ефек</w:t>
      </w:r>
      <w:r w:rsidR="1B71B767" w:rsidRPr="00A021B7">
        <w:rPr>
          <w:rFonts w:ascii="Arial" w:hAnsi="Arial" w:cs="Arial"/>
          <w:sz w:val="20"/>
          <w:szCs w:val="20"/>
          <w:lang w:val="sr-Cyrl-RS"/>
        </w:rPr>
        <w:t>ата</w:t>
      </w:r>
      <w:r w:rsidR="2C778AC8" w:rsidRPr="00A021B7">
        <w:rPr>
          <w:rFonts w:ascii="Arial" w:hAnsi="Arial" w:cs="Arial"/>
          <w:sz w:val="20"/>
          <w:szCs w:val="20"/>
          <w:lang w:val="sr-Cyrl-RS"/>
        </w:rPr>
        <w:t xml:space="preserve"> које производи</w:t>
      </w:r>
      <w:r w:rsidR="3EA932EE" w:rsidRPr="00A021B7">
        <w:rPr>
          <w:rFonts w:ascii="Arial" w:hAnsi="Arial" w:cs="Arial"/>
          <w:sz w:val="20"/>
          <w:szCs w:val="20"/>
          <w:lang w:val="sr-Cyrl-RS"/>
        </w:rPr>
        <w:t>. Територијални распоред општина и градова у Србији уобличен је још средином шездес</w:t>
      </w:r>
      <w:r w:rsidR="00CE5513">
        <w:rPr>
          <w:rFonts w:ascii="Arial" w:hAnsi="Arial" w:cs="Arial"/>
          <w:sz w:val="20"/>
          <w:szCs w:val="20"/>
          <w:lang w:val="sr-Cyrl-RS"/>
        </w:rPr>
        <w:t>е</w:t>
      </w:r>
      <w:r w:rsidR="3EA932EE" w:rsidRPr="00A021B7">
        <w:rPr>
          <w:rFonts w:ascii="Arial" w:hAnsi="Arial" w:cs="Arial"/>
          <w:sz w:val="20"/>
          <w:szCs w:val="20"/>
          <w:lang w:val="sr-Cyrl-RS"/>
        </w:rPr>
        <w:t xml:space="preserve">тих година прошлог века, </w:t>
      </w:r>
      <w:r w:rsidR="00CE5513">
        <w:rPr>
          <w:rFonts w:ascii="Arial" w:hAnsi="Arial" w:cs="Arial"/>
          <w:sz w:val="20"/>
          <w:szCs w:val="20"/>
          <w:lang w:val="sr-Cyrl-RS"/>
        </w:rPr>
        <w:t>а</w:t>
      </w:r>
      <w:r w:rsidR="3EA932EE" w:rsidRPr="00A021B7">
        <w:rPr>
          <w:rFonts w:ascii="Arial" w:hAnsi="Arial" w:cs="Arial"/>
          <w:sz w:val="20"/>
          <w:szCs w:val="20"/>
          <w:lang w:val="sr-Cyrl-RS"/>
        </w:rPr>
        <w:t xml:space="preserve"> потом </w:t>
      </w:r>
      <w:r w:rsidR="00CE5513">
        <w:rPr>
          <w:rFonts w:ascii="Arial" w:hAnsi="Arial" w:cs="Arial"/>
          <w:sz w:val="20"/>
          <w:szCs w:val="20"/>
          <w:lang w:val="sr-Cyrl-RS"/>
        </w:rPr>
        <w:t xml:space="preserve">је </w:t>
      </w:r>
      <w:r w:rsidR="3EA932EE" w:rsidRPr="00A021B7">
        <w:rPr>
          <w:rFonts w:ascii="Arial" w:hAnsi="Arial" w:cs="Arial"/>
          <w:sz w:val="20"/>
          <w:szCs w:val="20"/>
          <w:lang w:val="sr-Cyrl-RS"/>
        </w:rPr>
        <w:t xml:space="preserve">само у мањој мери мењан. Најзначајнију промену представља повећање броја градова са пет на 29 (рачунајући ту и град Београд са посебним статусом). Често се истиче да наше општине и градови по просечној величини територије и броју становника спадају међу највеће основне јединице у Европи (535 </w:t>
      </w:r>
      <w:r w:rsidR="00CE5513">
        <w:rPr>
          <w:rFonts w:ascii="Arial" w:hAnsi="Arial" w:cs="Arial"/>
          <w:sz w:val="20"/>
          <w:szCs w:val="20"/>
        </w:rPr>
        <w:t>km</w:t>
      </w:r>
      <w:r w:rsidR="3EA932EE" w:rsidRPr="00A021B7">
        <w:rPr>
          <w:rFonts w:ascii="Arial" w:hAnsi="Arial" w:cs="Arial"/>
          <w:sz w:val="20"/>
          <w:szCs w:val="20"/>
          <w:lang w:val="sr-Cyrl-RS"/>
        </w:rPr>
        <w:t>² и око 49.000 становника).</w:t>
      </w:r>
      <w:r w:rsidR="00CB0D8A" w:rsidRPr="00A021B7">
        <w:rPr>
          <w:rStyle w:val="FootnoteReference"/>
          <w:rFonts w:ascii="Arial" w:hAnsi="Arial" w:cs="Arial"/>
          <w:sz w:val="20"/>
          <w:szCs w:val="20"/>
          <w:lang w:val="sr-Cyrl-RS"/>
        </w:rPr>
        <w:footnoteReference w:id="11"/>
      </w:r>
    </w:p>
    <w:p w14:paraId="3A1A3118" w14:textId="77777777" w:rsidR="00C31C51" w:rsidRPr="00A021B7" w:rsidRDefault="00C31C51" w:rsidP="0DD3B114">
      <w:pPr>
        <w:ind w:firstLine="720"/>
        <w:jc w:val="both"/>
        <w:rPr>
          <w:rFonts w:ascii="Arial" w:hAnsi="Arial" w:cs="Arial"/>
          <w:color w:val="000000"/>
          <w:sz w:val="20"/>
          <w:szCs w:val="20"/>
          <w:lang w:val="sr-Cyrl-RS"/>
        </w:rPr>
      </w:pPr>
    </w:p>
    <w:p w14:paraId="19DA282F" w14:textId="04307355" w:rsidR="000B0385" w:rsidRPr="00A021B7" w:rsidRDefault="52A797F0" w:rsidP="003E7BC9">
      <w:pPr>
        <w:jc w:val="both"/>
        <w:rPr>
          <w:rFonts w:ascii="Arial" w:hAnsi="Arial" w:cs="Arial"/>
          <w:color w:val="000000" w:themeColor="text1"/>
          <w:sz w:val="20"/>
          <w:szCs w:val="20"/>
          <w:lang w:val="sr-Cyrl-RS" w:eastAsia="de-CH"/>
        </w:rPr>
      </w:pPr>
      <w:r w:rsidRPr="1A8E6423">
        <w:rPr>
          <w:rFonts w:ascii="Arial" w:hAnsi="Arial" w:cs="Arial"/>
          <w:i/>
          <w:iCs/>
          <w:color w:val="000000" w:themeColor="text1"/>
          <w:sz w:val="20"/>
          <w:szCs w:val="20"/>
          <w:lang w:val="sr-Cyrl-RS" w:eastAsia="de-CH"/>
        </w:rPr>
        <w:t>Графикон</w:t>
      </w:r>
      <w:r w:rsidR="0AEF11C8" w:rsidRPr="1A8E6423">
        <w:rPr>
          <w:rFonts w:ascii="Arial" w:hAnsi="Arial" w:cs="Arial"/>
          <w:i/>
          <w:iCs/>
          <w:color w:val="000000" w:themeColor="text1"/>
          <w:sz w:val="20"/>
          <w:szCs w:val="20"/>
          <w:lang w:val="sr-Cyrl-RS" w:eastAsia="de-CH"/>
        </w:rPr>
        <w:t xml:space="preserve"> 1:</w:t>
      </w:r>
      <w:r w:rsidRPr="00A021B7">
        <w:rPr>
          <w:rFonts w:ascii="Arial" w:hAnsi="Arial" w:cs="Arial"/>
          <w:color w:val="000000" w:themeColor="text1"/>
          <w:sz w:val="20"/>
          <w:szCs w:val="20"/>
          <w:lang w:val="sr-Cyrl-RS" w:eastAsia="de-CH"/>
        </w:rPr>
        <w:t xml:space="preserve"> </w:t>
      </w:r>
      <w:r w:rsidR="00CE5513" w:rsidRPr="1A8E6423">
        <w:rPr>
          <w:rFonts w:ascii="Arial" w:hAnsi="Arial" w:cs="Arial"/>
          <w:i/>
          <w:iCs/>
          <w:color w:val="000000" w:themeColor="text1"/>
          <w:sz w:val="20"/>
          <w:szCs w:val="20"/>
          <w:lang w:val="sr-Cyrl-RS" w:eastAsia="de-CH"/>
        </w:rPr>
        <w:t>ЈЛС</w:t>
      </w:r>
      <w:r w:rsidR="27826EE4" w:rsidRPr="1A8E6423">
        <w:rPr>
          <w:rFonts w:ascii="Arial" w:hAnsi="Arial" w:cs="Arial"/>
          <w:i/>
          <w:iCs/>
          <w:color w:val="000000" w:themeColor="text1"/>
          <w:sz w:val="20"/>
          <w:szCs w:val="20"/>
          <w:lang w:val="sr-Cyrl-RS" w:eastAsia="de-CH"/>
        </w:rPr>
        <w:t xml:space="preserve"> у Србији груписане по броју становника</w:t>
      </w:r>
      <w:r w:rsidR="625B9D14" w:rsidRPr="1A8E6423">
        <w:rPr>
          <w:rFonts w:ascii="Arial" w:hAnsi="Arial" w:cs="Arial"/>
          <w:i/>
          <w:iCs/>
          <w:color w:val="000000" w:themeColor="text1"/>
          <w:sz w:val="20"/>
          <w:szCs w:val="20"/>
          <w:lang w:val="sr-Cyrl-RS" w:eastAsia="de-CH"/>
        </w:rPr>
        <w:t xml:space="preserve"> у 2020. години</w:t>
      </w:r>
      <w:r w:rsidR="000B0385" w:rsidRPr="00A021B7">
        <w:rPr>
          <w:rStyle w:val="FootnoteReference"/>
          <w:rFonts w:ascii="Arial" w:hAnsi="Arial" w:cs="Arial"/>
          <w:color w:val="000000" w:themeColor="text1"/>
          <w:sz w:val="20"/>
          <w:szCs w:val="20"/>
          <w:lang w:val="sr-Cyrl-RS" w:eastAsia="de-CH"/>
        </w:rPr>
        <w:footnoteReference w:id="12"/>
      </w:r>
    </w:p>
    <w:p w14:paraId="31F8AA63" w14:textId="77777777" w:rsidR="0068351D" w:rsidRPr="00A021B7" w:rsidRDefault="0068351D" w:rsidP="003E7BC9">
      <w:pPr>
        <w:jc w:val="both"/>
        <w:rPr>
          <w:rFonts w:ascii="Arial" w:hAnsi="Arial" w:cs="Arial"/>
          <w:color w:val="000000" w:themeColor="text1"/>
          <w:sz w:val="20"/>
          <w:szCs w:val="20"/>
          <w:lang w:val="sr-Cyrl-RS" w:eastAsia="de-CH"/>
        </w:rPr>
      </w:pPr>
    </w:p>
    <w:p w14:paraId="61444AF8" w14:textId="6D86EC0F" w:rsidR="000B0385" w:rsidRPr="00A021B7" w:rsidRDefault="0068351D" w:rsidP="003E7BC9">
      <w:pPr>
        <w:jc w:val="both"/>
        <w:rPr>
          <w:rFonts w:ascii="Arial" w:hAnsi="Arial" w:cs="Arial"/>
          <w:color w:val="000000"/>
          <w:sz w:val="20"/>
          <w:szCs w:val="20"/>
          <w:lang w:val="sr-Cyrl-RS"/>
        </w:rPr>
      </w:pPr>
      <w:r w:rsidRPr="00A021B7">
        <w:rPr>
          <w:rFonts w:ascii="Arial" w:hAnsi="Arial" w:cs="Arial"/>
          <w:noProof/>
          <w:lang w:eastAsia="en-US"/>
        </w:rPr>
        <w:lastRenderedPageBreak/>
        <w:drawing>
          <wp:inline distT="0" distB="0" distL="0" distR="0" wp14:anchorId="6C1AF1AF" wp14:editId="77EBBB06">
            <wp:extent cx="5727700" cy="2064774"/>
            <wp:effectExtent l="0" t="0" r="12700" b="18415"/>
            <wp:docPr id="7" name="Chart 7">
              <a:extLst xmlns:a="http://schemas.openxmlformats.org/drawingml/2006/main">
                <a:ext uri="{FF2B5EF4-FFF2-40B4-BE49-F238E27FC236}">
                  <a16:creationId xmlns:a16="http://schemas.microsoft.com/office/drawing/2014/main" id="{697FA5D7-DE0D-C740-A2B5-A202D84EE5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6E4052" w14:textId="7CDC8AE1" w:rsidR="000232C9" w:rsidRPr="00A021B7" w:rsidRDefault="000232C9" w:rsidP="003E7BC9">
      <w:pPr>
        <w:jc w:val="both"/>
        <w:rPr>
          <w:rFonts w:ascii="Arial" w:hAnsi="Arial" w:cs="Arial"/>
          <w:sz w:val="20"/>
          <w:szCs w:val="20"/>
          <w:lang w:val="sr-Cyrl-RS"/>
        </w:rPr>
      </w:pPr>
    </w:p>
    <w:p w14:paraId="1163FAF4" w14:textId="5E811F00" w:rsidR="009B2F31" w:rsidRPr="00A021B7" w:rsidRDefault="008F78AF" w:rsidP="0DD3B114">
      <w:pPr>
        <w:ind w:firstLine="720"/>
        <w:jc w:val="both"/>
        <w:rPr>
          <w:rFonts w:ascii="Arial" w:hAnsi="Arial" w:cs="Arial"/>
          <w:sz w:val="20"/>
          <w:szCs w:val="20"/>
          <w:lang w:val="sr-Cyrl-RS"/>
        </w:rPr>
      </w:pPr>
      <w:r w:rsidRPr="0DD3B114">
        <w:rPr>
          <w:rFonts w:ascii="Arial" w:hAnsi="Arial" w:cs="Arial"/>
          <w:color w:val="000000" w:themeColor="text1"/>
          <w:sz w:val="20"/>
          <w:szCs w:val="20"/>
          <w:lang w:val="sr-Cyrl-RS"/>
        </w:rPr>
        <w:t xml:space="preserve">Демографска регресија захватила је скоро све општине и градове у Србији. Промене броја становника у претходне </w:t>
      </w:r>
      <w:r w:rsidR="00C15FA2" w:rsidRPr="0DD3B114">
        <w:rPr>
          <w:rFonts w:ascii="Arial" w:hAnsi="Arial" w:cs="Arial"/>
          <w:color w:val="000000" w:themeColor="text1"/>
          <w:sz w:val="20"/>
          <w:szCs w:val="20"/>
          <w:lang w:val="sr-Cyrl-RS"/>
        </w:rPr>
        <w:t>три</w:t>
      </w:r>
      <w:r w:rsidRPr="0DD3B114">
        <w:rPr>
          <w:rFonts w:ascii="Arial" w:hAnsi="Arial" w:cs="Arial"/>
          <w:color w:val="000000" w:themeColor="text1"/>
          <w:sz w:val="20"/>
          <w:szCs w:val="20"/>
          <w:lang w:val="sr-Cyrl-RS"/>
        </w:rPr>
        <w:t xml:space="preserve"> деценије (и дуже), које су засноване на кретању природног прираштаја (разлици између броја живорођених и умрлих) и стању миграционог салда (разлици између броја досељених и одсељених становника)</w:t>
      </w:r>
      <w:r w:rsidR="000A0937" w:rsidRPr="0DD3B114">
        <w:rPr>
          <w:rFonts w:ascii="Arial" w:hAnsi="Arial" w:cs="Arial"/>
          <w:color w:val="000000" w:themeColor="text1"/>
          <w:sz w:val="20"/>
          <w:szCs w:val="20"/>
          <w:lang w:val="sr-Cyrl-RS"/>
        </w:rPr>
        <w:t>,</w:t>
      </w:r>
      <w:r w:rsidRPr="0DD3B114">
        <w:rPr>
          <w:rFonts w:ascii="Arial" w:hAnsi="Arial" w:cs="Arial"/>
          <w:color w:val="000000" w:themeColor="text1"/>
          <w:sz w:val="20"/>
          <w:szCs w:val="20"/>
          <w:lang w:val="sr-Cyrl-RS"/>
        </w:rPr>
        <w:t xml:space="preserve"> указују на чињеницу да мали број ЈЛС има позитивне промене становништва (позитивну вредност суме природног прираштаја и миграционог салда). Само у последњој деценији, у великом броју ЈЛС укупан број становника смањен је за </w:t>
      </w:r>
      <w:r w:rsidR="00CE5513" w:rsidRPr="0DD3B114">
        <w:rPr>
          <w:rFonts w:ascii="Arial" w:hAnsi="Arial" w:cs="Arial"/>
          <w:color w:val="000000" w:themeColor="text1"/>
          <w:sz w:val="20"/>
          <w:szCs w:val="20"/>
          <w:lang w:val="sr-Cyrl-RS"/>
        </w:rPr>
        <w:t xml:space="preserve">више од </w:t>
      </w:r>
      <w:r w:rsidRPr="0DD3B114">
        <w:rPr>
          <w:rFonts w:ascii="Arial" w:hAnsi="Arial" w:cs="Arial"/>
          <w:color w:val="000000" w:themeColor="text1"/>
          <w:sz w:val="20"/>
          <w:szCs w:val="20"/>
          <w:lang w:val="sr-Cyrl-RS"/>
        </w:rPr>
        <w:t xml:space="preserve">10%. Осим негативног природног прираштаја, </w:t>
      </w:r>
      <w:r w:rsidR="000A0937" w:rsidRPr="0DD3B114">
        <w:rPr>
          <w:rFonts w:ascii="Arial" w:hAnsi="Arial" w:cs="Arial"/>
          <w:color w:val="000000" w:themeColor="text1"/>
          <w:sz w:val="20"/>
          <w:szCs w:val="20"/>
          <w:lang w:val="sr-Cyrl-RS"/>
        </w:rPr>
        <w:t>велики је</w:t>
      </w:r>
      <w:r w:rsidRPr="0DD3B114">
        <w:rPr>
          <w:rFonts w:ascii="Arial" w:hAnsi="Arial" w:cs="Arial"/>
          <w:color w:val="000000" w:themeColor="text1"/>
          <w:sz w:val="20"/>
          <w:szCs w:val="20"/>
          <w:lang w:val="sr-Cyrl-RS"/>
        </w:rPr>
        <w:t xml:space="preserve"> утицај </w:t>
      </w:r>
      <w:r w:rsidRPr="0DD3B114">
        <w:rPr>
          <w:rFonts w:ascii="Arial" w:hAnsi="Arial" w:cs="Arial"/>
          <w:i/>
          <w:iCs/>
          <w:color w:val="000000" w:themeColor="text1"/>
          <w:sz w:val="20"/>
          <w:szCs w:val="20"/>
          <w:lang w:val="sr-Cyrl-RS"/>
        </w:rPr>
        <w:t xml:space="preserve">спољних </w:t>
      </w:r>
      <w:r w:rsidRPr="0DD3B114">
        <w:rPr>
          <w:rFonts w:ascii="Arial" w:hAnsi="Arial" w:cs="Arial"/>
          <w:color w:val="000000" w:themeColor="text1"/>
          <w:sz w:val="20"/>
          <w:szCs w:val="20"/>
          <w:lang w:val="sr-Cyrl-RS"/>
        </w:rPr>
        <w:t xml:space="preserve">миграција (привремено или стално исељавање ван граница Републике Србије) и </w:t>
      </w:r>
      <w:r w:rsidRPr="0DD3B114">
        <w:rPr>
          <w:rFonts w:ascii="Arial" w:hAnsi="Arial" w:cs="Arial"/>
          <w:i/>
          <w:iCs/>
          <w:color w:val="000000" w:themeColor="text1"/>
          <w:sz w:val="20"/>
          <w:szCs w:val="20"/>
          <w:lang w:val="sr-Cyrl-RS"/>
        </w:rPr>
        <w:t>унутрашњих</w:t>
      </w:r>
      <w:r w:rsidRPr="0DD3B114">
        <w:rPr>
          <w:rFonts w:ascii="Arial" w:hAnsi="Arial" w:cs="Arial"/>
          <w:color w:val="000000" w:themeColor="text1"/>
          <w:sz w:val="20"/>
          <w:szCs w:val="20"/>
          <w:lang w:val="sr-Cyrl-RS"/>
        </w:rPr>
        <w:t xml:space="preserve"> миграција (кретање становништва између неразвијених и развијених делова државе, из руралних у урбане средине, првенствено у потрази за бољим условима за живот и вишим животним стандардом). У овом смислу, посебно су угрожен</w:t>
      </w:r>
      <w:r w:rsidR="000F4AD0" w:rsidRPr="0DD3B114">
        <w:rPr>
          <w:rFonts w:ascii="Arial" w:hAnsi="Arial" w:cs="Arial"/>
          <w:color w:val="000000" w:themeColor="text1"/>
          <w:sz w:val="20"/>
          <w:szCs w:val="20"/>
          <w:lang w:val="sr-Cyrl-RS"/>
        </w:rPr>
        <w:t xml:space="preserve">е </w:t>
      </w:r>
      <w:r w:rsidRPr="0DD3B114">
        <w:rPr>
          <w:rFonts w:ascii="Arial" w:hAnsi="Arial" w:cs="Arial"/>
          <w:color w:val="000000" w:themeColor="text1"/>
          <w:sz w:val="20"/>
          <w:szCs w:val="20"/>
          <w:lang w:val="sr-Cyrl-RS"/>
        </w:rPr>
        <w:t>мање општине (</w:t>
      </w:r>
      <w:r w:rsidR="00F8336D" w:rsidRPr="0DD3B114">
        <w:rPr>
          <w:rFonts w:ascii="Arial" w:hAnsi="Arial" w:cs="Arial"/>
          <w:color w:val="000000" w:themeColor="text1"/>
          <w:sz w:val="20"/>
          <w:szCs w:val="20"/>
          <w:lang w:val="sr-Cyrl-RS"/>
        </w:rPr>
        <w:t>оне око или испод</w:t>
      </w:r>
      <w:r w:rsidRPr="0DD3B114">
        <w:rPr>
          <w:rFonts w:ascii="Arial" w:hAnsi="Arial" w:cs="Arial"/>
          <w:color w:val="000000" w:themeColor="text1"/>
          <w:sz w:val="20"/>
          <w:szCs w:val="20"/>
          <w:lang w:val="sr-Cyrl-RS"/>
        </w:rPr>
        <w:t xml:space="preserve"> 20.000 </w:t>
      </w:r>
      <w:r w:rsidR="00CE5513" w:rsidRPr="0DD3B114">
        <w:rPr>
          <w:rFonts w:ascii="Arial" w:hAnsi="Arial" w:cs="Arial"/>
          <w:color w:val="000000" w:themeColor="text1"/>
          <w:sz w:val="20"/>
          <w:szCs w:val="20"/>
          <w:lang w:val="sr-Cyrl-RS"/>
        </w:rPr>
        <w:t>становника, а</w:t>
      </w:r>
      <w:r w:rsidRPr="0DD3B114">
        <w:rPr>
          <w:rFonts w:ascii="Arial" w:hAnsi="Arial" w:cs="Arial"/>
          <w:color w:val="000000" w:themeColor="text1"/>
          <w:sz w:val="20"/>
          <w:szCs w:val="20"/>
          <w:lang w:val="sr-Cyrl-RS"/>
        </w:rPr>
        <w:t xml:space="preserve"> посебно </w:t>
      </w:r>
      <w:r w:rsidR="00CE5513" w:rsidRPr="0DD3B114">
        <w:rPr>
          <w:rFonts w:ascii="Arial" w:hAnsi="Arial" w:cs="Arial"/>
          <w:color w:val="000000" w:themeColor="text1"/>
          <w:sz w:val="20"/>
          <w:szCs w:val="20"/>
          <w:lang w:val="sr-Cyrl-RS"/>
        </w:rPr>
        <w:t xml:space="preserve">оне са мање </w:t>
      </w:r>
      <w:r w:rsidRPr="0DD3B114">
        <w:rPr>
          <w:rFonts w:ascii="Arial" w:hAnsi="Arial" w:cs="Arial"/>
          <w:color w:val="000000" w:themeColor="text1"/>
          <w:sz w:val="20"/>
          <w:szCs w:val="20"/>
          <w:lang w:val="sr-Cyrl-RS"/>
        </w:rPr>
        <w:t>од 10.000 становника)</w:t>
      </w:r>
      <w:r w:rsidR="00CE5513" w:rsidRPr="0DD3B114">
        <w:rPr>
          <w:rFonts w:ascii="Arial" w:hAnsi="Arial" w:cs="Arial"/>
          <w:color w:val="000000" w:themeColor="text1"/>
          <w:sz w:val="20"/>
          <w:szCs w:val="20"/>
          <w:lang w:val="sr-Cyrl-RS"/>
        </w:rPr>
        <w:t>,</w:t>
      </w:r>
      <w:r w:rsidR="000F4AD0" w:rsidRPr="0DD3B114">
        <w:rPr>
          <w:rFonts w:ascii="Arial" w:hAnsi="Arial" w:cs="Arial"/>
          <w:color w:val="000000" w:themeColor="text1"/>
          <w:sz w:val="20"/>
          <w:szCs w:val="20"/>
          <w:lang w:val="sr-Cyrl-RS"/>
        </w:rPr>
        <w:t xml:space="preserve"> неразвијена и пригранична подручја</w:t>
      </w:r>
      <w:r w:rsidRPr="0DD3B114">
        <w:rPr>
          <w:rFonts w:ascii="Arial" w:hAnsi="Arial" w:cs="Arial"/>
          <w:color w:val="000000" w:themeColor="text1"/>
          <w:sz w:val="20"/>
          <w:szCs w:val="20"/>
          <w:lang w:val="sr-Cyrl-RS"/>
        </w:rPr>
        <w:t xml:space="preserve">, првенствено у </w:t>
      </w:r>
      <w:r w:rsidR="00896E06" w:rsidRPr="0DD3B114">
        <w:rPr>
          <w:rFonts w:ascii="Arial" w:hAnsi="Arial" w:cs="Arial"/>
          <w:color w:val="000000" w:themeColor="text1"/>
          <w:sz w:val="20"/>
          <w:szCs w:val="20"/>
          <w:lang w:val="sr-Cyrl-RS"/>
        </w:rPr>
        <w:t>и</w:t>
      </w:r>
      <w:r w:rsidRPr="0DD3B114">
        <w:rPr>
          <w:rFonts w:ascii="Arial" w:hAnsi="Arial" w:cs="Arial"/>
          <w:color w:val="000000" w:themeColor="text1"/>
          <w:sz w:val="20"/>
          <w:szCs w:val="20"/>
          <w:lang w:val="sr-Cyrl-RS"/>
        </w:rPr>
        <w:t>сточно</w:t>
      </w:r>
      <w:r w:rsidR="00896E06" w:rsidRPr="0DD3B114">
        <w:rPr>
          <w:rFonts w:ascii="Arial" w:hAnsi="Arial" w:cs="Arial"/>
          <w:color w:val="000000" w:themeColor="text1"/>
          <w:sz w:val="20"/>
          <w:szCs w:val="20"/>
          <w:lang w:val="sr-Cyrl-RS"/>
        </w:rPr>
        <w:t>м</w:t>
      </w:r>
      <w:r w:rsidR="00CE5513" w:rsidRPr="0DD3B114">
        <w:rPr>
          <w:rFonts w:ascii="Arial" w:hAnsi="Arial" w:cs="Arial"/>
          <w:color w:val="000000" w:themeColor="text1"/>
          <w:sz w:val="20"/>
          <w:szCs w:val="20"/>
          <w:lang w:val="sr-Cyrl-RS"/>
        </w:rPr>
        <w:t>,</w:t>
      </w:r>
      <w:r w:rsidRPr="0DD3B114">
        <w:rPr>
          <w:rFonts w:ascii="Arial" w:hAnsi="Arial" w:cs="Arial"/>
          <w:color w:val="000000" w:themeColor="text1"/>
          <w:sz w:val="20"/>
          <w:szCs w:val="20"/>
          <w:lang w:val="sr-Cyrl-RS"/>
        </w:rPr>
        <w:t xml:space="preserve"> али </w:t>
      </w:r>
      <w:r w:rsidR="00896E06" w:rsidRPr="0DD3B114">
        <w:rPr>
          <w:rFonts w:ascii="Arial" w:hAnsi="Arial" w:cs="Arial"/>
          <w:color w:val="000000" w:themeColor="text1"/>
          <w:sz w:val="20"/>
          <w:szCs w:val="20"/>
          <w:lang w:val="sr-Cyrl-RS"/>
        </w:rPr>
        <w:t xml:space="preserve">и </w:t>
      </w:r>
      <w:r w:rsidRPr="0DD3B114">
        <w:rPr>
          <w:rFonts w:ascii="Arial" w:hAnsi="Arial" w:cs="Arial"/>
          <w:color w:val="000000" w:themeColor="text1"/>
          <w:sz w:val="20"/>
          <w:szCs w:val="20"/>
          <w:lang w:val="sr-Cyrl-RS"/>
        </w:rPr>
        <w:t xml:space="preserve">у централном </w:t>
      </w:r>
      <w:r w:rsidR="000D1857" w:rsidRPr="0DD3B114">
        <w:rPr>
          <w:rFonts w:ascii="Arial" w:hAnsi="Arial" w:cs="Arial"/>
          <w:color w:val="000000" w:themeColor="text1"/>
          <w:sz w:val="20"/>
          <w:szCs w:val="20"/>
          <w:lang w:val="sr-Cyrl-RS"/>
        </w:rPr>
        <w:t xml:space="preserve">и другим </w:t>
      </w:r>
      <w:r w:rsidRPr="0DD3B114">
        <w:rPr>
          <w:rFonts w:ascii="Arial" w:hAnsi="Arial" w:cs="Arial"/>
          <w:color w:val="000000" w:themeColor="text1"/>
          <w:sz w:val="20"/>
          <w:szCs w:val="20"/>
          <w:lang w:val="sr-Cyrl-RS"/>
        </w:rPr>
        <w:t>дел</w:t>
      </w:r>
      <w:r w:rsidR="000D1857" w:rsidRPr="0DD3B114">
        <w:rPr>
          <w:rFonts w:ascii="Arial" w:hAnsi="Arial" w:cs="Arial"/>
          <w:color w:val="000000" w:themeColor="text1"/>
          <w:sz w:val="20"/>
          <w:szCs w:val="20"/>
          <w:lang w:val="sr-Cyrl-RS"/>
        </w:rPr>
        <w:t>овима</w:t>
      </w:r>
      <w:r w:rsidRPr="0DD3B114">
        <w:rPr>
          <w:rFonts w:ascii="Arial" w:hAnsi="Arial" w:cs="Arial"/>
          <w:color w:val="000000" w:themeColor="text1"/>
          <w:sz w:val="20"/>
          <w:szCs w:val="20"/>
          <w:lang w:val="sr-Cyrl-RS"/>
        </w:rPr>
        <w:t xml:space="preserve"> Републике Србије. </w:t>
      </w:r>
      <w:r w:rsidR="00E564EE" w:rsidRPr="0DD3B114">
        <w:rPr>
          <w:rFonts w:ascii="Arial" w:hAnsi="Arial" w:cs="Arial"/>
          <w:color w:val="000000" w:themeColor="text1"/>
          <w:sz w:val="20"/>
          <w:szCs w:val="20"/>
          <w:lang w:val="sr-Cyrl-RS"/>
        </w:rPr>
        <w:t xml:space="preserve">Без спровођења </w:t>
      </w:r>
      <w:r w:rsidR="001A61D8" w:rsidRPr="0DD3B114">
        <w:rPr>
          <w:rFonts w:ascii="Arial" w:hAnsi="Arial" w:cs="Arial"/>
          <w:color w:val="000000" w:themeColor="text1"/>
          <w:sz w:val="20"/>
          <w:szCs w:val="20"/>
          <w:lang w:val="sr-Cyrl-RS"/>
        </w:rPr>
        <w:t xml:space="preserve">системских и свеобухватних </w:t>
      </w:r>
      <w:r w:rsidR="00E564EE" w:rsidRPr="0DD3B114">
        <w:rPr>
          <w:rFonts w:ascii="Arial" w:hAnsi="Arial" w:cs="Arial"/>
          <w:color w:val="000000" w:themeColor="text1"/>
          <w:sz w:val="20"/>
          <w:szCs w:val="20"/>
          <w:lang w:val="sr-Cyrl-RS"/>
        </w:rPr>
        <w:t xml:space="preserve">мера посебне подршке (које се не </w:t>
      </w:r>
      <w:r w:rsidR="00775E3D" w:rsidRPr="0DD3B114">
        <w:rPr>
          <w:rFonts w:ascii="Arial" w:hAnsi="Arial" w:cs="Arial"/>
          <w:color w:val="000000" w:themeColor="text1"/>
          <w:sz w:val="20"/>
          <w:szCs w:val="20"/>
          <w:lang w:val="sr-Cyrl-RS"/>
        </w:rPr>
        <w:t xml:space="preserve">односе само нити првенствено на функционисање локалне самоуправе, већ превасходно на подршку економском и социјалном развоју ових заједница), </w:t>
      </w:r>
      <w:r w:rsidR="006614B2" w:rsidRPr="0DD3B114">
        <w:rPr>
          <w:rFonts w:ascii="Arial" w:hAnsi="Arial" w:cs="Arial"/>
          <w:color w:val="000000" w:themeColor="text1"/>
          <w:sz w:val="20"/>
          <w:szCs w:val="20"/>
          <w:lang w:val="sr-Cyrl-RS"/>
        </w:rPr>
        <w:t>велика је вероватноћа</w:t>
      </w:r>
      <w:r w:rsidR="001F6AF3" w:rsidRPr="0DD3B114">
        <w:rPr>
          <w:rFonts w:ascii="Arial" w:hAnsi="Arial" w:cs="Arial"/>
          <w:color w:val="000000" w:themeColor="text1"/>
          <w:sz w:val="20"/>
          <w:szCs w:val="20"/>
          <w:lang w:val="sr-Cyrl-RS"/>
        </w:rPr>
        <w:t xml:space="preserve"> да ће се изразито негативни демографски трендови у овим </w:t>
      </w:r>
      <w:r w:rsidR="00BE0666" w:rsidRPr="0DD3B114">
        <w:rPr>
          <w:rFonts w:ascii="Arial" w:hAnsi="Arial" w:cs="Arial"/>
          <w:color w:val="000000" w:themeColor="text1"/>
          <w:sz w:val="20"/>
          <w:szCs w:val="20"/>
          <w:lang w:val="sr-Cyrl-RS"/>
        </w:rPr>
        <w:t>локалним заједницама наставити</w:t>
      </w:r>
      <w:r w:rsidR="00D07E33" w:rsidRPr="0DD3B114">
        <w:rPr>
          <w:rFonts w:ascii="Arial" w:hAnsi="Arial" w:cs="Arial"/>
          <w:color w:val="000000" w:themeColor="text1"/>
          <w:sz w:val="20"/>
          <w:szCs w:val="20"/>
          <w:lang w:val="sr-Cyrl-RS"/>
        </w:rPr>
        <w:t>,</w:t>
      </w:r>
      <w:r w:rsidR="00BE0666" w:rsidRPr="0DD3B114">
        <w:rPr>
          <w:rFonts w:ascii="Arial" w:hAnsi="Arial" w:cs="Arial"/>
          <w:color w:val="000000" w:themeColor="text1"/>
          <w:sz w:val="20"/>
          <w:szCs w:val="20"/>
          <w:lang w:val="sr-Cyrl-RS"/>
        </w:rPr>
        <w:t xml:space="preserve"> што ће </w:t>
      </w:r>
      <w:r w:rsidR="00CE5513" w:rsidRPr="0DD3B114">
        <w:rPr>
          <w:rFonts w:ascii="Arial" w:hAnsi="Arial" w:cs="Arial"/>
          <w:color w:val="000000" w:themeColor="text1"/>
          <w:sz w:val="20"/>
          <w:szCs w:val="20"/>
          <w:lang w:val="sr-Cyrl-RS"/>
        </w:rPr>
        <w:t xml:space="preserve">као </w:t>
      </w:r>
      <w:r w:rsidR="00BE0666" w:rsidRPr="0DD3B114">
        <w:rPr>
          <w:rFonts w:ascii="Arial" w:hAnsi="Arial" w:cs="Arial"/>
          <w:color w:val="000000" w:themeColor="text1"/>
          <w:sz w:val="20"/>
          <w:szCs w:val="20"/>
          <w:lang w:val="sr-Cyrl-RS"/>
        </w:rPr>
        <w:t>последицу имати повећање броја ЈЛС које ће имати испод 10.000 становника.</w:t>
      </w:r>
    </w:p>
    <w:p w14:paraId="4831B94E" w14:textId="5792F300" w:rsidR="009B2F31" w:rsidRPr="00A021B7" w:rsidRDefault="009B2F31" w:rsidP="003E7BC9">
      <w:pPr>
        <w:jc w:val="both"/>
        <w:rPr>
          <w:rFonts w:ascii="Arial" w:hAnsi="Arial" w:cs="Arial"/>
          <w:sz w:val="20"/>
          <w:szCs w:val="20"/>
          <w:lang w:val="sr-Cyrl-RS"/>
        </w:rPr>
      </w:pPr>
    </w:p>
    <w:p w14:paraId="3B812D5B" w14:textId="7D3CED93" w:rsidR="00896E06" w:rsidRPr="00A021B7" w:rsidRDefault="6F6C38C6" w:rsidP="0DD3B114">
      <w:pPr>
        <w:ind w:firstLine="720"/>
        <w:jc w:val="both"/>
        <w:rPr>
          <w:rFonts w:ascii="Arial" w:hAnsi="Arial" w:cs="Arial"/>
          <w:color w:val="000000" w:themeColor="text1"/>
          <w:sz w:val="20"/>
          <w:szCs w:val="20"/>
          <w:lang w:val="sr-Cyrl-RS"/>
        </w:rPr>
      </w:pPr>
      <w:r w:rsidRPr="00A021B7">
        <w:rPr>
          <w:rFonts w:ascii="Arial" w:hAnsi="Arial" w:cs="Arial"/>
          <w:color w:val="000000"/>
          <w:sz w:val="20"/>
          <w:szCs w:val="20"/>
          <w:lang w:val="sr-Cyrl-RS"/>
        </w:rPr>
        <w:t xml:space="preserve">Унутрашње кретања становништва и пражњење одређених простора, отварају бројна и различита питања у вези </w:t>
      </w:r>
      <w:r w:rsidR="30E4836A" w:rsidRPr="00A021B7">
        <w:rPr>
          <w:rFonts w:ascii="Arial" w:hAnsi="Arial" w:cs="Arial"/>
          <w:color w:val="000000"/>
          <w:sz w:val="20"/>
          <w:szCs w:val="20"/>
          <w:lang w:val="sr-Cyrl-RS"/>
        </w:rPr>
        <w:t xml:space="preserve">са </w:t>
      </w:r>
      <w:r w:rsidRPr="00A021B7">
        <w:rPr>
          <w:rFonts w:ascii="Arial" w:hAnsi="Arial" w:cs="Arial"/>
          <w:color w:val="000000"/>
          <w:sz w:val="20"/>
          <w:szCs w:val="20"/>
          <w:lang w:val="sr-Cyrl-RS"/>
        </w:rPr>
        <w:t>даљим функционисањем система локалне самоуправе. Посебно и најважније питањ</w:t>
      </w:r>
      <w:r w:rsidR="30E4836A" w:rsidRPr="00A021B7">
        <w:rPr>
          <w:rFonts w:ascii="Arial" w:hAnsi="Arial" w:cs="Arial"/>
          <w:color w:val="000000"/>
          <w:sz w:val="20"/>
          <w:szCs w:val="20"/>
          <w:lang w:val="sr-Cyrl-RS"/>
        </w:rPr>
        <w:t>е</w:t>
      </w:r>
      <w:r w:rsidRPr="00A021B7">
        <w:rPr>
          <w:rFonts w:ascii="Arial" w:hAnsi="Arial" w:cs="Arial"/>
          <w:color w:val="000000"/>
          <w:sz w:val="20"/>
          <w:szCs w:val="20"/>
          <w:lang w:val="sr-Cyrl-RS"/>
        </w:rPr>
        <w:t xml:space="preserve"> свакако јесте </w:t>
      </w:r>
      <w:r w:rsidR="1274EA7C" w:rsidRPr="00A021B7">
        <w:rPr>
          <w:rFonts w:ascii="Arial" w:hAnsi="Arial" w:cs="Arial"/>
          <w:color w:val="000000"/>
          <w:sz w:val="20"/>
          <w:szCs w:val="20"/>
          <w:lang w:val="sr-Cyrl-RS"/>
        </w:rPr>
        <w:t xml:space="preserve">већ поменута </w:t>
      </w:r>
      <w:r w:rsidRPr="00A021B7">
        <w:rPr>
          <w:rFonts w:ascii="Arial" w:hAnsi="Arial" w:cs="Arial"/>
          <w:color w:val="000000"/>
          <w:sz w:val="20"/>
          <w:szCs w:val="20"/>
          <w:lang w:val="sr-Cyrl-RS"/>
        </w:rPr>
        <w:t>потреба за интензивнијом подршком угроженим ЈЛС и њиховом одрживом деловању</w:t>
      </w:r>
      <w:r w:rsidR="4A0DD861" w:rsidRPr="00A021B7">
        <w:rPr>
          <w:rFonts w:ascii="Arial" w:hAnsi="Arial" w:cs="Arial"/>
          <w:color w:val="000000"/>
          <w:sz w:val="20"/>
          <w:szCs w:val="20"/>
          <w:lang w:val="sr-Cyrl-RS"/>
        </w:rPr>
        <w:t>, не само као јединица локалне самоуправе</w:t>
      </w:r>
      <w:r w:rsidR="00CE5513">
        <w:rPr>
          <w:rFonts w:ascii="Arial" w:hAnsi="Arial" w:cs="Arial"/>
          <w:color w:val="000000"/>
          <w:sz w:val="20"/>
          <w:szCs w:val="20"/>
          <w:lang w:val="sr-Cyrl-RS"/>
        </w:rPr>
        <w:t>,</w:t>
      </w:r>
      <w:r w:rsidR="4A0DD861" w:rsidRPr="00A021B7">
        <w:rPr>
          <w:rFonts w:ascii="Arial" w:hAnsi="Arial" w:cs="Arial"/>
          <w:color w:val="000000"/>
          <w:sz w:val="20"/>
          <w:szCs w:val="20"/>
          <w:lang w:val="sr-Cyrl-RS"/>
        </w:rPr>
        <w:t xml:space="preserve"> већ и као територијалних, друштвених и економски заједница</w:t>
      </w:r>
      <w:r w:rsidRPr="00A021B7">
        <w:rPr>
          <w:rFonts w:ascii="Arial" w:hAnsi="Arial" w:cs="Arial"/>
          <w:color w:val="000000"/>
          <w:sz w:val="20"/>
          <w:szCs w:val="20"/>
          <w:lang w:val="sr-Cyrl-RS"/>
        </w:rPr>
        <w:t>. Поред овог приоритетног задатка, другачија дистрибуција становништва, унутрашње миграције и веће концентрисање становника у урбаним срединама</w:t>
      </w:r>
      <w:r w:rsidR="00896E06" w:rsidRPr="00A021B7">
        <w:rPr>
          <w:rStyle w:val="FootnoteReference"/>
          <w:rFonts w:ascii="Arial" w:hAnsi="Arial" w:cs="Arial"/>
          <w:sz w:val="20"/>
          <w:szCs w:val="20"/>
          <w:lang w:val="sr-Cyrl-RS"/>
        </w:rPr>
        <w:footnoteReference w:id="13"/>
      </w:r>
      <w:r w:rsidRPr="00A021B7">
        <w:rPr>
          <w:rFonts w:ascii="Arial" w:hAnsi="Arial" w:cs="Arial"/>
          <w:color w:val="000000"/>
          <w:sz w:val="20"/>
          <w:szCs w:val="20"/>
          <w:lang w:val="sr-Cyrl-RS"/>
        </w:rPr>
        <w:t xml:space="preserve">, отвара </w:t>
      </w:r>
      <w:r w:rsidR="4A0DD861" w:rsidRPr="00A021B7">
        <w:rPr>
          <w:rFonts w:ascii="Arial" w:hAnsi="Arial" w:cs="Arial"/>
          <w:color w:val="000000"/>
          <w:sz w:val="20"/>
          <w:szCs w:val="20"/>
          <w:lang w:val="sr-Cyrl-RS"/>
        </w:rPr>
        <w:t xml:space="preserve">и </w:t>
      </w:r>
      <w:r w:rsidRPr="00A021B7">
        <w:rPr>
          <w:rFonts w:ascii="Arial" w:hAnsi="Arial" w:cs="Arial"/>
          <w:color w:val="000000"/>
          <w:sz w:val="20"/>
          <w:szCs w:val="20"/>
          <w:lang w:val="sr-Cyrl-RS"/>
        </w:rPr>
        <w:t xml:space="preserve">питање </w:t>
      </w:r>
      <w:r w:rsidR="4A0DD861" w:rsidRPr="00A021B7">
        <w:rPr>
          <w:rFonts w:ascii="Arial" w:hAnsi="Arial" w:cs="Arial"/>
          <w:color w:val="000000"/>
          <w:sz w:val="20"/>
          <w:szCs w:val="20"/>
          <w:lang w:val="sr-Cyrl-RS"/>
        </w:rPr>
        <w:t xml:space="preserve">утицаја овог процеса на </w:t>
      </w:r>
      <w:r w:rsidRPr="00A021B7">
        <w:rPr>
          <w:rFonts w:ascii="Arial" w:hAnsi="Arial" w:cs="Arial"/>
          <w:color w:val="000000"/>
          <w:sz w:val="20"/>
          <w:szCs w:val="20"/>
          <w:lang w:val="sr-Cyrl-RS"/>
        </w:rPr>
        <w:t>различите функције и сервисе локалне самоуправе (посебно комуналне услуге или јавне услуге у области предшколског образовања, културе, спорта.</w:t>
      </w:r>
      <w:r w:rsidR="00CE5513">
        <w:rPr>
          <w:rFonts w:ascii="Arial" w:hAnsi="Arial" w:cs="Arial"/>
          <w:color w:val="000000"/>
          <w:sz w:val="20"/>
          <w:szCs w:val="20"/>
          <w:lang w:val="sr-Cyrl-RS"/>
        </w:rPr>
        <w:t>.</w:t>
      </w:r>
      <w:r w:rsidRPr="00A021B7">
        <w:rPr>
          <w:rFonts w:ascii="Arial" w:hAnsi="Arial" w:cs="Arial"/>
          <w:color w:val="000000"/>
          <w:sz w:val="20"/>
          <w:szCs w:val="20"/>
          <w:lang w:val="sr-Cyrl-RS"/>
        </w:rPr>
        <w:t>.)</w:t>
      </w:r>
      <w:r w:rsidR="4A0DD861" w:rsidRPr="00A021B7">
        <w:rPr>
          <w:rFonts w:ascii="Arial" w:hAnsi="Arial" w:cs="Arial"/>
          <w:color w:val="000000"/>
          <w:sz w:val="20"/>
          <w:szCs w:val="20"/>
          <w:lang w:val="sr-Cyrl-RS"/>
        </w:rPr>
        <w:t xml:space="preserve">. </w:t>
      </w:r>
      <w:r w:rsidR="40F79BCF" w:rsidRPr="00A021B7">
        <w:rPr>
          <w:rFonts w:ascii="Arial" w:hAnsi="Arial" w:cs="Arial"/>
          <w:color w:val="000000"/>
          <w:sz w:val="20"/>
          <w:szCs w:val="20"/>
          <w:lang w:val="sr-Cyrl-RS"/>
        </w:rPr>
        <w:t>Локалне</w:t>
      </w:r>
      <w:r w:rsidR="482ABF45" w:rsidRPr="00A021B7">
        <w:rPr>
          <w:rFonts w:ascii="Arial" w:hAnsi="Arial" w:cs="Arial"/>
          <w:color w:val="000000"/>
          <w:sz w:val="20"/>
          <w:szCs w:val="20"/>
          <w:lang w:val="sr-Cyrl-RS"/>
        </w:rPr>
        <w:t xml:space="preserve"> и државне</w:t>
      </w:r>
      <w:r w:rsidR="40F79BCF" w:rsidRPr="00A021B7">
        <w:rPr>
          <w:rFonts w:ascii="Arial" w:hAnsi="Arial" w:cs="Arial"/>
          <w:color w:val="000000"/>
          <w:sz w:val="20"/>
          <w:szCs w:val="20"/>
          <w:lang w:val="sr-Cyrl-RS"/>
        </w:rPr>
        <w:t xml:space="preserve"> јавне </w:t>
      </w:r>
      <w:r w:rsidR="793EDBF0" w:rsidRPr="00A021B7">
        <w:rPr>
          <w:rFonts w:ascii="Arial" w:hAnsi="Arial" w:cs="Arial"/>
          <w:color w:val="000000"/>
          <w:sz w:val="20"/>
          <w:szCs w:val="20"/>
          <w:lang w:val="sr-Cyrl-RS"/>
        </w:rPr>
        <w:t xml:space="preserve">функције и </w:t>
      </w:r>
      <w:r w:rsidR="40F79BCF" w:rsidRPr="00A021B7">
        <w:rPr>
          <w:rFonts w:ascii="Arial" w:hAnsi="Arial" w:cs="Arial"/>
          <w:color w:val="000000"/>
          <w:sz w:val="20"/>
          <w:szCs w:val="20"/>
          <w:lang w:val="sr-Cyrl-RS"/>
        </w:rPr>
        <w:t>услуге потребно је у будућности</w:t>
      </w:r>
      <w:r w:rsidR="36B210D9" w:rsidRPr="00A021B7">
        <w:rPr>
          <w:rFonts w:ascii="Arial" w:hAnsi="Arial" w:cs="Arial"/>
          <w:color w:val="000000"/>
          <w:sz w:val="20"/>
          <w:szCs w:val="20"/>
          <w:lang w:val="sr-Cyrl-RS"/>
        </w:rPr>
        <w:t xml:space="preserve"> развијати и</w:t>
      </w:r>
      <w:r w:rsidR="40F79BCF" w:rsidRPr="00A021B7">
        <w:rPr>
          <w:rFonts w:ascii="Arial" w:hAnsi="Arial" w:cs="Arial"/>
          <w:color w:val="000000"/>
          <w:sz w:val="20"/>
          <w:szCs w:val="20"/>
          <w:lang w:val="sr-Cyrl-RS"/>
        </w:rPr>
        <w:t xml:space="preserve"> прилагођавати</w:t>
      </w:r>
      <w:r w:rsidR="276CA7C9" w:rsidRPr="00A021B7">
        <w:rPr>
          <w:rFonts w:ascii="Arial" w:hAnsi="Arial" w:cs="Arial"/>
          <w:color w:val="000000"/>
          <w:sz w:val="20"/>
          <w:szCs w:val="20"/>
          <w:lang w:val="sr-Cyrl-RS"/>
        </w:rPr>
        <w:t xml:space="preserve"> тако да одговоре нараслом броју корисника у једном делу </w:t>
      </w:r>
      <w:r w:rsidR="02D70A5F" w:rsidRPr="00A021B7">
        <w:rPr>
          <w:rFonts w:ascii="Arial" w:hAnsi="Arial" w:cs="Arial"/>
          <w:color w:val="000000"/>
          <w:sz w:val="20"/>
          <w:szCs w:val="20"/>
          <w:lang w:val="sr-Cyrl-RS"/>
        </w:rPr>
        <w:t>локалних заједница (првенствено у урбаним зонама)</w:t>
      </w:r>
      <w:r w:rsidR="00CE5513">
        <w:rPr>
          <w:rFonts w:ascii="Arial" w:hAnsi="Arial" w:cs="Arial"/>
          <w:color w:val="000000"/>
          <w:sz w:val="20"/>
          <w:szCs w:val="20"/>
          <w:lang w:val="sr-Cyrl-RS"/>
        </w:rPr>
        <w:t>,</w:t>
      </w:r>
      <w:r w:rsidR="0E85D566" w:rsidRPr="00A021B7">
        <w:rPr>
          <w:rFonts w:ascii="Arial" w:hAnsi="Arial" w:cs="Arial"/>
          <w:color w:val="000000"/>
          <w:sz w:val="20"/>
          <w:szCs w:val="20"/>
          <w:lang w:val="sr-Cyrl-RS"/>
        </w:rPr>
        <w:t xml:space="preserve"> али и да обезбеде максималну могућу доступност и квалитет </w:t>
      </w:r>
      <w:r w:rsidR="00CE5513">
        <w:rPr>
          <w:rFonts w:ascii="Arial" w:hAnsi="Arial" w:cs="Arial"/>
          <w:color w:val="000000"/>
          <w:sz w:val="20"/>
          <w:szCs w:val="20"/>
          <w:lang w:val="sr-Cyrl-RS"/>
        </w:rPr>
        <w:t>на</w:t>
      </w:r>
      <w:r w:rsidR="00CE5513" w:rsidRPr="00A021B7">
        <w:rPr>
          <w:rFonts w:ascii="Arial" w:hAnsi="Arial" w:cs="Arial"/>
          <w:color w:val="000000"/>
          <w:sz w:val="20"/>
          <w:szCs w:val="20"/>
          <w:lang w:val="sr-Cyrl-RS"/>
        </w:rPr>
        <w:t xml:space="preserve"> </w:t>
      </w:r>
      <w:r w:rsidR="0E85D566" w:rsidRPr="00A021B7">
        <w:rPr>
          <w:rFonts w:ascii="Arial" w:hAnsi="Arial" w:cs="Arial"/>
          <w:color w:val="000000"/>
          <w:sz w:val="20"/>
          <w:szCs w:val="20"/>
          <w:lang w:val="sr-Cyrl-RS"/>
        </w:rPr>
        <w:t xml:space="preserve">свим деловима </w:t>
      </w:r>
      <w:r w:rsidR="482ABF45" w:rsidRPr="00A021B7">
        <w:rPr>
          <w:rFonts w:ascii="Arial" w:hAnsi="Arial" w:cs="Arial"/>
          <w:color w:val="000000"/>
          <w:sz w:val="20"/>
          <w:szCs w:val="20"/>
          <w:lang w:val="sr-Cyrl-RS"/>
        </w:rPr>
        <w:t>територије целе државе</w:t>
      </w:r>
      <w:r w:rsidR="36B210D9" w:rsidRPr="00A021B7">
        <w:rPr>
          <w:rFonts w:ascii="Arial" w:hAnsi="Arial" w:cs="Arial"/>
          <w:color w:val="000000"/>
          <w:sz w:val="20"/>
          <w:szCs w:val="20"/>
          <w:lang w:val="sr-Cyrl-RS"/>
        </w:rPr>
        <w:t xml:space="preserve"> или неке ЈЛС</w:t>
      </w:r>
      <w:r w:rsidR="03C6CE45" w:rsidRPr="00A021B7">
        <w:rPr>
          <w:rFonts w:ascii="Arial" w:hAnsi="Arial" w:cs="Arial"/>
          <w:color w:val="000000"/>
          <w:sz w:val="20"/>
          <w:szCs w:val="20"/>
          <w:lang w:val="sr-Cyrl-RS"/>
        </w:rPr>
        <w:t>, без обзира на њену величину</w:t>
      </w:r>
      <w:r w:rsidR="1AC249F6" w:rsidRPr="00A021B7">
        <w:rPr>
          <w:rFonts w:ascii="Arial" w:hAnsi="Arial" w:cs="Arial"/>
          <w:color w:val="000000"/>
          <w:sz w:val="20"/>
          <w:szCs w:val="20"/>
          <w:lang w:val="sr-Cyrl-RS"/>
        </w:rPr>
        <w:t xml:space="preserve">, територијалну </w:t>
      </w:r>
      <w:r w:rsidR="03C6CE45" w:rsidRPr="00A021B7">
        <w:rPr>
          <w:rFonts w:ascii="Arial" w:hAnsi="Arial" w:cs="Arial"/>
          <w:color w:val="000000"/>
          <w:sz w:val="20"/>
          <w:szCs w:val="20"/>
          <w:lang w:val="sr-Cyrl-RS"/>
        </w:rPr>
        <w:t>конфи</w:t>
      </w:r>
      <w:r w:rsidR="1AC249F6" w:rsidRPr="00A021B7">
        <w:rPr>
          <w:rFonts w:ascii="Arial" w:hAnsi="Arial" w:cs="Arial"/>
          <w:color w:val="000000"/>
          <w:sz w:val="20"/>
          <w:szCs w:val="20"/>
          <w:lang w:val="sr-Cyrl-RS"/>
        </w:rPr>
        <w:t>г</w:t>
      </w:r>
      <w:r w:rsidR="03C6CE45" w:rsidRPr="00A021B7">
        <w:rPr>
          <w:rFonts w:ascii="Arial" w:hAnsi="Arial" w:cs="Arial"/>
          <w:color w:val="000000"/>
          <w:sz w:val="20"/>
          <w:szCs w:val="20"/>
          <w:lang w:val="sr-Cyrl-RS"/>
        </w:rPr>
        <w:t>урацију и</w:t>
      </w:r>
      <w:r w:rsidR="1AC249F6" w:rsidRPr="00A021B7">
        <w:rPr>
          <w:rFonts w:ascii="Arial" w:hAnsi="Arial" w:cs="Arial"/>
          <w:color w:val="000000"/>
          <w:sz w:val="20"/>
          <w:szCs w:val="20"/>
          <w:lang w:val="sr-Cyrl-RS"/>
        </w:rPr>
        <w:t>ли</w:t>
      </w:r>
      <w:r w:rsidR="03C6CE45" w:rsidRPr="00A021B7">
        <w:rPr>
          <w:rFonts w:ascii="Arial" w:hAnsi="Arial" w:cs="Arial"/>
          <w:color w:val="000000"/>
          <w:sz w:val="20"/>
          <w:szCs w:val="20"/>
          <w:lang w:val="sr-Cyrl-RS"/>
        </w:rPr>
        <w:t xml:space="preserve"> структуру насељених места</w:t>
      </w:r>
      <w:r w:rsidR="36B210D9" w:rsidRPr="00A021B7">
        <w:rPr>
          <w:rFonts w:ascii="Arial" w:hAnsi="Arial" w:cs="Arial"/>
          <w:color w:val="000000"/>
          <w:sz w:val="20"/>
          <w:szCs w:val="20"/>
          <w:lang w:val="sr-Cyrl-RS"/>
        </w:rPr>
        <w:t xml:space="preserve"> (</w:t>
      </w:r>
      <w:r w:rsidR="3D78EAD4" w:rsidRPr="00A021B7">
        <w:rPr>
          <w:rFonts w:ascii="Arial" w:hAnsi="Arial" w:cs="Arial"/>
          <w:color w:val="000000"/>
          <w:sz w:val="20"/>
          <w:szCs w:val="20"/>
          <w:lang w:val="sr-Cyrl-RS"/>
        </w:rPr>
        <w:t>погранична насељена места, руралне и планинске средине</w:t>
      </w:r>
      <w:r w:rsidR="03C6CE45" w:rsidRPr="00A021B7">
        <w:rPr>
          <w:rFonts w:ascii="Arial" w:hAnsi="Arial" w:cs="Arial"/>
          <w:color w:val="000000"/>
          <w:sz w:val="20"/>
          <w:szCs w:val="20"/>
          <w:lang w:val="sr-Cyrl-RS"/>
        </w:rPr>
        <w:t xml:space="preserve"> и др.</w:t>
      </w:r>
      <w:r w:rsidR="3D78EAD4" w:rsidRPr="00A021B7">
        <w:rPr>
          <w:rFonts w:ascii="Arial" w:hAnsi="Arial" w:cs="Arial"/>
          <w:color w:val="000000"/>
          <w:sz w:val="20"/>
          <w:szCs w:val="20"/>
          <w:lang w:val="sr-Cyrl-RS"/>
        </w:rPr>
        <w:t>).</w:t>
      </w:r>
    </w:p>
    <w:p w14:paraId="0885F0A4" w14:textId="77777777" w:rsidR="00896E06" w:rsidRPr="00A021B7" w:rsidRDefault="00896E06" w:rsidP="003E7BC9">
      <w:pPr>
        <w:jc w:val="both"/>
        <w:rPr>
          <w:rFonts w:ascii="Arial" w:hAnsi="Arial" w:cs="Arial"/>
          <w:sz w:val="20"/>
          <w:szCs w:val="20"/>
          <w:lang w:val="sr-Cyrl-RS"/>
        </w:rPr>
      </w:pPr>
    </w:p>
    <w:p w14:paraId="1F7F1530" w14:textId="00A8F559" w:rsidR="00BF078C" w:rsidRPr="00A021B7" w:rsidRDefault="00624E20"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У </w:t>
      </w:r>
      <w:r w:rsidR="008205F6" w:rsidRPr="0DD3B114">
        <w:rPr>
          <w:rFonts w:ascii="Arial" w:hAnsi="Arial" w:cs="Arial"/>
          <w:sz w:val="20"/>
          <w:szCs w:val="20"/>
          <w:lang w:val="sr-Cyrl-RS"/>
        </w:rPr>
        <w:t>ранијим</w:t>
      </w:r>
      <w:r w:rsidR="00CE5513" w:rsidRPr="0DD3B114">
        <w:rPr>
          <w:rFonts w:ascii="Arial" w:hAnsi="Arial" w:cs="Arial"/>
          <w:sz w:val="20"/>
          <w:szCs w:val="20"/>
          <w:lang w:val="sr-Cyrl-RS"/>
        </w:rPr>
        <w:t>,</w:t>
      </w:r>
      <w:r w:rsidRPr="0DD3B114">
        <w:rPr>
          <w:rFonts w:ascii="Arial" w:hAnsi="Arial" w:cs="Arial"/>
          <w:sz w:val="20"/>
          <w:szCs w:val="20"/>
          <w:lang w:val="sr-Cyrl-RS"/>
        </w:rPr>
        <w:t xml:space="preserve"> мањим или већим</w:t>
      </w:r>
      <w:r w:rsidR="00CE5513" w:rsidRPr="0DD3B114">
        <w:rPr>
          <w:rFonts w:ascii="Arial" w:hAnsi="Arial" w:cs="Arial"/>
          <w:sz w:val="20"/>
          <w:szCs w:val="20"/>
          <w:lang w:val="sr-Cyrl-RS"/>
        </w:rPr>
        <w:t>,</w:t>
      </w:r>
      <w:r w:rsidRPr="0DD3B114">
        <w:rPr>
          <w:rFonts w:ascii="Arial" w:hAnsi="Arial" w:cs="Arial"/>
          <w:sz w:val="20"/>
          <w:szCs w:val="20"/>
          <w:lang w:val="sr-Cyrl-RS"/>
        </w:rPr>
        <w:t xml:space="preserve"> реформама које су спровође</w:t>
      </w:r>
      <w:r w:rsidR="00CE5513" w:rsidRPr="0DD3B114">
        <w:rPr>
          <w:rFonts w:ascii="Arial" w:hAnsi="Arial" w:cs="Arial"/>
          <w:sz w:val="20"/>
          <w:szCs w:val="20"/>
          <w:lang w:val="sr-Cyrl-RS"/>
        </w:rPr>
        <w:t>н</w:t>
      </w:r>
      <w:r w:rsidRPr="0DD3B114">
        <w:rPr>
          <w:rFonts w:ascii="Arial" w:hAnsi="Arial" w:cs="Arial"/>
          <w:sz w:val="20"/>
          <w:szCs w:val="20"/>
          <w:lang w:val="sr-Cyrl-RS"/>
        </w:rPr>
        <w:t>е у области локалне самоуправе, д</w:t>
      </w:r>
      <w:r w:rsidR="001B35FE" w:rsidRPr="0DD3B114">
        <w:rPr>
          <w:rFonts w:ascii="Arial" w:hAnsi="Arial" w:cs="Arial"/>
          <w:sz w:val="20"/>
          <w:szCs w:val="20"/>
          <w:lang w:val="sr-Cyrl-RS"/>
        </w:rPr>
        <w:t xml:space="preserve">емографски трендови у протеклих пола века нису анализирани са становишта њиховог утицаја на одрживост система локалне самоуправе и евентуалне промене у </w:t>
      </w:r>
      <w:r w:rsidR="002F4547" w:rsidRPr="0DD3B114">
        <w:rPr>
          <w:rFonts w:ascii="Arial" w:hAnsi="Arial" w:cs="Arial"/>
          <w:sz w:val="20"/>
          <w:szCs w:val="20"/>
          <w:lang w:val="sr-Cyrl-RS"/>
        </w:rPr>
        <w:t>њему</w:t>
      </w:r>
      <w:r w:rsidR="001B35FE" w:rsidRPr="0DD3B114">
        <w:rPr>
          <w:rFonts w:ascii="Arial" w:hAnsi="Arial" w:cs="Arial"/>
          <w:sz w:val="20"/>
          <w:szCs w:val="20"/>
          <w:lang w:val="sr-Cyrl-RS"/>
        </w:rPr>
        <w:t xml:space="preserve">. </w:t>
      </w:r>
      <w:r w:rsidR="000E2296" w:rsidRPr="0DD3B114">
        <w:rPr>
          <w:rFonts w:ascii="Arial" w:hAnsi="Arial" w:cs="Arial"/>
          <w:sz w:val="20"/>
          <w:szCs w:val="20"/>
          <w:lang w:val="sr-Cyrl-RS"/>
        </w:rPr>
        <w:t>Крупне промене у броју становника градова и општина, економској снази и другим капацитетима нису довеле до значајнијих промена монотипности система</w:t>
      </w:r>
      <w:r w:rsidR="008C4129" w:rsidRPr="0DD3B114">
        <w:rPr>
          <w:rFonts w:ascii="Arial" w:hAnsi="Arial" w:cs="Arial"/>
          <w:sz w:val="20"/>
          <w:szCs w:val="20"/>
          <w:lang w:val="sr-Cyrl-RS"/>
        </w:rPr>
        <w:t xml:space="preserve"> локалне самоуправе</w:t>
      </w:r>
      <w:r w:rsidR="000E2296" w:rsidRPr="0DD3B114">
        <w:rPr>
          <w:rFonts w:ascii="Arial" w:hAnsi="Arial" w:cs="Arial"/>
          <w:sz w:val="20"/>
          <w:szCs w:val="20"/>
          <w:lang w:val="sr-Cyrl-RS"/>
        </w:rPr>
        <w:t xml:space="preserve">. </w:t>
      </w:r>
      <w:r w:rsidR="00CE5513" w:rsidRPr="0DD3B114">
        <w:rPr>
          <w:rFonts w:ascii="Arial" w:hAnsi="Arial" w:cs="Arial"/>
          <w:sz w:val="20"/>
          <w:szCs w:val="20"/>
          <w:lang w:val="sr-Cyrl-RS"/>
        </w:rPr>
        <w:t>П</w:t>
      </w:r>
      <w:r w:rsidR="000E2296" w:rsidRPr="0DD3B114">
        <w:rPr>
          <w:rFonts w:ascii="Arial" w:hAnsi="Arial" w:cs="Arial"/>
          <w:sz w:val="20"/>
          <w:szCs w:val="20"/>
          <w:lang w:val="sr-Cyrl-RS"/>
        </w:rPr>
        <w:t>оследиц</w:t>
      </w:r>
      <w:r w:rsidR="00CE5513" w:rsidRPr="0DD3B114">
        <w:rPr>
          <w:rFonts w:ascii="Arial" w:hAnsi="Arial" w:cs="Arial"/>
          <w:sz w:val="20"/>
          <w:szCs w:val="20"/>
          <w:lang w:val="sr-Cyrl-RS"/>
        </w:rPr>
        <w:t>а</w:t>
      </w:r>
      <w:r w:rsidR="000E2296" w:rsidRPr="0DD3B114">
        <w:rPr>
          <w:rFonts w:ascii="Arial" w:hAnsi="Arial" w:cs="Arial"/>
          <w:sz w:val="20"/>
          <w:szCs w:val="20"/>
          <w:lang w:val="sr-Cyrl-RS"/>
        </w:rPr>
        <w:t xml:space="preserve"> </w:t>
      </w:r>
      <w:r w:rsidR="00CE5513" w:rsidRPr="0DD3B114">
        <w:rPr>
          <w:rFonts w:ascii="Arial" w:hAnsi="Arial" w:cs="Arial"/>
          <w:sz w:val="20"/>
          <w:szCs w:val="20"/>
          <w:lang w:val="sr-Cyrl-RS"/>
        </w:rPr>
        <w:t>тога је</w:t>
      </w:r>
      <w:r w:rsidR="000E2296" w:rsidRPr="0DD3B114">
        <w:rPr>
          <w:rFonts w:ascii="Arial" w:hAnsi="Arial" w:cs="Arial"/>
          <w:sz w:val="20"/>
          <w:szCs w:val="20"/>
          <w:lang w:val="sr-Cyrl-RS"/>
        </w:rPr>
        <w:t xml:space="preserve"> да општине и градови већ више од пола века функционишу у истом територијалном оквиру и мање-више истом функционалном оквиру, без обзира на њихову величину или капацитете. Најочигледнији пример међусобног разликовања највеће (град Београд) и најмање ЈЛС (Црна </w:t>
      </w:r>
      <w:r w:rsidR="000E2296" w:rsidRPr="0DD3B114">
        <w:rPr>
          <w:rFonts w:ascii="Arial" w:hAnsi="Arial" w:cs="Arial"/>
          <w:sz w:val="20"/>
          <w:szCs w:val="20"/>
          <w:lang w:val="sr-Cyrl-RS"/>
        </w:rPr>
        <w:lastRenderedPageBreak/>
        <w:t>Трава) према броју становника је</w:t>
      </w:r>
      <w:r w:rsidR="00AF778C" w:rsidRPr="0DD3B114">
        <w:rPr>
          <w:rFonts w:ascii="Arial" w:hAnsi="Arial" w:cs="Arial"/>
          <w:sz w:val="20"/>
          <w:szCs w:val="20"/>
          <w:lang w:val="sr-Cyrl-RS"/>
        </w:rPr>
        <w:t xml:space="preserve"> однос</w:t>
      </w:r>
      <w:r w:rsidR="000E2296" w:rsidRPr="0DD3B114">
        <w:rPr>
          <w:rFonts w:ascii="Arial" w:hAnsi="Arial" w:cs="Arial"/>
          <w:sz w:val="20"/>
          <w:szCs w:val="20"/>
          <w:lang w:val="sr-Cyrl-RS"/>
        </w:rPr>
        <w:t xml:space="preserve"> 1000:1. </w:t>
      </w:r>
      <w:r w:rsidR="00621BA7" w:rsidRPr="0DD3B114">
        <w:rPr>
          <w:rFonts w:ascii="Arial" w:hAnsi="Arial" w:cs="Arial"/>
          <w:sz w:val="20"/>
          <w:szCs w:val="20"/>
          <w:lang w:val="sr-Cyrl-RS"/>
        </w:rPr>
        <w:t>Иако р</w:t>
      </w:r>
      <w:r w:rsidR="000E2296" w:rsidRPr="0DD3B114">
        <w:rPr>
          <w:rFonts w:ascii="Arial" w:hAnsi="Arial" w:cs="Arial"/>
          <w:sz w:val="20"/>
          <w:szCs w:val="20"/>
          <w:lang w:val="sr-Cyrl-RS"/>
        </w:rPr>
        <w:t>азликовање града Београда и других јединица локалне самоуправе произлази из положаја града Београда као главног града</w:t>
      </w:r>
      <w:r w:rsidR="00AF778C" w:rsidRPr="0DD3B114">
        <w:rPr>
          <w:rFonts w:ascii="Arial" w:hAnsi="Arial" w:cs="Arial"/>
          <w:sz w:val="20"/>
          <w:szCs w:val="20"/>
          <w:lang w:val="sr-Cyrl-RS"/>
        </w:rPr>
        <w:t>,</w:t>
      </w:r>
      <w:r w:rsidR="000E2296" w:rsidRPr="0DD3B114">
        <w:rPr>
          <w:rFonts w:ascii="Arial" w:hAnsi="Arial" w:cs="Arial"/>
          <w:sz w:val="20"/>
          <w:szCs w:val="20"/>
          <w:lang w:val="sr-Cyrl-RS"/>
        </w:rPr>
        <w:t xml:space="preserve"> чији се положај уређује посебним законом и коме се могу пренети и друге надлежности</w:t>
      </w:r>
      <w:r w:rsidR="003E60FE" w:rsidRPr="0DD3B114">
        <w:rPr>
          <w:rFonts w:ascii="Arial" w:hAnsi="Arial" w:cs="Arial"/>
          <w:sz w:val="20"/>
          <w:szCs w:val="20"/>
          <w:lang w:val="sr-Cyrl-RS"/>
        </w:rPr>
        <w:t xml:space="preserve"> (</w:t>
      </w:r>
      <w:r w:rsidR="000E2296" w:rsidRPr="0DD3B114">
        <w:rPr>
          <w:rFonts w:ascii="Arial" w:hAnsi="Arial" w:cs="Arial"/>
          <w:sz w:val="20"/>
          <w:szCs w:val="20"/>
          <w:lang w:val="sr-Cyrl-RS"/>
        </w:rPr>
        <w:t>осим оних које су пренете јединицама локалне самоуправе</w:t>
      </w:r>
      <w:r w:rsidR="003E60FE" w:rsidRPr="0DD3B114">
        <w:rPr>
          <w:rFonts w:ascii="Arial" w:hAnsi="Arial" w:cs="Arial"/>
          <w:sz w:val="20"/>
          <w:szCs w:val="20"/>
          <w:lang w:val="sr-Cyrl-RS"/>
        </w:rPr>
        <w:t xml:space="preserve">), не може се закључити да </w:t>
      </w:r>
      <w:r w:rsidR="002C5F42" w:rsidRPr="0DD3B114">
        <w:rPr>
          <w:rFonts w:ascii="Arial" w:hAnsi="Arial" w:cs="Arial"/>
          <w:sz w:val="20"/>
          <w:szCs w:val="20"/>
          <w:lang w:val="sr-Cyrl-RS"/>
        </w:rPr>
        <w:t xml:space="preserve">различите </w:t>
      </w:r>
      <w:r w:rsidR="00BF078C" w:rsidRPr="0DD3B114">
        <w:rPr>
          <w:rFonts w:ascii="Arial" w:hAnsi="Arial" w:cs="Arial"/>
          <w:sz w:val="20"/>
          <w:szCs w:val="20"/>
          <w:lang w:val="sr-Cyrl-RS"/>
        </w:rPr>
        <w:t>функције и послови које</w:t>
      </w:r>
      <w:r w:rsidR="002C5F42" w:rsidRPr="0DD3B114">
        <w:rPr>
          <w:rFonts w:ascii="Arial" w:hAnsi="Arial" w:cs="Arial"/>
          <w:sz w:val="20"/>
          <w:szCs w:val="20"/>
          <w:lang w:val="sr-Cyrl-RS"/>
        </w:rPr>
        <w:t xml:space="preserve"> врши</w:t>
      </w:r>
      <w:r w:rsidR="00BF078C" w:rsidRPr="0DD3B114">
        <w:rPr>
          <w:rFonts w:ascii="Arial" w:hAnsi="Arial" w:cs="Arial"/>
          <w:sz w:val="20"/>
          <w:szCs w:val="20"/>
          <w:lang w:val="sr-Cyrl-RS"/>
        </w:rPr>
        <w:t xml:space="preserve"> главни град у систему локалне самоуправе</w:t>
      </w:r>
      <w:r w:rsidR="00D01F92" w:rsidRPr="0DD3B114">
        <w:rPr>
          <w:rFonts w:ascii="Arial" w:hAnsi="Arial" w:cs="Arial"/>
          <w:sz w:val="20"/>
          <w:szCs w:val="20"/>
          <w:lang w:val="sr-Cyrl-RS"/>
        </w:rPr>
        <w:t>,</w:t>
      </w:r>
      <w:r w:rsidR="00E2021C" w:rsidRPr="0DD3B114">
        <w:rPr>
          <w:rFonts w:ascii="Arial" w:hAnsi="Arial" w:cs="Arial"/>
          <w:sz w:val="20"/>
          <w:szCs w:val="20"/>
          <w:lang w:val="sr-Cyrl-RS"/>
        </w:rPr>
        <w:t xml:space="preserve"> </w:t>
      </w:r>
      <w:r w:rsidR="00CE70AB" w:rsidRPr="0DD3B114">
        <w:rPr>
          <w:rFonts w:ascii="Arial" w:hAnsi="Arial" w:cs="Arial"/>
          <w:sz w:val="20"/>
          <w:szCs w:val="20"/>
          <w:lang w:val="sr-Cyrl-RS"/>
        </w:rPr>
        <w:t xml:space="preserve">довољно </w:t>
      </w:r>
      <w:r w:rsidR="00E2021C" w:rsidRPr="0DD3B114">
        <w:rPr>
          <w:rFonts w:ascii="Arial" w:hAnsi="Arial" w:cs="Arial"/>
          <w:sz w:val="20"/>
          <w:szCs w:val="20"/>
          <w:lang w:val="sr-Cyrl-RS"/>
        </w:rPr>
        <w:t xml:space="preserve">сразмерно </w:t>
      </w:r>
      <w:r w:rsidR="00BF078C" w:rsidRPr="0DD3B114">
        <w:rPr>
          <w:rFonts w:ascii="Arial" w:hAnsi="Arial" w:cs="Arial"/>
          <w:sz w:val="20"/>
          <w:szCs w:val="20"/>
          <w:lang w:val="sr-Cyrl-RS"/>
        </w:rPr>
        <w:t>прате демографске, територијалне, економске и друге разлике између главног града и других ЈЛС</w:t>
      </w:r>
      <w:r w:rsidR="00CE70AB" w:rsidRPr="0DD3B114">
        <w:rPr>
          <w:rFonts w:ascii="Arial" w:hAnsi="Arial" w:cs="Arial"/>
          <w:sz w:val="20"/>
          <w:szCs w:val="20"/>
          <w:lang w:val="sr-Cyrl-RS"/>
        </w:rPr>
        <w:t>. Слично</w:t>
      </w:r>
      <w:r w:rsidR="00AF778C" w:rsidRPr="0DD3B114">
        <w:rPr>
          <w:rFonts w:ascii="Arial" w:hAnsi="Arial" w:cs="Arial"/>
          <w:sz w:val="20"/>
          <w:szCs w:val="20"/>
          <w:lang w:val="sr-Cyrl-RS"/>
        </w:rPr>
        <w:t>,</w:t>
      </w:r>
      <w:r w:rsidR="00CE70AB" w:rsidRPr="0DD3B114">
        <w:rPr>
          <w:rFonts w:ascii="Arial" w:hAnsi="Arial" w:cs="Arial"/>
          <w:sz w:val="20"/>
          <w:szCs w:val="20"/>
          <w:lang w:val="sr-Cyrl-RS"/>
        </w:rPr>
        <w:t xml:space="preserve"> па и више</w:t>
      </w:r>
      <w:r w:rsidR="00AF778C" w:rsidRPr="0DD3B114">
        <w:rPr>
          <w:rFonts w:ascii="Arial" w:hAnsi="Arial" w:cs="Arial"/>
          <w:sz w:val="20"/>
          <w:szCs w:val="20"/>
          <w:lang w:val="sr-Cyrl-RS"/>
        </w:rPr>
        <w:t>,</w:t>
      </w:r>
      <w:r w:rsidR="00CE70AB" w:rsidRPr="0DD3B114">
        <w:rPr>
          <w:rFonts w:ascii="Arial" w:hAnsi="Arial" w:cs="Arial"/>
          <w:sz w:val="20"/>
          <w:szCs w:val="20"/>
          <w:lang w:val="sr-Cyrl-RS"/>
        </w:rPr>
        <w:t xml:space="preserve"> </w:t>
      </w:r>
      <w:r w:rsidR="00034ACA" w:rsidRPr="0DD3B114">
        <w:rPr>
          <w:rFonts w:ascii="Arial" w:hAnsi="Arial" w:cs="Arial"/>
          <w:sz w:val="20"/>
          <w:szCs w:val="20"/>
          <w:lang w:val="sr-Cyrl-RS"/>
        </w:rPr>
        <w:t xml:space="preserve">важи и </w:t>
      </w:r>
      <w:r w:rsidR="00CE70AB" w:rsidRPr="0DD3B114">
        <w:rPr>
          <w:rFonts w:ascii="Arial" w:hAnsi="Arial" w:cs="Arial"/>
          <w:sz w:val="20"/>
          <w:szCs w:val="20"/>
          <w:lang w:val="sr-Cyrl-RS"/>
        </w:rPr>
        <w:t>у вези са положајем</w:t>
      </w:r>
      <w:r w:rsidR="00B822AB" w:rsidRPr="0DD3B114">
        <w:rPr>
          <w:rFonts w:ascii="Arial" w:hAnsi="Arial" w:cs="Arial"/>
          <w:sz w:val="20"/>
          <w:szCs w:val="20"/>
          <w:lang w:val="sr-Cyrl-RS"/>
        </w:rPr>
        <w:t xml:space="preserve"> и поређењем великих</w:t>
      </w:r>
      <w:r w:rsidR="00AF778C" w:rsidRPr="0DD3B114">
        <w:rPr>
          <w:rFonts w:ascii="Arial" w:hAnsi="Arial" w:cs="Arial"/>
          <w:sz w:val="20"/>
          <w:szCs w:val="20"/>
          <w:lang w:val="sr-Cyrl-RS"/>
        </w:rPr>
        <w:t>,</w:t>
      </w:r>
      <w:r w:rsidR="00B822AB" w:rsidRPr="0DD3B114">
        <w:rPr>
          <w:rFonts w:ascii="Arial" w:hAnsi="Arial" w:cs="Arial"/>
          <w:sz w:val="20"/>
          <w:szCs w:val="20"/>
          <w:lang w:val="sr-Cyrl-RS"/>
        </w:rPr>
        <w:t xml:space="preserve"> а</w:t>
      </w:r>
      <w:r w:rsidR="00AF778C" w:rsidRPr="0DD3B114">
        <w:rPr>
          <w:rFonts w:ascii="Arial" w:hAnsi="Arial" w:cs="Arial"/>
          <w:sz w:val="20"/>
          <w:szCs w:val="20"/>
          <w:lang w:val="sr-Cyrl-RS"/>
        </w:rPr>
        <w:t>ли</w:t>
      </w:r>
      <w:r w:rsidR="00B822AB" w:rsidRPr="0DD3B114">
        <w:rPr>
          <w:rFonts w:ascii="Arial" w:hAnsi="Arial" w:cs="Arial"/>
          <w:sz w:val="20"/>
          <w:szCs w:val="20"/>
          <w:lang w:val="sr-Cyrl-RS"/>
        </w:rPr>
        <w:t xml:space="preserve"> и свих градова у односу на општине, посебно оне најмање</w:t>
      </w:r>
      <w:r w:rsidR="009243E8" w:rsidRPr="0DD3B114">
        <w:rPr>
          <w:rFonts w:ascii="Arial" w:hAnsi="Arial" w:cs="Arial"/>
          <w:sz w:val="20"/>
          <w:szCs w:val="20"/>
          <w:lang w:val="sr-Cyrl-RS"/>
        </w:rPr>
        <w:t>,</w:t>
      </w:r>
      <w:r w:rsidR="00034ACA" w:rsidRPr="0DD3B114">
        <w:rPr>
          <w:rFonts w:ascii="Arial" w:hAnsi="Arial" w:cs="Arial"/>
          <w:sz w:val="20"/>
          <w:szCs w:val="20"/>
          <w:lang w:val="sr-Cyrl-RS"/>
        </w:rPr>
        <w:t xml:space="preserve"> јер међу њима нема разлике у </w:t>
      </w:r>
      <w:r w:rsidR="007B5378" w:rsidRPr="0DD3B114">
        <w:rPr>
          <w:rFonts w:ascii="Arial" w:hAnsi="Arial" w:cs="Arial"/>
          <w:sz w:val="20"/>
          <w:szCs w:val="20"/>
          <w:lang w:val="sr-Cyrl-RS"/>
        </w:rPr>
        <w:t>надлежностима</w:t>
      </w:r>
      <w:r w:rsidR="00D01F7A" w:rsidRPr="0DD3B114">
        <w:rPr>
          <w:rFonts w:ascii="Arial" w:hAnsi="Arial" w:cs="Arial"/>
          <w:sz w:val="20"/>
          <w:szCs w:val="20"/>
          <w:lang w:val="sr-Cyrl-RS"/>
        </w:rPr>
        <w:t xml:space="preserve"> локалне самоуправе.</w:t>
      </w:r>
    </w:p>
    <w:p w14:paraId="7DCB1CE3" w14:textId="77777777" w:rsidR="001B35FE" w:rsidRPr="00A021B7" w:rsidRDefault="001B35FE"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sr-Cyrl-RS"/>
        </w:rPr>
      </w:pPr>
    </w:p>
    <w:p w14:paraId="74202F04" w14:textId="204C56C0" w:rsidR="00F635E9" w:rsidRPr="00A021B7" w:rsidRDefault="00212434" w:rsidP="0DD3B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hAnsi="Arial" w:cs="Arial"/>
          <w:sz w:val="20"/>
          <w:szCs w:val="20"/>
          <w:lang w:val="sr-Cyrl-RS"/>
        </w:rPr>
      </w:pPr>
      <w:r w:rsidRPr="0DD3B114">
        <w:rPr>
          <w:rFonts w:ascii="Arial" w:hAnsi="Arial" w:cs="Arial"/>
          <w:color w:val="000000" w:themeColor="text1"/>
          <w:sz w:val="20"/>
          <w:szCs w:val="20"/>
          <w:lang w:val="sr-Cyrl-RS"/>
        </w:rPr>
        <w:t>У</w:t>
      </w:r>
      <w:r w:rsidR="00000EB3" w:rsidRPr="0DD3B114">
        <w:rPr>
          <w:rFonts w:ascii="Arial" w:hAnsi="Arial" w:cs="Arial"/>
          <w:color w:val="000000" w:themeColor="text1"/>
          <w:sz w:val="20"/>
          <w:szCs w:val="20"/>
          <w:lang w:val="sr-Cyrl-RS"/>
        </w:rPr>
        <w:t xml:space="preserve"> пракси</w:t>
      </w:r>
      <w:r w:rsidR="1C5225A2" w:rsidRPr="0DD3B114">
        <w:rPr>
          <w:rFonts w:ascii="Arial" w:hAnsi="Arial" w:cs="Arial"/>
          <w:color w:val="000000" w:themeColor="text1"/>
          <w:sz w:val="20"/>
          <w:szCs w:val="20"/>
          <w:lang w:val="sr-Cyrl-RS"/>
        </w:rPr>
        <w:t>,</w:t>
      </w:r>
      <w:r w:rsidR="00000EB3" w:rsidRPr="0DD3B114">
        <w:rPr>
          <w:rFonts w:ascii="Arial" w:hAnsi="Arial" w:cs="Arial"/>
          <w:color w:val="000000" w:themeColor="text1"/>
          <w:sz w:val="20"/>
          <w:szCs w:val="20"/>
          <w:lang w:val="sr-Cyrl-RS"/>
        </w:rPr>
        <w:t xml:space="preserve"> </w:t>
      </w:r>
      <w:r w:rsidR="009E5952" w:rsidRPr="0DD3B114">
        <w:rPr>
          <w:rFonts w:ascii="Arial" w:hAnsi="Arial" w:cs="Arial"/>
          <w:color w:val="000000" w:themeColor="text1"/>
          <w:sz w:val="20"/>
          <w:szCs w:val="20"/>
          <w:lang w:val="sr-Cyrl-RS"/>
        </w:rPr>
        <w:t xml:space="preserve">постојећа ситуација доводи до </w:t>
      </w:r>
      <w:r w:rsidR="00000EB3" w:rsidRPr="0DD3B114">
        <w:rPr>
          <w:rFonts w:ascii="Arial" w:hAnsi="Arial" w:cs="Arial"/>
          <w:color w:val="000000" w:themeColor="text1"/>
          <w:sz w:val="20"/>
          <w:szCs w:val="20"/>
          <w:lang w:val="sr-Cyrl-RS"/>
        </w:rPr>
        <w:t>изостанка капацитета појединих ЈЛС да врше своје послове на квалитетан начин</w:t>
      </w:r>
      <w:r w:rsidR="000A5C2B" w:rsidRPr="0DD3B114">
        <w:rPr>
          <w:rFonts w:ascii="Arial" w:hAnsi="Arial" w:cs="Arial"/>
          <w:color w:val="000000" w:themeColor="text1"/>
          <w:sz w:val="20"/>
          <w:szCs w:val="20"/>
          <w:lang w:val="sr-Cyrl-RS"/>
        </w:rPr>
        <w:t>,</w:t>
      </w:r>
      <w:r w:rsidR="00157224" w:rsidRPr="0DD3B114">
        <w:rPr>
          <w:rFonts w:ascii="Arial" w:hAnsi="Arial" w:cs="Arial"/>
          <w:color w:val="000000" w:themeColor="text1"/>
          <w:sz w:val="20"/>
          <w:szCs w:val="20"/>
          <w:lang w:val="sr-Cyrl-RS"/>
        </w:rPr>
        <w:t xml:space="preserve"> </w:t>
      </w:r>
      <w:r w:rsidR="00AF778C" w:rsidRPr="0DD3B114">
        <w:rPr>
          <w:rFonts w:ascii="Arial" w:hAnsi="Arial" w:cs="Arial"/>
          <w:color w:val="000000" w:themeColor="text1"/>
          <w:sz w:val="20"/>
          <w:szCs w:val="20"/>
          <w:lang w:val="sr-Cyrl-RS"/>
        </w:rPr>
        <w:t xml:space="preserve">и таквог положаја </w:t>
      </w:r>
      <w:r w:rsidR="00157224" w:rsidRPr="0DD3B114">
        <w:rPr>
          <w:rFonts w:ascii="Arial" w:hAnsi="Arial" w:cs="Arial"/>
          <w:color w:val="000000" w:themeColor="text1"/>
          <w:sz w:val="20"/>
          <w:szCs w:val="20"/>
          <w:lang w:val="sr-Cyrl-RS"/>
        </w:rPr>
        <w:t xml:space="preserve">других да немају </w:t>
      </w:r>
      <w:r w:rsidR="00E92261" w:rsidRPr="0DD3B114">
        <w:rPr>
          <w:rFonts w:ascii="Arial" w:hAnsi="Arial" w:cs="Arial"/>
          <w:color w:val="000000" w:themeColor="text1"/>
          <w:sz w:val="20"/>
          <w:szCs w:val="20"/>
          <w:lang w:val="sr-Cyrl-RS"/>
        </w:rPr>
        <w:t xml:space="preserve">законски основ </w:t>
      </w:r>
      <w:r w:rsidR="00157224" w:rsidRPr="0DD3B114">
        <w:rPr>
          <w:rFonts w:ascii="Arial" w:hAnsi="Arial" w:cs="Arial"/>
          <w:color w:val="000000" w:themeColor="text1"/>
          <w:sz w:val="20"/>
          <w:szCs w:val="20"/>
          <w:lang w:val="sr-Cyrl-RS"/>
        </w:rPr>
        <w:t>да обаве поједине функције</w:t>
      </w:r>
      <w:r w:rsidR="00AF778C" w:rsidRPr="0DD3B114">
        <w:rPr>
          <w:rFonts w:ascii="Arial" w:hAnsi="Arial" w:cs="Arial"/>
          <w:color w:val="000000" w:themeColor="text1"/>
          <w:sz w:val="20"/>
          <w:szCs w:val="20"/>
          <w:lang w:val="sr-Cyrl-RS"/>
        </w:rPr>
        <w:t>,</w:t>
      </w:r>
      <w:r w:rsidR="00157224" w:rsidRPr="0DD3B114">
        <w:rPr>
          <w:rFonts w:ascii="Arial" w:hAnsi="Arial" w:cs="Arial"/>
          <w:color w:val="000000" w:themeColor="text1"/>
          <w:sz w:val="20"/>
          <w:szCs w:val="20"/>
          <w:lang w:val="sr-Cyrl-RS"/>
        </w:rPr>
        <w:t xml:space="preserve"> иако имају довољно капацитета</w:t>
      </w:r>
      <w:r w:rsidR="00000EB3" w:rsidRPr="0DD3B114">
        <w:rPr>
          <w:rFonts w:ascii="Arial" w:hAnsi="Arial" w:cs="Arial"/>
          <w:color w:val="000000" w:themeColor="text1"/>
          <w:sz w:val="20"/>
          <w:szCs w:val="20"/>
          <w:lang w:val="sr-Cyrl-RS"/>
        </w:rPr>
        <w:t>.</w:t>
      </w:r>
      <w:r w:rsidR="00000EB3" w:rsidRPr="0DD3B114">
        <w:rPr>
          <w:rFonts w:ascii="Arial" w:hAnsi="Arial" w:cs="Arial"/>
          <w:sz w:val="20"/>
          <w:szCs w:val="20"/>
          <w:lang w:val="sr-Cyrl-RS"/>
        </w:rPr>
        <w:t xml:space="preserve"> М</w:t>
      </w:r>
      <w:r w:rsidR="00136DDB" w:rsidRPr="0DD3B114">
        <w:rPr>
          <w:rFonts w:ascii="Arial" w:hAnsi="Arial" w:cs="Arial"/>
          <w:sz w:val="20"/>
          <w:szCs w:val="20"/>
          <w:lang w:val="sr-Cyrl-RS"/>
        </w:rPr>
        <w:t>алим општинама додељуј</w:t>
      </w:r>
      <w:r w:rsidR="00A03F52" w:rsidRPr="0DD3B114">
        <w:rPr>
          <w:rFonts w:ascii="Arial" w:hAnsi="Arial" w:cs="Arial"/>
          <w:sz w:val="20"/>
          <w:szCs w:val="20"/>
          <w:lang w:val="sr-Cyrl-RS"/>
        </w:rPr>
        <w:t>у се</w:t>
      </w:r>
      <w:r w:rsidR="00136DDB" w:rsidRPr="0DD3B114">
        <w:rPr>
          <w:rFonts w:ascii="Arial" w:hAnsi="Arial" w:cs="Arial"/>
          <w:sz w:val="20"/>
          <w:szCs w:val="20"/>
          <w:lang w:val="sr-Cyrl-RS"/>
        </w:rPr>
        <w:t xml:space="preserve"> за њих превелик</w:t>
      </w:r>
      <w:r w:rsidR="00000EB3" w:rsidRPr="0DD3B114">
        <w:rPr>
          <w:rFonts w:ascii="Arial" w:hAnsi="Arial" w:cs="Arial"/>
          <w:sz w:val="20"/>
          <w:szCs w:val="20"/>
          <w:lang w:val="sr-Cyrl-RS"/>
        </w:rPr>
        <w:t>и</w:t>
      </w:r>
      <w:r w:rsidR="00136DDB" w:rsidRPr="0DD3B114">
        <w:rPr>
          <w:rFonts w:ascii="Arial" w:hAnsi="Arial" w:cs="Arial"/>
          <w:sz w:val="20"/>
          <w:szCs w:val="20"/>
          <w:lang w:val="sr-Cyrl-RS"/>
        </w:rPr>
        <w:t xml:space="preserve"> зада</w:t>
      </w:r>
      <w:r w:rsidR="00000EB3" w:rsidRPr="0DD3B114">
        <w:rPr>
          <w:rFonts w:ascii="Arial" w:hAnsi="Arial" w:cs="Arial"/>
          <w:sz w:val="20"/>
          <w:szCs w:val="20"/>
          <w:lang w:val="sr-Cyrl-RS"/>
        </w:rPr>
        <w:t>ци</w:t>
      </w:r>
      <w:r w:rsidR="00136DDB" w:rsidRPr="0DD3B114">
        <w:rPr>
          <w:rFonts w:ascii="Arial" w:hAnsi="Arial" w:cs="Arial"/>
          <w:sz w:val="20"/>
          <w:szCs w:val="20"/>
          <w:lang w:val="sr-Cyrl-RS"/>
        </w:rPr>
        <w:t>, а велике општине и градов</w:t>
      </w:r>
      <w:r w:rsidR="00B97CD6" w:rsidRPr="0DD3B114">
        <w:rPr>
          <w:rFonts w:ascii="Arial" w:hAnsi="Arial" w:cs="Arial"/>
          <w:sz w:val="20"/>
          <w:szCs w:val="20"/>
          <w:lang w:val="sr-Cyrl-RS"/>
        </w:rPr>
        <w:t>и</w:t>
      </w:r>
      <w:r w:rsidR="00136DDB" w:rsidRPr="0DD3B114">
        <w:rPr>
          <w:rFonts w:ascii="Arial" w:hAnsi="Arial" w:cs="Arial"/>
          <w:sz w:val="20"/>
          <w:szCs w:val="20"/>
          <w:lang w:val="sr-Cyrl-RS"/>
        </w:rPr>
        <w:t xml:space="preserve"> спута</w:t>
      </w:r>
      <w:r w:rsidR="006F037E" w:rsidRPr="0DD3B114">
        <w:rPr>
          <w:rFonts w:ascii="Arial" w:hAnsi="Arial" w:cs="Arial"/>
          <w:sz w:val="20"/>
          <w:szCs w:val="20"/>
          <w:lang w:val="sr-Cyrl-RS"/>
        </w:rPr>
        <w:t>ни</w:t>
      </w:r>
      <w:r w:rsidR="00136DDB" w:rsidRPr="0DD3B114">
        <w:rPr>
          <w:rFonts w:ascii="Arial" w:hAnsi="Arial" w:cs="Arial"/>
          <w:sz w:val="20"/>
          <w:szCs w:val="20"/>
          <w:lang w:val="sr-Cyrl-RS"/>
        </w:rPr>
        <w:t xml:space="preserve"> </w:t>
      </w:r>
      <w:r w:rsidR="0066232D" w:rsidRPr="0DD3B114">
        <w:rPr>
          <w:rFonts w:ascii="Arial" w:hAnsi="Arial" w:cs="Arial"/>
          <w:sz w:val="20"/>
          <w:szCs w:val="20"/>
          <w:lang w:val="sr-Cyrl-RS"/>
        </w:rPr>
        <w:t xml:space="preserve">су </w:t>
      </w:r>
      <w:r w:rsidR="00136DDB" w:rsidRPr="0DD3B114">
        <w:rPr>
          <w:rFonts w:ascii="Arial" w:hAnsi="Arial" w:cs="Arial"/>
          <w:sz w:val="20"/>
          <w:szCs w:val="20"/>
          <w:lang w:val="sr-Cyrl-RS"/>
        </w:rPr>
        <w:t>да преузму многе задатке који су од локалног интереса и које би могли да ефикасно обављају. Тај линеа</w:t>
      </w:r>
      <w:r w:rsidR="00AF778C" w:rsidRPr="0DD3B114">
        <w:rPr>
          <w:rFonts w:ascii="Arial" w:hAnsi="Arial" w:cs="Arial"/>
          <w:sz w:val="20"/>
          <w:szCs w:val="20"/>
          <w:lang w:val="sr-Cyrl-RS"/>
        </w:rPr>
        <w:t>р</w:t>
      </w:r>
      <w:r w:rsidR="00136DDB" w:rsidRPr="0DD3B114">
        <w:rPr>
          <w:rFonts w:ascii="Arial" w:hAnsi="Arial" w:cs="Arial"/>
          <w:sz w:val="20"/>
          <w:szCs w:val="20"/>
          <w:lang w:val="sr-Cyrl-RS"/>
        </w:rPr>
        <w:t>ни приступ („исти послови свим ЈЛС</w:t>
      </w:r>
      <w:r w:rsidR="00B622DF" w:rsidRPr="0DD3B114">
        <w:rPr>
          <w:rFonts w:ascii="Arial" w:hAnsi="Arial" w:cs="Arial"/>
          <w:sz w:val="20"/>
          <w:szCs w:val="20"/>
          <w:lang w:val="sr-Cyrl-RS"/>
        </w:rPr>
        <w:t>”</w:t>
      </w:r>
      <w:r w:rsidR="00136DDB" w:rsidRPr="0DD3B114">
        <w:rPr>
          <w:rFonts w:ascii="Arial" w:hAnsi="Arial" w:cs="Arial"/>
          <w:sz w:val="20"/>
          <w:szCs w:val="20"/>
          <w:lang w:val="sr-Cyrl-RS"/>
        </w:rPr>
        <w:t>) који се примењује приликом децентрализације послова државне управе, првенствено према процени могућности просечне локалне заједнице да их обавља, производи бројне тешкоће у функционисању читавог система локалне самоуправе и ограничава његов даљи развој. Надлежности градова су у основи једнаке надлежностима општина, што градове чини тек великим општинама са формално другачијим статусом. Такав положај градовима не пружа прилику да адекватније одговоре на специфичне изазове управљања урбаним заједницама и да се ра</w:t>
      </w:r>
      <w:r w:rsidR="000D449C" w:rsidRPr="0DD3B114">
        <w:rPr>
          <w:rFonts w:ascii="Arial" w:hAnsi="Arial" w:cs="Arial"/>
          <w:sz w:val="20"/>
          <w:szCs w:val="20"/>
          <w:lang w:val="sr-Cyrl-RS"/>
        </w:rPr>
        <w:t>з</w:t>
      </w:r>
      <w:r w:rsidR="00136DDB" w:rsidRPr="0DD3B114">
        <w:rPr>
          <w:rFonts w:ascii="Arial" w:hAnsi="Arial" w:cs="Arial"/>
          <w:sz w:val="20"/>
          <w:szCs w:val="20"/>
          <w:lang w:val="sr-Cyrl-RS"/>
        </w:rPr>
        <w:t>вију у регионалне центре и носиоце развоја.</w:t>
      </w:r>
      <w:r w:rsidR="004D5004" w:rsidRPr="0DD3B114">
        <w:rPr>
          <w:rFonts w:ascii="Arial" w:hAnsi="Arial" w:cs="Arial"/>
          <w:sz w:val="20"/>
          <w:szCs w:val="20"/>
          <w:lang w:val="sr-Cyrl-RS"/>
        </w:rPr>
        <w:t xml:space="preserve"> </w:t>
      </w:r>
      <w:r w:rsidR="0054165E" w:rsidRPr="0DD3B114">
        <w:rPr>
          <w:rFonts w:ascii="Arial" w:hAnsi="Arial" w:cs="Arial"/>
          <w:sz w:val="20"/>
          <w:szCs w:val="20"/>
          <w:lang w:val="sr-Cyrl-RS"/>
        </w:rPr>
        <w:t xml:space="preserve">Иако </w:t>
      </w:r>
      <w:r w:rsidR="00F635E9" w:rsidRPr="0DD3B114">
        <w:rPr>
          <w:rFonts w:ascii="Arial" w:hAnsi="Arial" w:cs="Arial"/>
          <w:color w:val="000000" w:themeColor="text1"/>
          <w:sz w:val="20"/>
          <w:szCs w:val="20"/>
          <w:lang w:val="sr-Cyrl-RS"/>
        </w:rPr>
        <w:t xml:space="preserve">Устав предвиђа монотипски карактер локалне самоуправе, </w:t>
      </w:r>
      <w:r w:rsidR="00AF778C" w:rsidRPr="0DD3B114">
        <w:rPr>
          <w:rFonts w:ascii="Arial" w:hAnsi="Arial" w:cs="Arial"/>
          <w:color w:val="000000" w:themeColor="text1"/>
          <w:sz w:val="20"/>
          <w:szCs w:val="20"/>
          <w:lang w:val="sr-Cyrl-RS"/>
        </w:rPr>
        <w:t>он</w:t>
      </w:r>
      <w:r w:rsidR="003147EC" w:rsidRPr="0DD3B114">
        <w:rPr>
          <w:rFonts w:ascii="Arial" w:hAnsi="Arial" w:cs="Arial"/>
          <w:color w:val="000000" w:themeColor="text1"/>
          <w:sz w:val="20"/>
          <w:szCs w:val="20"/>
          <w:lang w:val="sr-Cyrl-RS"/>
        </w:rPr>
        <w:t xml:space="preserve"> </w:t>
      </w:r>
      <w:r w:rsidR="00F635E9" w:rsidRPr="0DD3B114">
        <w:rPr>
          <w:rFonts w:ascii="Arial" w:hAnsi="Arial" w:cs="Arial"/>
          <w:color w:val="000000" w:themeColor="text1"/>
          <w:sz w:val="20"/>
          <w:szCs w:val="20"/>
          <w:lang w:val="sr-Cyrl-RS"/>
        </w:rPr>
        <w:t xml:space="preserve">отвара и врата </w:t>
      </w:r>
      <w:r w:rsidR="00AF778C" w:rsidRPr="0DD3B114">
        <w:rPr>
          <w:rFonts w:ascii="Arial" w:hAnsi="Arial" w:cs="Arial"/>
          <w:color w:val="000000" w:themeColor="text1"/>
          <w:sz w:val="20"/>
          <w:szCs w:val="20"/>
          <w:lang w:val="sr-Cyrl-RS"/>
        </w:rPr>
        <w:t xml:space="preserve">томе </w:t>
      </w:r>
      <w:r w:rsidR="00F635E9" w:rsidRPr="0DD3B114">
        <w:rPr>
          <w:rFonts w:ascii="Arial" w:hAnsi="Arial" w:cs="Arial"/>
          <w:color w:val="000000" w:themeColor="text1"/>
          <w:sz w:val="20"/>
          <w:szCs w:val="20"/>
          <w:lang w:val="sr-Cyrl-RS"/>
        </w:rPr>
        <w:t>да се у функционалном смислу одступи од начела „монотипности” локалне самоуправе т</w:t>
      </w:r>
      <w:r w:rsidR="00AF778C" w:rsidRPr="0DD3B114">
        <w:rPr>
          <w:rFonts w:ascii="Arial" w:hAnsi="Arial" w:cs="Arial"/>
          <w:color w:val="000000" w:themeColor="text1"/>
          <w:sz w:val="20"/>
          <w:szCs w:val="20"/>
          <w:lang w:val="sr-Cyrl-RS"/>
        </w:rPr>
        <w:t>име</w:t>
      </w:r>
      <w:r w:rsidR="00F635E9" w:rsidRPr="0DD3B114">
        <w:rPr>
          <w:rFonts w:ascii="Arial" w:hAnsi="Arial" w:cs="Arial"/>
          <w:color w:val="000000" w:themeColor="text1"/>
          <w:sz w:val="20"/>
          <w:szCs w:val="20"/>
          <w:lang w:val="sr-Cyrl-RS"/>
        </w:rPr>
        <w:t xml:space="preserve"> што би се положај града уредио нешто другачије од положаја општине</w:t>
      </w:r>
      <w:r w:rsidR="003147EC" w:rsidRPr="0DD3B114">
        <w:rPr>
          <w:rFonts w:ascii="Arial" w:hAnsi="Arial" w:cs="Arial"/>
          <w:color w:val="000000" w:themeColor="text1"/>
          <w:sz w:val="20"/>
          <w:szCs w:val="20"/>
          <w:lang w:val="sr-Cyrl-RS"/>
        </w:rPr>
        <w:t>,</w:t>
      </w:r>
      <w:r w:rsidR="00F635E9" w:rsidRPr="0DD3B114">
        <w:rPr>
          <w:rFonts w:ascii="Arial" w:hAnsi="Arial" w:cs="Arial"/>
          <w:color w:val="000000" w:themeColor="text1"/>
          <w:sz w:val="20"/>
          <w:szCs w:val="20"/>
          <w:lang w:val="sr-Cyrl-RS"/>
        </w:rPr>
        <w:t xml:space="preserve"> </w:t>
      </w:r>
      <w:r w:rsidR="00AF778C" w:rsidRPr="0DD3B114">
        <w:rPr>
          <w:rFonts w:ascii="Arial" w:hAnsi="Arial" w:cs="Arial"/>
          <w:color w:val="000000" w:themeColor="text1"/>
          <w:sz w:val="20"/>
          <w:szCs w:val="20"/>
          <w:lang w:val="sr-Cyrl-RS"/>
        </w:rPr>
        <w:t xml:space="preserve">и то </w:t>
      </w:r>
      <w:r w:rsidR="009F6F51" w:rsidRPr="0DD3B114">
        <w:rPr>
          <w:rFonts w:ascii="Arial" w:hAnsi="Arial" w:cs="Arial"/>
          <w:color w:val="000000" w:themeColor="text1"/>
          <w:sz w:val="20"/>
          <w:szCs w:val="20"/>
          <w:lang w:val="sr-Cyrl-RS"/>
        </w:rPr>
        <w:t xml:space="preserve">тако што </w:t>
      </w:r>
      <w:r w:rsidR="00F635E9" w:rsidRPr="0DD3B114">
        <w:rPr>
          <w:rFonts w:ascii="Arial" w:hAnsi="Arial" w:cs="Arial"/>
          <w:color w:val="000000" w:themeColor="text1"/>
          <w:sz w:val="20"/>
          <w:szCs w:val="20"/>
          <w:lang w:val="sr-Cyrl-RS"/>
        </w:rPr>
        <w:t xml:space="preserve">би </w:t>
      </w:r>
      <w:r w:rsidR="00AF778C" w:rsidRPr="0DD3B114">
        <w:rPr>
          <w:rFonts w:ascii="Arial" w:hAnsi="Arial" w:cs="Arial"/>
          <w:color w:val="000000" w:themeColor="text1"/>
          <w:sz w:val="20"/>
          <w:szCs w:val="20"/>
          <w:lang w:val="sr-Cyrl-RS"/>
        </w:rPr>
        <w:t xml:space="preserve">се </w:t>
      </w:r>
      <w:r w:rsidR="00F635E9" w:rsidRPr="0DD3B114">
        <w:rPr>
          <w:rFonts w:ascii="Arial" w:hAnsi="Arial" w:cs="Arial"/>
          <w:color w:val="000000" w:themeColor="text1"/>
          <w:sz w:val="20"/>
          <w:szCs w:val="20"/>
          <w:lang w:val="sr-Cyrl-RS"/>
        </w:rPr>
        <w:t>територијалним јединицама које буду утврђене као градови могле поверити шире надлежности</w:t>
      </w:r>
      <w:r w:rsidR="008F0FB5" w:rsidRPr="0DD3B114">
        <w:rPr>
          <w:rFonts w:ascii="Arial" w:hAnsi="Arial" w:cs="Arial"/>
          <w:color w:val="000000" w:themeColor="text1"/>
          <w:sz w:val="20"/>
          <w:szCs w:val="20"/>
          <w:lang w:val="sr-Cyrl-RS"/>
        </w:rPr>
        <w:t>, кроз одговарајуће секторске законе</w:t>
      </w:r>
      <w:r w:rsidR="00F635E9" w:rsidRPr="0DD3B114">
        <w:rPr>
          <w:rFonts w:ascii="Arial" w:hAnsi="Arial" w:cs="Arial"/>
          <w:color w:val="000000" w:themeColor="text1"/>
          <w:sz w:val="20"/>
          <w:szCs w:val="20"/>
          <w:lang w:val="sr-Cyrl-RS"/>
        </w:rPr>
        <w:t>. Међутим, у претходном периоду овај потенцијал није шире искоришћен</w:t>
      </w:r>
      <w:r w:rsidR="003D3A97" w:rsidRPr="0DD3B114">
        <w:rPr>
          <w:rFonts w:ascii="Arial" w:hAnsi="Arial" w:cs="Arial"/>
          <w:color w:val="000000" w:themeColor="text1"/>
          <w:sz w:val="20"/>
          <w:szCs w:val="20"/>
          <w:lang w:val="sr-Cyrl-RS"/>
        </w:rPr>
        <w:t>,</w:t>
      </w:r>
      <w:r w:rsidR="002E25C0" w:rsidRPr="0DD3B114">
        <w:rPr>
          <w:rFonts w:ascii="Arial" w:hAnsi="Arial" w:cs="Arial"/>
          <w:color w:val="000000" w:themeColor="text1"/>
          <w:sz w:val="20"/>
          <w:szCs w:val="20"/>
          <w:lang w:val="sr-Cyrl-RS"/>
        </w:rPr>
        <w:t xml:space="preserve"> нити су довољно развијени </w:t>
      </w:r>
      <w:r w:rsidR="00000EB3" w:rsidRPr="0DD3B114">
        <w:rPr>
          <w:rFonts w:ascii="Arial" w:hAnsi="Arial" w:cs="Arial"/>
          <w:color w:val="000000" w:themeColor="text1"/>
          <w:sz w:val="20"/>
          <w:szCs w:val="20"/>
          <w:lang w:val="sr-Cyrl-RS"/>
        </w:rPr>
        <w:t>одређен</w:t>
      </w:r>
      <w:r w:rsidR="002E25C0" w:rsidRPr="0DD3B114">
        <w:rPr>
          <w:rFonts w:ascii="Arial" w:hAnsi="Arial" w:cs="Arial"/>
          <w:color w:val="000000" w:themeColor="text1"/>
          <w:sz w:val="20"/>
          <w:szCs w:val="20"/>
          <w:lang w:val="sr-Cyrl-RS"/>
        </w:rPr>
        <w:t>и</w:t>
      </w:r>
      <w:r w:rsidR="00000EB3" w:rsidRPr="0DD3B114">
        <w:rPr>
          <w:rFonts w:ascii="Arial" w:hAnsi="Arial" w:cs="Arial"/>
          <w:color w:val="000000" w:themeColor="text1"/>
          <w:sz w:val="20"/>
          <w:szCs w:val="20"/>
          <w:lang w:val="sr-Cyrl-RS"/>
        </w:rPr>
        <w:t xml:space="preserve"> обли</w:t>
      </w:r>
      <w:r w:rsidR="002E25C0" w:rsidRPr="0DD3B114">
        <w:rPr>
          <w:rFonts w:ascii="Arial" w:hAnsi="Arial" w:cs="Arial"/>
          <w:color w:val="000000" w:themeColor="text1"/>
          <w:sz w:val="20"/>
          <w:szCs w:val="20"/>
          <w:lang w:val="sr-Cyrl-RS"/>
        </w:rPr>
        <w:t>ци</w:t>
      </w:r>
      <w:r w:rsidR="00000EB3" w:rsidRPr="0DD3B114">
        <w:rPr>
          <w:rFonts w:ascii="Arial" w:hAnsi="Arial" w:cs="Arial"/>
          <w:color w:val="000000" w:themeColor="text1"/>
          <w:sz w:val="20"/>
          <w:szCs w:val="20"/>
          <w:lang w:val="sr-Cyrl-RS"/>
        </w:rPr>
        <w:t xml:space="preserve"> међуопштинске сарадње</w:t>
      </w:r>
      <w:r w:rsidR="00C40DEA" w:rsidRPr="0DD3B114">
        <w:rPr>
          <w:rFonts w:ascii="Arial" w:hAnsi="Arial" w:cs="Arial"/>
          <w:color w:val="000000" w:themeColor="text1"/>
          <w:sz w:val="20"/>
          <w:szCs w:val="20"/>
          <w:lang w:val="sr-Cyrl-RS"/>
        </w:rPr>
        <w:t xml:space="preserve"> </w:t>
      </w:r>
      <w:r w:rsidR="008076D8" w:rsidRPr="0DD3B114">
        <w:rPr>
          <w:rFonts w:ascii="Arial" w:hAnsi="Arial" w:cs="Arial"/>
          <w:color w:val="000000" w:themeColor="text1"/>
          <w:sz w:val="20"/>
          <w:szCs w:val="20"/>
          <w:lang w:val="sr-Cyrl-RS"/>
        </w:rPr>
        <w:t xml:space="preserve">којом </w:t>
      </w:r>
      <w:r w:rsidR="002E25C0" w:rsidRPr="0DD3B114">
        <w:rPr>
          <w:rFonts w:ascii="Arial" w:hAnsi="Arial" w:cs="Arial"/>
          <w:color w:val="000000" w:themeColor="text1"/>
          <w:sz w:val="20"/>
          <w:szCs w:val="20"/>
          <w:lang w:val="sr-Cyrl-RS"/>
        </w:rPr>
        <w:t>би могао да се превазиђе</w:t>
      </w:r>
      <w:r w:rsidRPr="0DD3B114">
        <w:rPr>
          <w:rFonts w:ascii="Arial" w:hAnsi="Arial" w:cs="Arial"/>
          <w:color w:val="000000" w:themeColor="text1"/>
          <w:sz w:val="20"/>
          <w:szCs w:val="20"/>
          <w:lang w:val="sr-Cyrl-RS"/>
        </w:rPr>
        <w:t xml:space="preserve"> барем</w:t>
      </w:r>
      <w:r w:rsidR="002E25C0" w:rsidRPr="0DD3B114">
        <w:rPr>
          <w:rFonts w:ascii="Arial" w:hAnsi="Arial" w:cs="Arial"/>
          <w:color w:val="000000" w:themeColor="text1"/>
          <w:sz w:val="20"/>
          <w:szCs w:val="20"/>
          <w:lang w:val="sr-Cyrl-RS"/>
        </w:rPr>
        <w:t xml:space="preserve"> </w:t>
      </w:r>
      <w:r w:rsidR="002E25C0" w:rsidRPr="0DD3B114">
        <w:rPr>
          <w:rFonts w:ascii="Arial" w:hAnsi="Arial" w:cs="Arial"/>
          <w:sz w:val="20"/>
          <w:szCs w:val="20"/>
          <w:lang w:val="sr-Cyrl-RS"/>
        </w:rPr>
        <w:t>део постојећих изазова монотипског система локалне самоуправе.</w:t>
      </w:r>
    </w:p>
    <w:p w14:paraId="11B8A4B7" w14:textId="77777777" w:rsidR="002A3C97" w:rsidRPr="00A021B7" w:rsidRDefault="002A3C97" w:rsidP="0DD3B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hAnsi="Arial" w:cs="Arial"/>
          <w:color w:val="000000" w:themeColor="text1"/>
          <w:sz w:val="20"/>
          <w:szCs w:val="20"/>
          <w:lang w:val="sr-Cyrl-RS" w:eastAsia="de-CH"/>
        </w:rPr>
      </w:pPr>
    </w:p>
    <w:p w14:paraId="7393C87C" w14:textId="341E7D8C" w:rsidR="00BB48A9" w:rsidRPr="00A021B7" w:rsidRDefault="005F1CE8" w:rsidP="0DD3B114">
      <w:pPr>
        <w:ind w:firstLine="720"/>
        <w:jc w:val="both"/>
        <w:rPr>
          <w:rFonts w:ascii="Arial" w:hAnsi="Arial" w:cs="Arial"/>
          <w:color w:val="000000" w:themeColor="text1"/>
          <w:sz w:val="20"/>
          <w:szCs w:val="20"/>
          <w:lang w:val="sr-Cyrl-RS" w:eastAsia="de-CH"/>
        </w:rPr>
      </w:pPr>
      <w:r w:rsidRPr="0DD3B114">
        <w:rPr>
          <w:rFonts w:ascii="Arial" w:hAnsi="Arial" w:cs="Arial"/>
          <w:color w:val="000000" w:themeColor="text1"/>
          <w:sz w:val="20"/>
          <w:szCs w:val="20"/>
          <w:lang w:val="sr-Cyrl-RS" w:eastAsia="de-CH"/>
        </w:rPr>
        <w:t xml:space="preserve">Иако </w:t>
      </w:r>
      <w:r w:rsidR="003A1419" w:rsidRPr="0DD3B114">
        <w:rPr>
          <w:rFonts w:ascii="Arial" w:hAnsi="Arial" w:cs="Arial"/>
          <w:color w:val="000000" w:themeColor="text1"/>
          <w:sz w:val="20"/>
          <w:szCs w:val="20"/>
          <w:lang w:val="sr-Cyrl-RS" w:eastAsia="de-CH"/>
        </w:rPr>
        <w:t>у</w:t>
      </w:r>
      <w:r w:rsidRPr="0DD3B114">
        <w:rPr>
          <w:rFonts w:ascii="Arial" w:hAnsi="Arial" w:cs="Arial"/>
          <w:color w:val="000000" w:themeColor="text1"/>
          <w:sz w:val="20"/>
          <w:szCs w:val="20"/>
          <w:lang w:val="sr-Cyrl-RS" w:eastAsia="de-CH"/>
        </w:rPr>
        <w:t xml:space="preserve">ставна решења </w:t>
      </w:r>
      <w:r w:rsidR="00AF778C" w:rsidRPr="0DD3B114">
        <w:rPr>
          <w:rFonts w:ascii="Arial" w:hAnsi="Arial" w:cs="Arial"/>
          <w:color w:val="000000" w:themeColor="text1"/>
          <w:sz w:val="20"/>
          <w:szCs w:val="20"/>
          <w:lang w:val="sr-Cyrl-RS" w:eastAsia="de-CH"/>
        </w:rPr>
        <w:t xml:space="preserve">за </w:t>
      </w:r>
      <w:r w:rsidRPr="0DD3B114">
        <w:rPr>
          <w:rFonts w:ascii="Arial" w:hAnsi="Arial" w:cs="Arial"/>
          <w:color w:val="000000" w:themeColor="text1"/>
          <w:sz w:val="20"/>
          <w:szCs w:val="20"/>
          <w:lang w:val="sr-Cyrl-RS" w:eastAsia="de-CH"/>
        </w:rPr>
        <w:t>систем локалне самоуправе омогућују да се он даље</w:t>
      </w:r>
      <w:r w:rsidR="009E5952" w:rsidRPr="0DD3B114">
        <w:rPr>
          <w:rFonts w:ascii="Arial" w:hAnsi="Arial" w:cs="Arial"/>
          <w:color w:val="000000" w:themeColor="text1"/>
          <w:sz w:val="20"/>
          <w:szCs w:val="20"/>
          <w:lang w:val="sr-Cyrl-RS" w:eastAsia="de-CH"/>
        </w:rPr>
        <w:t xml:space="preserve"> значајно</w:t>
      </w:r>
      <w:r w:rsidRPr="0DD3B114">
        <w:rPr>
          <w:rFonts w:ascii="Arial" w:hAnsi="Arial" w:cs="Arial"/>
          <w:color w:val="000000" w:themeColor="text1"/>
          <w:sz w:val="20"/>
          <w:szCs w:val="20"/>
          <w:lang w:val="sr-Cyrl-RS" w:eastAsia="de-CH"/>
        </w:rPr>
        <w:t xml:space="preserve"> развија и унапређује, део реформи ипак изискуј</w:t>
      </w:r>
      <w:r w:rsidR="00AF778C" w:rsidRPr="0DD3B114">
        <w:rPr>
          <w:rFonts w:ascii="Arial" w:hAnsi="Arial" w:cs="Arial"/>
          <w:color w:val="000000" w:themeColor="text1"/>
          <w:sz w:val="20"/>
          <w:szCs w:val="20"/>
          <w:lang w:val="sr-Cyrl-RS" w:eastAsia="de-CH"/>
        </w:rPr>
        <w:t>е</w:t>
      </w:r>
      <w:r w:rsidRPr="0DD3B114">
        <w:rPr>
          <w:rFonts w:ascii="Arial" w:hAnsi="Arial" w:cs="Arial"/>
          <w:color w:val="000000" w:themeColor="text1"/>
          <w:sz w:val="20"/>
          <w:szCs w:val="20"/>
          <w:lang w:val="sr-Cyrl-RS" w:eastAsia="de-CH"/>
        </w:rPr>
        <w:t xml:space="preserve"> измене у Уставу</w:t>
      </w:r>
      <w:r w:rsidR="0070017D" w:rsidRPr="0DD3B114">
        <w:rPr>
          <w:rFonts w:ascii="Arial" w:hAnsi="Arial" w:cs="Arial"/>
          <w:color w:val="000000" w:themeColor="text1"/>
          <w:sz w:val="20"/>
          <w:szCs w:val="20"/>
          <w:lang w:val="sr-Cyrl-RS" w:eastAsia="de-CH"/>
        </w:rPr>
        <w:t>,</w:t>
      </w:r>
      <w:r w:rsidRPr="0DD3B114">
        <w:rPr>
          <w:rFonts w:ascii="Arial" w:hAnsi="Arial" w:cs="Arial"/>
          <w:color w:val="000000" w:themeColor="text1"/>
          <w:sz w:val="20"/>
          <w:szCs w:val="20"/>
          <w:lang w:val="sr-Cyrl-RS" w:eastAsia="de-CH"/>
        </w:rPr>
        <w:t xml:space="preserve"> о којима треба да се отвори шири дијалог (нпр.</w:t>
      </w:r>
      <w:r w:rsidR="009E5952" w:rsidRPr="0DD3B114">
        <w:rPr>
          <w:rFonts w:ascii="Arial" w:hAnsi="Arial" w:cs="Arial"/>
          <w:color w:val="000000" w:themeColor="text1"/>
          <w:sz w:val="20"/>
          <w:szCs w:val="20"/>
          <w:lang w:val="sr-Cyrl-RS" w:eastAsia="de-CH"/>
        </w:rPr>
        <w:t xml:space="preserve"> </w:t>
      </w:r>
      <w:r w:rsidRPr="0DD3B114">
        <w:rPr>
          <w:rFonts w:ascii="Arial" w:hAnsi="Arial" w:cs="Arial"/>
          <w:color w:val="000000" w:themeColor="text1"/>
          <w:sz w:val="20"/>
          <w:szCs w:val="20"/>
          <w:lang w:val="sr-Cyrl-RS" w:eastAsia="de-CH"/>
        </w:rPr>
        <w:t xml:space="preserve">увођење двостепене локалне самоуправе, регионалног нивоа самоуправе, јачање финансијске аутономије локалне самоуправе – гаранције прихода </w:t>
      </w:r>
      <w:r w:rsidR="000F6355" w:rsidRPr="0DD3B114">
        <w:rPr>
          <w:rFonts w:ascii="Arial" w:hAnsi="Arial" w:cs="Arial"/>
          <w:color w:val="000000" w:themeColor="text1"/>
          <w:sz w:val="20"/>
          <w:szCs w:val="20"/>
          <w:lang w:val="sr-Cyrl-RS" w:eastAsia="de-CH"/>
        </w:rPr>
        <w:t xml:space="preserve">или </w:t>
      </w:r>
      <w:r w:rsidRPr="0DD3B114">
        <w:rPr>
          <w:rFonts w:ascii="Arial" w:hAnsi="Arial" w:cs="Arial"/>
          <w:color w:val="000000" w:themeColor="text1"/>
          <w:sz w:val="20"/>
          <w:szCs w:val="20"/>
          <w:lang w:val="sr-Cyrl-RS" w:eastAsia="de-CH"/>
        </w:rPr>
        <w:t xml:space="preserve">права на самостално прописивање локалних пореза и накнада и др.). </w:t>
      </w:r>
      <w:r w:rsidR="00131C83" w:rsidRPr="0DD3B114">
        <w:rPr>
          <w:rFonts w:ascii="Arial" w:hAnsi="Arial" w:cs="Arial"/>
          <w:color w:val="000000" w:themeColor="text1"/>
          <w:sz w:val="20"/>
          <w:szCs w:val="20"/>
          <w:lang w:val="sr-Cyrl-RS" w:eastAsia="de-CH"/>
        </w:rPr>
        <w:t xml:space="preserve">При </w:t>
      </w:r>
      <w:r w:rsidR="009E5952" w:rsidRPr="0DD3B114">
        <w:rPr>
          <w:rFonts w:ascii="Arial" w:hAnsi="Arial" w:cs="Arial"/>
          <w:color w:val="000000" w:themeColor="text1"/>
          <w:sz w:val="20"/>
          <w:szCs w:val="20"/>
          <w:lang w:val="sr-Cyrl-RS" w:eastAsia="de-CH"/>
        </w:rPr>
        <w:t xml:space="preserve">будућем </w:t>
      </w:r>
      <w:r w:rsidR="00131C83" w:rsidRPr="0DD3B114">
        <w:rPr>
          <w:rFonts w:ascii="Arial" w:hAnsi="Arial" w:cs="Arial"/>
          <w:color w:val="000000" w:themeColor="text1"/>
          <w:sz w:val="20"/>
          <w:szCs w:val="20"/>
          <w:lang w:val="sr-Cyrl-RS" w:eastAsia="de-CH"/>
        </w:rPr>
        <w:t xml:space="preserve">разматрању новог модела </w:t>
      </w:r>
      <w:r w:rsidR="00C55CC1" w:rsidRPr="0DD3B114">
        <w:rPr>
          <w:rFonts w:ascii="Arial" w:hAnsi="Arial" w:cs="Arial"/>
          <w:color w:val="000000" w:themeColor="text1"/>
          <w:sz w:val="20"/>
          <w:szCs w:val="20"/>
          <w:lang w:val="sr-Cyrl-RS" w:eastAsia="de-CH"/>
        </w:rPr>
        <w:t>система локалне самоуправе</w:t>
      </w:r>
      <w:r w:rsidR="00131C83" w:rsidRPr="0DD3B114">
        <w:rPr>
          <w:rFonts w:ascii="Arial" w:hAnsi="Arial" w:cs="Arial"/>
          <w:color w:val="000000" w:themeColor="text1"/>
          <w:sz w:val="20"/>
          <w:szCs w:val="20"/>
          <w:lang w:val="sr-Cyrl-RS" w:eastAsia="de-CH"/>
        </w:rPr>
        <w:t xml:space="preserve">, неопходно је имати у виду економски, демографски, образовни, културолошки, информационо-комуникациони и политички контекст. Правилно постављање ових односа зависи и од тога да ли се модел локалне самоуправе заснива на монотипности или политипности, једностепености или </w:t>
      </w:r>
      <w:r w:rsidR="00B45F37" w:rsidRPr="0DD3B114">
        <w:rPr>
          <w:rFonts w:ascii="Arial" w:hAnsi="Arial" w:cs="Arial"/>
          <w:color w:val="000000" w:themeColor="text1"/>
          <w:sz w:val="20"/>
          <w:szCs w:val="20"/>
          <w:lang w:val="sr-Cyrl-RS" w:eastAsia="de-CH"/>
        </w:rPr>
        <w:t>двостепености</w:t>
      </w:r>
      <w:r w:rsidR="00AF778C" w:rsidRPr="0DD3B114">
        <w:rPr>
          <w:rFonts w:ascii="Arial" w:hAnsi="Arial" w:cs="Arial"/>
          <w:color w:val="000000" w:themeColor="text1"/>
          <w:sz w:val="20"/>
          <w:szCs w:val="20"/>
          <w:lang w:val="sr-Cyrl-RS" w:eastAsia="de-CH"/>
        </w:rPr>
        <w:t>,</w:t>
      </w:r>
      <w:r w:rsidR="00131C83" w:rsidRPr="0DD3B114">
        <w:rPr>
          <w:rFonts w:ascii="Arial" w:hAnsi="Arial" w:cs="Arial"/>
          <w:color w:val="000000" w:themeColor="text1"/>
          <w:sz w:val="20"/>
          <w:szCs w:val="20"/>
          <w:lang w:val="sr-Cyrl-RS" w:eastAsia="de-CH"/>
        </w:rPr>
        <w:t xml:space="preserve"> да ли постоји и каква је улога нецентралног административног степена (управни округ), да ли ће се у</w:t>
      </w:r>
      <w:r w:rsidR="00717989" w:rsidRPr="0DD3B114">
        <w:rPr>
          <w:rFonts w:ascii="Arial" w:hAnsi="Arial" w:cs="Arial"/>
          <w:color w:val="000000" w:themeColor="text1"/>
          <w:sz w:val="20"/>
          <w:szCs w:val="20"/>
          <w:lang w:val="sr-Cyrl-RS" w:eastAsia="de-CH"/>
        </w:rPr>
        <w:t>с</w:t>
      </w:r>
      <w:r w:rsidR="00131C83" w:rsidRPr="0DD3B114">
        <w:rPr>
          <w:rFonts w:ascii="Arial" w:hAnsi="Arial" w:cs="Arial"/>
          <w:color w:val="000000" w:themeColor="text1"/>
          <w:sz w:val="20"/>
          <w:szCs w:val="20"/>
          <w:lang w:val="sr-Cyrl-RS" w:eastAsia="de-CH"/>
        </w:rPr>
        <w:t xml:space="preserve">поставити региони и са каквим статусом и надлежностима, као и колика је територија, </w:t>
      </w:r>
      <w:r w:rsidR="00AF778C" w:rsidRPr="0DD3B114">
        <w:rPr>
          <w:rFonts w:ascii="Arial" w:hAnsi="Arial" w:cs="Arial"/>
          <w:color w:val="000000" w:themeColor="text1"/>
          <w:sz w:val="20"/>
          <w:szCs w:val="20"/>
          <w:lang w:val="sr-Cyrl-RS" w:eastAsia="de-CH"/>
        </w:rPr>
        <w:t xml:space="preserve">колико је </w:t>
      </w:r>
      <w:r w:rsidR="00131C83" w:rsidRPr="0DD3B114">
        <w:rPr>
          <w:rFonts w:ascii="Arial" w:hAnsi="Arial" w:cs="Arial"/>
          <w:color w:val="000000" w:themeColor="text1"/>
          <w:sz w:val="20"/>
          <w:szCs w:val="20"/>
          <w:lang w:val="sr-Cyrl-RS" w:eastAsia="de-CH"/>
        </w:rPr>
        <w:t xml:space="preserve">број становника и </w:t>
      </w:r>
      <w:r w:rsidR="00AF778C" w:rsidRPr="0DD3B114">
        <w:rPr>
          <w:rFonts w:ascii="Arial" w:hAnsi="Arial" w:cs="Arial"/>
          <w:color w:val="000000" w:themeColor="text1"/>
          <w:sz w:val="20"/>
          <w:szCs w:val="20"/>
          <w:lang w:val="sr-Cyrl-RS" w:eastAsia="de-CH"/>
        </w:rPr>
        <w:t xml:space="preserve">какви су </w:t>
      </w:r>
      <w:r w:rsidR="00131C83" w:rsidRPr="0DD3B114">
        <w:rPr>
          <w:rFonts w:ascii="Arial" w:hAnsi="Arial" w:cs="Arial"/>
          <w:color w:val="000000" w:themeColor="text1"/>
          <w:sz w:val="20"/>
          <w:szCs w:val="20"/>
          <w:lang w:val="sr-Cyrl-RS" w:eastAsia="de-CH"/>
        </w:rPr>
        <w:t>економски и кадровски потенцијали ЈЛС.</w:t>
      </w:r>
    </w:p>
    <w:p w14:paraId="077F2C3F" w14:textId="77777777" w:rsidR="00BB48A9" w:rsidRPr="00A021B7" w:rsidRDefault="00BB48A9" w:rsidP="0DD3B114">
      <w:pPr>
        <w:ind w:firstLine="720"/>
        <w:jc w:val="both"/>
        <w:rPr>
          <w:rFonts w:ascii="Arial" w:hAnsi="Arial" w:cs="Arial"/>
          <w:color w:val="000000" w:themeColor="text1"/>
          <w:sz w:val="20"/>
          <w:szCs w:val="20"/>
          <w:lang w:val="sr-Cyrl-RS" w:eastAsia="de-CH"/>
        </w:rPr>
      </w:pPr>
    </w:p>
    <w:p w14:paraId="34D10F48" w14:textId="5ACB180E" w:rsidR="005B0247" w:rsidRPr="00A021B7" w:rsidRDefault="731464C6" w:rsidP="0DD3B114">
      <w:pPr>
        <w:ind w:firstLine="720"/>
        <w:jc w:val="both"/>
        <w:rPr>
          <w:rFonts w:ascii="Arial" w:hAnsi="Arial" w:cs="Arial"/>
          <w:color w:val="000000" w:themeColor="text1"/>
          <w:sz w:val="20"/>
          <w:szCs w:val="20"/>
          <w:lang w:val="sr-Cyrl-RS" w:eastAsia="de-CH"/>
        </w:rPr>
      </w:pPr>
      <w:r w:rsidRPr="00A021B7">
        <w:rPr>
          <w:rFonts w:ascii="Arial" w:hAnsi="Arial" w:cs="Arial"/>
          <w:color w:val="000000" w:themeColor="text1"/>
          <w:sz w:val="20"/>
          <w:szCs w:val="20"/>
          <w:lang w:val="sr-Cyrl-RS" w:eastAsia="de-CH"/>
        </w:rPr>
        <w:t xml:space="preserve">Иако су потребне значајне функционалне промене, није неопходна значајнија промена територијалне организације, јер су ЈЛС у Србији релативно велике по површини и броју становника. </w:t>
      </w:r>
      <w:r w:rsidR="6EEE3547" w:rsidRPr="00A021B7">
        <w:rPr>
          <w:rFonts w:ascii="Arial" w:hAnsi="Arial" w:cs="Arial"/>
          <w:color w:val="000000" w:themeColor="text1"/>
          <w:sz w:val="20"/>
          <w:szCs w:val="20"/>
          <w:lang w:val="sr-Cyrl-RS" w:eastAsia="de-CH"/>
        </w:rPr>
        <w:t>То је</w:t>
      </w:r>
      <w:r w:rsidR="4B33D959" w:rsidRPr="00A021B7">
        <w:rPr>
          <w:rFonts w:ascii="Arial" w:hAnsi="Arial" w:cs="Arial"/>
          <w:color w:val="000000" w:themeColor="text1"/>
          <w:sz w:val="20"/>
          <w:szCs w:val="20"/>
          <w:lang w:val="sr-Cyrl-RS" w:eastAsia="de-CH"/>
        </w:rPr>
        <w:t xml:space="preserve"> повољна околност за </w:t>
      </w:r>
      <w:r w:rsidR="1FEF33EA" w:rsidRPr="00A021B7">
        <w:rPr>
          <w:rFonts w:ascii="Arial" w:hAnsi="Arial" w:cs="Arial"/>
          <w:color w:val="000000" w:themeColor="text1"/>
          <w:sz w:val="20"/>
          <w:szCs w:val="20"/>
          <w:lang w:val="sr-Cyrl-RS" w:eastAsia="de-CH"/>
        </w:rPr>
        <w:t>о</w:t>
      </w:r>
      <w:r w:rsidR="6BE83237" w:rsidRPr="00A021B7">
        <w:rPr>
          <w:rFonts w:ascii="Arial" w:hAnsi="Arial" w:cs="Arial"/>
          <w:color w:val="000000" w:themeColor="text1"/>
          <w:sz w:val="20"/>
          <w:szCs w:val="20"/>
          <w:lang w:val="sr-Cyrl-RS" w:eastAsia="de-CH"/>
        </w:rPr>
        <w:t>с</w:t>
      </w:r>
      <w:r w:rsidR="1FEF33EA" w:rsidRPr="00A021B7">
        <w:rPr>
          <w:rFonts w:ascii="Arial" w:hAnsi="Arial" w:cs="Arial"/>
          <w:color w:val="000000" w:themeColor="text1"/>
          <w:sz w:val="20"/>
          <w:szCs w:val="20"/>
          <w:lang w:val="sr-Cyrl-RS" w:eastAsia="de-CH"/>
        </w:rPr>
        <w:t>тва</w:t>
      </w:r>
      <w:r w:rsidR="6BE83237" w:rsidRPr="00A021B7">
        <w:rPr>
          <w:rFonts w:ascii="Arial" w:hAnsi="Arial" w:cs="Arial"/>
          <w:color w:val="000000" w:themeColor="text1"/>
          <w:sz w:val="20"/>
          <w:szCs w:val="20"/>
          <w:lang w:val="sr-Cyrl-RS" w:eastAsia="de-CH"/>
        </w:rPr>
        <w:t>р</w:t>
      </w:r>
      <w:r w:rsidR="1FEF33EA" w:rsidRPr="00A021B7">
        <w:rPr>
          <w:rFonts w:ascii="Arial" w:hAnsi="Arial" w:cs="Arial"/>
          <w:color w:val="000000" w:themeColor="text1"/>
          <w:sz w:val="20"/>
          <w:szCs w:val="20"/>
          <w:lang w:val="sr-Cyrl-RS" w:eastAsia="de-CH"/>
        </w:rPr>
        <w:t>и</w:t>
      </w:r>
      <w:r w:rsidR="6BE83237" w:rsidRPr="00A021B7">
        <w:rPr>
          <w:rFonts w:ascii="Arial" w:hAnsi="Arial" w:cs="Arial"/>
          <w:color w:val="000000" w:themeColor="text1"/>
          <w:sz w:val="20"/>
          <w:szCs w:val="20"/>
          <w:lang w:val="sr-Cyrl-RS" w:eastAsia="de-CH"/>
        </w:rPr>
        <w:t>в</w:t>
      </w:r>
      <w:r w:rsidR="1FEF33EA" w:rsidRPr="00A021B7">
        <w:rPr>
          <w:rFonts w:ascii="Arial" w:hAnsi="Arial" w:cs="Arial"/>
          <w:color w:val="000000" w:themeColor="text1"/>
          <w:sz w:val="20"/>
          <w:szCs w:val="20"/>
          <w:lang w:val="sr-Cyrl-RS" w:eastAsia="de-CH"/>
        </w:rPr>
        <w:t>а</w:t>
      </w:r>
      <w:r w:rsidR="6BE83237" w:rsidRPr="00A021B7">
        <w:rPr>
          <w:rFonts w:ascii="Arial" w:hAnsi="Arial" w:cs="Arial"/>
          <w:color w:val="000000" w:themeColor="text1"/>
          <w:sz w:val="20"/>
          <w:szCs w:val="20"/>
          <w:lang w:val="sr-Cyrl-RS" w:eastAsia="de-CH"/>
        </w:rPr>
        <w:t xml:space="preserve">ње </w:t>
      </w:r>
      <w:r w:rsidR="4B33D959" w:rsidRPr="00A021B7">
        <w:rPr>
          <w:rFonts w:ascii="Arial" w:hAnsi="Arial" w:cs="Arial"/>
          <w:color w:val="000000" w:themeColor="text1"/>
          <w:sz w:val="20"/>
          <w:szCs w:val="20"/>
          <w:lang w:val="sr-Cyrl-RS" w:eastAsia="de-CH"/>
        </w:rPr>
        <w:t xml:space="preserve">идеје </w:t>
      </w:r>
      <w:r w:rsidR="6EEE3547" w:rsidRPr="00A021B7">
        <w:rPr>
          <w:rFonts w:ascii="Arial" w:hAnsi="Arial" w:cs="Arial"/>
          <w:color w:val="000000" w:themeColor="text1"/>
          <w:sz w:val="20"/>
          <w:szCs w:val="20"/>
          <w:lang w:val="sr-Cyrl-RS" w:eastAsia="de-CH"/>
        </w:rPr>
        <w:t>ЕПЛС</w:t>
      </w:r>
      <w:r w:rsidR="4B33D959" w:rsidRPr="00A021B7">
        <w:rPr>
          <w:rFonts w:ascii="Arial" w:hAnsi="Arial" w:cs="Arial"/>
          <w:color w:val="000000" w:themeColor="text1"/>
          <w:sz w:val="20"/>
          <w:szCs w:val="20"/>
          <w:lang w:val="sr-Cyrl-RS" w:eastAsia="de-CH"/>
        </w:rPr>
        <w:t xml:space="preserve"> да би органи ЈЛС требало да обављају што шири круг послова и претпоставка </w:t>
      </w:r>
      <w:r w:rsidR="0BFBC823" w:rsidRPr="00A021B7">
        <w:rPr>
          <w:rFonts w:ascii="Arial" w:hAnsi="Arial" w:cs="Arial"/>
          <w:color w:val="000000" w:themeColor="text1"/>
          <w:sz w:val="20"/>
          <w:szCs w:val="20"/>
          <w:lang w:val="sr-Cyrl-RS" w:eastAsia="de-CH"/>
        </w:rPr>
        <w:t>да то буде успешно</w:t>
      </w:r>
      <w:r w:rsidR="4B33D959" w:rsidRPr="00A021B7">
        <w:rPr>
          <w:rFonts w:ascii="Arial" w:hAnsi="Arial" w:cs="Arial"/>
          <w:color w:val="000000" w:themeColor="text1"/>
          <w:sz w:val="20"/>
          <w:szCs w:val="20"/>
          <w:lang w:val="sr-Cyrl-RS" w:eastAsia="de-CH"/>
        </w:rPr>
        <w:t>.</w:t>
      </w:r>
      <w:r w:rsidR="032CB0DA" w:rsidRPr="00A021B7">
        <w:rPr>
          <w:rFonts w:ascii="Arial" w:hAnsi="Arial" w:cs="Arial"/>
          <w:color w:val="000000" w:themeColor="text1"/>
          <w:sz w:val="20"/>
          <w:szCs w:val="20"/>
          <w:lang w:val="sr-Cyrl-RS" w:eastAsia="de-CH"/>
        </w:rPr>
        <w:t xml:space="preserve"> Међутим,</w:t>
      </w:r>
      <w:r w:rsidR="512CDFFD" w:rsidRPr="00A021B7">
        <w:rPr>
          <w:rFonts w:ascii="Arial" w:hAnsi="Arial" w:cs="Arial"/>
          <w:color w:val="000000" w:themeColor="text1"/>
          <w:sz w:val="20"/>
          <w:szCs w:val="20"/>
          <w:lang w:val="sr-Cyrl-RS" w:eastAsia="de-CH"/>
        </w:rPr>
        <w:t xml:space="preserve"> </w:t>
      </w:r>
      <w:r w:rsidR="032CB0DA" w:rsidRPr="00A021B7">
        <w:rPr>
          <w:rFonts w:ascii="Arial" w:hAnsi="Arial" w:cs="Arial"/>
          <w:color w:val="000000" w:themeColor="text1"/>
          <w:sz w:val="20"/>
          <w:szCs w:val="20"/>
          <w:lang w:val="sr-Cyrl-RS" w:eastAsia="de-CH"/>
        </w:rPr>
        <w:t>д</w:t>
      </w:r>
      <w:r w:rsidR="5DF74155" w:rsidRPr="00A021B7">
        <w:rPr>
          <w:rFonts w:ascii="Arial" w:hAnsi="Arial" w:cs="Arial"/>
          <w:color w:val="000000" w:themeColor="text1"/>
          <w:sz w:val="20"/>
          <w:szCs w:val="20"/>
          <w:lang w:val="sr-Cyrl-RS" w:eastAsia="de-CH"/>
        </w:rPr>
        <w:t xml:space="preserve">аљи развој локалне самоуправе и јачање њеног положаја у систему јавне управе претпоставља </w:t>
      </w:r>
      <w:r w:rsidR="0E53E687" w:rsidRPr="00A021B7">
        <w:rPr>
          <w:rFonts w:ascii="Arial" w:hAnsi="Arial" w:cs="Arial"/>
          <w:color w:val="000000" w:themeColor="text1"/>
          <w:sz w:val="20"/>
          <w:szCs w:val="20"/>
          <w:lang w:val="sr-Cyrl-RS" w:eastAsia="de-CH"/>
        </w:rPr>
        <w:t xml:space="preserve">примену </w:t>
      </w:r>
      <w:r w:rsidR="412D51D3" w:rsidRPr="00A021B7">
        <w:rPr>
          <w:rFonts w:ascii="Arial" w:hAnsi="Arial" w:cs="Arial"/>
          <w:color w:val="000000" w:themeColor="text1"/>
          <w:sz w:val="20"/>
          <w:szCs w:val="20"/>
          <w:lang w:val="sr-Cyrl-RS" w:eastAsia="de-CH"/>
        </w:rPr>
        <w:t>већ поменутог начела супсидијарнос</w:t>
      </w:r>
      <w:r w:rsidR="70B93730" w:rsidRPr="00A021B7">
        <w:rPr>
          <w:rFonts w:ascii="Arial" w:hAnsi="Arial" w:cs="Arial"/>
          <w:color w:val="000000" w:themeColor="text1"/>
          <w:sz w:val="20"/>
          <w:szCs w:val="20"/>
          <w:lang w:val="sr-Cyrl-RS" w:eastAsia="de-CH"/>
        </w:rPr>
        <w:t>ти</w:t>
      </w:r>
      <w:r w:rsidR="14C7A668" w:rsidRPr="00A021B7">
        <w:rPr>
          <w:rFonts w:ascii="Arial" w:hAnsi="Arial" w:cs="Arial"/>
          <w:color w:val="000000" w:themeColor="text1"/>
          <w:sz w:val="20"/>
          <w:szCs w:val="20"/>
          <w:lang w:val="sr-Cyrl-RS" w:eastAsia="de-CH"/>
        </w:rPr>
        <w:t xml:space="preserve">. </w:t>
      </w:r>
      <w:r w:rsidR="2122BAC2" w:rsidRPr="00A021B7">
        <w:rPr>
          <w:rFonts w:ascii="Arial" w:hAnsi="Arial" w:cs="Arial"/>
          <w:sz w:val="20"/>
          <w:szCs w:val="20"/>
          <w:lang w:val="sr-Cyrl-RS"/>
        </w:rPr>
        <w:t xml:space="preserve">Услед другачије улоге јавне управе и нових метода рада (нпр. </w:t>
      </w:r>
      <w:r w:rsidR="3FBFD37A" w:rsidRPr="00A021B7">
        <w:rPr>
          <w:rFonts w:ascii="Arial" w:hAnsi="Arial" w:cs="Arial"/>
          <w:sz w:val="20"/>
          <w:szCs w:val="20"/>
          <w:lang w:val="sr-Cyrl-RS"/>
        </w:rPr>
        <w:t>дигитализација</w:t>
      </w:r>
      <w:r w:rsidR="2122BAC2" w:rsidRPr="00A021B7">
        <w:rPr>
          <w:rFonts w:ascii="Arial" w:hAnsi="Arial" w:cs="Arial"/>
          <w:sz w:val="20"/>
          <w:szCs w:val="20"/>
          <w:lang w:val="sr-Cyrl-RS"/>
        </w:rPr>
        <w:t xml:space="preserve">), требало би испитати потребу </w:t>
      </w:r>
      <w:r w:rsidR="00AF778C">
        <w:rPr>
          <w:rFonts w:ascii="Arial" w:hAnsi="Arial" w:cs="Arial"/>
          <w:sz w:val="20"/>
          <w:szCs w:val="20"/>
          <w:lang w:val="sr-Cyrl-RS"/>
        </w:rPr>
        <w:t xml:space="preserve">за </w:t>
      </w:r>
      <w:r w:rsidR="2122BAC2" w:rsidRPr="00A021B7">
        <w:rPr>
          <w:rFonts w:ascii="Arial" w:hAnsi="Arial" w:cs="Arial"/>
          <w:sz w:val="20"/>
          <w:szCs w:val="20"/>
          <w:lang w:val="sr-Cyrl-RS"/>
        </w:rPr>
        <w:t>увођењ</w:t>
      </w:r>
      <w:r w:rsidR="00AF778C">
        <w:rPr>
          <w:rFonts w:ascii="Arial" w:hAnsi="Arial" w:cs="Arial"/>
          <w:sz w:val="20"/>
          <w:szCs w:val="20"/>
          <w:lang w:val="sr-Cyrl-RS"/>
        </w:rPr>
        <w:t>ем</w:t>
      </w:r>
      <w:r w:rsidR="2122BAC2" w:rsidRPr="00A021B7">
        <w:rPr>
          <w:rFonts w:ascii="Arial" w:hAnsi="Arial" w:cs="Arial"/>
          <w:sz w:val="20"/>
          <w:szCs w:val="20"/>
          <w:lang w:val="sr-Cyrl-RS"/>
        </w:rPr>
        <w:t xml:space="preserve"> </w:t>
      </w:r>
      <w:r w:rsidR="1D5886C6" w:rsidRPr="00A021B7">
        <w:rPr>
          <w:rFonts w:ascii="Arial" w:hAnsi="Arial" w:cs="Arial"/>
          <w:sz w:val="20"/>
          <w:szCs w:val="20"/>
          <w:lang w:val="sr-Cyrl-RS"/>
        </w:rPr>
        <w:t xml:space="preserve">нових </w:t>
      </w:r>
      <w:r w:rsidR="2122BAC2" w:rsidRPr="00A021B7">
        <w:rPr>
          <w:rFonts w:ascii="Arial" w:hAnsi="Arial" w:cs="Arial"/>
          <w:sz w:val="20"/>
          <w:szCs w:val="20"/>
          <w:lang w:val="sr-Cyrl-RS"/>
        </w:rPr>
        <w:t>послова, престанк</w:t>
      </w:r>
      <w:r w:rsidR="00AF778C">
        <w:rPr>
          <w:rFonts w:ascii="Arial" w:hAnsi="Arial" w:cs="Arial"/>
          <w:sz w:val="20"/>
          <w:szCs w:val="20"/>
          <w:lang w:val="sr-Cyrl-RS"/>
        </w:rPr>
        <w:t>ом</w:t>
      </w:r>
      <w:r w:rsidR="2122BAC2" w:rsidRPr="00A021B7">
        <w:rPr>
          <w:rFonts w:ascii="Arial" w:hAnsi="Arial" w:cs="Arial"/>
          <w:sz w:val="20"/>
          <w:szCs w:val="20"/>
          <w:lang w:val="sr-Cyrl-RS"/>
        </w:rPr>
        <w:t xml:space="preserve"> појединих постојећих послова или промен</w:t>
      </w:r>
      <w:r w:rsidR="00AF778C">
        <w:rPr>
          <w:rFonts w:ascii="Arial" w:hAnsi="Arial" w:cs="Arial"/>
          <w:sz w:val="20"/>
          <w:szCs w:val="20"/>
          <w:lang w:val="sr-Cyrl-RS"/>
        </w:rPr>
        <w:t>ом</w:t>
      </w:r>
      <w:r w:rsidR="2122BAC2" w:rsidRPr="00A021B7">
        <w:rPr>
          <w:rFonts w:ascii="Arial" w:hAnsi="Arial" w:cs="Arial"/>
          <w:sz w:val="20"/>
          <w:szCs w:val="20"/>
          <w:lang w:val="sr-Cyrl-RS"/>
        </w:rPr>
        <w:t xml:space="preserve"> начина њиховог обављања. </w:t>
      </w:r>
      <w:r w:rsidR="00AF778C">
        <w:rPr>
          <w:rFonts w:ascii="Arial" w:hAnsi="Arial" w:cs="Arial"/>
          <w:sz w:val="20"/>
          <w:szCs w:val="20"/>
          <w:lang w:val="sr-Cyrl-RS"/>
        </w:rPr>
        <w:t>Уз узимање у обзир</w:t>
      </w:r>
      <w:r w:rsidR="2122BAC2" w:rsidRPr="00A021B7">
        <w:rPr>
          <w:rFonts w:ascii="Arial" w:hAnsi="Arial" w:cs="Arial"/>
          <w:sz w:val="20"/>
          <w:szCs w:val="20"/>
          <w:lang w:val="sr-Cyrl-RS"/>
        </w:rPr>
        <w:t xml:space="preserve"> демографск</w:t>
      </w:r>
      <w:r w:rsidR="00AF778C">
        <w:rPr>
          <w:rFonts w:ascii="Arial" w:hAnsi="Arial" w:cs="Arial"/>
          <w:sz w:val="20"/>
          <w:szCs w:val="20"/>
          <w:lang w:val="sr-Cyrl-RS"/>
        </w:rPr>
        <w:t>их</w:t>
      </w:r>
      <w:r w:rsidR="2122BAC2" w:rsidRPr="00A021B7">
        <w:rPr>
          <w:rFonts w:ascii="Arial" w:hAnsi="Arial" w:cs="Arial"/>
          <w:sz w:val="20"/>
          <w:szCs w:val="20"/>
          <w:lang w:val="sr-Cyrl-RS"/>
        </w:rPr>
        <w:t>, географск</w:t>
      </w:r>
      <w:r w:rsidR="00AF778C">
        <w:rPr>
          <w:rFonts w:ascii="Arial" w:hAnsi="Arial" w:cs="Arial"/>
          <w:sz w:val="20"/>
          <w:szCs w:val="20"/>
          <w:lang w:val="sr-Cyrl-RS"/>
        </w:rPr>
        <w:t>их</w:t>
      </w:r>
      <w:r w:rsidR="2122BAC2" w:rsidRPr="00A021B7">
        <w:rPr>
          <w:rFonts w:ascii="Arial" w:hAnsi="Arial" w:cs="Arial"/>
          <w:sz w:val="20"/>
          <w:szCs w:val="20"/>
          <w:lang w:val="sr-Cyrl-RS"/>
        </w:rPr>
        <w:t>, економск</w:t>
      </w:r>
      <w:r w:rsidR="00AF778C">
        <w:rPr>
          <w:rFonts w:ascii="Arial" w:hAnsi="Arial" w:cs="Arial"/>
          <w:sz w:val="20"/>
          <w:szCs w:val="20"/>
          <w:lang w:val="sr-Cyrl-RS"/>
        </w:rPr>
        <w:t>их</w:t>
      </w:r>
      <w:r w:rsidR="2122BAC2" w:rsidRPr="00A021B7">
        <w:rPr>
          <w:rFonts w:ascii="Arial" w:hAnsi="Arial" w:cs="Arial"/>
          <w:sz w:val="20"/>
          <w:szCs w:val="20"/>
          <w:lang w:val="sr-Cyrl-RS"/>
        </w:rPr>
        <w:t xml:space="preserve"> </w:t>
      </w:r>
      <w:r w:rsidR="4CE1E9DA" w:rsidRPr="00A021B7">
        <w:rPr>
          <w:rFonts w:ascii="Arial" w:hAnsi="Arial" w:cs="Arial"/>
          <w:sz w:val="20"/>
          <w:szCs w:val="20"/>
          <w:lang w:val="sr-Cyrl-RS"/>
        </w:rPr>
        <w:t xml:space="preserve">и </w:t>
      </w:r>
      <w:r w:rsidR="2122BAC2" w:rsidRPr="00A021B7">
        <w:rPr>
          <w:rFonts w:ascii="Arial" w:hAnsi="Arial" w:cs="Arial"/>
          <w:sz w:val="20"/>
          <w:szCs w:val="20"/>
          <w:lang w:val="sr-Cyrl-RS"/>
        </w:rPr>
        <w:t>техничко-технолошк</w:t>
      </w:r>
      <w:r w:rsidR="00AF778C">
        <w:rPr>
          <w:rFonts w:ascii="Arial" w:hAnsi="Arial" w:cs="Arial"/>
          <w:sz w:val="20"/>
          <w:szCs w:val="20"/>
          <w:lang w:val="sr-Cyrl-RS"/>
        </w:rPr>
        <w:t>их</w:t>
      </w:r>
      <w:r w:rsidR="2122BAC2" w:rsidRPr="00A021B7">
        <w:rPr>
          <w:rFonts w:ascii="Arial" w:hAnsi="Arial" w:cs="Arial"/>
          <w:sz w:val="20"/>
          <w:szCs w:val="20"/>
          <w:lang w:val="sr-Cyrl-RS"/>
        </w:rPr>
        <w:t xml:space="preserve"> парамет</w:t>
      </w:r>
      <w:r w:rsidR="00AF778C">
        <w:rPr>
          <w:rFonts w:ascii="Arial" w:hAnsi="Arial" w:cs="Arial"/>
          <w:sz w:val="20"/>
          <w:szCs w:val="20"/>
          <w:lang w:val="sr-Cyrl-RS"/>
        </w:rPr>
        <w:t>а</w:t>
      </w:r>
      <w:r w:rsidR="2122BAC2" w:rsidRPr="00A021B7">
        <w:rPr>
          <w:rFonts w:ascii="Arial" w:hAnsi="Arial" w:cs="Arial"/>
          <w:sz w:val="20"/>
          <w:szCs w:val="20"/>
          <w:lang w:val="sr-Cyrl-RS"/>
        </w:rPr>
        <w:t>р</w:t>
      </w:r>
      <w:r w:rsidR="00AF778C">
        <w:rPr>
          <w:rFonts w:ascii="Arial" w:hAnsi="Arial" w:cs="Arial"/>
          <w:sz w:val="20"/>
          <w:szCs w:val="20"/>
          <w:lang w:val="sr-Cyrl-RS"/>
        </w:rPr>
        <w:t>а</w:t>
      </w:r>
      <w:r w:rsidR="2122BAC2" w:rsidRPr="00A021B7">
        <w:rPr>
          <w:rFonts w:ascii="Arial" w:hAnsi="Arial" w:cs="Arial"/>
          <w:sz w:val="20"/>
          <w:szCs w:val="20"/>
          <w:lang w:val="sr-Cyrl-RS"/>
        </w:rPr>
        <w:t>, јавн</w:t>
      </w:r>
      <w:r w:rsidR="00AF778C">
        <w:rPr>
          <w:rFonts w:ascii="Arial" w:hAnsi="Arial" w:cs="Arial"/>
          <w:sz w:val="20"/>
          <w:szCs w:val="20"/>
          <w:lang w:val="sr-Cyrl-RS"/>
        </w:rPr>
        <w:t>ог</w:t>
      </w:r>
      <w:r w:rsidR="2122BAC2" w:rsidRPr="00A021B7">
        <w:rPr>
          <w:rFonts w:ascii="Arial" w:hAnsi="Arial" w:cs="Arial"/>
          <w:sz w:val="20"/>
          <w:szCs w:val="20"/>
          <w:lang w:val="sr-Cyrl-RS"/>
        </w:rPr>
        <w:t xml:space="preserve"> интерес</w:t>
      </w:r>
      <w:r w:rsidR="00AF778C">
        <w:rPr>
          <w:rFonts w:ascii="Arial" w:hAnsi="Arial" w:cs="Arial"/>
          <w:sz w:val="20"/>
          <w:szCs w:val="20"/>
          <w:lang w:val="sr-Cyrl-RS"/>
        </w:rPr>
        <w:t>а</w:t>
      </w:r>
      <w:r w:rsidR="2122BAC2" w:rsidRPr="00A021B7">
        <w:rPr>
          <w:rFonts w:ascii="Arial" w:hAnsi="Arial" w:cs="Arial"/>
          <w:sz w:val="20"/>
          <w:szCs w:val="20"/>
          <w:lang w:val="sr-Cyrl-RS"/>
        </w:rPr>
        <w:t>, као и критеријум</w:t>
      </w:r>
      <w:r w:rsidR="00AF778C">
        <w:rPr>
          <w:rFonts w:ascii="Arial" w:hAnsi="Arial" w:cs="Arial"/>
          <w:sz w:val="20"/>
          <w:szCs w:val="20"/>
          <w:lang w:val="sr-Cyrl-RS"/>
        </w:rPr>
        <w:t>а</w:t>
      </w:r>
      <w:r w:rsidR="2122BAC2" w:rsidRPr="00A021B7">
        <w:rPr>
          <w:rFonts w:ascii="Arial" w:hAnsi="Arial" w:cs="Arial"/>
          <w:sz w:val="20"/>
          <w:szCs w:val="20"/>
          <w:lang w:val="sr-Cyrl-RS"/>
        </w:rPr>
        <w:t xml:space="preserve"> делотворности, ефикасности и економичности, треба</w:t>
      </w:r>
      <w:r w:rsidR="527ED308" w:rsidRPr="00A021B7">
        <w:rPr>
          <w:rFonts w:ascii="Arial" w:hAnsi="Arial" w:cs="Arial"/>
          <w:sz w:val="20"/>
          <w:szCs w:val="20"/>
          <w:lang w:val="sr-Cyrl-RS"/>
        </w:rPr>
        <w:t xml:space="preserve"> </w:t>
      </w:r>
      <w:r w:rsidR="2122BAC2" w:rsidRPr="00A021B7">
        <w:rPr>
          <w:rFonts w:ascii="Arial" w:hAnsi="Arial" w:cs="Arial"/>
          <w:sz w:val="20"/>
          <w:szCs w:val="20"/>
          <w:lang w:val="sr-Cyrl-RS"/>
        </w:rPr>
        <w:t>предвидети територијални ниво на коме се најквалитетније могу обављати релевантни послови и пружати јавне услуге.</w:t>
      </w:r>
      <w:r w:rsidR="002872BB" w:rsidRPr="00A021B7">
        <w:rPr>
          <w:rStyle w:val="FootnoteReference"/>
          <w:rFonts w:ascii="Arial" w:hAnsi="Arial" w:cs="Arial"/>
          <w:sz w:val="20"/>
          <w:szCs w:val="20"/>
          <w:lang w:val="sr-Cyrl-RS"/>
        </w:rPr>
        <w:footnoteReference w:id="14"/>
      </w:r>
      <w:r w:rsidR="2122BAC2" w:rsidRPr="00A021B7">
        <w:rPr>
          <w:rFonts w:ascii="Arial" w:hAnsi="Arial" w:cs="Arial"/>
          <w:sz w:val="20"/>
          <w:szCs w:val="20"/>
          <w:lang w:val="sr-Cyrl-RS"/>
        </w:rPr>
        <w:t xml:space="preserve"> При томе, требало би остварити што већи степен децентрализације и деконцентрације послова, како би се они приближили грађанима и одразили локалне специфичности. У овом правцу позитивно делује и дигитализација, јер омогућава </w:t>
      </w:r>
      <w:r w:rsidR="2122BAC2" w:rsidRPr="00A021B7">
        <w:rPr>
          <w:rFonts w:ascii="Arial" w:hAnsi="Arial" w:cs="Arial"/>
          <w:sz w:val="20"/>
          <w:szCs w:val="20"/>
          <w:lang w:val="sr-Cyrl-RS"/>
        </w:rPr>
        <w:lastRenderedPageBreak/>
        <w:t>децентрализовано и деконцентрисано прикупљање података, централизовано обједињавање и праћење стања, уз поново децентрализовано и деконцентрисано доношење одлука и управно поступање.</w:t>
      </w:r>
    </w:p>
    <w:p w14:paraId="5343FEF1" w14:textId="77777777" w:rsidR="005B0247" w:rsidRPr="00A021B7" w:rsidRDefault="005B0247" w:rsidP="0DD3B114">
      <w:pPr>
        <w:ind w:firstLine="720"/>
        <w:jc w:val="both"/>
        <w:rPr>
          <w:rFonts w:ascii="Arial" w:hAnsi="Arial" w:cs="Arial"/>
          <w:color w:val="000000" w:themeColor="text1"/>
          <w:sz w:val="20"/>
          <w:szCs w:val="20"/>
          <w:lang w:val="sr-Cyrl-RS" w:eastAsia="de-CH"/>
        </w:rPr>
      </w:pPr>
    </w:p>
    <w:p w14:paraId="72984FD2" w14:textId="5BDAC0D8" w:rsidR="00E43D45" w:rsidRPr="00A021B7" w:rsidRDefault="00C674DA" w:rsidP="0DD3B114">
      <w:pPr>
        <w:ind w:firstLine="720"/>
        <w:jc w:val="both"/>
        <w:rPr>
          <w:rFonts w:ascii="Arial" w:hAnsi="Arial" w:cs="Arial"/>
          <w:color w:val="000000" w:themeColor="text1"/>
          <w:sz w:val="20"/>
          <w:szCs w:val="20"/>
          <w:lang w:val="sr-Cyrl-RS" w:eastAsia="de-CH"/>
        </w:rPr>
      </w:pPr>
      <w:r w:rsidRPr="00A021B7">
        <w:rPr>
          <w:rFonts w:ascii="Arial" w:hAnsi="Arial" w:cs="Arial"/>
          <w:sz w:val="20"/>
          <w:szCs w:val="20"/>
          <w:lang w:val="sr-Cyrl-RS"/>
        </w:rPr>
        <w:t xml:space="preserve">Поред </w:t>
      </w:r>
      <w:r w:rsidR="00CF68A7" w:rsidRPr="00A021B7">
        <w:rPr>
          <w:rFonts w:ascii="Arial" w:hAnsi="Arial" w:cs="Arial"/>
          <w:sz w:val="20"/>
          <w:szCs w:val="20"/>
          <w:lang w:val="sr-Cyrl-RS"/>
        </w:rPr>
        <w:t xml:space="preserve">начела </w:t>
      </w:r>
      <w:r w:rsidRPr="00A021B7">
        <w:rPr>
          <w:rFonts w:ascii="Arial" w:hAnsi="Arial" w:cs="Arial"/>
          <w:sz w:val="20"/>
          <w:szCs w:val="20"/>
          <w:lang w:val="sr-Cyrl-RS"/>
        </w:rPr>
        <w:t>децентрализације и деконцентрације</w:t>
      </w:r>
      <w:r w:rsidR="00CF68A7" w:rsidRPr="00A021B7">
        <w:rPr>
          <w:rFonts w:ascii="Arial" w:hAnsi="Arial" w:cs="Arial"/>
          <w:sz w:val="20"/>
          <w:szCs w:val="20"/>
          <w:lang w:val="sr-Cyrl-RS"/>
        </w:rPr>
        <w:t>,</w:t>
      </w:r>
      <w:r w:rsidRPr="00A021B7">
        <w:rPr>
          <w:rFonts w:ascii="Arial" w:hAnsi="Arial" w:cs="Arial"/>
          <w:sz w:val="20"/>
          <w:szCs w:val="20"/>
          <w:lang w:val="sr-Cyrl-RS"/>
        </w:rPr>
        <w:t xml:space="preserve"> </w:t>
      </w:r>
      <w:r w:rsidR="00CF68A7" w:rsidRPr="00A021B7">
        <w:rPr>
          <w:rFonts w:ascii="Arial" w:hAnsi="Arial" w:cs="Arial"/>
          <w:sz w:val="20"/>
          <w:szCs w:val="20"/>
          <w:lang w:val="sr-Cyrl-RS"/>
        </w:rPr>
        <w:t xml:space="preserve">која </w:t>
      </w:r>
      <w:r w:rsidRPr="00A021B7">
        <w:rPr>
          <w:rFonts w:ascii="Arial" w:hAnsi="Arial" w:cs="Arial"/>
          <w:sz w:val="20"/>
          <w:szCs w:val="20"/>
          <w:lang w:val="sr-Cyrl-RS"/>
        </w:rPr>
        <w:t xml:space="preserve">треба да буду водиље реформе система локалне самоуправе, потребно је применити и </w:t>
      </w:r>
      <w:r w:rsidR="00CF68A7" w:rsidRPr="00A021B7">
        <w:rPr>
          <w:rFonts w:ascii="Arial" w:hAnsi="Arial" w:cs="Arial"/>
          <w:sz w:val="20"/>
          <w:szCs w:val="20"/>
          <w:lang w:val="sr-Cyrl-RS"/>
        </w:rPr>
        <w:t xml:space="preserve">начело </w:t>
      </w:r>
      <w:r w:rsidRPr="00A021B7">
        <w:rPr>
          <w:rFonts w:ascii="Arial" w:hAnsi="Arial" w:cs="Arial"/>
          <w:sz w:val="20"/>
          <w:szCs w:val="20"/>
          <w:lang w:val="sr-Cyrl-RS"/>
        </w:rPr>
        <w:t xml:space="preserve">стандардизације како би послови </w:t>
      </w:r>
      <w:r w:rsidR="003D456C" w:rsidRPr="00A021B7">
        <w:rPr>
          <w:rFonts w:ascii="Arial" w:hAnsi="Arial" w:cs="Arial"/>
          <w:spacing w:val="-4"/>
          <w:sz w:val="20"/>
          <w:szCs w:val="20"/>
          <w:lang w:val="sr-Cyrl-RS"/>
        </w:rPr>
        <w:t xml:space="preserve">били обављани </w:t>
      </w:r>
      <w:r w:rsidRPr="00A021B7">
        <w:rPr>
          <w:rFonts w:ascii="Arial" w:hAnsi="Arial" w:cs="Arial"/>
          <w:spacing w:val="-4"/>
          <w:sz w:val="20"/>
          <w:szCs w:val="20"/>
          <w:lang w:val="sr-Cyrl-RS"/>
        </w:rPr>
        <w:t xml:space="preserve">са истим степеном квалитета у свим ЈЛС, у циљу равноправног третмана свих грађана и правних лица и </w:t>
      </w:r>
      <w:r w:rsidR="00A27DAC" w:rsidRPr="00A021B7">
        <w:rPr>
          <w:rFonts w:ascii="Arial" w:hAnsi="Arial" w:cs="Arial"/>
          <w:spacing w:val="-4"/>
          <w:sz w:val="20"/>
          <w:szCs w:val="20"/>
          <w:lang w:val="sr-Cyrl-RS"/>
        </w:rPr>
        <w:t xml:space="preserve">потпуног остварења јавног </w:t>
      </w:r>
      <w:r w:rsidRPr="00A021B7">
        <w:rPr>
          <w:rFonts w:ascii="Arial" w:hAnsi="Arial" w:cs="Arial"/>
          <w:spacing w:val="-4"/>
          <w:sz w:val="20"/>
          <w:szCs w:val="20"/>
          <w:lang w:val="sr-Cyrl-RS"/>
        </w:rPr>
        <w:t>интереса.</w:t>
      </w:r>
      <w:r w:rsidR="005B0247" w:rsidRPr="00A021B7">
        <w:rPr>
          <w:rFonts w:ascii="Arial" w:hAnsi="Arial" w:cs="Arial"/>
          <w:color w:val="000000" w:themeColor="text1"/>
          <w:sz w:val="20"/>
          <w:szCs w:val="20"/>
          <w:lang w:val="sr-Cyrl-RS" w:eastAsia="de-CH"/>
        </w:rPr>
        <w:t xml:space="preserve"> </w:t>
      </w:r>
      <w:r w:rsidR="009206DC" w:rsidRPr="00A021B7">
        <w:rPr>
          <w:rFonts w:ascii="Arial" w:hAnsi="Arial" w:cs="Arial"/>
          <w:color w:val="000000" w:themeColor="text1"/>
          <w:sz w:val="20"/>
          <w:szCs w:val="20"/>
          <w:lang w:val="sr-Cyrl-RS" w:eastAsia="de-CH"/>
        </w:rPr>
        <w:t>Функционис</w:t>
      </w:r>
      <w:r w:rsidR="00803B6D" w:rsidRPr="00A021B7">
        <w:rPr>
          <w:rFonts w:ascii="Arial" w:hAnsi="Arial" w:cs="Arial"/>
          <w:color w:val="000000" w:themeColor="text1"/>
          <w:sz w:val="20"/>
          <w:szCs w:val="20"/>
          <w:lang w:val="sr-Cyrl-RS" w:eastAsia="de-CH"/>
        </w:rPr>
        <w:t>а</w:t>
      </w:r>
      <w:r w:rsidR="009206DC" w:rsidRPr="00A021B7">
        <w:rPr>
          <w:rFonts w:ascii="Arial" w:hAnsi="Arial" w:cs="Arial"/>
          <w:color w:val="000000" w:themeColor="text1"/>
          <w:sz w:val="20"/>
          <w:szCs w:val="20"/>
          <w:lang w:val="sr-Cyrl-RS" w:eastAsia="de-CH"/>
        </w:rPr>
        <w:t>ње</w:t>
      </w:r>
      <w:r w:rsidR="005367B9" w:rsidRPr="00A021B7">
        <w:rPr>
          <w:rFonts w:ascii="Arial" w:hAnsi="Arial" w:cs="Arial"/>
          <w:color w:val="000000" w:themeColor="text1"/>
          <w:sz w:val="20"/>
          <w:szCs w:val="20"/>
          <w:lang w:val="sr-Cyrl-RS" w:eastAsia="de-CH"/>
        </w:rPr>
        <w:t xml:space="preserve"> локалне самоуправе </w:t>
      </w:r>
      <w:r w:rsidR="00204E6D" w:rsidRPr="00A021B7">
        <w:rPr>
          <w:rFonts w:ascii="Arial" w:hAnsi="Arial" w:cs="Arial"/>
          <w:color w:val="000000" w:themeColor="text1"/>
          <w:sz w:val="20"/>
          <w:szCs w:val="20"/>
          <w:lang w:val="sr-Cyrl-RS" w:eastAsia="de-CH"/>
        </w:rPr>
        <w:t xml:space="preserve">треба </w:t>
      </w:r>
      <w:r w:rsidR="005367B9" w:rsidRPr="00A021B7">
        <w:rPr>
          <w:rFonts w:ascii="Arial" w:hAnsi="Arial" w:cs="Arial"/>
          <w:color w:val="000000" w:themeColor="text1"/>
          <w:sz w:val="20"/>
          <w:szCs w:val="20"/>
          <w:lang w:val="sr-Cyrl-RS" w:eastAsia="de-CH"/>
        </w:rPr>
        <w:t xml:space="preserve">да ствара услове да се </w:t>
      </w:r>
      <w:r w:rsidR="002D32ED" w:rsidRPr="00A021B7">
        <w:rPr>
          <w:rFonts w:ascii="Arial" w:hAnsi="Arial" w:cs="Arial"/>
          <w:color w:val="000000" w:themeColor="text1"/>
          <w:sz w:val="20"/>
          <w:szCs w:val="20"/>
          <w:lang w:val="sr-Cyrl-RS" w:eastAsia="de-CH"/>
        </w:rPr>
        <w:t>неповољне тенде</w:t>
      </w:r>
      <w:r w:rsidR="000E71FA" w:rsidRPr="00A021B7">
        <w:rPr>
          <w:rFonts w:ascii="Arial" w:hAnsi="Arial" w:cs="Arial"/>
          <w:color w:val="000000" w:themeColor="text1"/>
          <w:sz w:val="20"/>
          <w:szCs w:val="20"/>
          <w:lang w:val="sr-Cyrl-RS" w:eastAsia="de-CH"/>
        </w:rPr>
        <w:t>н</w:t>
      </w:r>
      <w:r w:rsidR="002D32ED" w:rsidRPr="00A021B7">
        <w:rPr>
          <w:rFonts w:ascii="Arial" w:hAnsi="Arial" w:cs="Arial"/>
          <w:color w:val="000000" w:themeColor="text1"/>
          <w:sz w:val="20"/>
          <w:szCs w:val="20"/>
          <w:lang w:val="sr-Cyrl-RS" w:eastAsia="de-CH"/>
        </w:rPr>
        <w:t xml:space="preserve">ције </w:t>
      </w:r>
      <w:r w:rsidR="00204E6D" w:rsidRPr="00A021B7">
        <w:rPr>
          <w:rFonts w:ascii="Arial" w:hAnsi="Arial" w:cs="Arial"/>
          <w:color w:val="000000" w:themeColor="text1"/>
          <w:sz w:val="20"/>
          <w:szCs w:val="20"/>
          <w:lang w:val="sr-Cyrl-RS" w:eastAsia="de-CH"/>
        </w:rPr>
        <w:t>неравномерног развоја и миграција</w:t>
      </w:r>
      <w:r w:rsidR="005367B9" w:rsidRPr="00A021B7">
        <w:rPr>
          <w:rFonts w:ascii="Arial" w:hAnsi="Arial" w:cs="Arial"/>
          <w:color w:val="000000" w:themeColor="text1"/>
          <w:sz w:val="20"/>
          <w:szCs w:val="20"/>
          <w:lang w:val="sr-Cyrl-RS" w:eastAsia="de-CH"/>
        </w:rPr>
        <w:t xml:space="preserve"> преокрену.</w:t>
      </w:r>
      <w:r w:rsidR="0051220C" w:rsidRPr="00A021B7">
        <w:rPr>
          <w:rFonts w:ascii="Arial" w:hAnsi="Arial" w:cs="Arial"/>
          <w:color w:val="000000" w:themeColor="text1"/>
          <w:sz w:val="20"/>
          <w:szCs w:val="20"/>
          <w:lang w:val="sr-Cyrl-RS" w:eastAsia="de-CH"/>
        </w:rPr>
        <w:t xml:space="preserve"> Постојеће препреке </w:t>
      </w:r>
      <w:r w:rsidR="00382CCC" w:rsidRPr="00A021B7">
        <w:rPr>
          <w:rFonts w:ascii="Arial" w:hAnsi="Arial" w:cs="Arial"/>
          <w:color w:val="000000" w:themeColor="text1"/>
          <w:sz w:val="20"/>
          <w:szCs w:val="20"/>
          <w:lang w:val="sr-Cyrl-RS" w:eastAsia="de-CH"/>
        </w:rPr>
        <w:t>би могл</w:t>
      </w:r>
      <w:r w:rsidR="00616170" w:rsidRPr="00A021B7">
        <w:rPr>
          <w:rFonts w:ascii="Arial" w:hAnsi="Arial" w:cs="Arial"/>
          <w:color w:val="000000" w:themeColor="text1"/>
          <w:sz w:val="20"/>
          <w:szCs w:val="20"/>
          <w:lang w:val="sr-Cyrl-RS" w:eastAsia="de-CH"/>
        </w:rPr>
        <w:t>е</w:t>
      </w:r>
      <w:r w:rsidR="00382CCC" w:rsidRPr="00A021B7">
        <w:rPr>
          <w:rFonts w:ascii="Arial" w:hAnsi="Arial" w:cs="Arial"/>
          <w:color w:val="000000" w:themeColor="text1"/>
          <w:sz w:val="20"/>
          <w:szCs w:val="20"/>
          <w:lang w:val="sr-Cyrl-RS" w:eastAsia="de-CH"/>
        </w:rPr>
        <w:t xml:space="preserve"> бити </w:t>
      </w:r>
      <w:r w:rsidR="00616170" w:rsidRPr="00A021B7">
        <w:rPr>
          <w:rFonts w:ascii="Arial" w:hAnsi="Arial" w:cs="Arial"/>
          <w:color w:val="000000" w:themeColor="text1"/>
          <w:sz w:val="20"/>
          <w:szCs w:val="20"/>
          <w:lang w:val="sr-Cyrl-RS" w:eastAsia="de-CH"/>
        </w:rPr>
        <w:t xml:space="preserve">једним делом </w:t>
      </w:r>
      <w:r w:rsidR="00382CCC" w:rsidRPr="00A021B7">
        <w:rPr>
          <w:rFonts w:ascii="Arial" w:hAnsi="Arial" w:cs="Arial"/>
          <w:color w:val="000000" w:themeColor="text1"/>
          <w:sz w:val="20"/>
          <w:szCs w:val="20"/>
          <w:lang w:val="sr-Cyrl-RS" w:eastAsia="de-CH"/>
        </w:rPr>
        <w:t>превазиђен</w:t>
      </w:r>
      <w:r w:rsidR="0051220C" w:rsidRPr="00A021B7">
        <w:rPr>
          <w:rFonts w:ascii="Arial" w:hAnsi="Arial" w:cs="Arial"/>
          <w:color w:val="000000" w:themeColor="text1"/>
          <w:sz w:val="20"/>
          <w:szCs w:val="20"/>
          <w:lang w:val="sr-Cyrl-RS" w:eastAsia="de-CH"/>
        </w:rPr>
        <w:t>е</w:t>
      </w:r>
      <w:r w:rsidR="00382CCC" w:rsidRPr="00A021B7">
        <w:rPr>
          <w:rFonts w:ascii="Arial" w:hAnsi="Arial" w:cs="Arial"/>
          <w:color w:val="000000" w:themeColor="text1"/>
          <w:sz w:val="20"/>
          <w:szCs w:val="20"/>
          <w:lang w:val="sr-Cyrl-RS" w:eastAsia="de-CH"/>
        </w:rPr>
        <w:t xml:space="preserve"> </w:t>
      </w:r>
      <w:r w:rsidR="009D29D1" w:rsidRPr="00A021B7">
        <w:rPr>
          <w:rFonts w:ascii="Arial" w:hAnsi="Arial" w:cs="Arial"/>
          <w:color w:val="000000" w:themeColor="text1"/>
          <w:sz w:val="20"/>
          <w:szCs w:val="20"/>
          <w:lang w:val="sr-Cyrl-RS" w:eastAsia="de-CH"/>
        </w:rPr>
        <w:t>интензивним програмо</w:t>
      </w:r>
      <w:r w:rsidR="002959DF" w:rsidRPr="00A021B7">
        <w:rPr>
          <w:rFonts w:ascii="Arial" w:hAnsi="Arial" w:cs="Arial"/>
          <w:color w:val="000000" w:themeColor="text1"/>
          <w:sz w:val="20"/>
          <w:szCs w:val="20"/>
          <w:lang w:val="sr-Cyrl-RS" w:eastAsia="de-CH"/>
        </w:rPr>
        <w:t>м</w:t>
      </w:r>
      <w:r w:rsidR="009D29D1" w:rsidRPr="00A021B7">
        <w:rPr>
          <w:rFonts w:ascii="Arial" w:hAnsi="Arial" w:cs="Arial"/>
          <w:color w:val="000000" w:themeColor="text1"/>
          <w:sz w:val="20"/>
          <w:szCs w:val="20"/>
          <w:lang w:val="sr-Cyrl-RS" w:eastAsia="de-CH"/>
        </w:rPr>
        <w:t xml:space="preserve"> јачања капацитета малих општина</w:t>
      </w:r>
      <w:r w:rsidR="003B1C3D" w:rsidRPr="00A021B7">
        <w:rPr>
          <w:rFonts w:ascii="Arial" w:hAnsi="Arial" w:cs="Arial"/>
          <w:color w:val="000000" w:themeColor="text1"/>
          <w:sz w:val="20"/>
          <w:szCs w:val="20"/>
          <w:lang w:val="sr-Cyrl-RS" w:eastAsia="de-CH"/>
        </w:rPr>
        <w:t xml:space="preserve">, </w:t>
      </w:r>
      <w:r w:rsidR="003B1C3D" w:rsidRPr="00A021B7">
        <w:rPr>
          <w:rFonts w:ascii="Arial" w:hAnsi="Arial" w:cs="Arial"/>
          <w:sz w:val="20"/>
          <w:szCs w:val="20"/>
          <w:lang w:val="sr-Cyrl-RS"/>
        </w:rPr>
        <w:t xml:space="preserve">што </w:t>
      </w:r>
      <w:r w:rsidR="00A27DAC" w:rsidRPr="00A021B7">
        <w:rPr>
          <w:rFonts w:ascii="Arial" w:hAnsi="Arial" w:cs="Arial"/>
          <w:sz w:val="20"/>
          <w:szCs w:val="20"/>
          <w:lang w:val="sr-Cyrl-RS"/>
        </w:rPr>
        <w:t xml:space="preserve">би </w:t>
      </w:r>
      <w:r w:rsidR="00E31E55" w:rsidRPr="00A021B7">
        <w:rPr>
          <w:rFonts w:ascii="Arial" w:hAnsi="Arial" w:cs="Arial"/>
          <w:sz w:val="20"/>
          <w:szCs w:val="20"/>
          <w:lang w:val="sr-Cyrl-RS"/>
        </w:rPr>
        <w:t xml:space="preserve">могло </w:t>
      </w:r>
      <w:r w:rsidR="00A27DAC" w:rsidRPr="00A021B7">
        <w:rPr>
          <w:rFonts w:ascii="Arial" w:hAnsi="Arial" w:cs="Arial"/>
          <w:sz w:val="20"/>
          <w:szCs w:val="20"/>
          <w:lang w:val="sr-Cyrl-RS"/>
        </w:rPr>
        <w:t>доприне</w:t>
      </w:r>
      <w:r w:rsidR="00E31E55" w:rsidRPr="00A021B7">
        <w:rPr>
          <w:rFonts w:ascii="Arial" w:hAnsi="Arial" w:cs="Arial"/>
          <w:sz w:val="20"/>
          <w:szCs w:val="20"/>
          <w:lang w:val="sr-Cyrl-RS"/>
        </w:rPr>
        <w:t>ти</w:t>
      </w:r>
      <w:r w:rsidR="00A27DAC" w:rsidRPr="00A021B7">
        <w:rPr>
          <w:rFonts w:ascii="Arial" w:hAnsi="Arial" w:cs="Arial"/>
          <w:sz w:val="20"/>
          <w:szCs w:val="20"/>
          <w:lang w:val="sr-Cyrl-RS"/>
        </w:rPr>
        <w:t xml:space="preserve"> </w:t>
      </w:r>
      <w:r w:rsidR="003B1C3D" w:rsidRPr="00A021B7">
        <w:rPr>
          <w:rFonts w:ascii="Arial" w:hAnsi="Arial" w:cs="Arial"/>
          <w:sz w:val="20"/>
          <w:szCs w:val="20"/>
          <w:lang w:val="sr-Cyrl-RS"/>
        </w:rPr>
        <w:t>заустављању или преокрету негативних демографских и миграционих тенденција</w:t>
      </w:r>
      <w:r w:rsidR="00616170" w:rsidRPr="00A021B7">
        <w:rPr>
          <w:rFonts w:ascii="Arial" w:hAnsi="Arial" w:cs="Arial"/>
          <w:sz w:val="20"/>
          <w:szCs w:val="20"/>
          <w:lang w:val="sr-Cyrl-RS"/>
        </w:rPr>
        <w:t xml:space="preserve">. Други правац </w:t>
      </w:r>
      <w:r w:rsidR="00B65D8B" w:rsidRPr="00A021B7">
        <w:rPr>
          <w:rFonts w:ascii="Arial" w:hAnsi="Arial" w:cs="Arial"/>
          <w:sz w:val="20"/>
          <w:szCs w:val="20"/>
          <w:lang w:val="sr-Cyrl-RS"/>
        </w:rPr>
        <w:t xml:space="preserve">било би </w:t>
      </w:r>
      <w:r w:rsidR="00382CCC" w:rsidRPr="00A021B7">
        <w:rPr>
          <w:rFonts w:ascii="Arial" w:hAnsi="Arial" w:cs="Arial"/>
          <w:color w:val="000000" w:themeColor="text1"/>
          <w:sz w:val="20"/>
          <w:szCs w:val="20"/>
          <w:lang w:val="sr-Cyrl-RS" w:eastAsia="de-CH"/>
        </w:rPr>
        <w:t xml:space="preserve">увођење условљеног делокруга (додељивањем </w:t>
      </w:r>
      <w:r w:rsidR="0051220C" w:rsidRPr="00A021B7">
        <w:rPr>
          <w:rFonts w:ascii="Arial" w:hAnsi="Arial" w:cs="Arial"/>
          <w:color w:val="000000" w:themeColor="text1"/>
          <w:sz w:val="20"/>
          <w:szCs w:val="20"/>
          <w:lang w:val="sr-Cyrl-RS" w:eastAsia="de-CH"/>
        </w:rPr>
        <w:t xml:space="preserve">нових </w:t>
      </w:r>
      <w:r w:rsidR="00382CCC" w:rsidRPr="00A021B7">
        <w:rPr>
          <w:rFonts w:ascii="Arial" w:hAnsi="Arial" w:cs="Arial"/>
          <w:color w:val="000000" w:themeColor="text1"/>
          <w:sz w:val="20"/>
          <w:szCs w:val="20"/>
          <w:lang w:val="sr-Cyrl-RS" w:eastAsia="de-CH"/>
        </w:rPr>
        <w:t>послова ЈЛС по испуњавању одређених прописаних услова) и факултативног делокруга ЈЛС (нови послови би се понудили</w:t>
      </w:r>
      <w:r w:rsidR="00C27B47" w:rsidRPr="00A021B7">
        <w:rPr>
          <w:rFonts w:ascii="Arial" w:hAnsi="Arial" w:cs="Arial"/>
          <w:color w:val="000000" w:themeColor="text1"/>
          <w:sz w:val="20"/>
          <w:szCs w:val="20"/>
          <w:lang w:val="sr-Cyrl-RS" w:eastAsia="de-CH"/>
        </w:rPr>
        <w:t>,</w:t>
      </w:r>
      <w:r w:rsidR="00382CCC" w:rsidRPr="00A021B7">
        <w:rPr>
          <w:rFonts w:ascii="Arial" w:hAnsi="Arial" w:cs="Arial"/>
          <w:color w:val="000000" w:themeColor="text1"/>
          <w:sz w:val="20"/>
          <w:szCs w:val="20"/>
          <w:lang w:val="sr-Cyrl-RS" w:eastAsia="de-CH"/>
        </w:rPr>
        <w:t xml:space="preserve"> односно на њихову иницијативу преносили оним ЈЛС које их желе, а испуњавају услове за то). </w:t>
      </w:r>
      <w:r w:rsidR="00616170" w:rsidRPr="00A021B7">
        <w:rPr>
          <w:rFonts w:ascii="Arial" w:hAnsi="Arial" w:cs="Arial"/>
          <w:color w:val="000000" w:themeColor="text1"/>
          <w:sz w:val="20"/>
          <w:szCs w:val="20"/>
          <w:lang w:val="sr-Cyrl-RS" w:eastAsia="de-CH"/>
        </w:rPr>
        <w:t>Коначно,</w:t>
      </w:r>
      <w:r w:rsidR="00382CCC" w:rsidRPr="00A021B7">
        <w:rPr>
          <w:rFonts w:ascii="Arial" w:hAnsi="Arial" w:cs="Arial"/>
          <w:color w:val="000000" w:themeColor="text1"/>
          <w:sz w:val="20"/>
          <w:szCs w:val="20"/>
          <w:lang w:val="sr-Cyrl-RS" w:eastAsia="de-CH"/>
        </w:rPr>
        <w:t xml:space="preserve"> развијањем и подстицањем међуопштинске сарадње</w:t>
      </w:r>
      <w:r w:rsidR="004D5004" w:rsidRPr="00A021B7">
        <w:rPr>
          <w:rFonts w:ascii="Arial" w:hAnsi="Arial" w:cs="Arial"/>
          <w:color w:val="000000" w:themeColor="text1"/>
          <w:sz w:val="20"/>
          <w:szCs w:val="20"/>
          <w:lang w:val="sr-Cyrl-RS" w:eastAsia="de-CH"/>
        </w:rPr>
        <w:t xml:space="preserve"> </w:t>
      </w:r>
      <w:r w:rsidR="00627DCF" w:rsidRPr="00A021B7">
        <w:rPr>
          <w:rFonts w:ascii="Arial" w:hAnsi="Arial" w:cs="Arial"/>
          <w:color w:val="000000" w:themeColor="text1"/>
          <w:sz w:val="20"/>
          <w:szCs w:val="20"/>
          <w:lang w:val="sr-Cyrl-RS" w:eastAsia="de-CH"/>
        </w:rPr>
        <w:t>(</w:t>
      </w:r>
      <w:r w:rsidR="00627DCF" w:rsidRPr="00A021B7">
        <w:rPr>
          <w:rFonts w:ascii="Arial" w:hAnsi="Arial" w:cs="Arial"/>
          <w:sz w:val="20"/>
          <w:szCs w:val="20"/>
          <w:lang w:val="sr-Cyrl-RS"/>
        </w:rPr>
        <w:t>која би могла бити и обавезна</w:t>
      </w:r>
      <w:r w:rsidR="00F65332" w:rsidRPr="00A021B7">
        <w:rPr>
          <w:rFonts w:ascii="Arial" w:hAnsi="Arial" w:cs="Arial"/>
          <w:sz w:val="20"/>
          <w:szCs w:val="20"/>
          <w:lang w:val="sr-Cyrl-RS"/>
        </w:rPr>
        <w:t>,</w:t>
      </w:r>
      <w:r w:rsidR="00627DCF" w:rsidRPr="00A021B7">
        <w:rPr>
          <w:rFonts w:ascii="Arial" w:hAnsi="Arial" w:cs="Arial"/>
          <w:sz w:val="20"/>
          <w:szCs w:val="20"/>
          <w:lang w:val="sr-Cyrl-RS"/>
        </w:rPr>
        <w:t xml:space="preserve"> барем док </w:t>
      </w:r>
      <w:r w:rsidR="00FE1B3D" w:rsidRPr="00A021B7">
        <w:rPr>
          <w:rFonts w:ascii="Arial" w:hAnsi="Arial" w:cs="Arial"/>
          <w:sz w:val="20"/>
          <w:szCs w:val="20"/>
          <w:lang w:val="sr-Cyrl-RS"/>
        </w:rPr>
        <w:t xml:space="preserve">дате </w:t>
      </w:r>
      <w:r w:rsidR="00627DCF" w:rsidRPr="00A021B7">
        <w:rPr>
          <w:rFonts w:ascii="Arial" w:hAnsi="Arial" w:cs="Arial"/>
          <w:sz w:val="20"/>
          <w:szCs w:val="20"/>
          <w:lang w:val="sr-Cyrl-RS"/>
        </w:rPr>
        <w:t xml:space="preserve">ЈЛС </w:t>
      </w:r>
      <w:r w:rsidR="00FE1B3D" w:rsidRPr="00A021B7">
        <w:rPr>
          <w:rFonts w:ascii="Arial" w:hAnsi="Arial" w:cs="Arial"/>
          <w:sz w:val="20"/>
          <w:szCs w:val="20"/>
          <w:lang w:val="sr-Cyrl-RS"/>
        </w:rPr>
        <w:t>не стекну капацитет за самостално обављање послова)</w:t>
      </w:r>
      <w:r w:rsidR="00B03965" w:rsidRPr="00A021B7">
        <w:rPr>
          <w:rFonts w:ascii="Arial" w:hAnsi="Arial" w:cs="Arial"/>
          <w:sz w:val="20"/>
          <w:szCs w:val="20"/>
          <w:lang w:val="sr-Cyrl-RS"/>
        </w:rPr>
        <w:t>,</w:t>
      </w:r>
      <w:r w:rsidR="00627DCF" w:rsidRPr="00A021B7">
        <w:rPr>
          <w:rFonts w:ascii="Arial" w:hAnsi="Arial" w:cs="Arial"/>
          <w:color w:val="000000" w:themeColor="text1"/>
          <w:sz w:val="20"/>
          <w:szCs w:val="20"/>
          <w:lang w:val="sr-Cyrl-RS" w:eastAsia="de-CH"/>
        </w:rPr>
        <w:t xml:space="preserve"> </w:t>
      </w:r>
      <w:r w:rsidR="00FE3107" w:rsidRPr="00A021B7">
        <w:rPr>
          <w:rFonts w:ascii="Arial" w:hAnsi="Arial" w:cs="Arial"/>
          <w:color w:val="000000" w:themeColor="text1"/>
          <w:sz w:val="20"/>
          <w:szCs w:val="20"/>
          <w:lang w:val="sr-Cyrl-RS" w:eastAsia="de-CH"/>
        </w:rPr>
        <w:t xml:space="preserve">али </w:t>
      </w:r>
      <w:r w:rsidR="00382CCC" w:rsidRPr="00A021B7">
        <w:rPr>
          <w:rFonts w:ascii="Arial" w:hAnsi="Arial" w:cs="Arial"/>
          <w:color w:val="000000" w:themeColor="text1"/>
          <w:sz w:val="20"/>
          <w:szCs w:val="20"/>
          <w:lang w:val="sr-Cyrl-RS" w:eastAsia="de-CH"/>
        </w:rPr>
        <w:t>и препуштање</w:t>
      </w:r>
      <w:r w:rsidR="009826EA" w:rsidRPr="00A021B7">
        <w:rPr>
          <w:rFonts w:ascii="Arial" w:hAnsi="Arial" w:cs="Arial"/>
          <w:color w:val="000000" w:themeColor="text1"/>
          <w:sz w:val="20"/>
          <w:szCs w:val="20"/>
          <w:lang w:val="sr-Cyrl-RS" w:eastAsia="de-CH"/>
        </w:rPr>
        <w:t>м</w:t>
      </w:r>
      <w:r w:rsidR="00382CCC" w:rsidRPr="00A021B7">
        <w:rPr>
          <w:rFonts w:ascii="Arial" w:hAnsi="Arial" w:cs="Arial"/>
          <w:color w:val="000000" w:themeColor="text1"/>
          <w:sz w:val="20"/>
          <w:szCs w:val="20"/>
          <w:lang w:val="sr-Cyrl-RS" w:eastAsia="de-CH"/>
        </w:rPr>
        <w:t xml:space="preserve"> </w:t>
      </w:r>
      <w:r w:rsidR="00B45F37" w:rsidRPr="00A021B7">
        <w:rPr>
          <w:rFonts w:ascii="Arial" w:hAnsi="Arial" w:cs="Arial"/>
          <w:color w:val="000000" w:themeColor="text1"/>
          <w:sz w:val="20"/>
          <w:szCs w:val="20"/>
          <w:lang w:val="sr-Cyrl-RS" w:eastAsia="de-CH"/>
        </w:rPr>
        <w:t>нових</w:t>
      </w:r>
      <w:r w:rsidR="00382CCC" w:rsidRPr="00A021B7">
        <w:rPr>
          <w:rFonts w:ascii="Arial" w:hAnsi="Arial" w:cs="Arial"/>
          <w:color w:val="000000" w:themeColor="text1"/>
          <w:sz w:val="20"/>
          <w:szCs w:val="20"/>
          <w:lang w:val="sr-Cyrl-RS" w:eastAsia="de-CH"/>
        </w:rPr>
        <w:t xml:space="preserve"> надлежности градовима и </w:t>
      </w:r>
      <w:r w:rsidR="00382CCC" w:rsidRPr="00A021B7" w:rsidDel="00AF778C">
        <w:rPr>
          <w:rFonts w:ascii="Arial" w:hAnsi="Arial" w:cs="Arial"/>
          <w:color w:val="000000" w:themeColor="text1"/>
          <w:sz w:val="20"/>
          <w:szCs w:val="20"/>
          <w:lang w:val="sr-Cyrl-RS" w:eastAsia="de-CH"/>
        </w:rPr>
        <w:t>г</w:t>
      </w:r>
      <w:r w:rsidR="00382CCC" w:rsidRPr="00A021B7">
        <w:rPr>
          <w:rFonts w:ascii="Arial" w:hAnsi="Arial" w:cs="Arial"/>
          <w:color w:val="000000" w:themeColor="text1"/>
          <w:sz w:val="20"/>
          <w:szCs w:val="20"/>
          <w:lang w:val="sr-Cyrl-RS" w:eastAsia="de-CH"/>
        </w:rPr>
        <w:t>раду Београду, који по правилу имају више капацитета у односу на општине, направио би се одлучнији корак у правцу напуштања једностепеног и монотипског модела.</w:t>
      </w:r>
    </w:p>
    <w:p w14:paraId="583B172F" w14:textId="77777777" w:rsidR="008C6D2C" w:rsidRPr="00A021B7" w:rsidRDefault="008C6D2C" w:rsidP="003E7BC9">
      <w:pPr>
        <w:jc w:val="both"/>
        <w:rPr>
          <w:rFonts w:ascii="Arial" w:hAnsi="Arial" w:cs="Arial"/>
          <w:color w:val="000000" w:themeColor="text1"/>
          <w:sz w:val="20"/>
          <w:szCs w:val="20"/>
          <w:lang w:val="sr-Cyrl-RS" w:eastAsia="de-CH"/>
        </w:rPr>
      </w:pPr>
    </w:p>
    <w:p w14:paraId="6DF5557D" w14:textId="77777777" w:rsidR="00CE205B" w:rsidRPr="00A021B7" w:rsidRDefault="00E873B7" w:rsidP="004935B9">
      <w:pPr>
        <w:pStyle w:val="Heading2"/>
        <w:rPr>
          <w:lang w:val="sr-Cyrl-RS"/>
        </w:rPr>
      </w:pPr>
      <w:bookmarkStart w:id="22" w:name="_Toc52865769"/>
      <w:bookmarkStart w:id="23" w:name="_Toc52866180"/>
      <w:bookmarkStart w:id="24" w:name="_Toc56508430"/>
      <w:bookmarkStart w:id="25" w:name="_Toc60136066"/>
      <w:r w:rsidRPr="00A021B7">
        <w:rPr>
          <w:lang w:val="sr-Cyrl-RS"/>
        </w:rPr>
        <w:t xml:space="preserve">IV.2. </w:t>
      </w:r>
      <w:r w:rsidR="00292BDE" w:rsidRPr="00A021B7">
        <w:rPr>
          <w:lang w:val="sr-Cyrl-RS"/>
        </w:rPr>
        <w:t>Локални изборни систем</w:t>
      </w:r>
      <w:bookmarkEnd w:id="22"/>
      <w:bookmarkEnd w:id="23"/>
      <w:bookmarkEnd w:id="24"/>
      <w:bookmarkEnd w:id="25"/>
    </w:p>
    <w:p w14:paraId="77DDA06E" w14:textId="77777777" w:rsidR="00E873B7" w:rsidRPr="00A021B7" w:rsidRDefault="00E873B7" w:rsidP="003E7BC9">
      <w:pPr>
        <w:jc w:val="both"/>
        <w:rPr>
          <w:rFonts w:ascii="Arial" w:hAnsi="Arial" w:cs="Arial"/>
          <w:sz w:val="20"/>
          <w:szCs w:val="20"/>
          <w:lang w:val="sr-Cyrl-RS"/>
        </w:rPr>
      </w:pPr>
    </w:p>
    <w:p w14:paraId="6F78F243" w14:textId="0493E67A" w:rsidR="00CF33EA" w:rsidRPr="00A021B7" w:rsidRDefault="00E873B7" w:rsidP="0DD3B114">
      <w:pPr>
        <w:pStyle w:val="CommentText"/>
        <w:ind w:firstLine="720"/>
        <w:jc w:val="both"/>
        <w:rPr>
          <w:rFonts w:ascii="Arial" w:hAnsi="Arial" w:cs="Arial"/>
          <w:lang w:val="sr-Cyrl-RS"/>
        </w:rPr>
      </w:pPr>
      <w:r w:rsidRPr="0DD3B114">
        <w:rPr>
          <w:rFonts w:ascii="Arial" w:hAnsi="Arial" w:cs="Arial"/>
          <w:lang w:val="sr-Cyrl-RS"/>
        </w:rPr>
        <w:t xml:space="preserve">Србија је у последње три деценије користила различите изборне системе на различитим нивоима власти. Одборници скупштина </w:t>
      </w:r>
      <w:r w:rsidR="009B1054" w:rsidRPr="0DD3B114">
        <w:rPr>
          <w:rFonts w:ascii="Arial" w:hAnsi="Arial" w:cs="Arial"/>
          <w:lang w:val="sr-Cyrl-RS"/>
        </w:rPr>
        <w:t xml:space="preserve">ЈЛС </w:t>
      </w:r>
      <w:r w:rsidRPr="0DD3B114">
        <w:rPr>
          <w:rFonts w:ascii="Arial" w:hAnsi="Arial" w:cs="Arial"/>
          <w:lang w:val="sr-Cyrl-RS"/>
        </w:rPr>
        <w:t xml:space="preserve">у три циклуса локалних избора бирани су већинским изборним системом. </w:t>
      </w:r>
      <w:r w:rsidR="00125C09" w:rsidRPr="0DD3B114">
        <w:rPr>
          <w:rFonts w:ascii="Arial" w:hAnsi="Arial" w:cs="Arial"/>
          <w:lang w:val="sr-Cyrl-RS"/>
        </w:rPr>
        <w:t xml:space="preserve">На </w:t>
      </w:r>
      <w:r w:rsidRPr="0DD3B114">
        <w:rPr>
          <w:rFonts w:ascii="Arial" w:hAnsi="Arial" w:cs="Arial"/>
          <w:lang w:val="sr-Cyrl-RS"/>
        </w:rPr>
        <w:t>локалним изборима 1992. и 1996. године коришћен је двокружни већински изборни модел. Он је</w:t>
      </w:r>
      <w:r w:rsidR="004D5004" w:rsidRPr="0DD3B114">
        <w:rPr>
          <w:rFonts w:ascii="Arial" w:hAnsi="Arial" w:cs="Arial"/>
          <w:lang w:val="sr-Cyrl-RS"/>
        </w:rPr>
        <w:t xml:space="preserve"> </w:t>
      </w:r>
      <w:r w:rsidRPr="0DD3B114">
        <w:rPr>
          <w:rFonts w:ascii="Arial" w:hAnsi="Arial" w:cs="Arial"/>
          <w:lang w:val="sr-Cyrl-RS"/>
        </w:rPr>
        <w:t xml:space="preserve">2000. године замењен већинским системом релативне већине. Директан избор одборника од стране грађана главна је позитивна карактеристика овог изборног система. Фабриковање већине </w:t>
      </w:r>
      <w:r w:rsidR="00125C09" w:rsidRPr="0DD3B114">
        <w:rPr>
          <w:rFonts w:ascii="Arial" w:hAnsi="Arial" w:cs="Arial"/>
          <w:lang w:val="sr-Cyrl-RS"/>
        </w:rPr>
        <w:t>–</w:t>
      </w:r>
      <w:r w:rsidRPr="0DD3B114">
        <w:rPr>
          <w:rFonts w:ascii="Arial" w:hAnsi="Arial" w:cs="Arial"/>
          <w:lang w:val="sr-Cyrl-RS"/>
        </w:rPr>
        <w:t xml:space="preserve"> натпредстављеност великих странака и потпредстављеност различитих мањина </w:t>
      </w:r>
      <w:r w:rsidR="00125C09" w:rsidRPr="0DD3B114">
        <w:rPr>
          <w:rFonts w:ascii="Arial" w:hAnsi="Arial" w:cs="Arial"/>
          <w:lang w:val="sr-Cyrl-RS"/>
        </w:rPr>
        <w:t>–</w:t>
      </w:r>
      <w:r w:rsidRPr="0DD3B114">
        <w:rPr>
          <w:rFonts w:ascii="Arial" w:hAnsi="Arial" w:cs="Arial"/>
          <w:lang w:val="sr-Cyrl-RS"/>
        </w:rPr>
        <w:t xml:space="preserve"> кључна је негативна последица због којих је овај изборни систем замењен. Четврти по реду локални избори 2004. године одржани су по пропорционалном изборном систему </w:t>
      </w:r>
      <w:r w:rsidR="00125C09" w:rsidRPr="0DD3B114">
        <w:rPr>
          <w:rFonts w:ascii="Arial" w:hAnsi="Arial" w:cs="Arial"/>
          <w:lang w:val="sr-Cyrl-RS"/>
        </w:rPr>
        <w:t>–</w:t>
      </w:r>
      <w:r w:rsidRPr="0DD3B114">
        <w:rPr>
          <w:rFonts w:ascii="Arial" w:hAnsi="Arial" w:cs="Arial"/>
          <w:lang w:val="sr-Cyrl-RS"/>
        </w:rPr>
        <w:t xml:space="preserve"> општина/град једна изборна јединица, затворена блокирана изборна листа, </w:t>
      </w:r>
      <w:r w:rsidR="00125C09" w:rsidRPr="0DD3B114">
        <w:rPr>
          <w:rFonts w:ascii="Arial" w:hAnsi="Arial" w:cs="Arial"/>
          <w:lang w:val="sr-Cyrl-RS"/>
        </w:rPr>
        <w:t>тропроцен</w:t>
      </w:r>
      <w:r w:rsidRPr="0DD3B114">
        <w:rPr>
          <w:rFonts w:ascii="Arial" w:hAnsi="Arial" w:cs="Arial"/>
          <w:lang w:val="sr-Cyrl-RS"/>
        </w:rPr>
        <w:t>тни изборни праг, Хер-Нимајерова формула за расподелу мандата. Непосредан избор председника општина и градо</w:t>
      </w:r>
      <w:r w:rsidR="00125C09" w:rsidRPr="0DD3B114">
        <w:rPr>
          <w:rFonts w:ascii="Arial" w:hAnsi="Arial" w:cs="Arial"/>
          <w:lang w:val="sr-Cyrl-RS"/>
        </w:rPr>
        <w:t>начелник</w:t>
      </w:r>
      <w:r w:rsidRPr="0DD3B114">
        <w:rPr>
          <w:rFonts w:ascii="Arial" w:hAnsi="Arial" w:cs="Arial"/>
          <w:lang w:val="sr-Cyrl-RS"/>
        </w:rPr>
        <w:t>а примењен је само</w:t>
      </w:r>
      <w:r w:rsidR="004D5004" w:rsidRPr="0DD3B114">
        <w:rPr>
          <w:rFonts w:ascii="Arial" w:hAnsi="Arial" w:cs="Arial"/>
          <w:lang w:val="sr-Cyrl-RS"/>
        </w:rPr>
        <w:t xml:space="preserve"> </w:t>
      </w:r>
      <w:r w:rsidRPr="0DD3B114">
        <w:rPr>
          <w:rFonts w:ascii="Arial" w:hAnsi="Arial" w:cs="Arial"/>
          <w:lang w:val="sr-Cyrl-RS"/>
        </w:rPr>
        <w:t>2004. године</w:t>
      </w:r>
      <w:r w:rsidR="00125C09" w:rsidRPr="0DD3B114">
        <w:rPr>
          <w:rFonts w:ascii="Arial" w:hAnsi="Arial" w:cs="Arial"/>
          <w:lang w:val="sr-Cyrl-RS"/>
        </w:rPr>
        <w:t>,</w:t>
      </w:r>
      <w:r w:rsidR="00CF33EA" w:rsidRPr="0DD3B114">
        <w:rPr>
          <w:rFonts w:ascii="Arial" w:hAnsi="Arial" w:cs="Arial"/>
          <w:lang w:val="sr-Cyrl-RS"/>
        </w:rPr>
        <w:t xml:space="preserve"> а напуштен је због значајног броја блокад</w:t>
      </w:r>
      <w:r w:rsidR="00125C09" w:rsidRPr="0DD3B114">
        <w:rPr>
          <w:rFonts w:ascii="Arial" w:hAnsi="Arial" w:cs="Arial"/>
          <w:lang w:val="sr-Cyrl-RS"/>
        </w:rPr>
        <w:t>а</w:t>
      </w:r>
      <w:r w:rsidR="00CF33EA" w:rsidRPr="0DD3B114">
        <w:rPr>
          <w:rFonts w:ascii="Arial" w:hAnsi="Arial" w:cs="Arial"/>
          <w:lang w:val="sr-Cyrl-RS"/>
        </w:rPr>
        <w:t xml:space="preserve"> рада јединице локалне самоуправе због политичких супротстављања скупштинске већине и непосредно изабраног председника општине</w:t>
      </w:r>
      <w:r w:rsidR="00125C09" w:rsidRPr="0DD3B114">
        <w:rPr>
          <w:rFonts w:ascii="Arial" w:hAnsi="Arial" w:cs="Arial"/>
          <w:lang w:val="sr-Cyrl-RS"/>
        </w:rPr>
        <w:t xml:space="preserve"> </w:t>
      </w:r>
      <w:r w:rsidR="00CF33EA" w:rsidRPr="0DD3B114">
        <w:rPr>
          <w:rFonts w:ascii="Arial" w:hAnsi="Arial" w:cs="Arial"/>
          <w:lang w:val="sr-Cyrl-RS"/>
        </w:rPr>
        <w:t>/</w:t>
      </w:r>
      <w:r w:rsidR="00125C09" w:rsidRPr="0DD3B114">
        <w:rPr>
          <w:rFonts w:ascii="Arial" w:hAnsi="Arial" w:cs="Arial"/>
          <w:lang w:val="sr-Cyrl-RS"/>
        </w:rPr>
        <w:t xml:space="preserve"> </w:t>
      </w:r>
      <w:r w:rsidR="00CF33EA" w:rsidRPr="0DD3B114">
        <w:rPr>
          <w:rFonts w:ascii="Arial" w:hAnsi="Arial" w:cs="Arial"/>
          <w:lang w:val="sr-Cyrl-RS"/>
        </w:rPr>
        <w:t>градоначелника. Ова ситуација је повремено била присутна у око 60 ЈЛС.</w:t>
      </w:r>
    </w:p>
    <w:p w14:paraId="6DE96898" w14:textId="77777777" w:rsidR="002D1F80" w:rsidRPr="00A021B7" w:rsidRDefault="002D1F80" w:rsidP="1A8E6423">
      <w:pPr>
        <w:pStyle w:val="CommentText"/>
        <w:ind w:firstLine="720"/>
        <w:jc w:val="both"/>
        <w:rPr>
          <w:rFonts w:ascii="Arial" w:hAnsi="Arial" w:cs="Arial"/>
          <w:lang w:val="sr-Cyrl-RS"/>
        </w:rPr>
      </w:pPr>
    </w:p>
    <w:p w14:paraId="4606A0A9" w14:textId="16D61344" w:rsidR="00E873B7" w:rsidRPr="00A021B7" w:rsidRDefault="0313C295" w:rsidP="0DD3B114">
      <w:pPr>
        <w:ind w:firstLine="720"/>
        <w:jc w:val="both"/>
        <w:rPr>
          <w:rFonts w:ascii="Arial" w:hAnsi="Arial" w:cs="Arial"/>
          <w:sz w:val="20"/>
          <w:szCs w:val="20"/>
          <w:lang w:val="sr-Cyrl-RS"/>
        </w:rPr>
      </w:pPr>
      <w:r w:rsidRPr="00A021B7">
        <w:rPr>
          <w:rFonts w:ascii="Arial" w:hAnsi="Arial" w:cs="Arial"/>
          <w:sz w:val="20"/>
          <w:szCs w:val="20"/>
          <w:lang w:val="sr-Cyrl-RS"/>
        </w:rPr>
        <w:t>После д</w:t>
      </w:r>
      <w:r w:rsidR="66D96CD3" w:rsidRPr="00A021B7">
        <w:rPr>
          <w:rFonts w:ascii="Arial" w:hAnsi="Arial" w:cs="Arial"/>
          <w:sz w:val="20"/>
          <w:szCs w:val="20"/>
          <w:lang w:val="sr-Cyrl-RS"/>
        </w:rPr>
        <w:t>оношењ</w:t>
      </w:r>
      <w:r w:rsidR="4DB14E98" w:rsidRPr="00A021B7">
        <w:rPr>
          <w:rFonts w:ascii="Arial" w:hAnsi="Arial" w:cs="Arial"/>
          <w:sz w:val="20"/>
          <w:szCs w:val="20"/>
          <w:lang w:val="sr-Cyrl-RS"/>
        </w:rPr>
        <w:t>а</w:t>
      </w:r>
      <w:r w:rsidR="66D96CD3" w:rsidRPr="00A021B7">
        <w:rPr>
          <w:rFonts w:ascii="Arial" w:hAnsi="Arial" w:cs="Arial"/>
          <w:sz w:val="20"/>
          <w:szCs w:val="20"/>
          <w:lang w:val="sr-Cyrl-RS"/>
        </w:rPr>
        <w:t xml:space="preserve"> </w:t>
      </w:r>
      <w:r w:rsidR="42A68B2B" w:rsidRPr="00A021B7">
        <w:rPr>
          <w:rFonts w:ascii="Arial" w:hAnsi="Arial" w:cs="Arial"/>
          <w:sz w:val="20"/>
          <w:szCs w:val="20"/>
          <w:lang w:val="sr-Cyrl-RS"/>
        </w:rPr>
        <w:t>Устав</w:t>
      </w:r>
      <w:r w:rsidR="66D96CD3" w:rsidRPr="00A021B7">
        <w:rPr>
          <w:rFonts w:ascii="Arial" w:hAnsi="Arial" w:cs="Arial"/>
          <w:sz w:val="20"/>
          <w:szCs w:val="20"/>
          <w:lang w:val="sr-Cyrl-RS"/>
        </w:rPr>
        <w:t>а</w:t>
      </w:r>
      <w:r w:rsidR="42A68B2B" w:rsidRPr="00A021B7">
        <w:rPr>
          <w:rFonts w:ascii="Arial" w:hAnsi="Arial" w:cs="Arial"/>
          <w:sz w:val="20"/>
          <w:szCs w:val="20"/>
          <w:lang w:val="sr-Cyrl-RS"/>
        </w:rPr>
        <w:t xml:space="preserve"> Републике Србије 2006. године</w:t>
      </w:r>
      <w:r w:rsidRPr="00A021B7">
        <w:rPr>
          <w:rFonts w:ascii="Arial" w:hAnsi="Arial" w:cs="Arial"/>
          <w:sz w:val="20"/>
          <w:szCs w:val="20"/>
          <w:lang w:val="sr-Cyrl-RS"/>
        </w:rPr>
        <w:t xml:space="preserve">, у изборном систему су извршене </w:t>
      </w:r>
      <w:r w:rsidR="4DB14E98" w:rsidRPr="00A021B7">
        <w:rPr>
          <w:rFonts w:ascii="Arial" w:hAnsi="Arial" w:cs="Arial"/>
          <w:sz w:val="20"/>
          <w:szCs w:val="20"/>
          <w:lang w:val="sr-Cyrl-RS"/>
        </w:rPr>
        <w:t>значајне промене</w:t>
      </w:r>
      <w:r w:rsidRPr="00A021B7">
        <w:rPr>
          <w:rFonts w:ascii="Arial" w:hAnsi="Arial" w:cs="Arial"/>
          <w:sz w:val="20"/>
          <w:szCs w:val="20"/>
          <w:lang w:val="sr-Cyrl-RS"/>
        </w:rPr>
        <w:t>.</w:t>
      </w:r>
      <w:r w:rsidR="42A68B2B" w:rsidRPr="00A021B7">
        <w:rPr>
          <w:rFonts w:ascii="Arial" w:hAnsi="Arial" w:cs="Arial"/>
          <w:sz w:val="20"/>
          <w:szCs w:val="20"/>
          <w:lang w:val="sr-Cyrl-RS"/>
        </w:rPr>
        <w:t xml:space="preserve"> Прво, </w:t>
      </w:r>
      <w:r w:rsidRPr="00A021B7">
        <w:rPr>
          <w:rFonts w:ascii="Arial" w:hAnsi="Arial" w:cs="Arial"/>
          <w:sz w:val="20"/>
          <w:szCs w:val="20"/>
          <w:lang w:val="sr-Cyrl-RS"/>
        </w:rPr>
        <w:t xml:space="preserve">обезбеђена је обавезна примена изборних квота за жене, </w:t>
      </w:r>
      <w:r w:rsidR="42A68B2B" w:rsidRPr="00A021B7">
        <w:rPr>
          <w:rFonts w:ascii="Arial" w:hAnsi="Arial" w:cs="Arial"/>
          <w:sz w:val="20"/>
          <w:szCs w:val="20"/>
          <w:lang w:val="sr-Cyrl-RS"/>
        </w:rPr>
        <w:t xml:space="preserve">не само на листама него и међу изабраним </w:t>
      </w:r>
      <w:r w:rsidR="44BD0C98" w:rsidRPr="00A021B7">
        <w:rPr>
          <w:rFonts w:ascii="Arial" w:hAnsi="Arial" w:cs="Arial"/>
          <w:sz w:val="20"/>
          <w:szCs w:val="20"/>
          <w:lang w:val="sr-Cyrl-RS"/>
        </w:rPr>
        <w:t>представницима</w:t>
      </w:r>
      <w:r w:rsidR="42A68B2B" w:rsidRPr="00A021B7">
        <w:rPr>
          <w:rFonts w:ascii="Arial" w:hAnsi="Arial" w:cs="Arial"/>
          <w:sz w:val="20"/>
          <w:szCs w:val="20"/>
          <w:lang w:val="sr-Cyrl-RS"/>
        </w:rPr>
        <w:t xml:space="preserve">. Друго, у жељи да онемогуће страначке прелетаче да мењају вољу бирача, уставописци су прописали да је </w:t>
      </w:r>
      <w:r w:rsidR="253B6506" w:rsidRPr="00A021B7">
        <w:rPr>
          <w:rFonts w:ascii="Arial" w:hAnsi="Arial" w:cs="Arial"/>
          <w:sz w:val="20"/>
          <w:szCs w:val="20"/>
          <w:lang w:val="sr-Cyrl-RS"/>
        </w:rPr>
        <w:t>„</w:t>
      </w:r>
      <w:r w:rsidR="42A68B2B" w:rsidRPr="00A021B7">
        <w:rPr>
          <w:rFonts w:ascii="Arial" w:hAnsi="Arial" w:cs="Arial"/>
          <w:sz w:val="20"/>
          <w:szCs w:val="20"/>
          <w:lang w:val="sr-Cyrl-RS"/>
        </w:rPr>
        <w:t>народни посланик слободан да, под законом одређеним условима, неопозиво стави свој мандат на располагање политичкој странци на чији је предлог изабран за народног посланика</w:t>
      </w:r>
      <w:r w:rsidR="00125C09">
        <w:rPr>
          <w:rFonts w:ascii="Arial" w:hAnsi="Arial" w:cs="Arial"/>
          <w:sz w:val="20"/>
          <w:szCs w:val="20"/>
        </w:rPr>
        <w:t>”</w:t>
      </w:r>
      <w:r w:rsidR="42A68B2B" w:rsidRPr="00A021B7">
        <w:rPr>
          <w:rFonts w:ascii="Arial" w:hAnsi="Arial" w:cs="Arial"/>
          <w:sz w:val="20"/>
          <w:szCs w:val="20"/>
          <w:lang w:val="sr-Cyrl-RS"/>
        </w:rPr>
        <w:t xml:space="preserve"> (</w:t>
      </w:r>
      <w:r w:rsidR="027C544B" w:rsidRPr="00A021B7">
        <w:rPr>
          <w:rFonts w:ascii="Arial" w:hAnsi="Arial" w:cs="Arial"/>
          <w:sz w:val="20"/>
          <w:szCs w:val="20"/>
          <w:lang w:val="sr-Cyrl-RS"/>
        </w:rPr>
        <w:t>члан</w:t>
      </w:r>
      <w:r w:rsidR="42A68B2B" w:rsidRPr="00A021B7">
        <w:rPr>
          <w:rFonts w:ascii="Arial" w:hAnsi="Arial" w:cs="Arial"/>
          <w:sz w:val="20"/>
          <w:szCs w:val="20"/>
          <w:lang w:val="sr-Cyrl-RS"/>
        </w:rPr>
        <w:t xml:space="preserve"> 102</w:t>
      </w:r>
      <w:r w:rsidR="3CB18F3F" w:rsidRPr="00A021B7">
        <w:rPr>
          <w:rFonts w:ascii="Arial" w:hAnsi="Arial" w:cs="Arial"/>
          <w:sz w:val="20"/>
          <w:szCs w:val="20"/>
          <w:lang w:val="sr-Cyrl-RS"/>
        </w:rPr>
        <w:t>.</w:t>
      </w:r>
      <w:r w:rsidR="42A68B2B" w:rsidRPr="00A021B7">
        <w:rPr>
          <w:rFonts w:ascii="Arial" w:hAnsi="Arial" w:cs="Arial"/>
          <w:sz w:val="20"/>
          <w:szCs w:val="20"/>
          <w:lang w:val="sr-Cyrl-RS"/>
        </w:rPr>
        <w:t xml:space="preserve"> ст</w:t>
      </w:r>
      <w:r w:rsidR="3CB18F3F" w:rsidRPr="00A021B7">
        <w:rPr>
          <w:rFonts w:ascii="Arial" w:hAnsi="Arial" w:cs="Arial"/>
          <w:sz w:val="20"/>
          <w:szCs w:val="20"/>
          <w:lang w:val="sr-Cyrl-RS"/>
        </w:rPr>
        <w:t>ав</w:t>
      </w:r>
      <w:r w:rsidR="42A68B2B" w:rsidRPr="00A021B7">
        <w:rPr>
          <w:rFonts w:ascii="Arial" w:hAnsi="Arial" w:cs="Arial"/>
          <w:sz w:val="20"/>
          <w:szCs w:val="20"/>
          <w:lang w:val="sr-Cyrl-RS"/>
        </w:rPr>
        <w:t xml:space="preserve"> 2). Ова уставна норма је слободни мандат представника</w:t>
      </w:r>
      <w:r w:rsidR="512CDFFD" w:rsidRPr="00A021B7">
        <w:rPr>
          <w:rFonts w:ascii="Arial" w:hAnsi="Arial" w:cs="Arial"/>
          <w:sz w:val="20"/>
          <w:szCs w:val="20"/>
          <w:lang w:val="sr-Cyrl-RS"/>
        </w:rPr>
        <w:t xml:space="preserve"> </w:t>
      </w:r>
      <w:r w:rsidR="42A68B2B" w:rsidRPr="00A021B7">
        <w:rPr>
          <w:rFonts w:ascii="Arial" w:hAnsi="Arial" w:cs="Arial"/>
          <w:sz w:val="20"/>
          <w:szCs w:val="20"/>
          <w:lang w:val="sr-Cyrl-RS"/>
        </w:rPr>
        <w:t>претворила</w:t>
      </w:r>
      <w:r w:rsidR="512CDFFD" w:rsidRPr="00A021B7">
        <w:rPr>
          <w:rFonts w:ascii="Arial" w:hAnsi="Arial" w:cs="Arial"/>
          <w:sz w:val="20"/>
          <w:szCs w:val="20"/>
          <w:lang w:val="sr-Cyrl-RS"/>
        </w:rPr>
        <w:t xml:space="preserve"> </w:t>
      </w:r>
      <w:r w:rsidR="42A68B2B" w:rsidRPr="00A021B7">
        <w:rPr>
          <w:rFonts w:ascii="Arial" w:hAnsi="Arial" w:cs="Arial"/>
          <w:sz w:val="20"/>
          <w:szCs w:val="20"/>
          <w:lang w:val="sr-Cyrl-RS"/>
        </w:rPr>
        <w:t xml:space="preserve">у неку врсту везаног, страначког мандата и верификовала праксу </w:t>
      </w:r>
      <w:r w:rsidR="253B6506" w:rsidRPr="00A021B7">
        <w:rPr>
          <w:rFonts w:ascii="Arial" w:hAnsi="Arial" w:cs="Arial"/>
          <w:sz w:val="20"/>
          <w:szCs w:val="20"/>
          <w:lang w:val="sr-Cyrl-RS"/>
        </w:rPr>
        <w:t>„</w:t>
      </w:r>
      <w:r w:rsidR="42A68B2B" w:rsidRPr="00A021B7">
        <w:rPr>
          <w:rFonts w:ascii="Arial" w:hAnsi="Arial" w:cs="Arial"/>
          <w:sz w:val="20"/>
          <w:szCs w:val="20"/>
          <w:lang w:val="sr-Cyrl-RS"/>
        </w:rPr>
        <w:t>бланко</w:t>
      </w:r>
      <w:r w:rsidR="00125C09">
        <w:rPr>
          <w:rFonts w:ascii="Arial" w:hAnsi="Arial" w:cs="Arial"/>
          <w:sz w:val="20"/>
          <w:szCs w:val="20"/>
        </w:rPr>
        <w:t>”</w:t>
      </w:r>
      <w:r w:rsidR="42A68B2B" w:rsidRPr="00A021B7">
        <w:rPr>
          <w:rFonts w:ascii="Arial" w:hAnsi="Arial" w:cs="Arial"/>
          <w:sz w:val="20"/>
          <w:szCs w:val="20"/>
          <w:lang w:val="sr-Cyrl-RS"/>
        </w:rPr>
        <w:t xml:space="preserve"> оставки, али није зауставила праксу </w:t>
      </w:r>
      <w:r w:rsidR="1FA77EB0" w:rsidRPr="00A021B7">
        <w:rPr>
          <w:rFonts w:ascii="Arial" w:hAnsi="Arial" w:cs="Arial"/>
          <w:sz w:val="20"/>
          <w:szCs w:val="20"/>
          <w:lang w:val="sr-Cyrl-RS"/>
        </w:rPr>
        <w:t xml:space="preserve">промене </w:t>
      </w:r>
      <w:r w:rsidR="42A68B2B" w:rsidRPr="00A021B7">
        <w:rPr>
          <w:rFonts w:ascii="Arial" w:hAnsi="Arial" w:cs="Arial"/>
          <w:sz w:val="20"/>
          <w:szCs w:val="20"/>
          <w:lang w:val="sr-Cyrl-RS"/>
        </w:rPr>
        <w:t>страначк</w:t>
      </w:r>
      <w:r w:rsidR="1FA77EB0" w:rsidRPr="00A021B7">
        <w:rPr>
          <w:rFonts w:ascii="Arial" w:hAnsi="Arial" w:cs="Arial"/>
          <w:sz w:val="20"/>
          <w:szCs w:val="20"/>
          <w:lang w:val="sr-Cyrl-RS"/>
        </w:rPr>
        <w:t>е припадности</w:t>
      </w:r>
      <w:r w:rsidR="42A68B2B" w:rsidRPr="00A021B7">
        <w:rPr>
          <w:rFonts w:ascii="Arial" w:hAnsi="Arial" w:cs="Arial"/>
          <w:sz w:val="20"/>
          <w:szCs w:val="20"/>
          <w:lang w:val="sr-Cyrl-RS"/>
        </w:rPr>
        <w:t>, клијент</w:t>
      </w:r>
      <w:r w:rsidR="00125C09">
        <w:rPr>
          <w:rFonts w:ascii="Arial" w:hAnsi="Arial" w:cs="Arial"/>
          <w:sz w:val="20"/>
          <w:szCs w:val="20"/>
          <w:lang w:val="sr-Cyrl-RS"/>
        </w:rPr>
        <w:t>е</w:t>
      </w:r>
      <w:r w:rsidR="42A68B2B" w:rsidRPr="00A021B7">
        <w:rPr>
          <w:rFonts w:ascii="Arial" w:hAnsi="Arial" w:cs="Arial"/>
          <w:sz w:val="20"/>
          <w:szCs w:val="20"/>
          <w:lang w:val="sr-Cyrl-RS"/>
        </w:rPr>
        <w:t>лизма и мењања воље бирача. Примедбама Венецијанске комисије, Европске комисије и Европског парламента и одлуком Уставног суда</w:t>
      </w:r>
      <w:r w:rsidR="003E5B9D" w:rsidRPr="00A021B7">
        <w:rPr>
          <w:rStyle w:val="FootnoteReference"/>
          <w:rFonts w:ascii="Arial" w:hAnsi="Arial" w:cs="Arial"/>
          <w:sz w:val="20"/>
          <w:szCs w:val="20"/>
          <w:lang w:val="sr-Cyrl-RS"/>
        </w:rPr>
        <w:footnoteReference w:id="15"/>
      </w:r>
      <w:r w:rsidR="42A68B2B" w:rsidRPr="00A021B7">
        <w:rPr>
          <w:rFonts w:ascii="Arial" w:hAnsi="Arial" w:cs="Arial"/>
          <w:sz w:val="20"/>
          <w:szCs w:val="20"/>
          <w:lang w:val="sr-Cyrl-RS"/>
        </w:rPr>
        <w:t xml:space="preserve"> суспендује се низ норми у Закону о локалним изборима које су показале како се наведена уставна одредба може </w:t>
      </w:r>
      <w:r w:rsidR="253B6506" w:rsidRPr="00A021B7">
        <w:rPr>
          <w:rFonts w:ascii="Arial" w:hAnsi="Arial" w:cs="Arial"/>
          <w:sz w:val="20"/>
          <w:szCs w:val="20"/>
          <w:lang w:val="sr-Cyrl-RS"/>
        </w:rPr>
        <w:t>„</w:t>
      </w:r>
      <w:r w:rsidR="42A68B2B" w:rsidRPr="00A021B7">
        <w:rPr>
          <w:rFonts w:ascii="Arial" w:hAnsi="Arial" w:cs="Arial"/>
          <w:sz w:val="20"/>
          <w:szCs w:val="20"/>
          <w:lang w:val="sr-Cyrl-RS"/>
        </w:rPr>
        <w:t>разрадити</w:t>
      </w:r>
      <w:r w:rsidRPr="00A021B7">
        <w:rPr>
          <w:rFonts w:ascii="Arial" w:hAnsi="Arial" w:cs="Arial"/>
          <w:sz w:val="20"/>
          <w:szCs w:val="20"/>
          <w:lang w:val="sr-Cyrl-RS"/>
        </w:rPr>
        <w:t>”</w:t>
      </w:r>
      <w:r w:rsidR="42A68B2B" w:rsidRPr="00A021B7">
        <w:rPr>
          <w:rFonts w:ascii="Arial" w:hAnsi="Arial" w:cs="Arial"/>
          <w:sz w:val="20"/>
          <w:szCs w:val="20"/>
          <w:lang w:val="sr-Cyrl-RS"/>
        </w:rPr>
        <w:t xml:space="preserve"> узимањем </w:t>
      </w:r>
      <w:r w:rsidR="253B6506" w:rsidRPr="00A021B7">
        <w:rPr>
          <w:rFonts w:ascii="Arial" w:hAnsi="Arial" w:cs="Arial"/>
          <w:sz w:val="20"/>
          <w:szCs w:val="20"/>
          <w:lang w:val="sr-Cyrl-RS"/>
        </w:rPr>
        <w:t>„</w:t>
      </w:r>
      <w:r w:rsidR="42A68B2B" w:rsidRPr="00A021B7">
        <w:rPr>
          <w:rFonts w:ascii="Arial" w:hAnsi="Arial" w:cs="Arial"/>
          <w:sz w:val="20"/>
          <w:szCs w:val="20"/>
          <w:lang w:val="sr-Cyrl-RS"/>
        </w:rPr>
        <w:t>бланко</w:t>
      </w:r>
      <w:r w:rsidRPr="00A021B7">
        <w:rPr>
          <w:rFonts w:ascii="Arial" w:hAnsi="Arial" w:cs="Arial"/>
          <w:sz w:val="20"/>
          <w:szCs w:val="20"/>
          <w:lang w:val="sr-Cyrl-RS"/>
        </w:rPr>
        <w:t>”</w:t>
      </w:r>
      <w:r w:rsidR="42A68B2B" w:rsidRPr="00A021B7">
        <w:rPr>
          <w:rFonts w:ascii="Arial" w:hAnsi="Arial" w:cs="Arial"/>
          <w:sz w:val="20"/>
          <w:szCs w:val="20"/>
          <w:lang w:val="sr-Cyrl-RS"/>
        </w:rPr>
        <w:t xml:space="preserve"> оставки још од кандидата. Надаље, Устав прописује да </w:t>
      </w:r>
      <w:r w:rsidR="5FB04EB3" w:rsidRPr="00A021B7">
        <w:rPr>
          <w:rFonts w:ascii="Arial" w:hAnsi="Arial" w:cs="Arial"/>
          <w:sz w:val="20"/>
          <w:szCs w:val="20"/>
          <w:lang w:val="sr-Cyrl-RS"/>
        </w:rPr>
        <w:t xml:space="preserve">скупштина </w:t>
      </w:r>
      <w:r w:rsidR="42A68B2B" w:rsidRPr="00A021B7">
        <w:rPr>
          <w:rFonts w:ascii="Arial" w:hAnsi="Arial" w:cs="Arial"/>
          <w:sz w:val="20"/>
          <w:szCs w:val="20"/>
          <w:lang w:val="sr-Cyrl-RS"/>
        </w:rPr>
        <w:t>општине одлучује о избору извршних органа</w:t>
      </w:r>
      <w:r w:rsidR="42A68B2B" w:rsidRPr="00A021B7" w:rsidDel="000844F0">
        <w:rPr>
          <w:rFonts w:ascii="Arial" w:hAnsi="Arial" w:cs="Arial"/>
          <w:sz w:val="20"/>
          <w:szCs w:val="20"/>
          <w:lang w:val="sr-Cyrl-RS"/>
        </w:rPr>
        <w:t xml:space="preserve"> општине</w:t>
      </w:r>
      <w:r w:rsidR="42A68B2B" w:rsidRPr="00A021B7">
        <w:rPr>
          <w:rFonts w:ascii="Arial" w:hAnsi="Arial" w:cs="Arial"/>
          <w:sz w:val="20"/>
          <w:szCs w:val="20"/>
          <w:lang w:val="sr-Cyrl-RS"/>
        </w:rPr>
        <w:t>, у складу са законом и статутом</w:t>
      </w:r>
      <w:r w:rsidR="5FB04EB3" w:rsidRPr="00A021B7">
        <w:rPr>
          <w:rFonts w:ascii="Arial" w:hAnsi="Arial" w:cs="Arial"/>
          <w:sz w:val="20"/>
          <w:szCs w:val="20"/>
          <w:lang w:val="sr-Cyrl-RS"/>
        </w:rPr>
        <w:t>,</w:t>
      </w:r>
      <w:r w:rsidR="42A68B2B" w:rsidRPr="00A021B7">
        <w:rPr>
          <w:rFonts w:ascii="Arial" w:hAnsi="Arial" w:cs="Arial"/>
          <w:sz w:val="20"/>
          <w:szCs w:val="20"/>
          <w:lang w:val="sr-Cyrl-RS"/>
        </w:rPr>
        <w:t xml:space="preserve"> а да се избор извршних органа града и </w:t>
      </w:r>
      <w:r w:rsidR="42A68B2B" w:rsidRPr="00A021B7" w:rsidDel="00125C09">
        <w:rPr>
          <w:rFonts w:ascii="Arial" w:hAnsi="Arial" w:cs="Arial"/>
          <w:sz w:val="20"/>
          <w:szCs w:val="20"/>
          <w:lang w:val="sr-Cyrl-RS"/>
        </w:rPr>
        <w:t>г</w:t>
      </w:r>
      <w:r w:rsidR="42A68B2B" w:rsidRPr="00A021B7">
        <w:rPr>
          <w:rFonts w:ascii="Arial" w:hAnsi="Arial" w:cs="Arial"/>
          <w:sz w:val="20"/>
          <w:szCs w:val="20"/>
          <w:lang w:val="sr-Cyrl-RS"/>
        </w:rPr>
        <w:t>рада Београда уређује законом (чл</w:t>
      </w:r>
      <w:r w:rsidR="3CB18F3F" w:rsidRPr="00A021B7">
        <w:rPr>
          <w:rFonts w:ascii="Arial" w:hAnsi="Arial" w:cs="Arial"/>
          <w:sz w:val="20"/>
          <w:szCs w:val="20"/>
          <w:lang w:val="sr-Cyrl-RS"/>
        </w:rPr>
        <w:t xml:space="preserve">ан </w:t>
      </w:r>
      <w:r w:rsidR="42A68B2B" w:rsidRPr="00A021B7">
        <w:rPr>
          <w:rFonts w:ascii="Arial" w:hAnsi="Arial" w:cs="Arial"/>
          <w:sz w:val="20"/>
          <w:szCs w:val="20"/>
          <w:lang w:val="sr-Cyrl-RS"/>
        </w:rPr>
        <w:t>191</w:t>
      </w:r>
      <w:r w:rsidR="646EC746" w:rsidRPr="00A021B7">
        <w:rPr>
          <w:rFonts w:ascii="Arial" w:hAnsi="Arial" w:cs="Arial"/>
          <w:sz w:val="20"/>
          <w:szCs w:val="20"/>
          <w:lang w:val="sr-Cyrl-RS"/>
        </w:rPr>
        <w:t>.</w:t>
      </w:r>
      <w:r w:rsidR="42A68B2B" w:rsidRPr="00A021B7">
        <w:rPr>
          <w:rFonts w:ascii="Arial" w:hAnsi="Arial" w:cs="Arial"/>
          <w:sz w:val="20"/>
          <w:szCs w:val="20"/>
          <w:lang w:val="sr-Cyrl-RS"/>
        </w:rPr>
        <w:t xml:space="preserve"> ст</w:t>
      </w:r>
      <w:r w:rsidR="6CE302E3" w:rsidRPr="00A021B7">
        <w:rPr>
          <w:rFonts w:ascii="Arial" w:hAnsi="Arial" w:cs="Arial"/>
          <w:sz w:val="20"/>
          <w:szCs w:val="20"/>
          <w:lang w:val="sr-Cyrl-RS"/>
        </w:rPr>
        <w:t>.</w:t>
      </w:r>
      <w:r w:rsidR="42A68B2B" w:rsidRPr="00A021B7">
        <w:rPr>
          <w:rFonts w:ascii="Arial" w:hAnsi="Arial" w:cs="Arial"/>
          <w:sz w:val="20"/>
          <w:szCs w:val="20"/>
          <w:lang w:val="sr-Cyrl-RS"/>
        </w:rPr>
        <w:t xml:space="preserve"> 4 и 5).</w:t>
      </w:r>
      <w:r w:rsidR="00E873B7" w:rsidRPr="00A021B7">
        <w:rPr>
          <w:rStyle w:val="FootnoteReference"/>
          <w:rFonts w:ascii="Arial" w:hAnsi="Arial" w:cs="Arial"/>
          <w:sz w:val="20"/>
          <w:szCs w:val="20"/>
          <w:lang w:val="sr-Cyrl-RS"/>
        </w:rPr>
        <w:footnoteReference w:id="16"/>
      </w:r>
    </w:p>
    <w:p w14:paraId="074E4824" w14:textId="77777777" w:rsidR="00E873B7" w:rsidRPr="00A021B7" w:rsidRDefault="00E873B7" w:rsidP="003E7BC9">
      <w:pPr>
        <w:jc w:val="both"/>
        <w:rPr>
          <w:rFonts w:ascii="Arial" w:hAnsi="Arial" w:cs="Arial"/>
          <w:sz w:val="20"/>
          <w:szCs w:val="20"/>
          <w:lang w:val="sr-Cyrl-RS"/>
        </w:rPr>
      </w:pPr>
    </w:p>
    <w:p w14:paraId="61325143" w14:textId="70FEE3E7" w:rsidR="00E873B7" w:rsidRPr="00A021B7" w:rsidRDefault="00E873B7" w:rsidP="0DD3B114">
      <w:pPr>
        <w:ind w:firstLine="720"/>
        <w:jc w:val="both"/>
        <w:rPr>
          <w:rFonts w:ascii="Arial" w:hAnsi="Arial" w:cs="Arial"/>
          <w:sz w:val="20"/>
          <w:szCs w:val="20"/>
          <w:lang w:val="sr-Cyrl-RS"/>
        </w:rPr>
      </w:pPr>
      <w:r w:rsidRPr="0DD3B114">
        <w:rPr>
          <w:rFonts w:ascii="Arial" w:hAnsi="Arial" w:cs="Arial"/>
          <w:sz w:val="20"/>
          <w:szCs w:val="20"/>
          <w:lang w:val="sr-Cyrl-RS"/>
        </w:rPr>
        <w:t>Као последица уставних реформи</w:t>
      </w:r>
      <w:r w:rsidR="00D05A9D" w:rsidRPr="0DD3B114">
        <w:rPr>
          <w:rFonts w:ascii="Arial" w:hAnsi="Arial" w:cs="Arial"/>
          <w:sz w:val="20"/>
          <w:szCs w:val="20"/>
          <w:lang w:val="sr-Cyrl-RS"/>
        </w:rPr>
        <w:t>,</w:t>
      </w:r>
      <w:r w:rsidRPr="0DD3B114">
        <w:rPr>
          <w:rFonts w:ascii="Arial" w:hAnsi="Arial" w:cs="Arial"/>
          <w:sz w:val="20"/>
          <w:szCs w:val="20"/>
          <w:lang w:val="sr-Cyrl-RS"/>
        </w:rPr>
        <w:t xml:space="preserve"> </w:t>
      </w:r>
      <w:r w:rsidR="00D05A9D" w:rsidRPr="0DD3B114">
        <w:rPr>
          <w:rFonts w:ascii="Arial" w:hAnsi="Arial" w:cs="Arial"/>
          <w:sz w:val="20"/>
          <w:szCs w:val="20"/>
          <w:lang w:val="sr-Cyrl-RS"/>
        </w:rPr>
        <w:t xml:space="preserve">2007. године </w:t>
      </w:r>
      <w:r w:rsidRPr="0DD3B114">
        <w:rPr>
          <w:rFonts w:ascii="Arial" w:hAnsi="Arial" w:cs="Arial"/>
          <w:sz w:val="20"/>
          <w:szCs w:val="20"/>
          <w:lang w:val="sr-Cyrl-RS"/>
        </w:rPr>
        <w:t xml:space="preserve">усвојен је нови Закон о локалним изборима. </w:t>
      </w:r>
      <w:r w:rsidR="00125C09" w:rsidRPr="0DD3B114">
        <w:rPr>
          <w:rFonts w:ascii="Arial" w:hAnsi="Arial" w:cs="Arial"/>
          <w:sz w:val="20"/>
          <w:szCs w:val="20"/>
          <w:lang w:val="sr-Cyrl-RS"/>
        </w:rPr>
        <w:t>С обзиром на то</w:t>
      </w:r>
      <w:r w:rsidRPr="0DD3B114">
        <w:rPr>
          <w:rFonts w:ascii="Arial" w:hAnsi="Arial" w:cs="Arial"/>
          <w:sz w:val="20"/>
          <w:szCs w:val="20"/>
          <w:lang w:val="sr-Cyrl-RS"/>
        </w:rPr>
        <w:t xml:space="preserve"> да је систем локалне самоуправе у Србији</w:t>
      </w:r>
      <w:r w:rsidR="00125C09" w:rsidRPr="0DD3B114">
        <w:rPr>
          <w:rFonts w:ascii="Arial" w:hAnsi="Arial" w:cs="Arial"/>
          <w:sz w:val="20"/>
          <w:szCs w:val="20"/>
          <w:lang w:val="sr-Cyrl-RS"/>
        </w:rPr>
        <w:t xml:space="preserve"> заснован на</w:t>
      </w:r>
      <w:r w:rsidRPr="0DD3B114">
        <w:rPr>
          <w:rFonts w:ascii="Arial" w:hAnsi="Arial" w:cs="Arial"/>
          <w:sz w:val="20"/>
          <w:szCs w:val="20"/>
          <w:lang w:val="sr-Cyrl-RS"/>
        </w:rPr>
        <w:t xml:space="preserve"> једностепен</w:t>
      </w:r>
      <w:r w:rsidR="00125C09" w:rsidRPr="0DD3B114">
        <w:rPr>
          <w:rFonts w:ascii="Arial" w:hAnsi="Arial" w:cs="Arial"/>
          <w:sz w:val="20"/>
          <w:szCs w:val="20"/>
          <w:lang w:val="sr-Cyrl-RS"/>
        </w:rPr>
        <w:t>ом</w:t>
      </w:r>
      <w:r w:rsidRPr="0DD3B114">
        <w:rPr>
          <w:rFonts w:ascii="Arial" w:hAnsi="Arial" w:cs="Arial"/>
          <w:sz w:val="20"/>
          <w:szCs w:val="20"/>
          <w:lang w:val="sr-Cyrl-RS"/>
        </w:rPr>
        <w:t xml:space="preserve"> монотипск</w:t>
      </w:r>
      <w:r w:rsidR="00125C09" w:rsidRPr="0DD3B114">
        <w:rPr>
          <w:rFonts w:ascii="Arial" w:hAnsi="Arial" w:cs="Arial"/>
          <w:sz w:val="20"/>
          <w:szCs w:val="20"/>
          <w:lang w:val="sr-Cyrl-RS"/>
        </w:rPr>
        <w:t>ом</w:t>
      </w:r>
      <w:r w:rsidRPr="0DD3B114">
        <w:rPr>
          <w:rFonts w:ascii="Arial" w:hAnsi="Arial" w:cs="Arial"/>
          <w:sz w:val="20"/>
          <w:szCs w:val="20"/>
          <w:lang w:val="sr-Cyrl-RS"/>
        </w:rPr>
        <w:t xml:space="preserve"> модел</w:t>
      </w:r>
      <w:r w:rsidR="00125C09" w:rsidRPr="0DD3B114">
        <w:rPr>
          <w:rFonts w:ascii="Arial" w:hAnsi="Arial" w:cs="Arial"/>
          <w:sz w:val="20"/>
          <w:szCs w:val="20"/>
          <w:lang w:val="sr-Cyrl-RS"/>
        </w:rPr>
        <w:t>у</w:t>
      </w:r>
      <w:r w:rsidRPr="0DD3B114">
        <w:rPr>
          <w:rFonts w:ascii="Arial" w:hAnsi="Arial" w:cs="Arial"/>
          <w:sz w:val="20"/>
          <w:szCs w:val="20"/>
          <w:lang w:val="sr-Cyrl-RS"/>
        </w:rPr>
        <w:t xml:space="preserve"> локалне самоуправе, одборници у свим скупштинама јединица локалне </w:t>
      </w:r>
      <w:r w:rsidRPr="0DD3B114">
        <w:rPr>
          <w:rFonts w:ascii="Arial" w:hAnsi="Arial" w:cs="Arial"/>
          <w:sz w:val="20"/>
          <w:szCs w:val="20"/>
          <w:lang w:val="sr-Cyrl-RS"/>
        </w:rPr>
        <w:lastRenderedPageBreak/>
        <w:t>самоуправе бирају се по истоветном изборном моделу. Постојећи правни оквир за локалне изборе</w:t>
      </w:r>
      <w:r w:rsidR="00125C09" w:rsidRPr="0DD3B114">
        <w:rPr>
          <w:rFonts w:ascii="Arial" w:hAnsi="Arial" w:cs="Arial"/>
          <w:sz w:val="20"/>
          <w:szCs w:val="20"/>
          <w:lang w:val="sr-Cyrl-RS"/>
        </w:rPr>
        <w:t>,</w:t>
      </w:r>
      <w:r w:rsidRPr="0DD3B114">
        <w:rPr>
          <w:rFonts w:ascii="Arial" w:hAnsi="Arial" w:cs="Arial"/>
          <w:sz w:val="20"/>
          <w:szCs w:val="20"/>
          <w:lang w:val="sr-Cyrl-RS"/>
        </w:rPr>
        <w:t xml:space="preserve"> </w:t>
      </w:r>
      <w:r w:rsidR="00601252" w:rsidRPr="0DD3B114">
        <w:rPr>
          <w:rFonts w:ascii="Arial" w:hAnsi="Arial" w:cs="Arial"/>
          <w:sz w:val="20"/>
          <w:szCs w:val="20"/>
          <w:lang w:val="sr-Cyrl-RS"/>
        </w:rPr>
        <w:t xml:space="preserve">примењиван </w:t>
      </w:r>
      <w:r w:rsidRPr="0DD3B114">
        <w:rPr>
          <w:rFonts w:ascii="Arial" w:hAnsi="Arial" w:cs="Arial"/>
          <w:sz w:val="20"/>
          <w:szCs w:val="20"/>
          <w:lang w:val="sr-Cyrl-RS"/>
        </w:rPr>
        <w:t>од 2008. године, карактеришу пропорционални изборн</w:t>
      </w:r>
      <w:r w:rsidR="00C40B23" w:rsidRPr="0DD3B114">
        <w:rPr>
          <w:rFonts w:ascii="Arial" w:hAnsi="Arial" w:cs="Arial"/>
          <w:sz w:val="20"/>
          <w:szCs w:val="20"/>
          <w:lang w:val="sr-Cyrl-RS"/>
        </w:rPr>
        <w:t>и</w:t>
      </w:r>
      <w:r w:rsidRPr="0DD3B114">
        <w:rPr>
          <w:rFonts w:ascii="Arial" w:hAnsi="Arial" w:cs="Arial"/>
          <w:sz w:val="20"/>
          <w:szCs w:val="20"/>
          <w:lang w:val="sr-Cyrl-RS"/>
        </w:rPr>
        <w:t xml:space="preserve"> систем, </w:t>
      </w:r>
      <w:r w:rsidR="00601252" w:rsidRPr="0DD3B114">
        <w:rPr>
          <w:rFonts w:ascii="Arial" w:hAnsi="Arial" w:cs="Arial"/>
          <w:sz w:val="20"/>
          <w:szCs w:val="20"/>
          <w:lang w:val="sr-Cyrl-RS"/>
        </w:rPr>
        <w:t xml:space="preserve">ЈЛС </w:t>
      </w:r>
      <w:r w:rsidRPr="0DD3B114">
        <w:rPr>
          <w:rFonts w:ascii="Arial" w:hAnsi="Arial" w:cs="Arial"/>
          <w:sz w:val="20"/>
          <w:szCs w:val="20"/>
          <w:lang w:val="sr-Cyrl-RS"/>
        </w:rPr>
        <w:t xml:space="preserve">као једна изборна јединица, затворена блокирана изборна листа, изборни праг од 3% </w:t>
      </w:r>
      <w:r w:rsidR="00125C09" w:rsidRPr="0DD3B114">
        <w:rPr>
          <w:rFonts w:ascii="Arial" w:hAnsi="Arial" w:cs="Arial"/>
          <w:sz w:val="20"/>
          <w:szCs w:val="20"/>
          <w:lang w:val="sr-Cyrl-RS"/>
        </w:rPr>
        <w:t xml:space="preserve">гласова </w:t>
      </w:r>
      <w:r w:rsidRPr="0DD3B114">
        <w:rPr>
          <w:rFonts w:ascii="Arial" w:hAnsi="Arial" w:cs="Arial"/>
          <w:sz w:val="20"/>
          <w:szCs w:val="20"/>
          <w:lang w:val="sr-Cyrl-RS"/>
        </w:rPr>
        <w:t>грађана који су гласали (који се примењује од избора 2020</w:t>
      </w:r>
      <w:r w:rsidR="00C40B23" w:rsidRPr="0DD3B114">
        <w:rPr>
          <w:rFonts w:ascii="Arial" w:hAnsi="Arial" w:cs="Arial"/>
          <w:sz w:val="20"/>
          <w:szCs w:val="20"/>
          <w:lang w:val="sr-Cyrl-RS"/>
        </w:rPr>
        <w:t>.</w:t>
      </w:r>
      <w:r w:rsidRPr="0DD3B114">
        <w:rPr>
          <w:rFonts w:ascii="Arial" w:hAnsi="Arial" w:cs="Arial"/>
          <w:sz w:val="20"/>
          <w:szCs w:val="20"/>
          <w:lang w:val="sr-Cyrl-RS"/>
        </w:rPr>
        <w:t xml:space="preserve"> године</w:t>
      </w:r>
      <w:r w:rsidR="00DF3579" w:rsidRPr="0DD3B114">
        <w:rPr>
          <w:rFonts w:ascii="Arial" w:hAnsi="Arial" w:cs="Arial"/>
          <w:sz w:val="20"/>
          <w:szCs w:val="20"/>
          <w:lang w:val="sr-Cyrl-RS"/>
        </w:rPr>
        <w:t>,</w:t>
      </w:r>
      <w:r w:rsidRPr="0DD3B114">
        <w:rPr>
          <w:rFonts w:ascii="Arial" w:hAnsi="Arial" w:cs="Arial"/>
          <w:sz w:val="20"/>
          <w:szCs w:val="20"/>
          <w:lang w:val="sr-Cyrl-RS"/>
        </w:rPr>
        <w:t xml:space="preserve"> на претходним изборима изборни праг је износио 5%), расподела мандата која се обавља по методу највишег делитеља </w:t>
      </w:r>
      <w:r w:rsidR="00450B1B" w:rsidRPr="0DD3B114">
        <w:rPr>
          <w:rFonts w:ascii="Arial" w:hAnsi="Arial" w:cs="Arial"/>
          <w:sz w:val="20"/>
          <w:szCs w:val="20"/>
          <w:lang w:val="sr-Cyrl-RS"/>
        </w:rPr>
        <w:t>–</w:t>
      </w:r>
      <w:r w:rsidRPr="0DD3B114">
        <w:rPr>
          <w:rFonts w:ascii="Arial" w:hAnsi="Arial" w:cs="Arial"/>
          <w:sz w:val="20"/>
          <w:szCs w:val="20"/>
          <w:lang w:val="sr-Cyrl-RS"/>
        </w:rPr>
        <w:t xml:space="preserve"> Д</w:t>
      </w:r>
      <w:r w:rsidR="00450B1B" w:rsidRPr="0DD3B114">
        <w:rPr>
          <w:rFonts w:ascii="Arial" w:hAnsi="Arial" w:cs="Arial"/>
          <w:sz w:val="20"/>
          <w:szCs w:val="20"/>
          <w:lang w:val="sr-Cyrl-RS"/>
        </w:rPr>
        <w:t>’</w:t>
      </w:r>
      <w:r w:rsidRPr="0DD3B114">
        <w:rPr>
          <w:rFonts w:ascii="Arial" w:hAnsi="Arial" w:cs="Arial"/>
          <w:sz w:val="20"/>
          <w:szCs w:val="20"/>
          <w:lang w:val="sr-Cyrl-RS"/>
        </w:rPr>
        <w:t>Онтовом формулом</w:t>
      </w:r>
      <w:r w:rsidR="00125C09" w:rsidRPr="0DD3B114">
        <w:rPr>
          <w:rFonts w:ascii="Arial" w:hAnsi="Arial" w:cs="Arial"/>
          <w:sz w:val="20"/>
          <w:szCs w:val="20"/>
          <w:lang w:val="sr-Cyrl-RS"/>
        </w:rPr>
        <w:t>, као</w:t>
      </w:r>
      <w:r w:rsidRPr="0DD3B114">
        <w:rPr>
          <w:rFonts w:ascii="Arial" w:hAnsi="Arial" w:cs="Arial"/>
          <w:sz w:val="20"/>
          <w:szCs w:val="20"/>
          <w:lang w:val="sr-Cyrl-RS"/>
        </w:rPr>
        <w:t xml:space="preserve"> и гарантована заступљеност мање заступљеног пола (40% кандидата на листи од 2020.године, раније 30%).</w:t>
      </w:r>
    </w:p>
    <w:p w14:paraId="62645C6B" w14:textId="77777777" w:rsidR="00E873B7" w:rsidRPr="00A021B7" w:rsidRDefault="00E873B7" w:rsidP="0DD3B114">
      <w:pPr>
        <w:ind w:firstLine="720"/>
        <w:jc w:val="both"/>
        <w:rPr>
          <w:rFonts w:ascii="Arial" w:hAnsi="Arial" w:cs="Arial"/>
          <w:sz w:val="20"/>
          <w:szCs w:val="20"/>
          <w:lang w:val="sr-Cyrl-RS"/>
        </w:rPr>
      </w:pPr>
    </w:p>
    <w:p w14:paraId="3F3A4FFC" w14:textId="2E5E7426" w:rsidR="00E873B7" w:rsidRPr="00A021B7" w:rsidRDefault="00E873B7" w:rsidP="0DD3B114">
      <w:pPr>
        <w:ind w:firstLine="720"/>
        <w:jc w:val="both"/>
        <w:rPr>
          <w:rFonts w:ascii="Arial" w:hAnsi="Arial" w:cs="Arial"/>
          <w:sz w:val="20"/>
          <w:szCs w:val="20"/>
          <w:lang w:val="sr-Cyrl-RS"/>
        </w:rPr>
      </w:pPr>
      <w:r w:rsidRPr="0DD3B114">
        <w:rPr>
          <w:rFonts w:ascii="Arial" w:hAnsi="Arial" w:cs="Arial"/>
          <w:sz w:val="20"/>
          <w:szCs w:val="20"/>
          <w:lang w:val="sr-Cyrl-RS"/>
        </w:rPr>
        <w:t>Главни квалитети актуелног изборног система су:</w:t>
      </w:r>
    </w:p>
    <w:p w14:paraId="789AA30D" w14:textId="77777777" w:rsidR="002D1F80" w:rsidRPr="00A021B7" w:rsidRDefault="002D1F80" w:rsidP="003E7BC9">
      <w:pPr>
        <w:jc w:val="both"/>
        <w:rPr>
          <w:rFonts w:ascii="Arial" w:hAnsi="Arial" w:cs="Arial"/>
          <w:sz w:val="20"/>
          <w:szCs w:val="20"/>
          <w:lang w:val="sr-Cyrl-RS"/>
        </w:rPr>
      </w:pPr>
    </w:p>
    <w:p w14:paraId="3B1B4B97" w14:textId="77777777" w:rsidR="00E873B7" w:rsidRPr="00A021B7" w:rsidRDefault="00E873B7" w:rsidP="00A57E7E">
      <w:pPr>
        <w:pStyle w:val="ListParagraph"/>
        <w:numPr>
          <w:ilvl w:val="0"/>
          <w:numId w:val="8"/>
        </w:numPr>
        <w:jc w:val="both"/>
        <w:rPr>
          <w:rFonts w:ascii="Arial" w:hAnsi="Arial" w:cs="Arial"/>
          <w:sz w:val="20"/>
          <w:szCs w:val="20"/>
          <w:lang w:val="sr-Cyrl-RS"/>
        </w:rPr>
      </w:pPr>
      <w:r w:rsidRPr="00A021B7">
        <w:rPr>
          <w:rFonts w:ascii="Arial" w:hAnsi="Arial" w:cs="Arial"/>
          <w:sz w:val="20"/>
          <w:szCs w:val="20"/>
          <w:lang w:val="sr-Cyrl-RS"/>
        </w:rPr>
        <w:t xml:space="preserve">пропорционалност </w:t>
      </w:r>
      <w:r w:rsidR="00686B12" w:rsidRPr="00A021B7">
        <w:rPr>
          <w:rFonts w:ascii="Arial" w:hAnsi="Arial" w:cs="Arial"/>
          <w:sz w:val="20"/>
          <w:szCs w:val="20"/>
          <w:lang w:val="sr-Cyrl-RS"/>
        </w:rPr>
        <w:t xml:space="preserve">– </w:t>
      </w:r>
      <w:r w:rsidRPr="00A021B7">
        <w:rPr>
          <w:rFonts w:ascii="Arial" w:hAnsi="Arial" w:cs="Arial"/>
          <w:sz w:val="20"/>
          <w:szCs w:val="20"/>
          <w:lang w:val="sr-Cyrl-RS"/>
        </w:rPr>
        <w:t xml:space="preserve">верно пресликавање расположења бирачког тела </w:t>
      </w:r>
      <w:r w:rsidR="00686B12" w:rsidRPr="00A021B7">
        <w:rPr>
          <w:rFonts w:ascii="Arial" w:hAnsi="Arial" w:cs="Arial"/>
          <w:sz w:val="20"/>
          <w:szCs w:val="20"/>
          <w:lang w:val="sr-Cyrl-RS"/>
        </w:rPr>
        <w:t xml:space="preserve">– </w:t>
      </w:r>
      <w:r w:rsidRPr="00A021B7">
        <w:rPr>
          <w:rFonts w:ascii="Arial" w:hAnsi="Arial" w:cs="Arial"/>
          <w:sz w:val="20"/>
          <w:szCs w:val="20"/>
          <w:lang w:val="sr-Cyrl-RS"/>
        </w:rPr>
        <w:t>политичке странке су представљене у парламентима сходно својој изборној снази</w:t>
      </w:r>
      <w:r w:rsidR="00DD7050" w:rsidRPr="00A021B7">
        <w:rPr>
          <w:rFonts w:ascii="Arial" w:hAnsi="Arial" w:cs="Arial"/>
          <w:sz w:val="20"/>
          <w:szCs w:val="20"/>
          <w:lang w:val="sr-Cyrl-RS"/>
        </w:rPr>
        <w:t>,</w:t>
      </w:r>
    </w:p>
    <w:p w14:paraId="212FBFEA" w14:textId="77777777" w:rsidR="00E873B7" w:rsidRPr="00A021B7" w:rsidRDefault="00E873B7" w:rsidP="00A57E7E">
      <w:pPr>
        <w:pStyle w:val="ListParagraph"/>
        <w:numPr>
          <w:ilvl w:val="0"/>
          <w:numId w:val="8"/>
        </w:numPr>
        <w:jc w:val="both"/>
        <w:rPr>
          <w:rFonts w:ascii="Arial" w:hAnsi="Arial" w:cs="Arial"/>
          <w:sz w:val="20"/>
          <w:szCs w:val="20"/>
          <w:lang w:val="sr-Cyrl-RS"/>
        </w:rPr>
      </w:pPr>
      <w:r w:rsidRPr="00A021B7">
        <w:rPr>
          <w:rFonts w:ascii="Arial" w:hAnsi="Arial" w:cs="Arial"/>
          <w:sz w:val="20"/>
          <w:szCs w:val="20"/>
          <w:lang w:val="sr-Cyrl-RS"/>
        </w:rPr>
        <w:t>адекватна заступљеност националних мањина</w:t>
      </w:r>
      <w:r w:rsidR="004D5004" w:rsidRPr="00A021B7">
        <w:rPr>
          <w:rFonts w:ascii="Arial" w:hAnsi="Arial" w:cs="Arial"/>
          <w:sz w:val="20"/>
          <w:szCs w:val="20"/>
          <w:lang w:val="sr-Cyrl-RS"/>
        </w:rPr>
        <w:t xml:space="preserve"> </w:t>
      </w:r>
      <w:r w:rsidRPr="00A021B7">
        <w:rPr>
          <w:rFonts w:ascii="Arial" w:hAnsi="Arial" w:cs="Arial"/>
          <w:sz w:val="20"/>
          <w:szCs w:val="20"/>
          <w:lang w:val="sr-Cyrl-RS"/>
        </w:rPr>
        <w:t>и</w:t>
      </w:r>
    </w:p>
    <w:p w14:paraId="3FE2489A" w14:textId="77777777" w:rsidR="00E873B7" w:rsidRPr="00A021B7" w:rsidRDefault="00E873B7" w:rsidP="00A57E7E">
      <w:pPr>
        <w:pStyle w:val="ListParagraph"/>
        <w:numPr>
          <w:ilvl w:val="0"/>
          <w:numId w:val="8"/>
        </w:numPr>
        <w:jc w:val="both"/>
        <w:rPr>
          <w:rFonts w:ascii="Arial" w:hAnsi="Arial" w:cs="Arial"/>
          <w:sz w:val="20"/>
          <w:szCs w:val="20"/>
          <w:lang w:val="sr-Cyrl-RS"/>
        </w:rPr>
      </w:pPr>
      <w:r w:rsidRPr="00A021B7">
        <w:rPr>
          <w:rFonts w:ascii="Arial" w:hAnsi="Arial" w:cs="Arial"/>
          <w:sz w:val="20"/>
          <w:szCs w:val="20"/>
          <w:lang w:val="sr-Cyrl-RS"/>
        </w:rPr>
        <w:t xml:space="preserve">значајна заступљеност мање заступљеног пола </w:t>
      </w:r>
      <w:r w:rsidR="00DD7050" w:rsidRPr="00A021B7">
        <w:rPr>
          <w:rFonts w:ascii="Arial" w:hAnsi="Arial" w:cs="Arial"/>
          <w:sz w:val="20"/>
          <w:szCs w:val="20"/>
          <w:lang w:val="sr-Cyrl-RS"/>
        </w:rPr>
        <w:t>–</w:t>
      </w:r>
      <w:r w:rsidRPr="00A021B7">
        <w:rPr>
          <w:rFonts w:ascii="Arial" w:hAnsi="Arial" w:cs="Arial"/>
          <w:sz w:val="20"/>
          <w:szCs w:val="20"/>
          <w:lang w:val="sr-Cyrl-RS"/>
        </w:rPr>
        <w:t xml:space="preserve"> жена.</w:t>
      </w:r>
    </w:p>
    <w:p w14:paraId="6708188E" w14:textId="77777777" w:rsidR="00E873B7" w:rsidRPr="00A021B7" w:rsidRDefault="00E873B7" w:rsidP="003E7BC9">
      <w:pPr>
        <w:ind w:left="1500"/>
        <w:jc w:val="both"/>
        <w:rPr>
          <w:rFonts w:ascii="Arial" w:hAnsi="Arial" w:cs="Arial"/>
          <w:sz w:val="20"/>
          <w:szCs w:val="20"/>
          <w:lang w:val="sr-Cyrl-RS"/>
        </w:rPr>
      </w:pPr>
    </w:p>
    <w:p w14:paraId="51675AA5" w14:textId="7ACD5794" w:rsidR="00E873B7" w:rsidRPr="00A021B7" w:rsidRDefault="42A68B2B" w:rsidP="00787273">
      <w:pPr>
        <w:ind w:firstLine="720"/>
        <w:jc w:val="both"/>
        <w:rPr>
          <w:rFonts w:ascii="Arial" w:hAnsi="Arial" w:cs="Arial"/>
          <w:sz w:val="20"/>
          <w:szCs w:val="20"/>
          <w:lang w:val="sr-Cyrl-RS"/>
        </w:rPr>
      </w:pPr>
      <w:r w:rsidRPr="00A021B7">
        <w:rPr>
          <w:rFonts w:ascii="Arial" w:hAnsi="Arial" w:cs="Arial"/>
          <w:sz w:val="20"/>
          <w:szCs w:val="20"/>
          <w:lang w:val="sr-Cyrl-RS"/>
        </w:rPr>
        <w:t xml:space="preserve">Међутим, идеја о потреби </w:t>
      </w:r>
      <w:r w:rsidR="00125C09">
        <w:rPr>
          <w:rFonts w:ascii="Arial" w:hAnsi="Arial" w:cs="Arial"/>
          <w:sz w:val="20"/>
          <w:szCs w:val="20"/>
          <w:lang w:val="sr-Cyrl-RS"/>
        </w:rPr>
        <w:t xml:space="preserve">за </w:t>
      </w:r>
      <w:r w:rsidRPr="00A021B7">
        <w:rPr>
          <w:rFonts w:ascii="Arial" w:hAnsi="Arial" w:cs="Arial"/>
          <w:sz w:val="20"/>
          <w:szCs w:val="20"/>
          <w:lang w:val="sr-Cyrl-RS"/>
        </w:rPr>
        <w:t>суштинск</w:t>
      </w:r>
      <w:r w:rsidR="00125C09">
        <w:rPr>
          <w:rFonts w:ascii="Arial" w:hAnsi="Arial" w:cs="Arial"/>
          <w:sz w:val="20"/>
          <w:szCs w:val="20"/>
          <w:lang w:val="sr-Cyrl-RS"/>
        </w:rPr>
        <w:t>ом</w:t>
      </w:r>
      <w:r w:rsidRPr="00A021B7">
        <w:rPr>
          <w:rFonts w:ascii="Arial" w:hAnsi="Arial" w:cs="Arial"/>
          <w:sz w:val="20"/>
          <w:szCs w:val="20"/>
          <w:lang w:val="sr-Cyrl-RS"/>
        </w:rPr>
        <w:t xml:space="preserve"> реформ</w:t>
      </w:r>
      <w:r w:rsidR="00125C09">
        <w:rPr>
          <w:rFonts w:ascii="Arial" w:hAnsi="Arial" w:cs="Arial"/>
          <w:sz w:val="20"/>
          <w:szCs w:val="20"/>
          <w:lang w:val="sr-Cyrl-RS"/>
        </w:rPr>
        <w:t>ом</w:t>
      </w:r>
      <w:r w:rsidRPr="00A021B7">
        <w:rPr>
          <w:rFonts w:ascii="Arial" w:hAnsi="Arial" w:cs="Arial"/>
          <w:sz w:val="20"/>
          <w:szCs w:val="20"/>
          <w:lang w:val="sr-Cyrl-RS"/>
        </w:rPr>
        <w:t xml:space="preserve"> актуелног изборног модела присутна је у политичкој јавности Србије</w:t>
      </w:r>
      <w:r w:rsidR="00125C09">
        <w:rPr>
          <w:rFonts w:ascii="Arial" w:hAnsi="Arial" w:cs="Arial"/>
          <w:sz w:val="20"/>
          <w:szCs w:val="20"/>
          <w:lang w:val="sr-Cyrl-RS"/>
        </w:rPr>
        <w:t>,</w:t>
      </w:r>
      <w:r w:rsidRPr="00A021B7">
        <w:rPr>
          <w:rFonts w:ascii="Arial" w:hAnsi="Arial" w:cs="Arial"/>
          <w:sz w:val="20"/>
          <w:szCs w:val="20"/>
          <w:lang w:val="sr-Cyrl-RS"/>
        </w:rPr>
        <w:t xml:space="preserve"> са променљивим интензитетом</w:t>
      </w:r>
      <w:r w:rsidR="00125C09">
        <w:rPr>
          <w:rFonts w:ascii="Arial" w:hAnsi="Arial" w:cs="Arial"/>
          <w:sz w:val="20"/>
          <w:szCs w:val="20"/>
          <w:lang w:val="sr-Cyrl-RS"/>
        </w:rPr>
        <w:t>,</w:t>
      </w:r>
      <w:r w:rsidRPr="00A021B7">
        <w:rPr>
          <w:rFonts w:ascii="Arial" w:hAnsi="Arial" w:cs="Arial"/>
          <w:sz w:val="20"/>
          <w:szCs w:val="20"/>
          <w:lang w:val="sr-Cyrl-RS"/>
        </w:rPr>
        <w:t xml:space="preserve"> две деценије. </w:t>
      </w:r>
      <w:r w:rsidR="00125C09">
        <w:rPr>
          <w:rFonts w:ascii="Arial" w:hAnsi="Arial" w:cs="Arial"/>
          <w:sz w:val="20"/>
          <w:szCs w:val="20"/>
          <w:lang w:val="sr-Cyrl-RS"/>
        </w:rPr>
        <w:t>У</w:t>
      </w:r>
      <w:r w:rsidR="00125C09" w:rsidRPr="00A021B7">
        <w:rPr>
          <w:rFonts w:ascii="Arial" w:hAnsi="Arial" w:cs="Arial"/>
          <w:sz w:val="20"/>
          <w:szCs w:val="20"/>
          <w:lang w:val="sr-Cyrl-RS"/>
        </w:rPr>
        <w:t xml:space="preserve"> </w:t>
      </w:r>
      <w:r w:rsidRPr="00A021B7">
        <w:rPr>
          <w:rFonts w:ascii="Arial" w:hAnsi="Arial" w:cs="Arial"/>
          <w:sz w:val="20"/>
          <w:szCs w:val="20"/>
          <w:lang w:val="sr-Cyrl-RS"/>
        </w:rPr>
        <w:t>почетку</w:t>
      </w:r>
      <w:r w:rsidR="00125C09">
        <w:rPr>
          <w:rFonts w:ascii="Arial" w:hAnsi="Arial" w:cs="Arial"/>
          <w:sz w:val="20"/>
          <w:szCs w:val="20"/>
          <w:lang w:val="sr-Cyrl-RS"/>
        </w:rPr>
        <w:t>,</w:t>
      </w:r>
      <w:r w:rsidRPr="00A021B7">
        <w:rPr>
          <w:rFonts w:ascii="Arial" w:hAnsi="Arial" w:cs="Arial"/>
          <w:sz w:val="20"/>
          <w:szCs w:val="20"/>
          <w:lang w:val="sr-Cyrl-RS"/>
        </w:rPr>
        <w:t xml:space="preserve"> она је била усмерена на критику појединих института, да би се постепено уобличила у целовито виђење структурних проблема које изборни систем производи у политичком систему. Дебата парламентарних странака, академских стручњака и невладиног сектора</w:t>
      </w:r>
      <w:r w:rsidR="783C728B" w:rsidRPr="00A021B7">
        <w:rPr>
          <w:rFonts w:ascii="Arial" w:hAnsi="Arial" w:cs="Arial"/>
          <w:sz w:val="20"/>
          <w:szCs w:val="20"/>
          <w:lang w:val="sr-Cyrl-RS"/>
        </w:rPr>
        <w:t>,</w:t>
      </w:r>
      <w:r w:rsidRPr="00A021B7">
        <w:rPr>
          <w:rFonts w:ascii="Arial" w:hAnsi="Arial" w:cs="Arial"/>
          <w:sz w:val="20"/>
          <w:szCs w:val="20"/>
          <w:lang w:val="sr-Cyrl-RS"/>
        </w:rPr>
        <w:t xml:space="preserve"> уз асистенцију међународних организација</w:t>
      </w:r>
      <w:r w:rsidR="783C728B" w:rsidRPr="00A021B7">
        <w:rPr>
          <w:rFonts w:ascii="Arial" w:hAnsi="Arial" w:cs="Arial"/>
          <w:sz w:val="20"/>
          <w:szCs w:val="20"/>
          <w:lang w:val="sr-Cyrl-RS"/>
        </w:rPr>
        <w:t>,</w:t>
      </w:r>
      <w:r w:rsidRPr="00A021B7">
        <w:rPr>
          <w:rFonts w:ascii="Arial" w:hAnsi="Arial" w:cs="Arial"/>
          <w:sz w:val="20"/>
          <w:szCs w:val="20"/>
          <w:lang w:val="sr-Cyrl-RS"/>
        </w:rPr>
        <w:t xml:space="preserve"> делимично је реализовала реформе појединих изборних института. Донет</w:t>
      </w:r>
      <w:r w:rsidR="7992C5E4" w:rsidRPr="00A021B7">
        <w:rPr>
          <w:rFonts w:ascii="Arial" w:hAnsi="Arial" w:cs="Arial"/>
          <w:sz w:val="20"/>
          <w:szCs w:val="20"/>
          <w:lang w:val="sr-Cyrl-RS"/>
        </w:rPr>
        <w:t>и су</w:t>
      </w:r>
      <w:r w:rsidRPr="00A021B7">
        <w:rPr>
          <w:rFonts w:ascii="Arial" w:hAnsi="Arial" w:cs="Arial"/>
          <w:sz w:val="20"/>
          <w:szCs w:val="20"/>
          <w:lang w:val="sr-Cyrl-RS"/>
        </w:rPr>
        <w:t xml:space="preserve"> нови </w:t>
      </w:r>
      <w:r w:rsidR="783C728B" w:rsidRPr="00A021B7">
        <w:rPr>
          <w:rFonts w:ascii="Arial" w:hAnsi="Arial" w:cs="Arial"/>
          <w:sz w:val="20"/>
          <w:szCs w:val="20"/>
          <w:lang w:val="sr-Cyrl-RS"/>
        </w:rPr>
        <w:t xml:space="preserve">закони </w:t>
      </w:r>
      <w:r w:rsidRPr="00A021B7">
        <w:rPr>
          <w:rFonts w:ascii="Arial" w:hAnsi="Arial" w:cs="Arial"/>
          <w:sz w:val="20"/>
          <w:szCs w:val="20"/>
          <w:lang w:val="sr-Cyrl-RS"/>
        </w:rPr>
        <w:t>о</w:t>
      </w:r>
      <w:r w:rsidR="512CDFFD" w:rsidRPr="00A021B7">
        <w:rPr>
          <w:rFonts w:ascii="Arial" w:hAnsi="Arial" w:cs="Arial"/>
          <w:sz w:val="20"/>
          <w:szCs w:val="20"/>
          <w:lang w:val="sr-Cyrl-RS"/>
        </w:rPr>
        <w:t xml:space="preserve"> </w:t>
      </w:r>
      <w:r w:rsidRPr="00A021B7">
        <w:rPr>
          <w:rFonts w:ascii="Arial" w:hAnsi="Arial" w:cs="Arial"/>
          <w:sz w:val="20"/>
          <w:szCs w:val="20"/>
          <w:lang w:val="sr-Cyrl-RS"/>
        </w:rPr>
        <w:t xml:space="preserve">политичким странкама и о јединственом бирачком </w:t>
      </w:r>
      <w:r w:rsidR="21EF4549" w:rsidRPr="00A021B7">
        <w:rPr>
          <w:rFonts w:ascii="Arial" w:hAnsi="Arial" w:cs="Arial"/>
          <w:sz w:val="20"/>
          <w:szCs w:val="20"/>
          <w:lang w:val="sr-Cyrl-RS"/>
        </w:rPr>
        <w:t>списку</w:t>
      </w:r>
      <w:r w:rsidRPr="00A021B7">
        <w:rPr>
          <w:rFonts w:ascii="Arial" w:hAnsi="Arial" w:cs="Arial"/>
          <w:sz w:val="20"/>
          <w:szCs w:val="20"/>
          <w:lang w:val="sr-Cyrl-RS"/>
        </w:rPr>
        <w:t xml:space="preserve">. Кретање новца у изборним процесима нормативно је побољшано решењима </w:t>
      </w:r>
      <w:r w:rsidR="538264EA" w:rsidRPr="00A021B7">
        <w:rPr>
          <w:rFonts w:ascii="Arial" w:hAnsi="Arial" w:cs="Arial"/>
          <w:sz w:val="20"/>
          <w:szCs w:val="20"/>
          <w:lang w:val="sr-Cyrl-RS"/>
        </w:rPr>
        <w:t xml:space="preserve">из </w:t>
      </w:r>
      <w:r w:rsidRPr="00A021B7">
        <w:rPr>
          <w:rFonts w:ascii="Arial" w:hAnsi="Arial" w:cs="Arial"/>
          <w:sz w:val="20"/>
          <w:szCs w:val="20"/>
          <w:lang w:val="sr-Cyrl-RS"/>
        </w:rPr>
        <w:t xml:space="preserve">добре </w:t>
      </w:r>
      <w:r w:rsidR="538264EA" w:rsidRPr="00A021B7">
        <w:rPr>
          <w:rFonts w:ascii="Arial" w:hAnsi="Arial" w:cs="Arial"/>
          <w:sz w:val="20"/>
          <w:szCs w:val="20"/>
          <w:lang w:val="sr-Cyrl-RS"/>
        </w:rPr>
        <w:t xml:space="preserve">упоредне </w:t>
      </w:r>
      <w:r w:rsidRPr="00A021B7">
        <w:rPr>
          <w:rFonts w:ascii="Arial" w:hAnsi="Arial" w:cs="Arial"/>
          <w:sz w:val="20"/>
          <w:szCs w:val="20"/>
          <w:lang w:val="sr-Cyrl-RS"/>
        </w:rPr>
        <w:t>праксе у домену финансирања избора и странака кроз Закон о финансирању политичких активности</w:t>
      </w:r>
      <w:r w:rsidR="729737F0" w:rsidRPr="00A021B7">
        <w:rPr>
          <w:rFonts w:ascii="Arial" w:hAnsi="Arial" w:cs="Arial"/>
          <w:color w:val="FF0000"/>
          <w:sz w:val="20"/>
          <w:szCs w:val="20"/>
          <w:lang w:val="sr-Cyrl-RS"/>
        </w:rPr>
        <w:t xml:space="preserve"> </w:t>
      </w:r>
      <w:r w:rsidR="729737F0" w:rsidRPr="00A021B7">
        <w:rPr>
          <w:rFonts w:ascii="Arial" w:eastAsia="Arial" w:hAnsi="Arial" w:cs="Arial"/>
          <w:color w:val="000000" w:themeColor="text1"/>
          <w:sz w:val="20"/>
          <w:szCs w:val="20"/>
          <w:lang w:val="sr-Cyrl-RS"/>
        </w:rPr>
        <w:t>(„Службени гласник РС”, бр. 43/11, 123/14 и 88/19)</w:t>
      </w:r>
      <w:r w:rsidRPr="00A021B7">
        <w:rPr>
          <w:rFonts w:ascii="Arial" w:hAnsi="Arial" w:cs="Arial"/>
          <w:sz w:val="20"/>
          <w:szCs w:val="20"/>
          <w:lang w:val="sr-Cyrl-RS"/>
        </w:rPr>
        <w:t>.</w:t>
      </w:r>
      <w:r w:rsidR="003944BA" w:rsidRPr="00A021B7">
        <w:rPr>
          <w:rStyle w:val="FootnoteReference"/>
          <w:rFonts w:ascii="Arial" w:hAnsi="Arial" w:cs="Arial"/>
          <w:sz w:val="20"/>
          <w:szCs w:val="20"/>
          <w:lang w:val="sr-Cyrl-RS"/>
        </w:rPr>
        <w:footnoteReference w:id="17"/>
      </w:r>
      <w:r w:rsidRPr="00A021B7">
        <w:rPr>
          <w:rFonts w:ascii="Arial" w:hAnsi="Arial" w:cs="Arial"/>
          <w:sz w:val="20"/>
          <w:szCs w:val="20"/>
          <w:lang w:val="sr-Cyrl-RS"/>
        </w:rPr>
        <w:t xml:space="preserve"> Коначно, почетком 2020. године измењен је и Закон о локалним изборима и изборни праг смањен на 3% </w:t>
      </w:r>
      <w:r w:rsidR="4B94CE27" w:rsidRPr="00A021B7">
        <w:rPr>
          <w:rFonts w:ascii="Arial" w:hAnsi="Arial" w:cs="Arial"/>
          <w:sz w:val="20"/>
          <w:szCs w:val="20"/>
          <w:lang w:val="sr-Cyrl-RS"/>
        </w:rPr>
        <w:t>освојених гласова,</w:t>
      </w:r>
      <w:r w:rsidRPr="00A021B7">
        <w:rPr>
          <w:rFonts w:ascii="Arial" w:hAnsi="Arial" w:cs="Arial"/>
          <w:sz w:val="20"/>
          <w:szCs w:val="20"/>
          <w:lang w:val="sr-Cyrl-RS"/>
        </w:rPr>
        <w:t xml:space="preserve"> ојачана је </w:t>
      </w:r>
      <w:r w:rsidR="3D895580" w:rsidRPr="00A021B7">
        <w:rPr>
          <w:rFonts w:ascii="Arial" w:hAnsi="Arial" w:cs="Arial"/>
          <w:sz w:val="20"/>
          <w:szCs w:val="20"/>
          <w:lang w:val="sr-Cyrl-RS"/>
        </w:rPr>
        <w:t xml:space="preserve">представљеност </w:t>
      </w:r>
      <w:r w:rsidRPr="00A021B7">
        <w:rPr>
          <w:rFonts w:ascii="Arial" w:hAnsi="Arial" w:cs="Arial"/>
          <w:sz w:val="20"/>
          <w:szCs w:val="20"/>
          <w:lang w:val="sr-Cyrl-RS"/>
        </w:rPr>
        <w:t xml:space="preserve">мање заступљеног пола (на изборној листи мора бити </w:t>
      </w:r>
      <w:r w:rsidR="503DDE0D" w:rsidRPr="00A021B7">
        <w:rPr>
          <w:rFonts w:ascii="Arial" w:hAnsi="Arial" w:cs="Arial"/>
          <w:sz w:val="20"/>
          <w:szCs w:val="20"/>
          <w:lang w:val="sr-Cyrl-RS"/>
        </w:rPr>
        <w:t xml:space="preserve">најмање </w:t>
      </w:r>
      <w:r w:rsidRPr="00A021B7">
        <w:rPr>
          <w:rFonts w:ascii="Arial" w:hAnsi="Arial" w:cs="Arial"/>
          <w:sz w:val="20"/>
          <w:szCs w:val="20"/>
          <w:lang w:val="sr-Cyrl-RS"/>
        </w:rPr>
        <w:t xml:space="preserve">40% </w:t>
      </w:r>
      <w:r w:rsidR="503DDE0D" w:rsidRPr="00A021B7">
        <w:rPr>
          <w:rFonts w:ascii="Arial" w:hAnsi="Arial" w:cs="Arial"/>
          <w:sz w:val="20"/>
          <w:szCs w:val="20"/>
          <w:lang w:val="sr-Cyrl-RS"/>
        </w:rPr>
        <w:t xml:space="preserve">кандидата </w:t>
      </w:r>
      <w:r w:rsidRPr="00A021B7">
        <w:rPr>
          <w:rFonts w:ascii="Arial" w:hAnsi="Arial" w:cs="Arial"/>
          <w:sz w:val="20"/>
          <w:szCs w:val="20"/>
          <w:lang w:val="sr-Cyrl-RS"/>
        </w:rPr>
        <w:t>мање заступљеног пола) и додатно је унапређена позитивна дискриминација странака које представљају националне мањине</w:t>
      </w:r>
      <w:r w:rsidR="3D895580" w:rsidRPr="00A021B7">
        <w:rPr>
          <w:rFonts w:ascii="Arial" w:hAnsi="Arial" w:cs="Arial"/>
          <w:sz w:val="20"/>
          <w:szCs w:val="20"/>
          <w:lang w:val="sr-Cyrl-RS"/>
        </w:rPr>
        <w:t>,</w:t>
      </w:r>
      <w:r w:rsidRPr="00A021B7">
        <w:rPr>
          <w:rFonts w:ascii="Arial" w:hAnsi="Arial" w:cs="Arial"/>
          <w:sz w:val="20"/>
          <w:szCs w:val="20"/>
          <w:lang w:val="sr-Cyrl-RS"/>
        </w:rPr>
        <w:t xml:space="preserve"> али и ограничена злоупотреба позиције мањинске странке.</w:t>
      </w:r>
    </w:p>
    <w:p w14:paraId="5E9ACB68" w14:textId="77777777" w:rsidR="00E873B7" w:rsidRPr="008D158D" w:rsidRDefault="00E873B7" w:rsidP="0DD3B114">
      <w:pPr>
        <w:ind w:firstLine="720"/>
        <w:jc w:val="both"/>
        <w:rPr>
          <w:rFonts w:ascii="Arial" w:hAnsi="Arial" w:cs="Arial"/>
          <w:sz w:val="20"/>
          <w:szCs w:val="20"/>
          <w:lang w:val="sr-Cyrl-RS"/>
        </w:rPr>
      </w:pPr>
    </w:p>
    <w:p w14:paraId="71DE511F" w14:textId="77777777" w:rsidR="008D158D" w:rsidRPr="008D158D" w:rsidRDefault="008D158D" w:rsidP="008D158D">
      <w:pPr>
        <w:ind w:firstLine="720"/>
        <w:jc w:val="both"/>
        <w:rPr>
          <w:rFonts w:ascii="Arial" w:hAnsi="Arial" w:cs="Arial"/>
          <w:sz w:val="20"/>
          <w:szCs w:val="20"/>
          <w:lang w:val="sr-Cyrl-RS"/>
        </w:rPr>
      </w:pPr>
      <w:r w:rsidRPr="008D158D">
        <w:rPr>
          <w:rFonts w:ascii="Arial" w:hAnsi="Arial" w:cs="Arial"/>
          <w:sz w:val="20"/>
          <w:szCs w:val="20"/>
          <w:lang w:val="sr-Cyrl-RS"/>
        </w:rPr>
        <w:t>Поред тога, реформа изборног система обухватиће израду посебних анализа како би се сагледао простор за унапређење изборног система и симулације ефеката различитих модела. Након израде ових анализа, биће организован дијалог са политичким странкама, стручном јавношћу, цивилним друштвом и грађанима о резултатима спроведених анализа, који ће имати за циљ дефинисање правца за евентуалне промене уз постизање сагласности кључних актера и опште јавности. Уколико се релизују промене правног оквира за локалне изборе, потребна је и припрема новог приручника за спровођење локалних избора, који би се припремио у сарадњи МДУЛС и СКГО, уз увођење обавезе стручног усавршавања за руководство локалних изборних комисија, а у склопу тога, израду националног програма е-обуке.</w:t>
      </w:r>
    </w:p>
    <w:p w14:paraId="78DB1383" w14:textId="77777777" w:rsidR="008D158D" w:rsidRPr="00A021B7" w:rsidRDefault="008D158D" w:rsidP="008D158D">
      <w:pPr>
        <w:ind w:firstLine="720"/>
        <w:jc w:val="both"/>
        <w:rPr>
          <w:rFonts w:ascii="Arial" w:hAnsi="Arial" w:cs="Arial"/>
          <w:sz w:val="20"/>
          <w:szCs w:val="20"/>
          <w:lang w:val="sr-Cyrl-RS"/>
        </w:rPr>
      </w:pPr>
    </w:p>
    <w:p w14:paraId="78D6EA23" w14:textId="77777777" w:rsidR="00E873B7" w:rsidRPr="00A021B7" w:rsidRDefault="00E873B7" w:rsidP="0DD3B114">
      <w:pPr>
        <w:pStyle w:val="FootnoteText"/>
        <w:ind w:firstLine="720"/>
        <w:jc w:val="both"/>
        <w:rPr>
          <w:rFonts w:ascii="Arial" w:hAnsi="Arial" w:cs="Arial"/>
          <w:lang w:val="sr-Cyrl-RS"/>
        </w:rPr>
      </w:pPr>
    </w:p>
    <w:p w14:paraId="78E42E30" w14:textId="77777777" w:rsidR="00A66C95" w:rsidRPr="00A021B7" w:rsidRDefault="00A66C95" w:rsidP="0DD3B114">
      <w:pPr>
        <w:ind w:firstLine="720"/>
        <w:jc w:val="both"/>
        <w:rPr>
          <w:rFonts w:ascii="Arial" w:hAnsi="Arial" w:cs="Arial"/>
          <w:sz w:val="20"/>
          <w:szCs w:val="20"/>
          <w:lang w:val="sr-Cyrl-RS"/>
        </w:rPr>
      </w:pPr>
    </w:p>
    <w:p w14:paraId="7C4021AA" w14:textId="77777777" w:rsidR="00CE205B" w:rsidRPr="00A021B7" w:rsidRDefault="00A119D0" w:rsidP="004935B9">
      <w:pPr>
        <w:pStyle w:val="Heading2"/>
        <w:rPr>
          <w:lang w:val="sr-Cyrl-RS"/>
        </w:rPr>
      </w:pPr>
      <w:bookmarkStart w:id="26" w:name="_Toc52865770"/>
      <w:bookmarkStart w:id="27" w:name="_Toc52866181"/>
      <w:bookmarkStart w:id="28" w:name="_Toc56508431"/>
      <w:bookmarkStart w:id="29" w:name="_Toc60136067"/>
      <w:r w:rsidRPr="00A021B7">
        <w:rPr>
          <w:lang w:val="sr-Cyrl-RS"/>
        </w:rPr>
        <w:t xml:space="preserve">IV.3. </w:t>
      </w:r>
      <w:r w:rsidR="00292BDE" w:rsidRPr="00A021B7">
        <w:rPr>
          <w:lang w:val="sr-Cyrl-RS"/>
        </w:rPr>
        <w:t>Организовање и рад органа, установа и предузећа у локалној самоуправи</w:t>
      </w:r>
      <w:bookmarkEnd w:id="26"/>
      <w:bookmarkEnd w:id="27"/>
      <w:bookmarkEnd w:id="28"/>
      <w:bookmarkEnd w:id="29"/>
    </w:p>
    <w:p w14:paraId="435870F7" w14:textId="77777777" w:rsidR="00C75AD7" w:rsidRPr="00A021B7" w:rsidRDefault="00C75AD7" w:rsidP="003E7BC9">
      <w:pPr>
        <w:pStyle w:val="Heading2"/>
        <w:spacing w:before="0"/>
        <w:jc w:val="both"/>
        <w:rPr>
          <w:rFonts w:ascii="Arial" w:hAnsi="Arial" w:cs="Arial"/>
          <w:lang w:val="sr-Cyrl-RS"/>
        </w:rPr>
      </w:pPr>
    </w:p>
    <w:p w14:paraId="32F29776" w14:textId="40DA26D3" w:rsidR="00C75AD7" w:rsidRPr="00A021B7" w:rsidRDefault="32B86406" w:rsidP="00B97923">
      <w:pPr>
        <w:ind w:firstLine="720"/>
        <w:contextualSpacing/>
        <w:jc w:val="both"/>
        <w:rPr>
          <w:rFonts w:ascii="Arial" w:hAnsi="Arial" w:cs="Arial"/>
          <w:sz w:val="20"/>
          <w:szCs w:val="20"/>
          <w:lang w:val="sr-Cyrl-RS"/>
        </w:rPr>
      </w:pPr>
      <w:r w:rsidRPr="00A021B7">
        <w:rPr>
          <w:rFonts w:ascii="Arial" w:hAnsi="Arial" w:cs="Arial"/>
          <w:sz w:val="20"/>
          <w:szCs w:val="20"/>
          <w:lang w:val="sr-Cyrl-RS"/>
        </w:rPr>
        <w:t>У сагледавању правног оквира за организовање обављања послова локалне самоуправе</w:t>
      </w:r>
      <w:r w:rsidR="1F06DF90" w:rsidRPr="00A021B7">
        <w:rPr>
          <w:rFonts w:ascii="Arial" w:hAnsi="Arial" w:cs="Arial"/>
          <w:sz w:val="20"/>
          <w:szCs w:val="20"/>
          <w:lang w:val="sr-Cyrl-RS"/>
        </w:rPr>
        <w:t>,</w:t>
      </w:r>
      <w:r w:rsidRPr="00A021B7">
        <w:rPr>
          <w:rFonts w:ascii="Arial" w:hAnsi="Arial" w:cs="Arial"/>
          <w:sz w:val="20"/>
          <w:szCs w:val="20"/>
          <w:lang w:val="sr-Cyrl-RS"/>
        </w:rPr>
        <w:t xml:space="preserve"> треба поћи од највиших правних аката који уређују ово питање. Устав Р</w:t>
      </w:r>
      <w:r w:rsidR="1B86A6C1" w:rsidRPr="00A021B7">
        <w:rPr>
          <w:rFonts w:ascii="Arial" w:hAnsi="Arial" w:cs="Arial"/>
          <w:sz w:val="20"/>
          <w:szCs w:val="20"/>
          <w:lang w:val="sr-Cyrl-RS"/>
        </w:rPr>
        <w:t xml:space="preserve">епублике </w:t>
      </w:r>
      <w:r w:rsidRPr="00A021B7">
        <w:rPr>
          <w:rFonts w:ascii="Arial" w:hAnsi="Arial" w:cs="Arial"/>
          <w:sz w:val="20"/>
          <w:szCs w:val="20"/>
          <w:lang w:val="sr-Cyrl-RS"/>
        </w:rPr>
        <w:t>С</w:t>
      </w:r>
      <w:r w:rsidR="1B86A6C1" w:rsidRPr="00A021B7">
        <w:rPr>
          <w:rFonts w:ascii="Arial" w:hAnsi="Arial" w:cs="Arial"/>
          <w:sz w:val="20"/>
          <w:szCs w:val="20"/>
          <w:lang w:val="sr-Cyrl-RS"/>
        </w:rPr>
        <w:t>рбије</w:t>
      </w:r>
      <w:r w:rsidRPr="00A021B7">
        <w:rPr>
          <w:rFonts w:ascii="Arial" w:hAnsi="Arial" w:cs="Arial"/>
          <w:sz w:val="20"/>
          <w:szCs w:val="20"/>
          <w:lang w:val="sr-Cyrl-RS"/>
        </w:rPr>
        <w:t xml:space="preserve"> и Европска </w:t>
      </w:r>
      <w:r w:rsidR="5F2EEC3A" w:rsidRPr="00A021B7">
        <w:rPr>
          <w:rFonts w:ascii="Arial" w:hAnsi="Arial" w:cs="Arial"/>
          <w:sz w:val="20"/>
          <w:szCs w:val="20"/>
          <w:lang w:val="sr-Cyrl-RS"/>
        </w:rPr>
        <w:t>п</w:t>
      </w:r>
      <w:r w:rsidRPr="00A021B7">
        <w:rPr>
          <w:rFonts w:ascii="Arial" w:hAnsi="Arial" w:cs="Arial"/>
          <w:sz w:val="20"/>
          <w:szCs w:val="20"/>
          <w:lang w:val="sr-Cyrl-RS"/>
        </w:rPr>
        <w:t>овеља о локалној самоуправи (ЕПЛС) утврђују овлашћења локалних власти с једне стране, и ог</w:t>
      </w:r>
      <w:r w:rsidR="1E3F58C9" w:rsidRPr="00A021B7">
        <w:rPr>
          <w:rFonts w:ascii="Arial" w:hAnsi="Arial" w:cs="Arial"/>
          <w:sz w:val="20"/>
          <w:szCs w:val="20"/>
          <w:lang w:val="sr-Cyrl-RS"/>
        </w:rPr>
        <w:t>р</w:t>
      </w:r>
      <w:r w:rsidRPr="00A021B7">
        <w:rPr>
          <w:rFonts w:ascii="Arial" w:hAnsi="Arial" w:cs="Arial"/>
          <w:sz w:val="20"/>
          <w:szCs w:val="20"/>
          <w:lang w:val="sr-Cyrl-RS"/>
        </w:rPr>
        <w:t>аничења државе</w:t>
      </w:r>
      <w:r w:rsidR="002D05A5">
        <w:rPr>
          <w:rFonts w:ascii="Arial" w:hAnsi="Arial" w:cs="Arial"/>
          <w:sz w:val="20"/>
          <w:szCs w:val="20"/>
          <w:lang w:val="sr-Cyrl-RS"/>
        </w:rPr>
        <w:t>,</w:t>
      </w:r>
      <w:r w:rsidRPr="00A021B7">
        <w:rPr>
          <w:rFonts w:ascii="Arial" w:hAnsi="Arial" w:cs="Arial"/>
          <w:sz w:val="20"/>
          <w:szCs w:val="20"/>
          <w:lang w:val="sr-Cyrl-RS"/>
        </w:rPr>
        <w:t xml:space="preserve"> с друге</w:t>
      </w:r>
      <w:r w:rsidRPr="00A021B7" w:rsidDel="00DE1A3A">
        <w:rPr>
          <w:rFonts w:ascii="Arial" w:hAnsi="Arial" w:cs="Arial"/>
          <w:sz w:val="20"/>
          <w:szCs w:val="20"/>
          <w:lang w:val="sr-Cyrl-RS"/>
        </w:rPr>
        <w:t xml:space="preserve"> стране</w:t>
      </w:r>
      <w:r w:rsidRPr="00A021B7">
        <w:rPr>
          <w:rFonts w:ascii="Arial" w:hAnsi="Arial" w:cs="Arial"/>
          <w:sz w:val="20"/>
          <w:szCs w:val="20"/>
          <w:lang w:val="sr-Cyrl-RS"/>
        </w:rPr>
        <w:t>, у уређивању овог питања. Устав у члану 179. утврђује: „</w:t>
      </w:r>
      <w:r w:rsidRPr="00A021B7">
        <w:rPr>
          <w:rFonts w:ascii="Arial" w:hAnsi="Arial" w:cs="Arial"/>
          <w:sz w:val="20"/>
          <w:szCs w:val="20"/>
          <w:shd w:val="clear" w:color="auto" w:fill="FFFFFF"/>
          <w:lang w:val="sr-Cyrl-RS"/>
        </w:rPr>
        <w:t>Аутономне покрајине, у складу са Уставом и статутом аутономне покрајине, а јединице локалне самоуправе, у складу са Уставом и законом, самостално прописују уређење и надлежност својих органа и јавних служби.</w:t>
      </w:r>
      <w:r w:rsidR="646EC746" w:rsidRPr="00A021B7">
        <w:rPr>
          <w:rFonts w:ascii="Arial" w:hAnsi="Arial" w:cs="Arial"/>
          <w:sz w:val="20"/>
          <w:szCs w:val="20"/>
          <w:shd w:val="clear" w:color="auto" w:fill="FFFFFF"/>
          <w:lang w:val="sr-Cyrl-RS"/>
        </w:rPr>
        <w:t>”</w:t>
      </w:r>
      <w:r w:rsidRPr="00A021B7">
        <w:rPr>
          <w:rFonts w:ascii="Arial" w:hAnsi="Arial" w:cs="Arial"/>
          <w:sz w:val="20"/>
          <w:szCs w:val="20"/>
          <w:lang w:val="sr-Cyrl-RS"/>
        </w:rPr>
        <w:t xml:space="preserve"> </w:t>
      </w:r>
      <w:r w:rsidR="52ED4214" w:rsidRPr="00A021B7">
        <w:rPr>
          <w:rFonts w:ascii="Arial" w:hAnsi="Arial" w:cs="Arial"/>
          <w:sz w:val="20"/>
          <w:szCs w:val="20"/>
          <w:shd w:val="clear" w:color="auto" w:fill="FFFFFF"/>
          <w:lang w:val="sr-Cyrl-RS"/>
        </w:rPr>
        <w:t xml:space="preserve">У </w:t>
      </w:r>
      <w:r w:rsidR="042103F5" w:rsidRPr="00A021B7">
        <w:rPr>
          <w:rFonts w:ascii="Arial" w:hAnsi="Arial" w:cs="Arial"/>
          <w:sz w:val="20"/>
          <w:szCs w:val="20"/>
          <w:shd w:val="clear" w:color="auto" w:fill="FFFFFF"/>
          <w:lang w:val="sr-Cyrl-RS"/>
        </w:rPr>
        <w:t>ч</w:t>
      </w:r>
      <w:r w:rsidR="042103F5" w:rsidRPr="00A021B7">
        <w:rPr>
          <w:rFonts w:ascii="Arial" w:hAnsi="Arial" w:cs="Arial"/>
          <w:sz w:val="20"/>
          <w:szCs w:val="20"/>
          <w:lang w:val="sr-Cyrl-RS"/>
        </w:rPr>
        <w:t>л</w:t>
      </w:r>
      <w:r w:rsidR="08E0868E" w:rsidRPr="00A021B7">
        <w:rPr>
          <w:rFonts w:ascii="Arial" w:hAnsi="Arial" w:cs="Arial"/>
          <w:sz w:val="20"/>
          <w:szCs w:val="20"/>
          <w:lang w:val="sr-Cyrl-RS"/>
        </w:rPr>
        <w:t>ану</w:t>
      </w:r>
      <w:r w:rsidR="042103F5" w:rsidRPr="00A021B7">
        <w:rPr>
          <w:rFonts w:ascii="Arial" w:hAnsi="Arial" w:cs="Arial"/>
          <w:sz w:val="20"/>
          <w:szCs w:val="20"/>
          <w:lang w:val="sr-Cyrl-RS"/>
        </w:rPr>
        <w:t xml:space="preserve"> </w:t>
      </w:r>
      <w:r w:rsidRPr="00A021B7">
        <w:rPr>
          <w:rFonts w:ascii="Arial" w:hAnsi="Arial" w:cs="Arial"/>
          <w:sz w:val="20"/>
          <w:szCs w:val="20"/>
          <w:lang w:val="sr-Cyrl-RS"/>
        </w:rPr>
        <w:t>3. ст</w:t>
      </w:r>
      <w:r w:rsidR="08E0868E" w:rsidRPr="00A021B7">
        <w:rPr>
          <w:rFonts w:ascii="Arial" w:hAnsi="Arial" w:cs="Arial"/>
          <w:sz w:val="20"/>
          <w:szCs w:val="20"/>
          <w:lang w:val="sr-Cyrl-RS"/>
        </w:rPr>
        <w:t>ав</w:t>
      </w:r>
      <w:r w:rsidRPr="00A021B7">
        <w:rPr>
          <w:rFonts w:ascii="Arial" w:hAnsi="Arial" w:cs="Arial"/>
          <w:sz w:val="20"/>
          <w:szCs w:val="20"/>
          <w:lang w:val="sr-Cyrl-RS"/>
        </w:rPr>
        <w:t xml:space="preserve"> 1. </w:t>
      </w:r>
      <w:r w:rsidR="52ED4214" w:rsidRPr="00A021B7">
        <w:rPr>
          <w:rFonts w:ascii="Arial" w:hAnsi="Arial" w:cs="Arial"/>
          <w:sz w:val="20"/>
          <w:szCs w:val="20"/>
          <w:lang w:val="sr-Cyrl-RS"/>
        </w:rPr>
        <w:t xml:space="preserve">ЕПЛС стоји: </w:t>
      </w:r>
      <w:r w:rsidRPr="00A021B7">
        <w:rPr>
          <w:rFonts w:ascii="Arial" w:hAnsi="Arial" w:cs="Arial"/>
          <w:sz w:val="20"/>
          <w:szCs w:val="20"/>
          <w:lang w:val="sr-Cyrl-RS"/>
        </w:rPr>
        <w:t>„Локална самоуправа означава право и способност локалних власти да, у оквиру законских ограничења, уређују послове и управљају битним делом јавних послова под својом одговорношћу и у интересу локалног становништва.</w:t>
      </w:r>
      <w:r w:rsidR="503E649E" w:rsidRPr="00A021B7">
        <w:rPr>
          <w:rFonts w:ascii="Arial" w:hAnsi="Arial" w:cs="Arial"/>
          <w:sz w:val="20"/>
          <w:szCs w:val="20"/>
          <w:lang w:val="sr-Cyrl-RS"/>
        </w:rPr>
        <w:t>”</w:t>
      </w:r>
      <w:r w:rsidRPr="00A021B7">
        <w:rPr>
          <w:rFonts w:ascii="Arial" w:hAnsi="Arial" w:cs="Arial"/>
          <w:sz w:val="20"/>
          <w:szCs w:val="20"/>
          <w:lang w:val="sr-Cyrl-RS"/>
        </w:rPr>
        <w:t xml:space="preserve"> Из цитираних одредби Устава и ЕПЛС </w:t>
      </w:r>
      <w:r w:rsidR="002D05A5">
        <w:rPr>
          <w:rFonts w:ascii="Arial" w:hAnsi="Arial" w:cs="Arial"/>
          <w:sz w:val="20"/>
          <w:szCs w:val="20"/>
          <w:lang w:val="sr-Cyrl-RS"/>
        </w:rPr>
        <w:t>произлази</w:t>
      </w:r>
      <w:r w:rsidRPr="00A021B7">
        <w:rPr>
          <w:rFonts w:ascii="Arial" w:hAnsi="Arial" w:cs="Arial"/>
          <w:sz w:val="20"/>
          <w:szCs w:val="20"/>
          <w:lang w:val="sr-Cyrl-RS"/>
        </w:rPr>
        <w:t xml:space="preserve"> полазно питање које су границе државног уређивања организације обављања послова </w:t>
      </w:r>
      <w:r w:rsidR="042103F5" w:rsidRPr="00A021B7">
        <w:rPr>
          <w:rFonts w:ascii="Arial" w:hAnsi="Arial" w:cs="Arial"/>
          <w:sz w:val="20"/>
          <w:szCs w:val="20"/>
          <w:lang w:val="sr-Cyrl-RS"/>
        </w:rPr>
        <w:t xml:space="preserve">ЈЛС, </w:t>
      </w:r>
      <w:r w:rsidRPr="00A021B7">
        <w:rPr>
          <w:rFonts w:ascii="Arial" w:hAnsi="Arial" w:cs="Arial"/>
          <w:sz w:val="20"/>
          <w:szCs w:val="20"/>
          <w:lang w:val="sr-Cyrl-RS"/>
        </w:rPr>
        <w:t>а која су овлашћења</w:t>
      </w:r>
      <w:r w:rsidR="512CDFFD" w:rsidRPr="00A021B7">
        <w:rPr>
          <w:rFonts w:ascii="Arial" w:hAnsi="Arial" w:cs="Arial"/>
          <w:sz w:val="20"/>
          <w:szCs w:val="20"/>
          <w:lang w:val="sr-Cyrl-RS"/>
        </w:rPr>
        <w:t xml:space="preserve"> </w:t>
      </w:r>
      <w:r w:rsidRPr="00A021B7">
        <w:rPr>
          <w:rFonts w:ascii="Arial" w:hAnsi="Arial" w:cs="Arial"/>
          <w:sz w:val="20"/>
          <w:szCs w:val="20"/>
          <w:lang w:val="sr-Cyrl-RS"/>
        </w:rPr>
        <w:t>ЈЛС која представљају њихово аутономно право за уређивање овог питања.</w:t>
      </w:r>
      <w:r w:rsidR="512CDFFD" w:rsidRPr="00A021B7">
        <w:rPr>
          <w:rFonts w:ascii="Arial" w:hAnsi="Arial" w:cs="Arial"/>
          <w:sz w:val="20"/>
          <w:szCs w:val="20"/>
          <w:lang w:val="sr-Cyrl-RS"/>
        </w:rPr>
        <w:t xml:space="preserve"> </w:t>
      </w:r>
      <w:r w:rsidRPr="00A021B7">
        <w:rPr>
          <w:rFonts w:ascii="Arial" w:hAnsi="Arial" w:cs="Arial"/>
          <w:sz w:val="20"/>
          <w:szCs w:val="20"/>
          <w:lang w:val="sr-Cyrl-RS"/>
        </w:rPr>
        <w:t xml:space="preserve">Устав је утврдио </w:t>
      </w:r>
      <w:r w:rsidRPr="00A021B7">
        <w:rPr>
          <w:rFonts w:ascii="Arial" w:hAnsi="Arial" w:cs="Arial"/>
          <w:sz w:val="20"/>
          <w:szCs w:val="20"/>
          <w:lang w:val="sr-Cyrl-RS"/>
        </w:rPr>
        <w:lastRenderedPageBreak/>
        <w:t>овлашћење ЈЛС да „самостално прописују уређење и надлежност својих органа и служби</w:t>
      </w:r>
      <w:r w:rsidR="503E649E" w:rsidRPr="00A021B7">
        <w:rPr>
          <w:rFonts w:ascii="Arial" w:hAnsi="Arial" w:cs="Arial"/>
          <w:sz w:val="20"/>
          <w:szCs w:val="20"/>
          <w:lang w:val="sr-Cyrl-RS"/>
        </w:rPr>
        <w:t>”</w:t>
      </w:r>
      <w:r w:rsidRPr="00A021B7">
        <w:rPr>
          <w:rFonts w:ascii="Arial" w:hAnsi="Arial" w:cs="Arial"/>
          <w:sz w:val="20"/>
          <w:szCs w:val="20"/>
          <w:lang w:val="sr-Cyrl-RS"/>
        </w:rPr>
        <w:t>, у складу са Уставом и законом, на сличан начин као и ЕПЛС</w:t>
      </w:r>
      <w:r w:rsidR="00E53D9A" w:rsidRPr="00A021B7">
        <w:rPr>
          <w:rStyle w:val="FootnoteReference"/>
          <w:rFonts w:ascii="Arial" w:hAnsi="Arial" w:cs="Arial"/>
          <w:sz w:val="20"/>
          <w:szCs w:val="20"/>
          <w:lang w:val="sr-Cyrl-RS"/>
        </w:rPr>
        <w:footnoteReference w:id="18"/>
      </w:r>
      <w:r w:rsidRPr="00A021B7">
        <w:rPr>
          <w:rFonts w:ascii="Arial" w:hAnsi="Arial" w:cs="Arial"/>
          <w:sz w:val="20"/>
          <w:szCs w:val="20"/>
          <w:lang w:val="sr-Cyrl-RS"/>
        </w:rPr>
        <w:t>. Из ових одредби произлази да се Уставом и законом утврђују који су то органи и службе као и њихове надлежности, а да је ЈЛС остављено овлашћење да уређују она питања која нису утврђена овим прописима.</w:t>
      </w:r>
    </w:p>
    <w:p w14:paraId="1FA95AA4" w14:textId="77777777" w:rsidR="00C75AD7" w:rsidRPr="00A021B7" w:rsidRDefault="00C75AD7" w:rsidP="0DD3B114">
      <w:pPr>
        <w:ind w:firstLine="720"/>
        <w:contextualSpacing/>
        <w:jc w:val="both"/>
        <w:rPr>
          <w:rFonts w:ascii="Arial" w:hAnsi="Arial" w:cs="Arial"/>
          <w:sz w:val="20"/>
          <w:szCs w:val="20"/>
          <w:lang w:val="sr-Cyrl-RS"/>
        </w:rPr>
      </w:pPr>
    </w:p>
    <w:p w14:paraId="3F071813" w14:textId="1725CE7F"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С обзиром</w:t>
      </w:r>
      <w:r w:rsidR="002D05A5" w:rsidRPr="0DD3B114">
        <w:rPr>
          <w:rFonts w:ascii="Arial" w:hAnsi="Arial" w:cs="Arial"/>
          <w:sz w:val="20"/>
          <w:szCs w:val="20"/>
          <w:lang w:val="sr-Cyrl-RS"/>
        </w:rPr>
        <w:t xml:space="preserve"> на то</w:t>
      </w:r>
      <w:r w:rsidRPr="0DD3B114">
        <w:rPr>
          <w:rFonts w:ascii="Arial" w:hAnsi="Arial" w:cs="Arial"/>
          <w:sz w:val="20"/>
          <w:szCs w:val="20"/>
          <w:lang w:val="sr-Cyrl-RS"/>
        </w:rPr>
        <w:t xml:space="preserve"> да се Уставом и законом утврђују надлежности ЈЛС</w:t>
      </w:r>
      <w:r w:rsidR="006E2812" w:rsidRPr="0DD3B114">
        <w:rPr>
          <w:rFonts w:ascii="Arial" w:hAnsi="Arial" w:cs="Arial"/>
          <w:sz w:val="20"/>
          <w:szCs w:val="20"/>
          <w:lang w:val="sr-Cyrl-RS"/>
        </w:rPr>
        <w:t>,</w:t>
      </w:r>
      <w:r w:rsidRPr="0DD3B114">
        <w:rPr>
          <w:rFonts w:ascii="Arial" w:hAnsi="Arial" w:cs="Arial"/>
          <w:sz w:val="20"/>
          <w:szCs w:val="20"/>
          <w:lang w:val="sr-Cyrl-RS"/>
        </w:rPr>
        <w:t xml:space="preserve"> као и њихови органи и службе, могло би се закључити да је</w:t>
      </w:r>
      <w:r w:rsidR="0046689B" w:rsidRPr="0DD3B114">
        <w:rPr>
          <w:rFonts w:ascii="Arial" w:hAnsi="Arial" w:cs="Arial"/>
          <w:sz w:val="20"/>
          <w:szCs w:val="20"/>
          <w:lang w:val="sr-Cyrl-RS"/>
        </w:rPr>
        <w:t xml:space="preserve"> неспорно</w:t>
      </w:r>
      <w:r w:rsidRPr="0DD3B114">
        <w:rPr>
          <w:rFonts w:ascii="Arial" w:hAnsi="Arial" w:cs="Arial"/>
          <w:sz w:val="20"/>
          <w:szCs w:val="20"/>
          <w:lang w:val="sr-Cyrl-RS"/>
        </w:rPr>
        <w:t xml:space="preserve"> овлашћење државе да уређује организационе облике којима ЈЛС обезбеђују </w:t>
      </w:r>
      <w:r w:rsidR="00413F74" w:rsidRPr="0DD3B114">
        <w:rPr>
          <w:rFonts w:ascii="Arial" w:hAnsi="Arial" w:cs="Arial"/>
          <w:sz w:val="20"/>
          <w:szCs w:val="20"/>
          <w:lang w:val="sr-Cyrl-RS"/>
        </w:rPr>
        <w:t xml:space="preserve">вршење </w:t>
      </w:r>
      <w:r w:rsidRPr="0DD3B114">
        <w:rPr>
          <w:rFonts w:ascii="Arial" w:hAnsi="Arial" w:cs="Arial"/>
          <w:sz w:val="20"/>
          <w:szCs w:val="20"/>
          <w:lang w:val="sr-Cyrl-RS"/>
        </w:rPr>
        <w:t xml:space="preserve">својих надлежности. Насупрот овоме, питања унутрашње организације </w:t>
      </w:r>
      <w:r w:rsidR="00E53D9A" w:rsidRPr="0DD3B114">
        <w:rPr>
          <w:rFonts w:ascii="Arial" w:hAnsi="Arial" w:cs="Arial"/>
          <w:sz w:val="20"/>
          <w:szCs w:val="20"/>
          <w:lang w:val="sr-Cyrl-RS"/>
        </w:rPr>
        <w:t xml:space="preserve">и </w:t>
      </w:r>
      <w:r w:rsidRPr="0DD3B114">
        <w:rPr>
          <w:rFonts w:ascii="Arial" w:hAnsi="Arial" w:cs="Arial"/>
          <w:sz w:val="20"/>
          <w:szCs w:val="20"/>
          <w:lang w:val="sr-Cyrl-RS"/>
        </w:rPr>
        <w:t>организационих облика</w:t>
      </w:r>
      <w:r w:rsidR="006E2812" w:rsidRPr="0DD3B114">
        <w:rPr>
          <w:rFonts w:ascii="Arial" w:hAnsi="Arial" w:cs="Arial"/>
          <w:sz w:val="20"/>
          <w:szCs w:val="20"/>
          <w:lang w:val="sr-Cyrl-RS"/>
        </w:rPr>
        <w:t>,</w:t>
      </w:r>
      <w:r w:rsidRPr="0DD3B114">
        <w:rPr>
          <w:rFonts w:ascii="Arial" w:hAnsi="Arial" w:cs="Arial"/>
          <w:sz w:val="20"/>
          <w:szCs w:val="20"/>
          <w:lang w:val="sr-Cyrl-RS"/>
        </w:rPr>
        <w:t xml:space="preserve"> по правилу, нису предмет императивних норми па представљају предмет аутономије ЈЛС. Генерално посматрано, у ЈЛС имамо:</w:t>
      </w:r>
    </w:p>
    <w:p w14:paraId="0B6DAEF6" w14:textId="77777777" w:rsidR="00BC1697" w:rsidRPr="00A021B7" w:rsidRDefault="00BC1697" w:rsidP="003E7BC9">
      <w:pPr>
        <w:contextualSpacing/>
        <w:jc w:val="both"/>
        <w:rPr>
          <w:rFonts w:ascii="Arial" w:hAnsi="Arial" w:cs="Arial"/>
          <w:sz w:val="20"/>
          <w:szCs w:val="20"/>
          <w:lang w:val="sr-Cyrl-RS"/>
        </w:rPr>
      </w:pPr>
    </w:p>
    <w:p w14:paraId="0E336A38" w14:textId="18730687" w:rsidR="00C75AD7" w:rsidRPr="00A021B7" w:rsidRDefault="002D05A5" w:rsidP="0DD3B114">
      <w:pPr>
        <w:pStyle w:val="ListParagraph"/>
        <w:numPr>
          <w:ilvl w:val="0"/>
          <w:numId w:val="2"/>
        </w:numPr>
        <w:jc w:val="both"/>
        <w:rPr>
          <w:rFonts w:eastAsiaTheme="minorEastAsia"/>
          <w:sz w:val="20"/>
          <w:szCs w:val="20"/>
          <w:lang w:val="sr-Cyrl-RS"/>
        </w:rPr>
      </w:pPr>
      <w:r w:rsidRPr="0DD3B114">
        <w:rPr>
          <w:rFonts w:ascii="Arial" w:hAnsi="Arial" w:cs="Arial"/>
          <w:sz w:val="20"/>
          <w:szCs w:val="20"/>
          <w:lang w:val="sr-Cyrl-RS"/>
        </w:rPr>
        <w:t>о</w:t>
      </w:r>
      <w:r w:rsidR="32B86406" w:rsidRPr="0DD3B114">
        <w:rPr>
          <w:rFonts w:ascii="Arial" w:hAnsi="Arial" w:cs="Arial"/>
          <w:sz w:val="20"/>
          <w:szCs w:val="20"/>
          <w:lang w:val="sr-Cyrl-RS"/>
        </w:rPr>
        <w:t xml:space="preserve">ргане </w:t>
      </w:r>
      <w:r w:rsidR="581C212E" w:rsidRPr="0DD3B114">
        <w:rPr>
          <w:rFonts w:ascii="Arial" w:hAnsi="Arial" w:cs="Arial"/>
          <w:sz w:val="20"/>
          <w:szCs w:val="20"/>
          <w:lang w:val="sr-Cyrl-RS"/>
        </w:rPr>
        <w:t>ЈЛС</w:t>
      </w:r>
      <w:r w:rsidRPr="0DD3B114">
        <w:rPr>
          <w:rFonts w:ascii="Arial" w:hAnsi="Arial" w:cs="Arial"/>
          <w:sz w:val="20"/>
          <w:szCs w:val="20"/>
          <w:lang w:val="sr-Cyrl-RS"/>
        </w:rPr>
        <w:t xml:space="preserve"> –</w:t>
      </w:r>
      <w:r w:rsidR="32B86406" w:rsidRPr="0DD3B114">
        <w:rPr>
          <w:rFonts w:ascii="Arial" w:hAnsi="Arial" w:cs="Arial"/>
          <w:sz w:val="20"/>
          <w:szCs w:val="20"/>
          <w:lang w:val="sr-Cyrl-RS"/>
        </w:rPr>
        <w:t xml:space="preserve"> скупштин</w:t>
      </w:r>
      <w:r w:rsidRPr="0DD3B114">
        <w:rPr>
          <w:rFonts w:ascii="Arial" w:hAnsi="Arial" w:cs="Arial"/>
          <w:sz w:val="20"/>
          <w:szCs w:val="20"/>
          <w:lang w:val="sr-Cyrl-RS"/>
        </w:rPr>
        <w:t>у</w:t>
      </w:r>
      <w:r w:rsidR="32B86406" w:rsidRPr="0DD3B114">
        <w:rPr>
          <w:rFonts w:ascii="Arial" w:hAnsi="Arial" w:cs="Arial"/>
          <w:sz w:val="20"/>
          <w:szCs w:val="20"/>
          <w:lang w:val="sr-Cyrl-RS"/>
        </w:rPr>
        <w:t xml:space="preserve"> </w:t>
      </w:r>
      <w:r w:rsidRPr="0DD3B114">
        <w:rPr>
          <w:rFonts w:ascii="Arial" w:hAnsi="Arial" w:cs="Arial"/>
          <w:sz w:val="20"/>
          <w:szCs w:val="20"/>
          <w:lang w:val="sr-Cyrl-RS"/>
        </w:rPr>
        <w:t>(</w:t>
      </w:r>
      <w:r w:rsidR="32B86406" w:rsidRPr="0DD3B114">
        <w:rPr>
          <w:rFonts w:ascii="Arial" w:hAnsi="Arial" w:cs="Arial"/>
          <w:sz w:val="20"/>
          <w:szCs w:val="20"/>
          <w:lang w:val="sr-Cyrl-RS"/>
        </w:rPr>
        <w:t>највиши и представнички орган</w:t>
      </w:r>
      <w:r w:rsidRPr="0DD3B114">
        <w:rPr>
          <w:rFonts w:ascii="Arial" w:hAnsi="Arial" w:cs="Arial"/>
          <w:sz w:val="20"/>
          <w:szCs w:val="20"/>
          <w:lang w:val="sr-Cyrl-RS"/>
        </w:rPr>
        <w:t>)</w:t>
      </w:r>
      <w:r w:rsidR="32B86406" w:rsidRPr="0DD3B114">
        <w:rPr>
          <w:rFonts w:ascii="Arial" w:hAnsi="Arial" w:cs="Arial"/>
          <w:sz w:val="20"/>
          <w:szCs w:val="20"/>
          <w:lang w:val="sr-Cyrl-RS"/>
        </w:rPr>
        <w:t>, градоначелник</w:t>
      </w:r>
      <w:r w:rsidRPr="0DD3B114">
        <w:rPr>
          <w:rFonts w:ascii="Arial" w:hAnsi="Arial" w:cs="Arial"/>
          <w:sz w:val="20"/>
          <w:szCs w:val="20"/>
          <w:lang w:val="sr-Cyrl-RS"/>
        </w:rPr>
        <w:t xml:space="preserve">а </w:t>
      </w:r>
      <w:r w:rsidR="32B86406" w:rsidRPr="0DD3B114">
        <w:rPr>
          <w:rFonts w:ascii="Arial" w:hAnsi="Arial" w:cs="Arial"/>
          <w:sz w:val="20"/>
          <w:szCs w:val="20"/>
          <w:lang w:val="sr-Cyrl-RS"/>
        </w:rPr>
        <w:t>/</w:t>
      </w:r>
      <w:r w:rsidRPr="0DD3B114">
        <w:rPr>
          <w:rFonts w:ascii="Arial" w:hAnsi="Arial" w:cs="Arial"/>
          <w:sz w:val="20"/>
          <w:szCs w:val="20"/>
          <w:lang w:val="sr-Cyrl-RS"/>
        </w:rPr>
        <w:t xml:space="preserve"> </w:t>
      </w:r>
      <w:r w:rsidR="32B86406" w:rsidRPr="0DD3B114">
        <w:rPr>
          <w:rFonts w:ascii="Arial" w:hAnsi="Arial" w:cs="Arial"/>
          <w:sz w:val="20"/>
          <w:szCs w:val="20"/>
          <w:lang w:val="sr-Cyrl-RS"/>
        </w:rPr>
        <w:t>председник</w:t>
      </w:r>
      <w:r w:rsidRPr="0DD3B114">
        <w:rPr>
          <w:rFonts w:ascii="Arial" w:hAnsi="Arial" w:cs="Arial"/>
          <w:sz w:val="20"/>
          <w:szCs w:val="20"/>
          <w:lang w:val="sr-Cyrl-RS"/>
        </w:rPr>
        <w:t>а</w:t>
      </w:r>
      <w:r w:rsidR="32B86406" w:rsidRPr="0DD3B114">
        <w:rPr>
          <w:rFonts w:ascii="Arial" w:hAnsi="Arial" w:cs="Arial"/>
          <w:sz w:val="20"/>
          <w:szCs w:val="20"/>
          <w:lang w:val="sr-Cyrl-RS"/>
        </w:rPr>
        <w:t xml:space="preserve"> општине и градско/општинско веће </w:t>
      </w:r>
      <w:r w:rsidRPr="0DD3B114">
        <w:rPr>
          <w:rFonts w:ascii="Arial" w:hAnsi="Arial" w:cs="Arial"/>
          <w:sz w:val="20"/>
          <w:szCs w:val="20"/>
          <w:lang w:val="sr-Cyrl-RS"/>
        </w:rPr>
        <w:t>(</w:t>
      </w:r>
      <w:r w:rsidR="32B86406" w:rsidRPr="0DD3B114">
        <w:rPr>
          <w:rFonts w:ascii="Arial" w:hAnsi="Arial" w:cs="Arial"/>
          <w:sz w:val="20"/>
          <w:szCs w:val="20"/>
          <w:lang w:val="sr-Cyrl-RS"/>
        </w:rPr>
        <w:t>извршни органи</w:t>
      </w:r>
      <w:r w:rsidRPr="0DD3B114">
        <w:rPr>
          <w:rFonts w:ascii="Arial" w:hAnsi="Arial" w:cs="Arial"/>
          <w:sz w:val="20"/>
          <w:szCs w:val="20"/>
          <w:lang w:val="sr-Cyrl-RS"/>
        </w:rPr>
        <w:t>)</w:t>
      </w:r>
      <w:r w:rsidR="32B86406" w:rsidRPr="0DD3B114">
        <w:rPr>
          <w:rFonts w:ascii="Arial" w:hAnsi="Arial" w:cs="Arial"/>
          <w:sz w:val="20"/>
          <w:szCs w:val="20"/>
          <w:lang w:val="sr-Cyrl-RS"/>
        </w:rPr>
        <w:t xml:space="preserve"> и градск</w:t>
      </w:r>
      <w:r w:rsidRPr="0DD3B114">
        <w:rPr>
          <w:rFonts w:ascii="Arial" w:hAnsi="Arial" w:cs="Arial"/>
          <w:sz w:val="20"/>
          <w:szCs w:val="20"/>
          <w:lang w:val="sr-Cyrl-RS"/>
        </w:rPr>
        <w:t>у</w:t>
      </w:r>
      <w:r w:rsidR="32B86406" w:rsidRPr="0DD3B114">
        <w:rPr>
          <w:rFonts w:ascii="Arial" w:hAnsi="Arial" w:cs="Arial"/>
          <w:sz w:val="20"/>
          <w:szCs w:val="20"/>
          <w:lang w:val="sr-Cyrl-RS"/>
        </w:rPr>
        <w:t>/општинск</w:t>
      </w:r>
      <w:r w:rsidRPr="0DD3B114">
        <w:rPr>
          <w:rFonts w:ascii="Arial" w:hAnsi="Arial" w:cs="Arial"/>
          <w:sz w:val="20"/>
          <w:szCs w:val="20"/>
          <w:lang w:val="sr-Cyrl-RS"/>
        </w:rPr>
        <w:t>у</w:t>
      </w:r>
      <w:r w:rsidR="32B86406" w:rsidRPr="0DD3B114">
        <w:rPr>
          <w:rFonts w:ascii="Arial" w:hAnsi="Arial" w:cs="Arial"/>
          <w:sz w:val="20"/>
          <w:szCs w:val="20"/>
          <w:lang w:val="sr-Cyrl-RS"/>
        </w:rPr>
        <w:t xml:space="preserve"> управ</w:t>
      </w:r>
      <w:r w:rsidRPr="0DD3B114">
        <w:rPr>
          <w:rFonts w:ascii="Arial" w:hAnsi="Arial" w:cs="Arial"/>
          <w:sz w:val="20"/>
          <w:szCs w:val="20"/>
          <w:lang w:val="sr-Cyrl-RS"/>
        </w:rPr>
        <w:t>у</w:t>
      </w:r>
      <w:r w:rsidR="32B86406" w:rsidRPr="0DD3B114">
        <w:rPr>
          <w:rFonts w:ascii="Arial" w:hAnsi="Arial" w:cs="Arial"/>
          <w:sz w:val="20"/>
          <w:szCs w:val="20"/>
          <w:lang w:val="sr-Cyrl-RS"/>
        </w:rPr>
        <w:t>, који су регулисани З</w:t>
      </w:r>
      <w:r w:rsidR="76F23D5E" w:rsidRPr="0DD3B114">
        <w:rPr>
          <w:rFonts w:ascii="Arial" w:hAnsi="Arial" w:cs="Arial"/>
          <w:sz w:val="20"/>
          <w:szCs w:val="20"/>
          <w:lang w:val="sr-Cyrl-RS"/>
        </w:rPr>
        <w:t>ЛС</w:t>
      </w:r>
      <w:r w:rsidR="32B86406" w:rsidRPr="0DD3B114">
        <w:rPr>
          <w:rFonts w:ascii="Arial" w:hAnsi="Arial" w:cs="Arial"/>
          <w:sz w:val="20"/>
          <w:szCs w:val="20"/>
          <w:lang w:val="sr-Cyrl-RS"/>
        </w:rPr>
        <w:t xml:space="preserve"> и у мањој мери другим прописима</w:t>
      </w:r>
      <w:r w:rsidRPr="0DD3B114">
        <w:rPr>
          <w:rFonts w:ascii="Arial" w:hAnsi="Arial" w:cs="Arial"/>
          <w:sz w:val="20"/>
          <w:szCs w:val="20"/>
          <w:lang w:val="sr-Cyrl-RS"/>
        </w:rPr>
        <w:t>;</w:t>
      </w:r>
      <w:r w:rsidR="32B86406" w:rsidRPr="0DD3B114">
        <w:rPr>
          <w:rFonts w:ascii="Arial" w:hAnsi="Arial" w:cs="Arial"/>
          <w:sz w:val="20"/>
          <w:szCs w:val="20"/>
          <w:lang w:val="sr-Cyrl-RS"/>
        </w:rPr>
        <w:t xml:space="preserve"> </w:t>
      </w:r>
      <w:r w:rsidRPr="0DD3B114">
        <w:rPr>
          <w:rFonts w:ascii="Arial" w:hAnsi="Arial" w:cs="Arial"/>
          <w:sz w:val="20"/>
          <w:szCs w:val="20"/>
          <w:lang w:val="sr-Cyrl-RS"/>
        </w:rPr>
        <w:t>п</w:t>
      </w:r>
      <w:r w:rsidR="32B86406" w:rsidRPr="0DD3B114">
        <w:rPr>
          <w:rFonts w:ascii="Arial" w:hAnsi="Arial" w:cs="Arial"/>
          <w:sz w:val="20"/>
          <w:szCs w:val="20"/>
          <w:lang w:val="sr-Cyrl-RS"/>
        </w:rPr>
        <w:t>оред наведеног, условно се могу прихватити и одредбе Закона о правобранилаштву</w:t>
      </w:r>
      <w:r w:rsidR="6797C7BC" w:rsidRPr="0DD3B114">
        <w:rPr>
          <w:rFonts w:ascii="Arial" w:hAnsi="Arial" w:cs="Arial"/>
          <w:sz w:val="20"/>
          <w:szCs w:val="20"/>
          <w:lang w:val="sr-Cyrl-RS"/>
        </w:rPr>
        <w:t xml:space="preserve"> („Службени гласник РС</w:t>
      </w:r>
      <w:r w:rsidRPr="0DD3B114">
        <w:rPr>
          <w:rFonts w:ascii="Arial" w:hAnsi="Arial" w:cs="Arial"/>
          <w:sz w:val="20"/>
          <w:szCs w:val="20"/>
        </w:rPr>
        <w:t>”</w:t>
      </w:r>
      <w:r w:rsidR="6797C7BC" w:rsidRPr="0DD3B114">
        <w:rPr>
          <w:rFonts w:ascii="Arial" w:hAnsi="Arial" w:cs="Arial"/>
          <w:sz w:val="20"/>
          <w:szCs w:val="20"/>
          <w:lang w:val="sr-Cyrl-RS"/>
        </w:rPr>
        <w:t>, број 55/14)</w:t>
      </w:r>
      <w:r w:rsidR="32B86406" w:rsidRPr="0DD3B114">
        <w:rPr>
          <w:rFonts w:ascii="Arial" w:hAnsi="Arial" w:cs="Arial"/>
          <w:sz w:val="20"/>
          <w:szCs w:val="20"/>
          <w:lang w:val="sr-Cyrl-RS"/>
        </w:rPr>
        <w:t xml:space="preserve"> које на индиректан начин уводе и градско/општинско правобранилаштво као орган </w:t>
      </w:r>
      <w:r w:rsidR="76F23D5E" w:rsidRPr="0DD3B114">
        <w:rPr>
          <w:rFonts w:ascii="Arial" w:hAnsi="Arial" w:cs="Arial"/>
          <w:sz w:val="20"/>
          <w:szCs w:val="20"/>
          <w:lang w:val="sr-Cyrl-RS"/>
        </w:rPr>
        <w:t>ЈЛС</w:t>
      </w:r>
      <w:r w:rsidR="32B86406" w:rsidRPr="0DD3B114">
        <w:rPr>
          <w:rFonts w:ascii="Arial" w:hAnsi="Arial" w:cs="Arial"/>
          <w:sz w:val="20"/>
          <w:szCs w:val="20"/>
          <w:lang w:val="sr-Cyrl-RS"/>
        </w:rPr>
        <w:t>;</w:t>
      </w:r>
    </w:p>
    <w:p w14:paraId="657EAD99" w14:textId="76F06CD8" w:rsidR="00C75AD7" w:rsidRPr="00A021B7" w:rsidRDefault="002D05A5" w:rsidP="0DD3B114">
      <w:pPr>
        <w:pStyle w:val="ListParagraph"/>
        <w:numPr>
          <w:ilvl w:val="0"/>
          <w:numId w:val="2"/>
        </w:numPr>
        <w:jc w:val="both"/>
        <w:rPr>
          <w:rFonts w:eastAsiaTheme="minorEastAsia"/>
          <w:sz w:val="20"/>
          <w:szCs w:val="20"/>
          <w:lang w:val="sr-Cyrl-RS"/>
        </w:rPr>
      </w:pPr>
      <w:r w:rsidRPr="0DD3B114">
        <w:rPr>
          <w:rFonts w:ascii="Arial" w:hAnsi="Arial" w:cs="Arial"/>
          <w:sz w:val="20"/>
          <w:szCs w:val="20"/>
          <w:lang w:val="sr-Cyrl-RS"/>
        </w:rPr>
        <w:t>ј</w:t>
      </w:r>
      <w:r w:rsidR="32B86406" w:rsidRPr="0DD3B114">
        <w:rPr>
          <w:rFonts w:ascii="Arial" w:hAnsi="Arial" w:cs="Arial"/>
          <w:sz w:val="20"/>
          <w:szCs w:val="20"/>
          <w:lang w:val="sr-Cyrl-RS"/>
        </w:rPr>
        <w:t>авне службе које оснивају ЈЛС у складу са Законом</w:t>
      </w:r>
      <w:r w:rsidR="512CDFFD" w:rsidRPr="0DD3B114">
        <w:rPr>
          <w:rFonts w:ascii="Arial" w:hAnsi="Arial" w:cs="Arial"/>
          <w:sz w:val="20"/>
          <w:szCs w:val="20"/>
          <w:lang w:val="sr-Cyrl-RS"/>
        </w:rPr>
        <w:t xml:space="preserve"> </w:t>
      </w:r>
      <w:r w:rsidR="32B86406" w:rsidRPr="0DD3B114">
        <w:rPr>
          <w:rFonts w:ascii="Arial" w:hAnsi="Arial" w:cs="Arial"/>
          <w:sz w:val="20"/>
          <w:szCs w:val="20"/>
          <w:lang w:val="sr-Cyrl-RS"/>
        </w:rPr>
        <w:t>о јавним службама</w:t>
      </w:r>
      <w:r w:rsidR="0A142103" w:rsidRPr="0DD3B114">
        <w:rPr>
          <w:rFonts w:ascii="Arial" w:hAnsi="Arial" w:cs="Arial"/>
          <w:sz w:val="20"/>
          <w:szCs w:val="20"/>
          <w:lang w:val="sr-Cyrl-RS"/>
        </w:rPr>
        <w:t xml:space="preserve"> и законима који уређују поједине делатности јавних служби</w:t>
      </w:r>
      <w:r w:rsidR="3B79CE75" w:rsidRPr="0DD3B114">
        <w:rPr>
          <w:rFonts w:ascii="Arial" w:hAnsi="Arial" w:cs="Arial"/>
          <w:sz w:val="20"/>
          <w:szCs w:val="20"/>
          <w:lang w:val="sr-Cyrl-RS"/>
        </w:rPr>
        <w:t>;</w:t>
      </w:r>
    </w:p>
    <w:p w14:paraId="47D6BCD2" w14:textId="58ADD11D" w:rsidR="00C75AD7" w:rsidRPr="00A021B7" w:rsidRDefault="002D05A5" w:rsidP="0DD3B114">
      <w:pPr>
        <w:pStyle w:val="ListParagraph"/>
        <w:numPr>
          <w:ilvl w:val="0"/>
          <w:numId w:val="2"/>
        </w:numPr>
        <w:jc w:val="both"/>
        <w:rPr>
          <w:rFonts w:eastAsiaTheme="minorEastAsia"/>
          <w:sz w:val="20"/>
          <w:szCs w:val="20"/>
          <w:lang w:val="sr-Cyrl-RS"/>
        </w:rPr>
      </w:pPr>
      <w:r w:rsidRPr="0DD3B114">
        <w:rPr>
          <w:rFonts w:ascii="Arial" w:hAnsi="Arial" w:cs="Arial"/>
          <w:sz w:val="20"/>
          <w:szCs w:val="20"/>
          <w:lang w:val="sr-Cyrl-RS"/>
        </w:rPr>
        <w:t>п</w:t>
      </w:r>
      <w:r w:rsidR="32B86406" w:rsidRPr="0DD3B114">
        <w:rPr>
          <w:rFonts w:ascii="Arial" w:hAnsi="Arial" w:cs="Arial"/>
          <w:sz w:val="20"/>
          <w:szCs w:val="20"/>
          <w:lang w:val="sr-Cyrl-RS"/>
        </w:rPr>
        <w:t>осебне службе које се оснивају у складу са посебним законима</w:t>
      </w:r>
      <w:r w:rsidRPr="0DD3B114">
        <w:rPr>
          <w:rFonts w:ascii="Arial" w:hAnsi="Arial" w:cs="Arial"/>
          <w:sz w:val="20"/>
          <w:szCs w:val="20"/>
          <w:lang w:val="sr-Cyrl-RS"/>
        </w:rPr>
        <w:t>,</w:t>
      </w:r>
      <w:r w:rsidR="32B86406" w:rsidRPr="0DD3B114">
        <w:rPr>
          <w:rFonts w:ascii="Arial" w:hAnsi="Arial" w:cs="Arial"/>
          <w:sz w:val="20"/>
          <w:szCs w:val="20"/>
          <w:lang w:val="sr-Cyrl-RS"/>
        </w:rPr>
        <w:t xml:space="preserve"> </w:t>
      </w:r>
      <w:r w:rsidRPr="0DD3B114">
        <w:rPr>
          <w:rFonts w:ascii="Arial" w:hAnsi="Arial" w:cs="Arial"/>
          <w:sz w:val="20"/>
          <w:szCs w:val="20"/>
          <w:lang w:val="sr-Cyrl-RS"/>
        </w:rPr>
        <w:t xml:space="preserve">као што су </w:t>
      </w:r>
      <w:r w:rsidR="32B86406" w:rsidRPr="0DD3B114">
        <w:rPr>
          <w:rFonts w:ascii="Arial" w:hAnsi="Arial" w:cs="Arial"/>
          <w:sz w:val="20"/>
          <w:szCs w:val="20"/>
          <w:lang w:val="sr-Cyrl-RS"/>
        </w:rPr>
        <w:t>Закон о буџетском систему</w:t>
      </w:r>
      <w:r w:rsidR="2CA233E5" w:rsidRPr="0DD3B114">
        <w:rPr>
          <w:rFonts w:ascii="Arial" w:hAnsi="Arial" w:cs="Arial"/>
          <w:sz w:val="20"/>
          <w:szCs w:val="20"/>
          <w:lang w:val="sr-Cyrl-RS"/>
        </w:rPr>
        <w:t xml:space="preserve"> („Службени гласник РС</w:t>
      </w:r>
      <w:r w:rsidRPr="0DD3B114">
        <w:rPr>
          <w:rFonts w:ascii="Arial" w:hAnsi="Arial" w:cs="Arial"/>
          <w:sz w:val="20"/>
          <w:szCs w:val="20"/>
        </w:rPr>
        <w:t>”</w:t>
      </w:r>
      <w:r w:rsidR="2CA233E5" w:rsidRPr="0DD3B114">
        <w:rPr>
          <w:rFonts w:ascii="Arial" w:hAnsi="Arial" w:cs="Arial"/>
          <w:sz w:val="20"/>
          <w:szCs w:val="20"/>
          <w:lang w:val="sr-Cyrl-RS"/>
        </w:rPr>
        <w:t xml:space="preserve">, бр. 54/09, 73/10, 101/10, 101/11, 93/12, 62/13, 63/13 </w:t>
      </w:r>
      <w:r w:rsidRPr="0DD3B114">
        <w:rPr>
          <w:rFonts w:ascii="Arial" w:hAnsi="Arial" w:cs="Arial"/>
          <w:sz w:val="20"/>
          <w:szCs w:val="20"/>
          <w:lang w:val="sr-Cyrl-RS"/>
        </w:rPr>
        <w:t>–</w:t>
      </w:r>
      <w:r w:rsidR="2CA233E5" w:rsidRPr="0DD3B114">
        <w:rPr>
          <w:rFonts w:ascii="Arial" w:hAnsi="Arial" w:cs="Arial"/>
          <w:sz w:val="20"/>
          <w:szCs w:val="20"/>
          <w:lang w:val="sr-Cyrl-RS"/>
        </w:rPr>
        <w:t xml:space="preserve"> испр., 108/13, 142/14, </w:t>
      </w:r>
      <w:r w:rsidR="5897880C" w:rsidRPr="0DD3B114">
        <w:rPr>
          <w:rFonts w:ascii="Arial" w:hAnsi="Arial" w:cs="Arial"/>
          <w:sz w:val="20"/>
          <w:szCs w:val="20"/>
          <w:lang w:val="sr-Cyrl-RS"/>
        </w:rPr>
        <w:t xml:space="preserve">68/15 </w:t>
      </w:r>
      <w:r w:rsidRPr="0DD3B114">
        <w:rPr>
          <w:rFonts w:ascii="Arial" w:hAnsi="Arial" w:cs="Arial"/>
          <w:sz w:val="20"/>
          <w:szCs w:val="20"/>
          <w:lang w:val="sr-Cyrl-RS"/>
        </w:rPr>
        <w:t>–</w:t>
      </w:r>
      <w:r w:rsidR="5897880C" w:rsidRPr="0DD3B114">
        <w:rPr>
          <w:rFonts w:ascii="Arial" w:hAnsi="Arial" w:cs="Arial"/>
          <w:sz w:val="20"/>
          <w:szCs w:val="20"/>
          <w:lang w:val="sr-Cyrl-RS"/>
        </w:rPr>
        <w:t xml:space="preserve"> др. </w:t>
      </w:r>
      <w:r w:rsidR="5D33B341" w:rsidRPr="0DD3B114">
        <w:rPr>
          <w:rFonts w:ascii="Arial" w:hAnsi="Arial" w:cs="Arial"/>
          <w:sz w:val="20"/>
          <w:szCs w:val="20"/>
          <w:lang w:val="sr-Cyrl-RS"/>
        </w:rPr>
        <w:t>з</w:t>
      </w:r>
      <w:r w:rsidR="5897880C" w:rsidRPr="0DD3B114">
        <w:rPr>
          <w:rFonts w:ascii="Arial" w:hAnsi="Arial" w:cs="Arial"/>
          <w:sz w:val="20"/>
          <w:szCs w:val="20"/>
          <w:lang w:val="sr-Cyrl-RS"/>
        </w:rPr>
        <w:t>акон, 103/15, 99/16, 113/17, 95/18, 31/19 и 72/19)</w:t>
      </w:r>
      <w:r w:rsidR="32B86406" w:rsidRPr="0DD3B114">
        <w:rPr>
          <w:rFonts w:ascii="Arial" w:hAnsi="Arial" w:cs="Arial"/>
          <w:sz w:val="20"/>
          <w:szCs w:val="20"/>
          <w:lang w:val="sr-Cyrl-RS"/>
        </w:rPr>
        <w:t>, Закон о планирању и изградњи</w:t>
      </w:r>
      <w:r w:rsidR="634E876A" w:rsidRPr="0DD3B114">
        <w:rPr>
          <w:rFonts w:ascii="Arial" w:hAnsi="Arial" w:cs="Arial"/>
          <w:sz w:val="16"/>
          <w:szCs w:val="16"/>
          <w:lang w:val="sr-Cyrl-RS"/>
        </w:rPr>
        <w:t xml:space="preserve"> </w:t>
      </w:r>
      <w:r w:rsidR="634E876A" w:rsidRPr="0DD3B114">
        <w:rPr>
          <w:rFonts w:ascii="Arial" w:hAnsi="Arial" w:cs="Arial"/>
          <w:sz w:val="20"/>
          <w:szCs w:val="20"/>
          <w:lang w:val="sr-Cyrl-RS"/>
        </w:rPr>
        <w:t>(„Службени гласник РС</w:t>
      </w:r>
      <w:r w:rsidRPr="0DD3B114">
        <w:rPr>
          <w:rFonts w:ascii="Arial" w:hAnsi="Arial" w:cs="Arial"/>
          <w:sz w:val="20"/>
          <w:szCs w:val="20"/>
        </w:rPr>
        <w:t>”</w:t>
      </w:r>
      <w:r w:rsidR="634E876A" w:rsidRPr="0DD3B114">
        <w:rPr>
          <w:rFonts w:ascii="Arial" w:hAnsi="Arial" w:cs="Arial"/>
          <w:sz w:val="20"/>
          <w:szCs w:val="20"/>
          <w:lang w:val="sr-Cyrl-RS"/>
        </w:rPr>
        <w:t xml:space="preserve">, бр. 72/09, 81/09 </w:t>
      </w:r>
      <w:r w:rsidRPr="0DD3B114">
        <w:rPr>
          <w:rFonts w:ascii="Arial" w:hAnsi="Arial" w:cs="Arial"/>
          <w:sz w:val="20"/>
          <w:szCs w:val="20"/>
          <w:lang w:val="sr-Cyrl-RS"/>
        </w:rPr>
        <w:t>–</w:t>
      </w:r>
      <w:r w:rsidR="634E876A" w:rsidRPr="0DD3B114">
        <w:rPr>
          <w:rFonts w:ascii="Arial" w:hAnsi="Arial" w:cs="Arial"/>
          <w:sz w:val="20"/>
          <w:szCs w:val="20"/>
          <w:lang w:val="sr-Cyrl-RS"/>
        </w:rPr>
        <w:t xml:space="preserve"> испр., 64/10 </w:t>
      </w:r>
      <w:r w:rsidRPr="0DD3B114">
        <w:rPr>
          <w:rFonts w:ascii="Arial" w:hAnsi="Arial" w:cs="Arial"/>
          <w:sz w:val="20"/>
          <w:szCs w:val="20"/>
          <w:lang w:val="sr-Cyrl-RS"/>
        </w:rPr>
        <w:t>–</w:t>
      </w:r>
      <w:r w:rsidR="634E876A" w:rsidRPr="0DD3B114">
        <w:rPr>
          <w:rFonts w:ascii="Arial" w:hAnsi="Arial" w:cs="Arial"/>
          <w:sz w:val="20"/>
          <w:szCs w:val="20"/>
          <w:lang w:val="sr-Cyrl-RS"/>
        </w:rPr>
        <w:t xml:space="preserve"> одлука УС, 24/11, 121/12, 42/13 </w:t>
      </w:r>
      <w:r w:rsidRPr="0DD3B114">
        <w:rPr>
          <w:rFonts w:ascii="Arial" w:hAnsi="Arial" w:cs="Arial"/>
          <w:sz w:val="20"/>
          <w:szCs w:val="20"/>
          <w:lang w:val="sr-Cyrl-RS"/>
        </w:rPr>
        <w:t>–</w:t>
      </w:r>
      <w:r w:rsidR="634E876A" w:rsidRPr="0DD3B114">
        <w:rPr>
          <w:rFonts w:ascii="Arial" w:hAnsi="Arial" w:cs="Arial"/>
          <w:sz w:val="20"/>
          <w:szCs w:val="20"/>
          <w:lang w:val="sr-Cyrl-RS"/>
        </w:rPr>
        <w:t xml:space="preserve"> одлука УС, </w:t>
      </w:r>
      <w:r w:rsidR="010D6F4E" w:rsidRPr="0DD3B114">
        <w:rPr>
          <w:rFonts w:ascii="Arial" w:hAnsi="Arial" w:cs="Arial"/>
          <w:sz w:val="20"/>
          <w:szCs w:val="20"/>
          <w:lang w:val="sr-Cyrl-RS"/>
        </w:rPr>
        <w:t xml:space="preserve">50/13 </w:t>
      </w:r>
      <w:r w:rsidRPr="0DD3B114">
        <w:rPr>
          <w:rFonts w:ascii="Arial" w:hAnsi="Arial" w:cs="Arial"/>
          <w:sz w:val="20"/>
          <w:szCs w:val="20"/>
          <w:lang w:val="sr-Cyrl-RS"/>
        </w:rPr>
        <w:t>–</w:t>
      </w:r>
      <w:r w:rsidR="010D6F4E" w:rsidRPr="0DD3B114">
        <w:rPr>
          <w:rFonts w:ascii="Arial" w:hAnsi="Arial" w:cs="Arial"/>
          <w:sz w:val="20"/>
          <w:szCs w:val="20"/>
          <w:lang w:val="sr-Cyrl-RS"/>
        </w:rPr>
        <w:t xml:space="preserve"> одлука УС, 98/13 </w:t>
      </w:r>
      <w:r w:rsidRPr="0DD3B114">
        <w:rPr>
          <w:rFonts w:ascii="Arial" w:hAnsi="Arial" w:cs="Arial"/>
          <w:sz w:val="20"/>
          <w:szCs w:val="20"/>
          <w:lang w:val="sr-Cyrl-RS"/>
        </w:rPr>
        <w:t>–</w:t>
      </w:r>
      <w:r w:rsidR="010D6F4E" w:rsidRPr="0DD3B114">
        <w:rPr>
          <w:rFonts w:ascii="Arial" w:hAnsi="Arial" w:cs="Arial"/>
          <w:sz w:val="20"/>
          <w:szCs w:val="20"/>
          <w:lang w:val="sr-Cyrl-RS"/>
        </w:rPr>
        <w:t xml:space="preserve"> одлука УС, 132/14, 145/14, 83/18, 31/19 </w:t>
      </w:r>
      <w:r w:rsidRPr="0DD3B114">
        <w:rPr>
          <w:rFonts w:ascii="Arial" w:hAnsi="Arial" w:cs="Arial"/>
          <w:sz w:val="20"/>
          <w:szCs w:val="20"/>
          <w:lang w:val="sr-Cyrl-RS"/>
        </w:rPr>
        <w:t>–</w:t>
      </w:r>
      <w:r w:rsidR="010D6F4E" w:rsidRPr="0DD3B114">
        <w:rPr>
          <w:rFonts w:ascii="Arial" w:hAnsi="Arial" w:cs="Arial"/>
          <w:sz w:val="20"/>
          <w:szCs w:val="20"/>
          <w:lang w:val="sr-Cyrl-RS"/>
        </w:rPr>
        <w:t xml:space="preserve"> др. закон и 9/20)</w:t>
      </w:r>
      <w:r w:rsidR="32B86406" w:rsidRPr="0DD3B114">
        <w:rPr>
          <w:rFonts w:ascii="Arial" w:hAnsi="Arial" w:cs="Arial"/>
          <w:sz w:val="20"/>
          <w:szCs w:val="20"/>
          <w:lang w:val="sr-Cyrl-RS"/>
        </w:rPr>
        <w:t>,</w:t>
      </w:r>
      <w:r w:rsidR="0A142103" w:rsidRPr="0DD3B114">
        <w:rPr>
          <w:rFonts w:ascii="Arial" w:hAnsi="Arial" w:cs="Arial"/>
          <w:sz w:val="20"/>
          <w:szCs w:val="20"/>
          <w:lang w:val="sr-Cyrl-RS"/>
        </w:rPr>
        <w:t xml:space="preserve"> Закон о бесплатној правној помоћи</w:t>
      </w:r>
      <w:r w:rsidR="32B86406" w:rsidRPr="0DD3B114">
        <w:rPr>
          <w:rFonts w:ascii="Arial" w:hAnsi="Arial" w:cs="Arial"/>
          <w:sz w:val="20"/>
          <w:szCs w:val="20"/>
          <w:lang w:val="sr-Cyrl-RS"/>
        </w:rPr>
        <w:t xml:space="preserve"> итд.</w:t>
      </w:r>
    </w:p>
    <w:p w14:paraId="14168FE5" w14:textId="77777777" w:rsidR="00C75AD7" w:rsidRPr="00A021B7" w:rsidRDefault="00C75AD7" w:rsidP="003E7BC9">
      <w:pPr>
        <w:ind w:left="708"/>
        <w:contextualSpacing/>
        <w:jc w:val="both"/>
        <w:rPr>
          <w:rFonts w:ascii="Arial" w:hAnsi="Arial" w:cs="Arial"/>
          <w:sz w:val="20"/>
          <w:szCs w:val="20"/>
          <w:lang w:val="sr-Cyrl-RS"/>
        </w:rPr>
      </w:pPr>
    </w:p>
    <w:p w14:paraId="409B023B" w14:textId="34AFE00E" w:rsidR="00C75AD7" w:rsidRPr="00A021B7" w:rsidRDefault="00C75AD7" w:rsidP="00B97923">
      <w:pPr>
        <w:ind w:firstLine="720"/>
        <w:contextualSpacing/>
        <w:jc w:val="both"/>
        <w:rPr>
          <w:rFonts w:ascii="Arial" w:hAnsi="Arial" w:cs="Arial"/>
          <w:sz w:val="20"/>
          <w:szCs w:val="20"/>
          <w:lang w:val="sr-Cyrl-RS"/>
        </w:rPr>
      </w:pPr>
      <w:r w:rsidRPr="00A021B7">
        <w:rPr>
          <w:rFonts w:ascii="Arial" w:hAnsi="Arial" w:cs="Arial"/>
          <w:sz w:val="20"/>
          <w:szCs w:val="20"/>
          <w:lang w:val="sr-Cyrl-RS"/>
        </w:rPr>
        <w:t>Јавне службе по претежним организационим формама могу бити:</w:t>
      </w:r>
    </w:p>
    <w:p w14:paraId="5A333BC5" w14:textId="77777777" w:rsidR="00BC1697" w:rsidRPr="00A021B7" w:rsidRDefault="00BC1697" w:rsidP="003E7BC9">
      <w:pPr>
        <w:contextualSpacing/>
        <w:jc w:val="both"/>
        <w:rPr>
          <w:rFonts w:ascii="Arial" w:hAnsi="Arial" w:cs="Arial"/>
          <w:sz w:val="20"/>
          <w:szCs w:val="20"/>
          <w:lang w:val="sr-Cyrl-RS"/>
        </w:rPr>
      </w:pPr>
    </w:p>
    <w:p w14:paraId="2331E9CF" w14:textId="03228E06" w:rsidR="00975B58" w:rsidRDefault="00975B58" w:rsidP="00A57E7E">
      <w:pPr>
        <w:pStyle w:val="ListParagraph"/>
        <w:numPr>
          <w:ilvl w:val="0"/>
          <w:numId w:val="11"/>
        </w:numPr>
        <w:jc w:val="both"/>
        <w:rPr>
          <w:rFonts w:ascii="Arial" w:hAnsi="Arial" w:cs="Arial"/>
          <w:sz w:val="20"/>
          <w:szCs w:val="20"/>
          <w:lang w:val="sr-Cyrl-RS"/>
        </w:rPr>
      </w:pPr>
      <w:r w:rsidRPr="0DD3B114">
        <w:rPr>
          <w:rFonts w:ascii="Arial" w:hAnsi="Arial" w:cs="Arial"/>
          <w:sz w:val="20"/>
          <w:szCs w:val="20"/>
          <w:lang w:val="sr-Cyrl-RS"/>
        </w:rPr>
        <w:t>ј</w:t>
      </w:r>
      <w:r w:rsidR="005859F7" w:rsidRPr="0DD3B114">
        <w:rPr>
          <w:rFonts w:ascii="Arial" w:hAnsi="Arial" w:cs="Arial"/>
          <w:sz w:val="20"/>
          <w:szCs w:val="20"/>
          <w:lang w:val="sr-Cyrl-RS"/>
        </w:rPr>
        <w:t>авне у</w:t>
      </w:r>
      <w:r w:rsidR="00C75AD7" w:rsidRPr="0DD3B114">
        <w:rPr>
          <w:rFonts w:ascii="Arial" w:hAnsi="Arial" w:cs="Arial"/>
          <w:sz w:val="20"/>
          <w:szCs w:val="20"/>
          <w:lang w:val="sr-Cyrl-RS"/>
        </w:rPr>
        <w:t xml:space="preserve">станове у областима образовања, науке, културе, физичке културе, ученичког и студентског стандарда, здравствене заштите, социјалне заштите, друштвене бриге о деци, социјалног осигурања </w:t>
      </w:r>
      <w:r w:rsidR="000F1635" w:rsidRPr="0DD3B114">
        <w:rPr>
          <w:rFonts w:ascii="Arial" w:hAnsi="Arial" w:cs="Arial"/>
          <w:sz w:val="20"/>
          <w:szCs w:val="20"/>
          <w:lang w:val="sr-Cyrl-RS"/>
        </w:rPr>
        <w:t xml:space="preserve">и </w:t>
      </w:r>
      <w:r w:rsidR="00C75AD7" w:rsidRPr="0DD3B114">
        <w:rPr>
          <w:rFonts w:ascii="Arial" w:hAnsi="Arial" w:cs="Arial"/>
          <w:sz w:val="20"/>
          <w:szCs w:val="20"/>
          <w:lang w:val="sr-Cyrl-RS"/>
        </w:rPr>
        <w:t>здравствене заштите животиња и</w:t>
      </w:r>
      <w:r w:rsidR="00393FA9" w:rsidRPr="0DD3B114">
        <w:rPr>
          <w:rFonts w:ascii="Arial" w:hAnsi="Arial" w:cs="Arial"/>
          <w:sz w:val="20"/>
          <w:szCs w:val="20"/>
          <w:lang w:val="sr-Cyrl-RS"/>
        </w:rPr>
        <w:t xml:space="preserve"> </w:t>
      </w:r>
    </w:p>
    <w:p w14:paraId="15B17A90" w14:textId="294BB46E" w:rsidR="009561C3" w:rsidRPr="00A021B7" w:rsidRDefault="00975B58" w:rsidP="00A57E7E">
      <w:pPr>
        <w:pStyle w:val="ListParagraph"/>
        <w:numPr>
          <w:ilvl w:val="0"/>
          <w:numId w:val="11"/>
        </w:numPr>
        <w:jc w:val="both"/>
        <w:rPr>
          <w:rFonts w:ascii="Arial" w:hAnsi="Arial" w:cs="Arial"/>
          <w:sz w:val="20"/>
          <w:szCs w:val="20"/>
          <w:lang w:val="sr-Cyrl-RS"/>
        </w:rPr>
      </w:pPr>
      <w:r w:rsidRPr="0DD3B114">
        <w:rPr>
          <w:rFonts w:ascii="Arial" w:hAnsi="Arial" w:cs="Arial"/>
          <w:sz w:val="20"/>
          <w:szCs w:val="20"/>
          <w:lang w:val="sr-Cyrl-RS"/>
        </w:rPr>
        <w:t>ј</w:t>
      </w:r>
      <w:r w:rsidR="005859F7" w:rsidRPr="0DD3B114">
        <w:rPr>
          <w:rFonts w:ascii="Arial" w:hAnsi="Arial" w:cs="Arial"/>
          <w:sz w:val="20"/>
          <w:szCs w:val="20"/>
          <w:lang w:val="sr-Cyrl-RS"/>
        </w:rPr>
        <w:t>авна п</w:t>
      </w:r>
      <w:r w:rsidR="00C75AD7" w:rsidRPr="0DD3B114">
        <w:rPr>
          <w:rFonts w:ascii="Arial" w:hAnsi="Arial" w:cs="Arial"/>
          <w:sz w:val="20"/>
          <w:szCs w:val="20"/>
          <w:lang w:val="sr-Cyrl-RS"/>
        </w:rPr>
        <w:t xml:space="preserve">редузећа у областима енергетике, путева </w:t>
      </w:r>
      <w:r w:rsidR="000F1635" w:rsidRPr="0DD3B114">
        <w:rPr>
          <w:rFonts w:ascii="Arial" w:hAnsi="Arial" w:cs="Arial"/>
          <w:sz w:val="20"/>
          <w:szCs w:val="20"/>
          <w:lang w:val="sr-Cyrl-RS"/>
        </w:rPr>
        <w:t xml:space="preserve">и </w:t>
      </w:r>
      <w:r w:rsidR="00C75AD7" w:rsidRPr="0DD3B114">
        <w:rPr>
          <w:rFonts w:ascii="Arial" w:hAnsi="Arial" w:cs="Arial"/>
          <w:sz w:val="20"/>
          <w:szCs w:val="20"/>
          <w:lang w:val="sr-Cyrl-RS"/>
        </w:rPr>
        <w:t>комуналних услуга и у другим областима одређеним законом.</w:t>
      </w:r>
    </w:p>
    <w:p w14:paraId="0B206B02" w14:textId="77777777" w:rsidR="00D83A2D" w:rsidRPr="00A021B7" w:rsidRDefault="00D83A2D" w:rsidP="00D83A2D">
      <w:pPr>
        <w:pStyle w:val="ListParagraph"/>
        <w:jc w:val="both"/>
        <w:rPr>
          <w:rFonts w:ascii="Arial" w:hAnsi="Arial" w:cs="Arial"/>
          <w:sz w:val="20"/>
          <w:szCs w:val="20"/>
          <w:lang w:val="sr-Cyrl-RS"/>
        </w:rPr>
      </w:pPr>
    </w:p>
    <w:p w14:paraId="21AAD688" w14:textId="5B265811" w:rsidR="00CE205B" w:rsidRPr="00A021B7" w:rsidRDefault="00C75AD7" w:rsidP="004935B9">
      <w:pPr>
        <w:pStyle w:val="Heading3"/>
        <w:rPr>
          <w:noProof w:val="0"/>
          <w:lang w:val="sr-Cyrl-RS"/>
        </w:rPr>
      </w:pPr>
      <w:bookmarkStart w:id="30" w:name="_Toc52865771"/>
      <w:bookmarkStart w:id="31" w:name="_Toc52866182"/>
      <w:bookmarkStart w:id="32" w:name="_Toc56508432"/>
      <w:bookmarkStart w:id="33" w:name="_Toc60136068"/>
      <w:r w:rsidRPr="0DD3B114">
        <w:rPr>
          <w:noProof w:val="0"/>
          <w:lang w:val="sr-Cyrl-RS"/>
        </w:rPr>
        <w:t>IV.3.1. Организација и рад органа ЈЛС</w:t>
      </w:r>
      <w:r w:rsidR="00E454F4" w:rsidRPr="0DD3B114">
        <w:rPr>
          <w:noProof w:val="0"/>
          <w:lang w:val="sr-Cyrl-RS"/>
        </w:rPr>
        <w:t>,</w:t>
      </w:r>
      <w:r w:rsidRPr="0DD3B114">
        <w:rPr>
          <w:noProof w:val="0"/>
          <w:lang w:val="sr-Cyrl-RS"/>
        </w:rPr>
        <w:t xml:space="preserve"> </w:t>
      </w:r>
      <w:r w:rsidR="00C06E94" w:rsidRPr="0DD3B114">
        <w:rPr>
          <w:noProof w:val="0"/>
          <w:lang w:val="sr-Cyrl-RS"/>
        </w:rPr>
        <w:t xml:space="preserve">градских општина и </w:t>
      </w:r>
      <w:r w:rsidRPr="0DD3B114">
        <w:rPr>
          <w:noProof w:val="0"/>
          <w:lang w:val="sr-Cyrl-RS"/>
        </w:rPr>
        <w:t>месних заједница</w:t>
      </w:r>
      <w:bookmarkEnd w:id="30"/>
      <w:bookmarkEnd w:id="31"/>
      <w:bookmarkEnd w:id="32"/>
      <w:bookmarkEnd w:id="33"/>
    </w:p>
    <w:p w14:paraId="31F4ED55" w14:textId="77777777" w:rsidR="00683F89" w:rsidRPr="00A021B7" w:rsidRDefault="00683F89" w:rsidP="003E7BC9">
      <w:pPr>
        <w:contextualSpacing/>
        <w:jc w:val="both"/>
        <w:rPr>
          <w:rFonts w:ascii="Arial" w:hAnsi="Arial" w:cs="Arial"/>
          <w:b/>
          <w:bCs/>
          <w:sz w:val="20"/>
          <w:szCs w:val="20"/>
          <w:lang w:val="sr-Cyrl-RS"/>
        </w:rPr>
      </w:pPr>
    </w:p>
    <w:p w14:paraId="1C41AC20" w14:textId="67C39DF6" w:rsidR="00C75AD7" w:rsidRPr="00A021B7" w:rsidRDefault="00C75AD7" w:rsidP="00B97923">
      <w:pPr>
        <w:ind w:firstLine="720"/>
        <w:jc w:val="both"/>
        <w:rPr>
          <w:rFonts w:ascii="Arial" w:hAnsi="Arial" w:cs="Arial"/>
          <w:sz w:val="20"/>
          <w:szCs w:val="20"/>
          <w:lang w:val="sr-Cyrl-RS"/>
        </w:rPr>
      </w:pPr>
      <w:r w:rsidRPr="0DD3B114">
        <w:rPr>
          <w:rFonts w:ascii="Arial" w:hAnsi="Arial" w:cs="Arial"/>
          <w:sz w:val="20"/>
          <w:szCs w:val="20"/>
          <w:lang w:val="sr-Cyrl-RS"/>
        </w:rPr>
        <w:t xml:space="preserve">ЗЛС дефинисани су органи </w:t>
      </w:r>
      <w:r w:rsidR="008078E6" w:rsidRPr="0DD3B114">
        <w:rPr>
          <w:rFonts w:ascii="Arial" w:hAnsi="Arial" w:cs="Arial"/>
          <w:sz w:val="20"/>
          <w:szCs w:val="20"/>
          <w:lang w:val="sr-Cyrl-RS"/>
        </w:rPr>
        <w:t>ЈЛС</w:t>
      </w:r>
      <w:r w:rsidRPr="0DD3B114">
        <w:rPr>
          <w:rFonts w:ascii="Arial" w:hAnsi="Arial" w:cs="Arial"/>
          <w:sz w:val="20"/>
          <w:szCs w:val="20"/>
          <w:lang w:val="sr-Cyrl-RS"/>
        </w:rPr>
        <w:t>, као и њихова улога у систему локалне самоуправе. У погледу функционисања и рада скупштине</w:t>
      </w:r>
      <w:r w:rsidR="00975B58" w:rsidRPr="0DD3B114">
        <w:rPr>
          <w:rFonts w:ascii="Arial" w:hAnsi="Arial" w:cs="Arial"/>
          <w:sz w:val="20"/>
          <w:szCs w:val="20"/>
          <w:lang w:val="sr-Cyrl-RS"/>
        </w:rPr>
        <w:t>,</w:t>
      </w:r>
      <w:r w:rsidRPr="0DD3B114">
        <w:rPr>
          <w:rFonts w:ascii="Arial" w:hAnsi="Arial" w:cs="Arial"/>
          <w:sz w:val="20"/>
          <w:szCs w:val="20"/>
          <w:lang w:val="sr-Cyrl-RS"/>
        </w:rPr>
        <w:t xml:space="preserve"> као највишег органа локалне самоуправе</w:t>
      </w:r>
      <w:r w:rsidR="00975B58" w:rsidRPr="0DD3B114">
        <w:rPr>
          <w:rFonts w:ascii="Arial" w:hAnsi="Arial" w:cs="Arial"/>
          <w:sz w:val="20"/>
          <w:szCs w:val="20"/>
          <w:lang w:val="sr-Cyrl-RS"/>
        </w:rPr>
        <w:t>,</w:t>
      </w:r>
      <w:r w:rsidRPr="0DD3B114">
        <w:rPr>
          <w:rFonts w:ascii="Arial" w:hAnsi="Arial" w:cs="Arial"/>
          <w:sz w:val="20"/>
          <w:szCs w:val="20"/>
          <w:lang w:val="sr-Cyrl-RS"/>
        </w:rPr>
        <w:t xml:space="preserve"> и других органа ЛС</w:t>
      </w:r>
      <w:r w:rsidR="00975B58" w:rsidRPr="0DD3B114">
        <w:rPr>
          <w:rFonts w:ascii="Arial" w:hAnsi="Arial" w:cs="Arial"/>
          <w:sz w:val="20"/>
          <w:szCs w:val="20"/>
          <w:lang w:val="sr-Cyrl-RS"/>
        </w:rPr>
        <w:t>,</w:t>
      </w:r>
      <w:r w:rsidRPr="0DD3B114">
        <w:rPr>
          <w:rFonts w:ascii="Arial" w:hAnsi="Arial" w:cs="Arial"/>
          <w:sz w:val="20"/>
          <w:szCs w:val="20"/>
          <w:lang w:val="sr-Cyrl-RS"/>
        </w:rPr>
        <w:t xml:space="preserve"> може </w:t>
      </w:r>
      <w:r w:rsidR="00D65A19" w:rsidRPr="0DD3B114">
        <w:rPr>
          <w:rFonts w:ascii="Arial" w:hAnsi="Arial" w:cs="Arial"/>
          <w:sz w:val="20"/>
          <w:szCs w:val="20"/>
          <w:lang w:val="sr-Cyrl-RS"/>
        </w:rPr>
        <w:t xml:space="preserve">се </w:t>
      </w:r>
      <w:r w:rsidRPr="0DD3B114">
        <w:rPr>
          <w:rFonts w:ascii="Arial" w:hAnsi="Arial" w:cs="Arial"/>
          <w:sz w:val="20"/>
          <w:szCs w:val="20"/>
          <w:lang w:val="sr-Cyrl-RS"/>
        </w:rPr>
        <w:t xml:space="preserve">констатовати да је систем локалне самоуправе прилично стабилан и да промена локалних политичких прилика, тј. односа снага у скупштини </w:t>
      </w:r>
      <w:r w:rsidR="000D0C37" w:rsidRPr="0DD3B114">
        <w:rPr>
          <w:rFonts w:ascii="Arial" w:hAnsi="Arial" w:cs="Arial"/>
          <w:sz w:val="20"/>
          <w:szCs w:val="20"/>
          <w:lang w:val="sr-Cyrl-RS"/>
        </w:rPr>
        <w:t>ЈЛС</w:t>
      </w:r>
      <w:r w:rsidRPr="0DD3B114">
        <w:rPr>
          <w:rFonts w:ascii="Arial" w:hAnsi="Arial" w:cs="Arial"/>
          <w:sz w:val="20"/>
          <w:szCs w:val="20"/>
          <w:lang w:val="sr-Cyrl-RS"/>
        </w:rPr>
        <w:t>, по правилу, не доводи до блокаде рада и распуштања скупштине општине или других негативних последица које би онемогућиле рад и функционисање органа ЈЛС. И поред тога, постоје одређени проблеми</w:t>
      </w:r>
      <w:r w:rsidR="000D0C37" w:rsidRPr="0DD3B114">
        <w:rPr>
          <w:rFonts w:ascii="Arial" w:hAnsi="Arial" w:cs="Arial"/>
          <w:sz w:val="20"/>
          <w:szCs w:val="20"/>
          <w:lang w:val="sr-Cyrl-RS"/>
        </w:rPr>
        <w:t xml:space="preserve"> и </w:t>
      </w:r>
      <w:r w:rsidRPr="0DD3B114">
        <w:rPr>
          <w:rFonts w:ascii="Arial" w:hAnsi="Arial" w:cs="Arial"/>
          <w:sz w:val="20"/>
          <w:szCs w:val="20"/>
          <w:lang w:val="sr-Cyrl-RS"/>
        </w:rPr>
        <w:t>недостаци у организацији и раду органа ЈЛС, чије решавање би довело до суштинског унапређења рада и функционисања органа ЈЛС</w:t>
      </w:r>
      <w:r w:rsidR="00AD6E7D" w:rsidRPr="0DD3B114">
        <w:rPr>
          <w:rFonts w:ascii="Arial" w:hAnsi="Arial" w:cs="Arial"/>
          <w:sz w:val="20"/>
          <w:szCs w:val="20"/>
          <w:lang w:val="sr-Cyrl-RS"/>
        </w:rPr>
        <w:t>,</w:t>
      </w:r>
      <w:r w:rsidRPr="0DD3B114">
        <w:rPr>
          <w:rFonts w:ascii="Arial" w:hAnsi="Arial" w:cs="Arial"/>
          <w:sz w:val="20"/>
          <w:szCs w:val="20"/>
          <w:lang w:val="sr-Cyrl-RS"/>
        </w:rPr>
        <w:t xml:space="preserve"> а тим</w:t>
      </w:r>
      <w:r w:rsidR="00AD6E7D" w:rsidRPr="0DD3B114">
        <w:rPr>
          <w:rFonts w:ascii="Arial" w:hAnsi="Arial" w:cs="Arial"/>
          <w:sz w:val="20"/>
          <w:szCs w:val="20"/>
          <w:lang w:val="sr-Cyrl-RS"/>
        </w:rPr>
        <w:t>е</w:t>
      </w:r>
      <w:r w:rsidRPr="0DD3B114">
        <w:rPr>
          <w:rFonts w:ascii="Arial" w:hAnsi="Arial" w:cs="Arial"/>
          <w:sz w:val="20"/>
          <w:szCs w:val="20"/>
          <w:lang w:val="sr-Cyrl-RS"/>
        </w:rPr>
        <w:t xml:space="preserve"> и целокупног система локалне самоуправе.</w:t>
      </w:r>
    </w:p>
    <w:p w14:paraId="1E74FDBA" w14:textId="77777777" w:rsidR="00C75AD7" w:rsidRPr="00A021B7" w:rsidRDefault="00C75AD7" w:rsidP="003E7BC9">
      <w:pPr>
        <w:jc w:val="both"/>
        <w:rPr>
          <w:rFonts w:ascii="Arial" w:hAnsi="Arial" w:cs="Arial"/>
          <w:i/>
          <w:iCs/>
          <w:sz w:val="20"/>
          <w:szCs w:val="20"/>
          <w:lang w:val="sr-Cyrl-RS"/>
        </w:rPr>
      </w:pPr>
    </w:p>
    <w:p w14:paraId="0236D71A" w14:textId="77777777" w:rsidR="00DD33F1" w:rsidRPr="00A021B7" w:rsidRDefault="00DD33F1" w:rsidP="003E7BC9">
      <w:pPr>
        <w:jc w:val="both"/>
        <w:rPr>
          <w:rFonts w:ascii="Arial" w:hAnsi="Arial" w:cs="Arial"/>
          <w:b/>
          <w:bCs/>
          <w:i/>
          <w:iCs/>
          <w:sz w:val="20"/>
          <w:szCs w:val="20"/>
          <w:lang w:val="sr-Cyrl-RS"/>
        </w:rPr>
      </w:pPr>
    </w:p>
    <w:p w14:paraId="0991366A" w14:textId="77777777" w:rsidR="00DD33F1" w:rsidRPr="00A021B7" w:rsidRDefault="00DD33F1" w:rsidP="003E7BC9">
      <w:pPr>
        <w:jc w:val="both"/>
        <w:rPr>
          <w:rFonts w:ascii="Arial" w:hAnsi="Arial" w:cs="Arial"/>
          <w:b/>
          <w:bCs/>
          <w:i/>
          <w:iCs/>
          <w:sz w:val="20"/>
          <w:szCs w:val="20"/>
          <w:lang w:val="sr-Cyrl-RS"/>
        </w:rPr>
      </w:pPr>
    </w:p>
    <w:p w14:paraId="09368198" w14:textId="0CE6B3ED" w:rsidR="00C75AD7" w:rsidRPr="00A021B7" w:rsidRDefault="00C75AD7" w:rsidP="003E7BC9">
      <w:pPr>
        <w:jc w:val="both"/>
        <w:rPr>
          <w:rFonts w:ascii="Arial" w:hAnsi="Arial" w:cs="Arial"/>
          <w:b/>
          <w:bCs/>
          <w:i/>
          <w:iCs/>
          <w:sz w:val="20"/>
          <w:szCs w:val="20"/>
          <w:lang w:val="sr-Cyrl-RS"/>
        </w:rPr>
      </w:pPr>
      <w:r w:rsidRPr="00A021B7">
        <w:rPr>
          <w:rFonts w:ascii="Arial" w:hAnsi="Arial" w:cs="Arial"/>
          <w:b/>
          <w:bCs/>
          <w:i/>
          <w:iCs/>
          <w:sz w:val="20"/>
          <w:szCs w:val="20"/>
          <w:lang w:val="sr-Cyrl-RS"/>
        </w:rPr>
        <w:t>Скупштина општине</w:t>
      </w:r>
    </w:p>
    <w:p w14:paraId="0B166077" w14:textId="77777777" w:rsidR="00C75AD7" w:rsidRPr="00A021B7" w:rsidRDefault="00C75AD7" w:rsidP="003E7BC9">
      <w:pPr>
        <w:jc w:val="both"/>
        <w:rPr>
          <w:rFonts w:ascii="Arial" w:hAnsi="Arial" w:cs="Arial"/>
          <w:i/>
          <w:iCs/>
          <w:sz w:val="20"/>
          <w:szCs w:val="20"/>
          <w:lang w:val="sr-Cyrl-RS"/>
        </w:rPr>
      </w:pPr>
    </w:p>
    <w:p w14:paraId="747F6A34" w14:textId="77777777" w:rsidR="00C75AD7" w:rsidRPr="00A021B7" w:rsidRDefault="00C75AD7" w:rsidP="00B97923">
      <w:pPr>
        <w:ind w:firstLine="720"/>
        <w:jc w:val="both"/>
        <w:rPr>
          <w:rFonts w:ascii="Arial" w:hAnsi="Arial" w:cs="Arial"/>
          <w:sz w:val="20"/>
          <w:szCs w:val="20"/>
          <w:lang w:val="sr-Cyrl-RS"/>
        </w:rPr>
      </w:pPr>
      <w:r w:rsidRPr="00A021B7">
        <w:rPr>
          <w:rFonts w:ascii="Arial" w:hAnsi="Arial" w:cs="Arial"/>
          <w:sz w:val="20"/>
          <w:szCs w:val="20"/>
          <w:lang w:val="sr-Cyrl-RS"/>
        </w:rPr>
        <w:t>У складу са Уставом и ЗЛС</w:t>
      </w:r>
      <w:r w:rsidR="00AD6E7D" w:rsidRPr="00A021B7">
        <w:rPr>
          <w:rFonts w:ascii="Arial" w:hAnsi="Arial" w:cs="Arial"/>
          <w:sz w:val="20"/>
          <w:szCs w:val="20"/>
          <w:lang w:val="sr-Cyrl-RS"/>
        </w:rPr>
        <w:t>,</w:t>
      </w:r>
      <w:r w:rsidRPr="00A021B7">
        <w:rPr>
          <w:rFonts w:ascii="Arial" w:hAnsi="Arial" w:cs="Arial"/>
          <w:sz w:val="20"/>
          <w:szCs w:val="20"/>
          <w:lang w:val="sr-Cyrl-RS"/>
        </w:rPr>
        <w:t xml:space="preserve"> скупштина је представнички и највиши орган локалне самоуправе, који врши основне функције локалне власти. Основну садржину функција скупштине чини:</w:t>
      </w:r>
    </w:p>
    <w:p w14:paraId="571A36D7" w14:textId="77777777" w:rsidR="00C75AD7" w:rsidRPr="00A021B7" w:rsidRDefault="00C75AD7" w:rsidP="36E1526F">
      <w:pPr>
        <w:pStyle w:val="ListParagraph"/>
        <w:numPr>
          <w:ilvl w:val="0"/>
          <w:numId w:val="1"/>
        </w:numPr>
        <w:jc w:val="both"/>
        <w:rPr>
          <w:rFonts w:eastAsiaTheme="minorEastAsia"/>
          <w:sz w:val="20"/>
          <w:szCs w:val="20"/>
          <w:lang w:val="sr-Cyrl-RS"/>
        </w:rPr>
      </w:pPr>
      <w:r w:rsidRPr="00A021B7">
        <w:rPr>
          <w:rFonts w:ascii="Arial" w:hAnsi="Arial" w:cs="Arial"/>
          <w:sz w:val="20"/>
          <w:szCs w:val="20"/>
          <w:lang w:val="sr-Cyrl-RS"/>
        </w:rPr>
        <w:t xml:space="preserve">доношење статута, прописа и других општих аката из оквира права и дужности </w:t>
      </w:r>
      <w:r w:rsidR="00AD6E7D" w:rsidRPr="00A021B7">
        <w:rPr>
          <w:rFonts w:ascii="Arial" w:hAnsi="Arial" w:cs="Arial"/>
          <w:sz w:val="20"/>
          <w:szCs w:val="20"/>
          <w:lang w:val="sr-Cyrl-RS"/>
        </w:rPr>
        <w:t>ЈЛС</w:t>
      </w:r>
      <w:r w:rsidRPr="00A021B7">
        <w:rPr>
          <w:rFonts w:ascii="Arial" w:hAnsi="Arial" w:cs="Arial"/>
          <w:sz w:val="20"/>
          <w:szCs w:val="20"/>
          <w:lang w:val="sr-Cyrl-RS"/>
        </w:rPr>
        <w:t>;</w:t>
      </w:r>
    </w:p>
    <w:p w14:paraId="23B6A9F4" w14:textId="77777777" w:rsidR="00C75AD7" w:rsidRPr="00A021B7" w:rsidRDefault="00C75AD7" w:rsidP="36E1526F">
      <w:pPr>
        <w:pStyle w:val="ListParagraph"/>
        <w:numPr>
          <w:ilvl w:val="0"/>
          <w:numId w:val="1"/>
        </w:numPr>
        <w:jc w:val="both"/>
        <w:rPr>
          <w:rFonts w:eastAsiaTheme="minorEastAsia"/>
          <w:sz w:val="20"/>
          <w:szCs w:val="20"/>
          <w:lang w:val="sr-Cyrl-RS"/>
        </w:rPr>
      </w:pPr>
      <w:r w:rsidRPr="00A021B7">
        <w:rPr>
          <w:rFonts w:ascii="Arial" w:hAnsi="Arial" w:cs="Arial"/>
          <w:sz w:val="20"/>
          <w:szCs w:val="20"/>
          <w:lang w:val="sr-Cyrl-RS"/>
        </w:rPr>
        <w:t>оснивање и надзор над радом служби, јавних предузећа, установа и организација;</w:t>
      </w:r>
    </w:p>
    <w:p w14:paraId="31A2B2EF" w14:textId="77777777" w:rsidR="00C75AD7" w:rsidRPr="00A021B7" w:rsidRDefault="00C75AD7" w:rsidP="36E1526F">
      <w:pPr>
        <w:pStyle w:val="ListParagraph"/>
        <w:numPr>
          <w:ilvl w:val="0"/>
          <w:numId w:val="1"/>
        </w:numPr>
        <w:jc w:val="both"/>
        <w:rPr>
          <w:rFonts w:eastAsiaTheme="minorEastAsia"/>
          <w:sz w:val="20"/>
          <w:szCs w:val="20"/>
          <w:lang w:val="sr-Cyrl-RS"/>
        </w:rPr>
      </w:pPr>
      <w:r w:rsidRPr="00A021B7">
        <w:rPr>
          <w:rFonts w:ascii="Arial" w:hAnsi="Arial" w:cs="Arial"/>
          <w:sz w:val="20"/>
          <w:szCs w:val="20"/>
          <w:lang w:val="sr-Cyrl-RS"/>
        </w:rPr>
        <w:lastRenderedPageBreak/>
        <w:t>избор и разрешење носилаца одређених функција (председника општине, чланова општинског већа, председника скупштине и других званичника);</w:t>
      </w:r>
    </w:p>
    <w:p w14:paraId="49B744A1" w14:textId="77777777" w:rsidR="00C75AD7" w:rsidRPr="00A021B7" w:rsidRDefault="00C75AD7" w:rsidP="36E1526F">
      <w:pPr>
        <w:pStyle w:val="ListParagraph"/>
        <w:numPr>
          <w:ilvl w:val="0"/>
          <w:numId w:val="1"/>
        </w:numPr>
        <w:jc w:val="both"/>
        <w:rPr>
          <w:rFonts w:eastAsiaTheme="minorEastAsia"/>
          <w:sz w:val="20"/>
          <w:szCs w:val="20"/>
          <w:lang w:val="sr-Cyrl-RS"/>
        </w:rPr>
      </w:pPr>
      <w:r w:rsidRPr="00A021B7">
        <w:rPr>
          <w:rFonts w:ascii="Arial" w:hAnsi="Arial" w:cs="Arial"/>
          <w:sz w:val="20"/>
          <w:szCs w:val="20"/>
          <w:lang w:val="sr-Cyrl-RS"/>
        </w:rPr>
        <w:t xml:space="preserve">вршење других послова из оквира права и дужности </w:t>
      </w:r>
      <w:r w:rsidR="00AD6E7D" w:rsidRPr="00A021B7">
        <w:rPr>
          <w:rFonts w:ascii="Arial" w:hAnsi="Arial" w:cs="Arial"/>
          <w:sz w:val="20"/>
          <w:szCs w:val="20"/>
          <w:lang w:val="sr-Cyrl-RS"/>
        </w:rPr>
        <w:t xml:space="preserve">ЈЛС </w:t>
      </w:r>
      <w:r w:rsidRPr="00A021B7">
        <w:rPr>
          <w:rFonts w:ascii="Arial" w:hAnsi="Arial" w:cs="Arial"/>
          <w:sz w:val="20"/>
          <w:szCs w:val="20"/>
          <w:lang w:val="sr-Cyrl-RS"/>
        </w:rPr>
        <w:t>утврђених законом и статутом.</w:t>
      </w:r>
    </w:p>
    <w:p w14:paraId="16D0AB1C" w14:textId="77777777" w:rsidR="00C75AD7" w:rsidRPr="00A021B7" w:rsidRDefault="00C75AD7" w:rsidP="003E7BC9">
      <w:pPr>
        <w:jc w:val="both"/>
        <w:rPr>
          <w:rFonts w:ascii="Arial" w:hAnsi="Arial" w:cs="Arial"/>
          <w:sz w:val="20"/>
          <w:szCs w:val="20"/>
          <w:lang w:val="sr-Cyrl-RS"/>
        </w:rPr>
      </w:pPr>
    </w:p>
    <w:p w14:paraId="5E4103BF" w14:textId="535B7111" w:rsidR="00C75AD7" w:rsidRPr="00A021B7" w:rsidRDefault="0046689B" w:rsidP="00B97923">
      <w:pPr>
        <w:ind w:firstLine="720"/>
        <w:jc w:val="both"/>
        <w:rPr>
          <w:rFonts w:ascii="Arial" w:hAnsi="Arial" w:cs="Arial"/>
          <w:color w:val="000000" w:themeColor="text1"/>
          <w:sz w:val="20"/>
          <w:szCs w:val="20"/>
          <w:lang w:val="sr-Cyrl-RS"/>
        </w:rPr>
      </w:pPr>
      <w:r w:rsidRPr="0DD3B114">
        <w:rPr>
          <w:rFonts w:ascii="Arial" w:hAnsi="Arial" w:cs="Arial"/>
          <w:sz w:val="20"/>
          <w:szCs w:val="20"/>
          <w:lang w:val="sr-Cyrl-RS"/>
        </w:rPr>
        <w:t xml:space="preserve">С обзиром </w:t>
      </w:r>
      <w:r w:rsidR="00975B58" w:rsidRPr="0DD3B114">
        <w:rPr>
          <w:rFonts w:ascii="Arial" w:hAnsi="Arial" w:cs="Arial"/>
          <w:sz w:val="20"/>
          <w:szCs w:val="20"/>
          <w:lang w:val="sr-Cyrl-RS"/>
        </w:rPr>
        <w:t xml:space="preserve">на то </w:t>
      </w:r>
      <w:r w:rsidRPr="0DD3B114">
        <w:rPr>
          <w:rFonts w:ascii="Arial" w:hAnsi="Arial" w:cs="Arial"/>
          <w:sz w:val="20"/>
          <w:szCs w:val="20"/>
          <w:lang w:val="sr-Cyrl-RS"/>
        </w:rPr>
        <w:t>да скупштина доноси све опште акте (осим одлуке о привременом финансирању ЈЛС</w:t>
      </w:r>
      <w:r w:rsidR="00E5717B" w:rsidRPr="0DD3B114">
        <w:rPr>
          <w:rFonts w:ascii="Arial" w:hAnsi="Arial" w:cs="Arial"/>
          <w:sz w:val="20"/>
          <w:szCs w:val="20"/>
          <w:lang w:val="sr-Cyrl-RS"/>
        </w:rPr>
        <w:t xml:space="preserve"> и акта о унутраш</w:t>
      </w:r>
      <w:r w:rsidR="00231657" w:rsidRPr="0DD3B114">
        <w:rPr>
          <w:rFonts w:ascii="Arial" w:hAnsi="Arial" w:cs="Arial"/>
          <w:sz w:val="20"/>
          <w:szCs w:val="20"/>
          <w:lang w:val="sr-Cyrl-RS"/>
        </w:rPr>
        <w:t>њ</w:t>
      </w:r>
      <w:r w:rsidR="00E5717B" w:rsidRPr="0DD3B114">
        <w:rPr>
          <w:rFonts w:ascii="Arial" w:hAnsi="Arial" w:cs="Arial"/>
          <w:sz w:val="20"/>
          <w:szCs w:val="20"/>
          <w:lang w:val="sr-Cyrl-RS"/>
        </w:rPr>
        <w:t>ој организацији и систематизацији управе</w:t>
      </w:r>
      <w:r w:rsidRPr="0DD3B114">
        <w:rPr>
          <w:rFonts w:ascii="Arial" w:hAnsi="Arial" w:cs="Arial"/>
          <w:sz w:val="20"/>
          <w:szCs w:val="20"/>
          <w:lang w:val="sr-Cyrl-RS"/>
        </w:rPr>
        <w:t>), јасно је да је скупштина носилац нормативне функције</w:t>
      </w:r>
      <w:r w:rsidR="00E5717B" w:rsidRPr="0DD3B114">
        <w:rPr>
          <w:rFonts w:ascii="Arial" w:hAnsi="Arial" w:cs="Arial"/>
          <w:sz w:val="20"/>
          <w:szCs w:val="20"/>
          <w:lang w:val="sr-Cyrl-RS"/>
        </w:rPr>
        <w:t>.</w:t>
      </w:r>
      <w:r w:rsidRPr="0DD3B114">
        <w:rPr>
          <w:rFonts w:ascii="Arial" w:hAnsi="Arial" w:cs="Arial"/>
          <w:sz w:val="20"/>
          <w:szCs w:val="20"/>
          <w:lang w:val="sr-Cyrl-RS"/>
        </w:rPr>
        <w:t xml:space="preserve"> </w:t>
      </w:r>
      <w:r w:rsidR="00E5717B" w:rsidRPr="0DD3B114">
        <w:rPr>
          <w:rFonts w:ascii="Arial" w:hAnsi="Arial" w:cs="Arial"/>
          <w:sz w:val="20"/>
          <w:szCs w:val="20"/>
          <w:lang w:val="sr-Cyrl-RS"/>
        </w:rPr>
        <w:t>У</w:t>
      </w:r>
      <w:r w:rsidRPr="0DD3B114">
        <w:rPr>
          <w:rFonts w:ascii="Arial" w:hAnsi="Arial" w:cs="Arial"/>
          <w:sz w:val="20"/>
          <w:szCs w:val="20"/>
          <w:lang w:val="sr-Cyrl-RS"/>
        </w:rPr>
        <w:t xml:space="preserve"> оквиру изборне функције </w:t>
      </w:r>
      <w:r w:rsidR="00527E2B" w:rsidRPr="0DD3B114">
        <w:rPr>
          <w:rFonts w:ascii="Arial" w:hAnsi="Arial" w:cs="Arial"/>
          <w:sz w:val="20"/>
          <w:szCs w:val="20"/>
          <w:lang w:val="sr-Cyrl-RS"/>
        </w:rPr>
        <w:t xml:space="preserve">скупштина </w:t>
      </w:r>
      <w:r w:rsidRPr="0DD3B114">
        <w:rPr>
          <w:rFonts w:ascii="Arial" w:hAnsi="Arial" w:cs="Arial"/>
          <w:sz w:val="20"/>
          <w:szCs w:val="20"/>
          <w:lang w:val="sr-Cyrl-RS"/>
        </w:rPr>
        <w:t>бира</w:t>
      </w:r>
      <w:r w:rsidR="00E5717B" w:rsidRPr="0DD3B114">
        <w:rPr>
          <w:rFonts w:ascii="Arial" w:hAnsi="Arial" w:cs="Arial"/>
          <w:sz w:val="20"/>
          <w:szCs w:val="20"/>
          <w:lang w:val="sr-Cyrl-RS"/>
        </w:rPr>
        <w:t>, поставља или именује,</w:t>
      </w:r>
      <w:r w:rsidRPr="0DD3B114">
        <w:rPr>
          <w:rFonts w:ascii="Arial" w:hAnsi="Arial" w:cs="Arial"/>
          <w:sz w:val="20"/>
          <w:szCs w:val="20"/>
          <w:lang w:val="sr-Cyrl-RS"/>
        </w:rPr>
        <w:t xml:space="preserve"> поред наведених</w:t>
      </w:r>
      <w:r w:rsidR="00E5717B" w:rsidRPr="0DD3B114">
        <w:rPr>
          <w:rFonts w:ascii="Arial" w:hAnsi="Arial" w:cs="Arial"/>
          <w:sz w:val="20"/>
          <w:szCs w:val="20"/>
          <w:lang w:val="sr-Cyrl-RS"/>
        </w:rPr>
        <w:t xml:space="preserve"> функционера</w:t>
      </w:r>
      <w:r w:rsidR="00975B58" w:rsidRPr="0DD3B114">
        <w:rPr>
          <w:rFonts w:ascii="Arial" w:hAnsi="Arial" w:cs="Arial"/>
          <w:sz w:val="20"/>
          <w:szCs w:val="20"/>
          <w:lang w:val="sr-Cyrl-RS"/>
        </w:rPr>
        <w:t>,</w:t>
      </w:r>
      <w:r w:rsidR="00E5717B" w:rsidRPr="0DD3B114">
        <w:rPr>
          <w:rFonts w:ascii="Arial" w:hAnsi="Arial" w:cs="Arial"/>
          <w:sz w:val="20"/>
          <w:szCs w:val="20"/>
          <w:lang w:val="sr-Cyrl-RS"/>
        </w:rPr>
        <w:t xml:space="preserve"> и секретара скупштине, правобраниоца, локалног омбудсмана, директоре локалних јавних и комуналних предузећа, установа, чланове управних и надзорних одбора и друг</w:t>
      </w:r>
      <w:r w:rsidR="00E53D9A" w:rsidRPr="0DD3B114">
        <w:rPr>
          <w:rFonts w:ascii="Arial" w:hAnsi="Arial" w:cs="Arial"/>
          <w:sz w:val="20"/>
          <w:szCs w:val="20"/>
          <w:lang w:val="sr-Cyrl-RS"/>
        </w:rPr>
        <w:t>е</w:t>
      </w:r>
      <w:r w:rsidR="00E5717B" w:rsidRPr="0DD3B114">
        <w:rPr>
          <w:rFonts w:ascii="Arial" w:hAnsi="Arial" w:cs="Arial"/>
          <w:sz w:val="20"/>
          <w:szCs w:val="20"/>
          <w:lang w:val="sr-Cyrl-RS"/>
        </w:rPr>
        <w:t>.</w:t>
      </w:r>
      <w:r w:rsidR="00AE4D95" w:rsidRPr="0DD3B114">
        <w:rPr>
          <w:rFonts w:ascii="Arial" w:hAnsi="Arial" w:cs="Arial"/>
          <w:sz w:val="20"/>
          <w:szCs w:val="20"/>
          <w:lang w:val="sr-Cyrl-RS"/>
        </w:rPr>
        <w:t xml:space="preserve"> </w:t>
      </w:r>
      <w:r w:rsidR="00E5717B" w:rsidRPr="0DD3B114">
        <w:rPr>
          <w:rFonts w:ascii="Arial" w:hAnsi="Arial" w:cs="Arial"/>
          <w:sz w:val="20"/>
          <w:szCs w:val="20"/>
          <w:lang w:val="sr-Cyrl-RS"/>
        </w:rPr>
        <w:t>П</w:t>
      </w:r>
      <w:r w:rsidR="00C75AD7" w:rsidRPr="0DD3B114">
        <w:rPr>
          <w:rFonts w:ascii="Arial" w:hAnsi="Arial" w:cs="Arial"/>
          <w:sz w:val="20"/>
          <w:szCs w:val="20"/>
          <w:lang w:val="sr-Cyrl-RS"/>
        </w:rPr>
        <w:t>оред</w:t>
      </w:r>
      <w:r w:rsidR="00527E2B" w:rsidRPr="0DD3B114">
        <w:rPr>
          <w:rFonts w:ascii="Arial" w:hAnsi="Arial" w:cs="Arial"/>
          <w:sz w:val="20"/>
          <w:szCs w:val="20"/>
          <w:lang w:val="sr-Cyrl-RS"/>
        </w:rPr>
        <w:t xml:space="preserve"> наведене</w:t>
      </w:r>
      <w:r w:rsidR="00C75AD7" w:rsidRPr="0DD3B114">
        <w:rPr>
          <w:rFonts w:ascii="Arial" w:hAnsi="Arial" w:cs="Arial"/>
          <w:sz w:val="20"/>
          <w:szCs w:val="20"/>
          <w:lang w:val="sr-Cyrl-RS"/>
        </w:rPr>
        <w:t xml:space="preserve"> нормативне</w:t>
      </w:r>
      <w:r w:rsidR="00527E2B" w:rsidRPr="0DD3B114">
        <w:rPr>
          <w:rFonts w:ascii="Arial" w:hAnsi="Arial" w:cs="Arial"/>
          <w:sz w:val="20"/>
          <w:szCs w:val="20"/>
          <w:lang w:val="sr-Cyrl-RS"/>
        </w:rPr>
        <w:t xml:space="preserve"> и изборне функције, надзорна функција</w:t>
      </w:r>
      <w:r w:rsidR="00C75AD7" w:rsidRPr="0DD3B114">
        <w:rPr>
          <w:rFonts w:ascii="Arial" w:hAnsi="Arial" w:cs="Arial"/>
          <w:sz w:val="20"/>
          <w:szCs w:val="20"/>
          <w:lang w:val="sr-Cyrl-RS"/>
        </w:rPr>
        <w:t xml:space="preserve"> представља окосницу успостављеног система локалне самоуправе и један од темеља функционисања скупштине у целини. </w:t>
      </w:r>
      <w:r w:rsidR="00527E2B" w:rsidRPr="0DD3B114">
        <w:rPr>
          <w:rFonts w:ascii="Arial" w:hAnsi="Arial" w:cs="Arial"/>
          <w:sz w:val="20"/>
          <w:szCs w:val="20"/>
          <w:lang w:val="sr-Cyrl-RS"/>
        </w:rPr>
        <w:t xml:space="preserve">Управо за надзорну функцију се може рећи да је недовољно развијена и недовољно нормативно уређена. </w:t>
      </w:r>
      <w:r w:rsidR="00C75AD7" w:rsidRPr="0DD3B114">
        <w:rPr>
          <w:rFonts w:ascii="Arial" w:hAnsi="Arial" w:cs="Arial"/>
          <w:sz w:val="20"/>
          <w:szCs w:val="20"/>
          <w:lang w:val="sr-Cyrl-RS"/>
        </w:rPr>
        <w:t xml:space="preserve">ЗЛС у основним цртама назначује надзорну функцију скупштине, а ближа разрада облика и начина остваривања ове функције </w:t>
      </w:r>
      <w:r w:rsidR="00975B58" w:rsidRPr="0DD3B114">
        <w:rPr>
          <w:rFonts w:ascii="Arial" w:hAnsi="Arial" w:cs="Arial"/>
          <w:sz w:val="20"/>
          <w:szCs w:val="20"/>
          <w:lang w:val="sr-Cyrl-RS"/>
        </w:rPr>
        <w:t>препуштена</w:t>
      </w:r>
      <w:r w:rsidR="00C75AD7" w:rsidRPr="0DD3B114">
        <w:rPr>
          <w:rFonts w:ascii="Arial" w:hAnsi="Arial" w:cs="Arial"/>
          <w:sz w:val="20"/>
          <w:szCs w:val="20"/>
          <w:lang w:val="sr-Cyrl-RS"/>
        </w:rPr>
        <w:t xml:space="preserve"> је посебним законима и актима ЈЛС. Утисак је да</w:t>
      </w:r>
      <w:r w:rsidR="5546EEB5" w:rsidRPr="0DD3B114">
        <w:rPr>
          <w:rFonts w:ascii="Arial" w:hAnsi="Arial" w:cs="Arial"/>
          <w:sz w:val="20"/>
          <w:szCs w:val="20"/>
          <w:lang w:val="sr-Cyrl-RS"/>
        </w:rPr>
        <w:t>,</w:t>
      </w:r>
      <w:r w:rsidR="00C75AD7" w:rsidRPr="0DD3B114">
        <w:rPr>
          <w:rFonts w:ascii="Arial" w:hAnsi="Arial" w:cs="Arial"/>
          <w:sz w:val="20"/>
          <w:szCs w:val="20"/>
          <w:lang w:val="sr-Cyrl-RS"/>
        </w:rPr>
        <w:t xml:space="preserve"> за разлику од нормативне и „изборне</w:t>
      </w:r>
      <w:r w:rsidR="0074037A" w:rsidRPr="0DD3B114">
        <w:rPr>
          <w:rFonts w:ascii="Arial" w:hAnsi="Arial" w:cs="Arial"/>
          <w:sz w:val="20"/>
          <w:szCs w:val="20"/>
          <w:lang w:val="sr-Cyrl-RS"/>
        </w:rPr>
        <w:t>”</w:t>
      </w:r>
      <w:r w:rsidR="00C75AD7" w:rsidRPr="0DD3B114">
        <w:rPr>
          <w:rFonts w:ascii="Arial" w:hAnsi="Arial" w:cs="Arial"/>
          <w:sz w:val="20"/>
          <w:szCs w:val="20"/>
          <w:lang w:val="sr-Cyrl-RS"/>
        </w:rPr>
        <w:t xml:space="preserve"> функције, у важећим статутима и пословницима о раду</w:t>
      </w:r>
      <w:r w:rsidR="7C289F6F" w:rsidRPr="0DD3B114">
        <w:rPr>
          <w:rFonts w:ascii="Arial" w:hAnsi="Arial" w:cs="Arial"/>
          <w:sz w:val="20"/>
          <w:szCs w:val="20"/>
          <w:lang w:val="sr-Cyrl-RS"/>
        </w:rPr>
        <w:t>,</w:t>
      </w:r>
      <w:r w:rsidR="00C75AD7" w:rsidRPr="0DD3B114">
        <w:rPr>
          <w:rFonts w:ascii="Arial" w:hAnsi="Arial" w:cs="Arial"/>
          <w:sz w:val="20"/>
          <w:szCs w:val="20"/>
          <w:lang w:val="sr-Cyrl-RS"/>
        </w:rPr>
        <w:t xml:space="preserve"> односно у пракси, надзорна функција скупштине није уопште или није у довољној </w:t>
      </w:r>
      <w:r w:rsidR="00C75AD7" w:rsidRPr="0DD3B114">
        <w:rPr>
          <w:rFonts w:ascii="Arial" w:hAnsi="Arial" w:cs="Arial"/>
          <w:color w:val="000000" w:themeColor="text1"/>
          <w:sz w:val="20"/>
          <w:szCs w:val="20"/>
          <w:lang w:val="sr-Cyrl-RS"/>
        </w:rPr>
        <w:t>мери изражена. Наиме, скупштински надзор над радом извршних органа, јавних предузећа, установа и других органа и служби подразумева обавезу тих субјеката да скупштини подносе извештаје о свом раду (редовно, периодично).</w:t>
      </w:r>
      <w:r w:rsidR="00567322" w:rsidRPr="0DD3B114">
        <w:rPr>
          <w:rFonts w:ascii="Arial" w:hAnsi="Arial" w:cs="Arial"/>
          <w:color w:val="000000" w:themeColor="text1"/>
          <w:sz w:val="20"/>
          <w:szCs w:val="20"/>
          <w:lang w:val="sr-Cyrl-RS"/>
        </w:rPr>
        <w:t xml:space="preserve"> </w:t>
      </w:r>
      <w:r w:rsidR="00C75AD7" w:rsidRPr="0DD3B114">
        <w:rPr>
          <w:rFonts w:ascii="Arial" w:hAnsi="Arial" w:cs="Arial"/>
          <w:color w:val="000000" w:themeColor="text1"/>
          <w:sz w:val="20"/>
          <w:szCs w:val="20"/>
          <w:lang w:val="sr-Cyrl-RS"/>
        </w:rPr>
        <w:t xml:space="preserve">Кроз анализу значајног узорка </w:t>
      </w:r>
      <w:r w:rsidR="628870CB" w:rsidRPr="0DD3B114">
        <w:rPr>
          <w:rFonts w:ascii="Arial" w:hAnsi="Arial" w:cs="Arial"/>
          <w:color w:val="000000" w:themeColor="text1"/>
          <w:sz w:val="20"/>
          <w:szCs w:val="20"/>
          <w:lang w:val="sr-Cyrl-RS"/>
        </w:rPr>
        <w:t>п</w:t>
      </w:r>
      <w:r w:rsidR="00C75AD7" w:rsidRPr="0DD3B114">
        <w:rPr>
          <w:rFonts w:ascii="Arial" w:hAnsi="Arial" w:cs="Arial"/>
          <w:color w:val="000000" w:themeColor="text1"/>
          <w:sz w:val="20"/>
          <w:szCs w:val="20"/>
          <w:lang w:val="sr-Cyrl-RS"/>
        </w:rPr>
        <w:t xml:space="preserve">ословника о раду </w:t>
      </w:r>
      <w:r w:rsidR="00B97923" w:rsidRPr="0DD3B114">
        <w:rPr>
          <w:rFonts w:ascii="Arial" w:hAnsi="Arial" w:cs="Arial"/>
          <w:color w:val="000000" w:themeColor="text1"/>
          <w:sz w:val="20"/>
          <w:szCs w:val="20"/>
          <w:lang w:val="sr-Cyrl-RS"/>
        </w:rPr>
        <w:t>скупштина општине</w:t>
      </w:r>
      <w:r w:rsidR="2BD8A5A0" w:rsidRPr="0DD3B114">
        <w:rPr>
          <w:rFonts w:ascii="Arial" w:hAnsi="Arial" w:cs="Arial"/>
          <w:color w:val="000000" w:themeColor="text1"/>
          <w:sz w:val="20"/>
          <w:szCs w:val="20"/>
          <w:lang w:val="sr-Cyrl-RS"/>
        </w:rPr>
        <w:t>,</w:t>
      </w:r>
      <w:r w:rsidR="00C75AD7" w:rsidRPr="0DD3B114">
        <w:rPr>
          <w:rFonts w:ascii="Arial" w:hAnsi="Arial" w:cs="Arial"/>
          <w:color w:val="000000" w:themeColor="text1"/>
          <w:sz w:val="20"/>
          <w:szCs w:val="20"/>
          <w:lang w:val="sr-Cyrl-RS"/>
        </w:rPr>
        <w:t xml:space="preserve"> кој</w:t>
      </w:r>
      <w:r w:rsidR="417849C7" w:rsidRPr="0DD3B114">
        <w:rPr>
          <w:rFonts w:ascii="Arial" w:hAnsi="Arial" w:cs="Arial"/>
          <w:color w:val="000000" w:themeColor="text1"/>
          <w:sz w:val="20"/>
          <w:szCs w:val="20"/>
          <w:lang w:val="sr-Cyrl-RS"/>
        </w:rPr>
        <w:t>у</w:t>
      </w:r>
      <w:r w:rsidR="00C75AD7" w:rsidRPr="0DD3B114">
        <w:rPr>
          <w:rFonts w:ascii="Arial" w:hAnsi="Arial" w:cs="Arial"/>
          <w:color w:val="000000" w:themeColor="text1"/>
          <w:sz w:val="20"/>
          <w:szCs w:val="20"/>
          <w:lang w:val="sr-Cyrl-RS"/>
        </w:rPr>
        <w:t xml:space="preserve"> је </w:t>
      </w:r>
      <w:r w:rsidR="00D80D19" w:rsidRPr="0DD3B114">
        <w:rPr>
          <w:rFonts w:ascii="Arial" w:hAnsi="Arial" w:cs="Arial"/>
          <w:color w:val="000000" w:themeColor="text1"/>
          <w:sz w:val="20"/>
          <w:szCs w:val="20"/>
          <w:lang w:val="sr-Cyrl-RS"/>
        </w:rPr>
        <w:t xml:space="preserve">2018. године </w:t>
      </w:r>
      <w:r w:rsidR="00C75AD7" w:rsidRPr="0DD3B114">
        <w:rPr>
          <w:rFonts w:ascii="Arial" w:hAnsi="Arial" w:cs="Arial"/>
          <w:color w:val="000000" w:themeColor="text1"/>
          <w:sz w:val="20"/>
          <w:szCs w:val="20"/>
          <w:lang w:val="sr-Cyrl-RS"/>
        </w:rPr>
        <w:t>спровела СКГО, није утврђено да су ова обавеза за те субјекте, односно овлашћења скупштине и поступање скупштине по поднетим извештајима, конкретизовани. Наиме</w:t>
      </w:r>
      <w:r w:rsidR="00B97923" w:rsidRPr="0DD3B114">
        <w:rPr>
          <w:rFonts w:ascii="Arial" w:hAnsi="Arial" w:cs="Arial"/>
          <w:color w:val="000000" w:themeColor="text1"/>
          <w:sz w:val="20"/>
          <w:szCs w:val="20"/>
          <w:lang w:val="sr-Cyrl-RS"/>
        </w:rPr>
        <w:t>,</w:t>
      </w:r>
      <w:r w:rsidR="00C75AD7" w:rsidRPr="0DD3B114">
        <w:rPr>
          <w:rFonts w:ascii="Arial" w:hAnsi="Arial" w:cs="Arial"/>
          <w:color w:val="000000" w:themeColor="text1"/>
          <w:sz w:val="20"/>
          <w:szCs w:val="20"/>
          <w:lang w:val="sr-Cyrl-RS"/>
        </w:rPr>
        <w:t xml:space="preserve"> пословници најчешће нису имали посебних одредаба о начину разматрања тих извештаја на седници скупштине, </w:t>
      </w:r>
      <w:r w:rsidR="4BF04C66" w:rsidRPr="0DD3B114">
        <w:rPr>
          <w:rFonts w:ascii="Arial" w:hAnsi="Arial" w:cs="Arial"/>
          <w:color w:val="000000" w:themeColor="text1"/>
          <w:sz w:val="20"/>
          <w:szCs w:val="20"/>
          <w:lang w:val="sr-Cyrl-RS"/>
        </w:rPr>
        <w:t xml:space="preserve">њиховом </w:t>
      </w:r>
      <w:r w:rsidR="00C75AD7" w:rsidRPr="0DD3B114">
        <w:rPr>
          <w:rFonts w:ascii="Arial" w:hAnsi="Arial" w:cs="Arial"/>
          <w:color w:val="000000" w:themeColor="text1"/>
          <w:sz w:val="20"/>
          <w:szCs w:val="20"/>
          <w:lang w:val="sr-Cyrl-RS"/>
        </w:rPr>
        <w:t>претходном разматрању на одговарајућим радним телима</w:t>
      </w:r>
      <w:r w:rsidR="00CE6A15" w:rsidRPr="0DD3B114">
        <w:rPr>
          <w:rFonts w:ascii="Arial" w:hAnsi="Arial" w:cs="Arial"/>
          <w:color w:val="000000" w:themeColor="text1"/>
          <w:sz w:val="20"/>
          <w:szCs w:val="20"/>
          <w:lang w:val="sr-Cyrl-RS"/>
        </w:rPr>
        <w:t xml:space="preserve"> скупштине</w:t>
      </w:r>
      <w:r w:rsidR="00C75AD7" w:rsidRPr="0DD3B114">
        <w:rPr>
          <w:rFonts w:ascii="Arial" w:hAnsi="Arial" w:cs="Arial"/>
          <w:color w:val="000000" w:themeColor="text1"/>
          <w:sz w:val="20"/>
          <w:szCs w:val="20"/>
          <w:lang w:val="sr-Cyrl-RS"/>
        </w:rPr>
        <w:t xml:space="preserve"> нити су прописивали садржину извештаја или рокове за подношење и разматрање. Са друге стране, иако то није била шира пракса у раду скупштина ЈЛС, према последњим анализама статута ЈЛС, велики број </w:t>
      </w:r>
      <w:r w:rsidR="47C1DE0A" w:rsidRPr="0DD3B114">
        <w:rPr>
          <w:rFonts w:ascii="Arial" w:hAnsi="Arial" w:cs="Arial"/>
          <w:color w:val="000000" w:themeColor="text1"/>
          <w:sz w:val="20"/>
          <w:szCs w:val="20"/>
          <w:lang w:val="sr-Cyrl-RS"/>
        </w:rPr>
        <w:t xml:space="preserve">ЈЛС </w:t>
      </w:r>
      <w:r w:rsidR="00C75AD7" w:rsidRPr="0DD3B114">
        <w:rPr>
          <w:rFonts w:ascii="Arial" w:hAnsi="Arial" w:cs="Arial"/>
          <w:color w:val="000000" w:themeColor="text1"/>
          <w:sz w:val="20"/>
          <w:szCs w:val="20"/>
          <w:lang w:val="sr-Cyrl-RS"/>
        </w:rPr>
        <w:t xml:space="preserve">предвидео </w:t>
      </w:r>
      <w:r w:rsidR="52D2536C" w:rsidRPr="0DD3B114">
        <w:rPr>
          <w:rFonts w:ascii="Arial" w:hAnsi="Arial" w:cs="Arial"/>
          <w:color w:val="000000" w:themeColor="text1"/>
          <w:sz w:val="20"/>
          <w:szCs w:val="20"/>
          <w:lang w:val="sr-Cyrl-RS"/>
        </w:rPr>
        <w:t xml:space="preserve">је </w:t>
      </w:r>
      <w:r w:rsidR="00C75AD7" w:rsidRPr="0DD3B114">
        <w:rPr>
          <w:rFonts w:ascii="Arial" w:hAnsi="Arial" w:cs="Arial"/>
          <w:color w:val="000000" w:themeColor="text1"/>
          <w:sz w:val="20"/>
          <w:szCs w:val="20"/>
          <w:lang w:val="sr-Cyrl-RS"/>
        </w:rPr>
        <w:t>могућност организовања јавних слушања</w:t>
      </w:r>
      <w:r w:rsidR="00CE6A15" w:rsidRPr="0DD3B114">
        <w:rPr>
          <w:rFonts w:ascii="Arial" w:hAnsi="Arial" w:cs="Arial"/>
          <w:color w:val="000000" w:themeColor="text1"/>
          <w:sz w:val="20"/>
          <w:szCs w:val="20"/>
          <w:lang w:val="sr-Cyrl-RS"/>
        </w:rPr>
        <w:t xml:space="preserve"> (у складу са ЗЛС)</w:t>
      </w:r>
      <w:r w:rsidR="00C75AD7" w:rsidRPr="0DD3B114">
        <w:rPr>
          <w:rFonts w:ascii="Arial" w:hAnsi="Arial" w:cs="Arial"/>
          <w:color w:val="000000" w:themeColor="text1"/>
          <w:sz w:val="20"/>
          <w:szCs w:val="20"/>
          <w:lang w:val="sr-Cyrl-RS"/>
        </w:rPr>
        <w:t>, која су важан инст</w:t>
      </w:r>
      <w:r w:rsidR="3126EE50" w:rsidRPr="0DD3B114">
        <w:rPr>
          <w:rFonts w:ascii="Arial" w:hAnsi="Arial" w:cs="Arial"/>
          <w:color w:val="000000" w:themeColor="text1"/>
          <w:sz w:val="20"/>
          <w:szCs w:val="20"/>
          <w:lang w:val="sr-Cyrl-RS"/>
        </w:rPr>
        <w:t>р</w:t>
      </w:r>
      <w:r w:rsidR="00C75AD7" w:rsidRPr="0DD3B114">
        <w:rPr>
          <w:rFonts w:ascii="Arial" w:hAnsi="Arial" w:cs="Arial"/>
          <w:color w:val="000000" w:themeColor="text1"/>
          <w:sz w:val="20"/>
          <w:szCs w:val="20"/>
          <w:lang w:val="sr-Cyrl-RS"/>
        </w:rPr>
        <w:t>умент за остваривање надзорне функције скупштине.</w:t>
      </w:r>
    </w:p>
    <w:p w14:paraId="7F39A786" w14:textId="77777777" w:rsidR="00C75AD7" w:rsidRPr="00A021B7" w:rsidRDefault="00C75AD7" w:rsidP="003E7BC9">
      <w:pPr>
        <w:jc w:val="both"/>
        <w:rPr>
          <w:rFonts w:ascii="Arial" w:hAnsi="Arial" w:cs="Arial"/>
          <w:color w:val="000000" w:themeColor="text1"/>
          <w:sz w:val="20"/>
          <w:szCs w:val="20"/>
          <w:lang w:val="sr-Cyrl-RS"/>
        </w:rPr>
      </w:pPr>
    </w:p>
    <w:p w14:paraId="61DCCA85" w14:textId="1FDA05B1" w:rsidR="00C75AD7"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Скупштинска контрола извршних органа јесте битна одлика </w:t>
      </w:r>
      <w:r w:rsidR="00CB2ABC" w:rsidRPr="0DD3B114">
        <w:rPr>
          <w:rFonts w:ascii="Arial" w:hAnsi="Arial" w:cs="Arial"/>
          <w:sz w:val="20"/>
          <w:szCs w:val="20"/>
          <w:lang w:val="sr-Cyrl-RS"/>
        </w:rPr>
        <w:t>представничке власти</w:t>
      </w:r>
      <w:r w:rsidRPr="0DD3B114">
        <w:rPr>
          <w:rFonts w:ascii="Arial" w:hAnsi="Arial" w:cs="Arial"/>
          <w:sz w:val="20"/>
          <w:szCs w:val="20"/>
          <w:lang w:val="sr-Cyrl-RS"/>
        </w:rPr>
        <w:t xml:space="preserve"> и предвиђена је чланом 48. ЗЛС</w:t>
      </w:r>
      <w:r w:rsidR="00270433" w:rsidRPr="0DD3B114">
        <w:rPr>
          <w:rFonts w:ascii="Arial" w:hAnsi="Arial" w:cs="Arial"/>
          <w:sz w:val="20"/>
          <w:szCs w:val="20"/>
          <w:lang w:val="sr-Cyrl-RS"/>
        </w:rPr>
        <w:t>,</w:t>
      </w:r>
      <w:r w:rsidRPr="0DD3B114">
        <w:rPr>
          <w:rFonts w:ascii="Arial" w:hAnsi="Arial" w:cs="Arial"/>
          <w:sz w:val="20"/>
          <w:szCs w:val="20"/>
          <w:lang w:val="sr-Cyrl-RS"/>
        </w:rPr>
        <w:t xml:space="preserve"> који предвиђа да</w:t>
      </w:r>
      <w:r w:rsidR="004D5004" w:rsidRPr="0DD3B114">
        <w:rPr>
          <w:rFonts w:ascii="Arial" w:hAnsi="Arial" w:cs="Arial"/>
          <w:sz w:val="20"/>
          <w:szCs w:val="20"/>
          <w:lang w:val="sr-Cyrl-RS"/>
        </w:rPr>
        <w:t xml:space="preserve"> </w:t>
      </w:r>
      <w:r w:rsidRPr="0DD3B114">
        <w:rPr>
          <w:rFonts w:ascii="Arial" w:hAnsi="Arial" w:cs="Arial"/>
          <w:sz w:val="20"/>
          <w:szCs w:val="20"/>
          <w:lang w:val="sr-Cyrl-RS"/>
        </w:rPr>
        <w:t xml:space="preserve">председник општине и општинско веће редовно извештавају скупштину општине, по сопственој иницијативи или на њен захтев, о извршавању одлука и других аката скупштине општине. </w:t>
      </w:r>
      <w:r w:rsidR="00527E2B" w:rsidRPr="0DD3B114">
        <w:rPr>
          <w:rFonts w:ascii="Arial" w:hAnsi="Arial" w:cs="Arial"/>
          <w:sz w:val="20"/>
          <w:szCs w:val="20"/>
          <w:lang w:val="sr-Cyrl-RS"/>
        </w:rPr>
        <w:t>О</w:t>
      </w:r>
      <w:r w:rsidRPr="0DD3B114">
        <w:rPr>
          <w:rFonts w:ascii="Arial" w:hAnsi="Arial" w:cs="Arial"/>
          <w:sz w:val="20"/>
          <w:szCs w:val="20"/>
          <w:lang w:val="sr-Cyrl-RS"/>
        </w:rPr>
        <w:t xml:space="preserve">ва одредба </w:t>
      </w:r>
      <w:r w:rsidR="00527E2B" w:rsidRPr="0DD3B114">
        <w:rPr>
          <w:rFonts w:ascii="Arial" w:hAnsi="Arial" w:cs="Arial"/>
          <w:sz w:val="20"/>
          <w:szCs w:val="20"/>
          <w:lang w:val="sr-Cyrl-RS"/>
        </w:rPr>
        <w:t xml:space="preserve">предвиђа </w:t>
      </w:r>
      <w:r w:rsidRPr="0DD3B114">
        <w:rPr>
          <w:rFonts w:ascii="Arial" w:hAnsi="Arial" w:cs="Arial"/>
          <w:sz w:val="20"/>
          <w:szCs w:val="20"/>
          <w:lang w:val="sr-Cyrl-RS"/>
        </w:rPr>
        <w:t>обавезу извештавања</w:t>
      </w:r>
      <w:r w:rsidR="00F008F9" w:rsidRPr="0DD3B114">
        <w:rPr>
          <w:rFonts w:ascii="Arial" w:hAnsi="Arial" w:cs="Arial"/>
          <w:sz w:val="20"/>
          <w:szCs w:val="20"/>
          <w:lang w:val="sr-Cyrl-RS"/>
        </w:rPr>
        <w:t>,</w:t>
      </w:r>
      <w:r w:rsidRPr="0DD3B114">
        <w:rPr>
          <w:rFonts w:ascii="Arial" w:hAnsi="Arial" w:cs="Arial"/>
          <w:sz w:val="20"/>
          <w:szCs w:val="20"/>
          <w:lang w:val="sr-Cyrl-RS"/>
        </w:rPr>
        <w:t xml:space="preserve"> </w:t>
      </w:r>
      <w:r w:rsidR="00527E2B" w:rsidRPr="0DD3B114">
        <w:rPr>
          <w:rFonts w:ascii="Arial" w:hAnsi="Arial" w:cs="Arial"/>
          <w:sz w:val="20"/>
          <w:szCs w:val="20"/>
          <w:lang w:val="sr-Cyrl-RS"/>
        </w:rPr>
        <w:t xml:space="preserve">међутим </w:t>
      </w:r>
      <w:r w:rsidR="00DA3A0E" w:rsidRPr="0DD3B114">
        <w:rPr>
          <w:rFonts w:ascii="Arial" w:hAnsi="Arial" w:cs="Arial"/>
          <w:sz w:val="20"/>
          <w:szCs w:val="20"/>
          <w:lang w:val="sr-Cyrl-RS"/>
        </w:rPr>
        <w:t>не одређује</w:t>
      </w:r>
      <w:r w:rsidR="00F24D03" w:rsidRPr="0DD3B114">
        <w:rPr>
          <w:rFonts w:ascii="Arial" w:hAnsi="Arial" w:cs="Arial"/>
          <w:sz w:val="20"/>
          <w:szCs w:val="20"/>
          <w:lang w:val="sr-Cyrl-RS"/>
        </w:rPr>
        <w:t xml:space="preserve"> ту обавезу</w:t>
      </w:r>
      <w:r w:rsidR="00DA3A0E" w:rsidRPr="0DD3B114">
        <w:rPr>
          <w:rFonts w:ascii="Arial" w:hAnsi="Arial" w:cs="Arial"/>
          <w:sz w:val="20"/>
          <w:szCs w:val="20"/>
          <w:lang w:val="sr-Cyrl-RS"/>
        </w:rPr>
        <w:t xml:space="preserve"> у погледу периода и последица неусвајања извештаја већ </w:t>
      </w:r>
      <w:r w:rsidRPr="0DD3B114">
        <w:rPr>
          <w:rFonts w:ascii="Arial" w:hAnsi="Arial" w:cs="Arial"/>
          <w:sz w:val="20"/>
          <w:szCs w:val="20"/>
          <w:lang w:val="sr-Cyrl-RS"/>
        </w:rPr>
        <w:t xml:space="preserve">оставља отворен простор за уређивање овог питања кроз локалне акте, првенствено кроз </w:t>
      </w:r>
      <w:r w:rsidR="5E282215" w:rsidRPr="0DD3B114">
        <w:rPr>
          <w:rFonts w:ascii="Arial" w:hAnsi="Arial" w:cs="Arial"/>
          <w:sz w:val="20"/>
          <w:szCs w:val="20"/>
          <w:lang w:val="sr-Cyrl-RS"/>
        </w:rPr>
        <w:t>с</w:t>
      </w:r>
      <w:r w:rsidRPr="0DD3B114">
        <w:rPr>
          <w:rFonts w:ascii="Arial" w:hAnsi="Arial" w:cs="Arial"/>
          <w:sz w:val="20"/>
          <w:szCs w:val="20"/>
          <w:lang w:val="sr-Cyrl-RS"/>
        </w:rPr>
        <w:t xml:space="preserve">татут и </w:t>
      </w:r>
      <w:r w:rsidR="6F28DCF5" w:rsidRPr="0DD3B114">
        <w:rPr>
          <w:rFonts w:ascii="Arial" w:hAnsi="Arial" w:cs="Arial"/>
          <w:sz w:val="20"/>
          <w:szCs w:val="20"/>
          <w:lang w:val="sr-Cyrl-RS"/>
        </w:rPr>
        <w:t>п</w:t>
      </w:r>
      <w:r w:rsidRPr="0DD3B114">
        <w:rPr>
          <w:rFonts w:ascii="Arial" w:hAnsi="Arial" w:cs="Arial"/>
          <w:sz w:val="20"/>
          <w:szCs w:val="20"/>
          <w:lang w:val="sr-Cyrl-RS"/>
        </w:rPr>
        <w:t xml:space="preserve">ословник о раду </w:t>
      </w:r>
      <w:r w:rsidR="00F24D03" w:rsidRPr="0DD3B114">
        <w:rPr>
          <w:rFonts w:ascii="Arial" w:hAnsi="Arial" w:cs="Arial"/>
          <w:sz w:val="20"/>
          <w:szCs w:val="20"/>
          <w:lang w:val="sr-Cyrl-RS"/>
        </w:rPr>
        <w:t>скупштине општине</w:t>
      </w:r>
      <w:r w:rsidRPr="0DD3B114">
        <w:rPr>
          <w:rFonts w:ascii="Arial" w:hAnsi="Arial" w:cs="Arial"/>
          <w:sz w:val="20"/>
          <w:szCs w:val="20"/>
          <w:lang w:val="sr-Cyrl-RS"/>
        </w:rPr>
        <w:t>. То се, пре свега, односи на прецизирање периода „редовног</w:t>
      </w:r>
      <w:r w:rsidR="0074037A" w:rsidRPr="0DD3B114">
        <w:rPr>
          <w:rFonts w:ascii="Arial" w:hAnsi="Arial" w:cs="Arial"/>
          <w:sz w:val="20"/>
          <w:szCs w:val="20"/>
          <w:lang w:val="sr-Cyrl-RS"/>
        </w:rPr>
        <w:t>”</w:t>
      </w:r>
      <w:r w:rsidRPr="0DD3B114">
        <w:rPr>
          <w:rFonts w:ascii="Arial" w:hAnsi="Arial" w:cs="Arial"/>
          <w:sz w:val="20"/>
          <w:szCs w:val="20"/>
          <w:lang w:val="sr-Cyrl-RS"/>
        </w:rPr>
        <w:t xml:space="preserve"> извештавања, одређивање питања која извештај обавезно садржи, обавезу разматрања извештаја на свим сталним радним телима скупштине, обавезу извршних органа и рокове за кориговање извештаја</w:t>
      </w:r>
      <w:r w:rsidR="00F24D03" w:rsidRPr="0DD3B114">
        <w:rPr>
          <w:rFonts w:ascii="Arial" w:hAnsi="Arial" w:cs="Arial"/>
          <w:sz w:val="20"/>
          <w:szCs w:val="20"/>
          <w:lang w:val="sr-Cyrl-RS"/>
        </w:rPr>
        <w:t>,</w:t>
      </w:r>
      <w:r w:rsidRPr="0DD3B114">
        <w:rPr>
          <w:rFonts w:ascii="Arial" w:hAnsi="Arial" w:cs="Arial"/>
          <w:sz w:val="20"/>
          <w:szCs w:val="20"/>
          <w:lang w:val="sr-Cyrl-RS"/>
        </w:rPr>
        <w:t xml:space="preserve"> уколико га скупштина оцени као непотпун или нејасан, последице неприхватања извештаја у целини и слично. То даље значи да је извршним органима препуштено да сами одреде питања која ће обухватити извештајем, а сваком радном телу да одлучи да ли ће тај извештај претходно разматрати.</w:t>
      </w:r>
    </w:p>
    <w:p w14:paraId="6E52407B" w14:textId="77777777" w:rsidR="00E9458D" w:rsidRPr="00A021B7" w:rsidRDefault="00E9458D" w:rsidP="0DD3B114">
      <w:pPr>
        <w:ind w:firstLine="720"/>
        <w:jc w:val="both"/>
        <w:rPr>
          <w:rFonts w:ascii="Arial" w:hAnsi="Arial" w:cs="Arial"/>
          <w:sz w:val="20"/>
          <w:szCs w:val="20"/>
          <w:lang w:val="sr-Cyrl-RS"/>
        </w:rPr>
      </w:pPr>
    </w:p>
    <w:p w14:paraId="6480ABA9" w14:textId="231F437D" w:rsidR="00C75AD7" w:rsidRPr="00A021B7" w:rsidRDefault="00E9458D" w:rsidP="0DD3B114">
      <w:pPr>
        <w:ind w:firstLine="720"/>
        <w:jc w:val="both"/>
        <w:rPr>
          <w:rFonts w:ascii="Arial" w:hAnsi="Arial" w:cs="Arial"/>
          <w:sz w:val="20"/>
          <w:szCs w:val="20"/>
          <w:lang w:val="sr-Cyrl-RS"/>
        </w:rPr>
      </w:pPr>
      <w:r w:rsidRPr="0DD3B114">
        <w:rPr>
          <w:rFonts w:ascii="Arial" w:hAnsi="Arial" w:cs="Arial"/>
          <w:color w:val="000000" w:themeColor="text1"/>
          <w:sz w:val="20"/>
          <w:szCs w:val="20"/>
          <w:lang w:val="sr-Cyrl-RS"/>
        </w:rPr>
        <w:t xml:space="preserve">Посебан сегмент скупштинске контроле је </w:t>
      </w:r>
      <w:r w:rsidR="005859F7" w:rsidRPr="0DD3B114">
        <w:rPr>
          <w:rFonts w:ascii="Arial" w:hAnsi="Arial" w:cs="Arial"/>
          <w:color w:val="000000" w:themeColor="text1"/>
          <w:sz w:val="20"/>
          <w:szCs w:val="20"/>
          <w:lang w:val="sr-Cyrl-RS"/>
        </w:rPr>
        <w:t xml:space="preserve">контрола </w:t>
      </w:r>
      <w:r w:rsidRPr="0DD3B114">
        <w:rPr>
          <w:rFonts w:ascii="Arial" w:hAnsi="Arial" w:cs="Arial"/>
          <w:color w:val="000000" w:themeColor="text1"/>
          <w:sz w:val="20"/>
          <w:szCs w:val="20"/>
          <w:lang w:val="sr-Cyrl-RS"/>
        </w:rPr>
        <w:t>од стране одборника скупштине. ЗЛС</w:t>
      </w:r>
      <w:r w:rsidR="005138AB" w:rsidRPr="0DD3B114">
        <w:rPr>
          <w:rFonts w:ascii="Arial" w:hAnsi="Arial" w:cs="Arial"/>
          <w:color w:val="000000" w:themeColor="text1"/>
          <w:sz w:val="20"/>
          <w:szCs w:val="20"/>
          <w:lang w:val="sr-Cyrl-RS"/>
        </w:rPr>
        <w:t xml:space="preserve"> (чл</w:t>
      </w:r>
      <w:r w:rsidR="005859F7" w:rsidRPr="0DD3B114">
        <w:rPr>
          <w:rFonts w:ascii="Arial" w:hAnsi="Arial" w:cs="Arial"/>
          <w:color w:val="000000" w:themeColor="text1"/>
          <w:sz w:val="20"/>
          <w:szCs w:val="20"/>
          <w:lang w:val="sr-Cyrl-RS"/>
        </w:rPr>
        <w:t>ан</w:t>
      </w:r>
      <w:r w:rsidR="005138AB" w:rsidRPr="0DD3B114">
        <w:rPr>
          <w:rFonts w:ascii="Arial" w:hAnsi="Arial" w:cs="Arial"/>
          <w:color w:val="000000" w:themeColor="text1"/>
          <w:sz w:val="20"/>
          <w:szCs w:val="20"/>
          <w:lang w:val="sr-Cyrl-RS"/>
        </w:rPr>
        <w:t xml:space="preserve"> 31</w:t>
      </w:r>
      <w:r w:rsidR="00CA400C" w:rsidRPr="0DD3B114">
        <w:rPr>
          <w:rFonts w:ascii="Arial" w:hAnsi="Arial" w:cs="Arial"/>
          <w:color w:val="000000" w:themeColor="text1"/>
          <w:sz w:val="20"/>
          <w:szCs w:val="20"/>
          <w:lang w:val="sr-Cyrl-RS"/>
        </w:rPr>
        <w:t>.</w:t>
      </w:r>
      <w:r w:rsidR="005138AB" w:rsidRPr="0DD3B114">
        <w:rPr>
          <w:rFonts w:ascii="Arial" w:hAnsi="Arial" w:cs="Arial"/>
          <w:color w:val="000000" w:themeColor="text1"/>
          <w:sz w:val="20"/>
          <w:szCs w:val="20"/>
          <w:lang w:val="sr-Cyrl-RS"/>
        </w:rPr>
        <w:t xml:space="preserve"> ст</w:t>
      </w:r>
      <w:r w:rsidR="005859F7" w:rsidRPr="0DD3B114">
        <w:rPr>
          <w:rFonts w:ascii="Arial" w:hAnsi="Arial" w:cs="Arial"/>
          <w:color w:val="000000" w:themeColor="text1"/>
          <w:sz w:val="20"/>
          <w:szCs w:val="20"/>
          <w:lang w:val="sr-Cyrl-RS"/>
        </w:rPr>
        <w:t>ав</w:t>
      </w:r>
      <w:r w:rsidR="005138AB" w:rsidRPr="0DD3B114">
        <w:rPr>
          <w:rFonts w:ascii="Arial" w:hAnsi="Arial" w:cs="Arial"/>
          <w:color w:val="000000" w:themeColor="text1"/>
          <w:sz w:val="20"/>
          <w:szCs w:val="20"/>
          <w:lang w:val="sr-Cyrl-RS"/>
        </w:rPr>
        <w:t xml:space="preserve"> 3)</w:t>
      </w:r>
      <w:r w:rsidRPr="0DD3B114">
        <w:rPr>
          <w:rFonts w:ascii="Arial" w:hAnsi="Arial" w:cs="Arial"/>
          <w:color w:val="000000" w:themeColor="text1"/>
          <w:sz w:val="20"/>
          <w:szCs w:val="20"/>
          <w:lang w:val="sr-Cyrl-RS"/>
        </w:rPr>
        <w:t xml:space="preserve"> </w:t>
      </w:r>
      <w:r w:rsidR="006A118C" w:rsidRPr="0DD3B114">
        <w:rPr>
          <w:rFonts w:ascii="Arial" w:hAnsi="Arial" w:cs="Arial"/>
          <w:color w:val="000000" w:themeColor="text1"/>
          <w:sz w:val="20"/>
          <w:szCs w:val="20"/>
          <w:lang w:val="sr-Cyrl-RS"/>
        </w:rPr>
        <w:t xml:space="preserve">утврђује да </w:t>
      </w:r>
      <w:r w:rsidRPr="0DD3B114">
        <w:rPr>
          <w:rFonts w:ascii="Arial" w:hAnsi="Arial" w:cs="Arial"/>
          <w:color w:val="000000" w:themeColor="text1"/>
          <w:sz w:val="20"/>
          <w:szCs w:val="20"/>
          <w:lang w:val="sr-Cyrl-RS"/>
        </w:rPr>
        <w:t>„Одборник има право да буде редовно обавештаван о питањима од значаја за обављање одборничке дужности, као и да на лични захтев од органа и служби општине добије податке који су му потребни за рад. За благовремено достављање обавештења, тражених података, списа и упутстава одговоран је секретар скупштине општине, а начелник општинске управе, односно управе за поједине области – када се обавештење, тражени податак, спис и упутство односе на делокруг и рад општинске управе.</w:t>
      </w:r>
      <w:r w:rsidR="0074037A" w:rsidRPr="0DD3B114">
        <w:rPr>
          <w:rFonts w:ascii="Arial" w:hAnsi="Arial" w:cs="Arial"/>
          <w:color w:val="000000" w:themeColor="text1"/>
          <w:sz w:val="20"/>
          <w:szCs w:val="20"/>
          <w:lang w:val="sr-Cyrl-RS"/>
        </w:rPr>
        <w:t>”</w:t>
      </w:r>
      <w:r w:rsidR="00DA3A0E" w:rsidRPr="0DD3B114">
        <w:rPr>
          <w:rFonts w:ascii="Arial" w:hAnsi="Arial" w:cs="Arial"/>
          <w:color w:val="000000" w:themeColor="text1"/>
          <w:sz w:val="20"/>
          <w:szCs w:val="20"/>
          <w:lang w:val="sr-Cyrl-RS"/>
        </w:rPr>
        <w:t xml:space="preserve"> Из цитиране одредбе би се могло закључити да се добијање података на лични захтев може сматрати правом </w:t>
      </w:r>
      <w:r w:rsidR="00F24D03" w:rsidRPr="0DD3B114">
        <w:rPr>
          <w:rFonts w:ascii="Arial" w:hAnsi="Arial" w:cs="Arial"/>
          <w:color w:val="000000" w:themeColor="text1"/>
          <w:sz w:val="20"/>
          <w:szCs w:val="20"/>
          <w:lang w:val="sr-Cyrl-RS"/>
        </w:rPr>
        <w:t>н</w:t>
      </w:r>
      <w:r w:rsidR="00DA3A0E" w:rsidRPr="0DD3B114">
        <w:rPr>
          <w:rFonts w:ascii="Arial" w:hAnsi="Arial" w:cs="Arial"/>
          <w:color w:val="000000" w:themeColor="text1"/>
          <w:sz w:val="20"/>
          <w:szCs w:val="20"/>
          <w:lang w:val="sr-Cyrl-RS"/>
        </w:rPr>
        <w:t>а постављање одборничких питања</w:t>
      </w:r>
      <w:r w:rsidR="00F24D03" w:rsidRPr="0DD3B114">
        <w:rPr>
          <w:rFonts w:ascii="Arial" w:hAnsi="Arial" w:cs="Arial"/>
          <w:color w:val="000000" w:themeColor="text1"/>
          <w:sz w:val="20"/>
          <w:szCs w:val="20"/>
          <w:lang w:val="sr-Cyrl-RS"/>
        </w:rPr>
        <w:t>,</w:t>
      </w:r>
      <w:r w:rsidR="00DA3A0E" w:rsidRPr="0DD3B114">
        <w:rPr>
          <w:rFonts w:ascii="Arial" w:hAnsi="Arial" w:cs="Arial"/>
          <w:color w:val="000000" w:themeColor="text1"/>
          <w:sz w:val="20"/>
          <w:szCs w:val="20"/>
          <w:lang w:val="sr-Cyrl-RS"/>
        </w:rPr>
        <w:t xml:space="preserve"> иако то није изричито утврђено. Посебно је питање уређивање права на интерпелацију</w:t>
      </w:r>
      <w:r w:rsidR="00F24D03" w:rsidRPr="0DD3B114">
        <w:rPr>
          <w:rFonts w:ascii="Arial" w:hAnsi="Arial" w:cs="Arial"/>
          <w:color w:val="000000" w:themeColor="text1"/>
          <w:sz w:val="20"/>
          <w:szCs w:val="20"/>
          <w:lang w:val="sr-Cyrl-RS"/>
        </w:rPr>
        <w:t>,</w:t>
      </w:r>
      <w:r w:rsidR="00DA3A0E" w:rsidRPr="0DD3B114">
        <w:rPr>
          <w:rFonts w:ascii="Arial" w:hAnsi="Arial" w:cs="Arial"/>
          <w:color w:val="000000" w:themeColor="text1"/>
          <w:sz w:val="20"/>
          <w:szCs w:val="20"/>
          <w:lang w:val="sr-Cyrl-RS"/>
        </w:rPr>
        <w:t xml:space="preserve"> којим би се значајно унапредила контролна улога одборника.</w:t>
      </w:r>
      <w:r w:rsidR="00CE6A15" w:rsidRPr="0DD3B114">
        <w:rPr>
          <w:rFonts w:ascii="Arial" w:hAnsi="Arial" w:cs="Arial"/>
          <w:color w:val="000000" w:themeColor="text1"/>
          <w:sz w:val="20"/>
          <w:szCs w:val="20"/>
          <w:lang w:val="sr-Cyrl-RS"/>
        </w:rPr>
        <w:t xml:space="preserve"> </w:t>
      </w:r>
      <w:r w:rsidR="00DA3A0E" w:rsidRPr="0DD3B114">
        <w:rPr>
          <w:rFonts w:ascii="Arial" w:hAnsi="Arial" w:cs="Arial"/>
          <w:color w:val="000000" w:themeColor="text1"/>
          <w:sz w:val="20"/>
          <w:szCs w:val="20"/>
          <w:lang w:val="sr-Cyrl-RS"/>
        </w:rPr>
        <w:t>Б</w:t>
      </w:r>
      <w:r w:rsidR="00C75AD7" w:rsidRPr="0DD3B114">
        <w:rPr>
          <w:rFonts w:ascii="Arial" w:hAnsi="Arial" w:cs="Arial"/>
          <w:color w:val="000000" w:themeColor="text1"/>
          <w:sz w:val="20"/>
          <w:szCs w:val="20"/>
          <w:lang w:val="sr-Cyrl-RS"/>
        </w:rPr>
        <w:t>итан сегмент организације и рада скупштине</w:t>
      </w:r>
      <w:r w:rsidR="00175F8F" w:rsidRPr="0DD3B114">
        <w:rPr>
          <w:rFonts w:ascii="Arial" w:hAnsi="Arial" w:cs="Arial"/>
          <w:color w:val="000000" w:themeColor="text1"/>
          <w:sz w:val="20"/>
          <w:szCs w:val="20"/>
          <w:lang w:val="sr-Cyrl-RS"/>
        </w:rPr>
        <w:t>,</w:t>
      </w:r>
      <w:r w:rsidR="00C75AD7" w:rsidRPr="0DD3B114">
        <w:rPr>
          <w:rFonts w:ascii="Arial" w:hAnsi="Arial" w:cs="Arial"/>
          <w:color w:val="000000" w:themeColor="text1"/>
          <w:sz w:val="20"/>
          <w:szCs w:val="20"/>
          <w:lang w:val="sr-Cyrl-RS"/>
        </w:rPr>
        <w:t xml:space="preserve"> на </w:t>
      </w:r>
      <w:r w:rsidR="00DE5353" w:rsidRPr="0DD3B114">
        <w:rPr>
          <w:rFonts w:ascii="Arial" w:hAnsi="Arial" w:cs="Arial"/>
          <w:color w:val="000000" w:themeColor="text1"/>
          <w:sz w:val="20"/>
          <w:szCs w:val="20"/>
          <w:lang w:val="sr-Cyrl-RS"/>
        </w:rPr>
        <w:t xml:space="preserve">који </w:t>
      </w:r>
      <w:r w:rsidR="00C75AD7" w:rsidRPr="0DD3B114">
        <w:rPr>
          <w:rFonts w:ascii="Arial" w:hAnsi="Arial" w:cs="Arial"/>
          <w:color w:val="000000" w:themeColor="text1"/>
          <w:sz w:val="20"/>
          <w:szCs w:val="20"/>
          <w:lang w:val="sr-Cyrl-RS"/>
        </w:rPr>
        <w:t>је неопходно обратити пажњу</w:t>
      </w:r>
      <w:r w:rsidR="00175F8F" w:rsidRPr="0DD3B114">
        <w:rPr>
          <w:rFonts w:ascii="Arial" w:hAnsi="Arial" w:cs="Arial"/>
          <w:color w:val="000000" w:themeColor="text1"/>
          <w:sz w:val="20"/>
          <w:szCs w:val="20"/>
          <w:lang w:val="sr-Cyrl-RS"/>
        </w:rPr>
        <w:t>,</w:t>
      </w:r>
      <w:r w:rsidR="00C75AD7" w:rsidRPr="0DD3B114">
        <w:rPr>
          <w:rFonts w:ascii="Arial" w:hAnsi="Arial" w:cs="Arial"/>
          <w:color w:val="000000" w:themeColor="text1"/>
          <w:sz w:val="20"/>
          <w:szCs w:val="20"/>
          <w:lang w:val="sr-Cyrl-RS"/>
        </w:rPr>
        <w:t xml:space="preserve"> </w:t>
      </w:r>
      <w:r w:rsidR="00175F8F" w:rsidRPr="0DD3B114">
        <w:rPr>
          <w:rFonts w:ascii="Arial" w:hAnsi="Arial" w:cs="Arial"/>
          <w:color w:val="000000" w:themeColor="text1"/>
          <w:sz w:val="20"/>
          <w:szCs w:val="20"/>
          <w:lang w:val="sr-Cyrl-RS"/>
        </w:rPr>
        <w:t xml:space="preserve">чине </w:t>
      </w:r>
      <w:r w:rsidR="00C75AD7" w:rsidRPr="0DD3B114">
        <w:rPr>
          <w:rFonts w:ascii="Arial" w:hAnsi="Arial" w:cs="Arial"/>
          <w:color w:val="000000" w:themeColor="text1"/>
          <w:sz w:val="20"/>
          <w:szCs w:val="20"/>
          <w:lang w:val="sr-Cyrl-RS"/>
        </w:rPr>
        <w:t>радна тела скупштине</w:t>
      </w:r>
      <w:r w:rsidR="00F24D03" w:rsidRPr="0DD3B114">
        <w:rPr>
          <w:rFonts w:ascii="Arial" w:hAnsi="Arial" w:cs="Arial"/>
          <w:color w:val="000000" w:themeColor="text1"/>
          <w:sz w:val="20"/>
          <w:szCs w:val="20"/>
          <w:lang w:val="sr-Cyrl-RS"/>
        </w:rPr>
        <w:t>,</w:t>
      </w:r>
      <w:r w:rsidR="00C75AD7" w:rsidRPr="0DD3B114">
        <w:rPr>
          <w:rFonts w:ascii="Arial" w:hAnsi="Arial" w:cs="Arial"/>
          <w:color w:val="000000" w:themeColor="text1"/>
          <w:sz w:val="20"/>
          <w:szCs w:val="20"/>
          <w:lang w:val="sr-Cyrl-RS"/>
        </w:rPr>
        <w:t xml:space="preserve"> чији се број, избор, права и дужности регулишу пословником о раду скупштине. Скупштина оснива радна тела која разматрају питања из </w:t>
      </w:r>
      <w:r w:rsidR="00FE68DD" w:rsidRPr="0DD3B114">
        <w:rPr>
          <w:rFonts w:ascii="Arial" w:hAnsi="Arial" w:cs="Arial"/>
          <w:color w:val="000000" w:themeColor="text1"/>
          <w:sz w:val="20"/>
          <w:szCs w:val="20"/>
          <w:lang w:val="sr-Cyrl-RS"/>
        </w:rPr>
        <w:t xml:space="preserve">њене </w:t>
      </w:r>
      <w:r w:rsidR="00C75AD7" w:rsidRPr="0DD3B114">
        <w:rPr>
          <w:rFonts w:ascii="Arial" w:hAnsi="Arial" w:cs="Arial"/>
          <w:color w:val="000000" w:themeColor="text1"/>
          <w:sz w:val="20"/>
          <w:szCs w:val="20"/>
          <w:lang w:val="sr-Cyrl-RS"/>
        </w:rPr>
        <w:t>надлежности</w:t>
      </w:r>
      <w:r w:rsidR="00FE68DD" w:rsidRPr="0DD3B114">
        <w:rPr>
          <w:rFonts w:ascii="Arial" w:hAnsi="Arial" w:cs="Arial"/>
          <w:color w:val="000000" w:themeColor="text1"/>
          <w:sz w:val="20"/>
          <w:szCs w:val="20"/>
          <w:lang w:val="sr-Cyrl-RS"/>
        </w:rPr>
        <w:t>,</w:t>
      </w:r>
      <w:r w:rsidR="00C75AD7" w:rsidRPr="0DD3B114">
        <w:rPr>
          <w:rFonts w:ascii="Arial" w:hAnsi="Arial" w:cs="Arial"/>
          <w:color w:val="000000" w:themeColor="text1"/>
          <w:sz w:val="20"/>
          <w:szCs w:val="20"/>
          <w:lang w:val="sr-Cyrl-RS"/>
        </w:rPr>
        <w:t xml:space="preserve"> </w:t>
      </w:r>
      <w:r w:rsidR="00C75AD7" w:rsidRPr="0DD3B114">
        <w:rPr>
          <w:rFonts w:ascii="Arial" w:hAnsi="Arial" w:cs="Arial"/>
          <w:sz w:val="20"/>
          <w:szCs w:val="20"/>
          <w:lang w:val="sr-Cyrl-RS"/>
        </w:rPr>
        <w:t xml:space="preserve">дају мишљења на предлоге прописа и одлука које </w:t>
      </w:r>
      <w:r w:rsidR="00FE68DD" w:rsidRPr="0DD3B114">
        <w:rPr>
          <w:rFonts w:ascii="Arial" w:hAnsi="Arial" w:cs="Arial"/>
          <w:sz w:val="20"/>
          <w:szCs w:val="20"/>
          <w:lang w:val="sr-Cyrl-RS"/>
        </w:rPr>
        <w:t xml:space="preserve">она </w:t>
      </w:r>
      <w:r w:rsidR="00C75AD7" w:rsidRPr="0DD3B114">
        <w:rPr>
          <w:rFonts w:ascii="Arial" w:hAnsi="Arial" w:cs="Arial"/>
          <w:sz w:val="20"/>
          <w:szCs w:val="20"/>
          <w:lang w:val="sr-Cyrl-RS"/>
        </w:rPr>
        <w:t>доноси и обављају и друге послове утврђене статутом општине. Радна тела имају циљ да олакшају рад скупштини</w:t>
      </w:r>
      <w:r w:rsidR="008D2096" w:rsidRPr="0DD3B114">
        <w:rPr>
          <w:rFonts w:ascii="Arial" w:hAnsi="Arial" w:cs="Arial"/>
          <w:sz w:val="20"/>
          <w:szCs w:val="20"/>
          <w:lang w:val="sr-Cyrl-RS"/>
        </w:rPr>
        <w:t>,</w:t>
      </w:r>
      <w:r w:rsidR="00C75AD7" w:rsidRPr="0DD3B114">
        <w:rPr>
          <w:rFonts w:ascii="Arial" w:hAnsi="Arial" w:cs="Arial"/>
          <w:sz w:val="20"/>
          <w:szCs w:val="20"/>
          <w:lang w:val="sr-Cyrl-RS"/>
        </w:rPr>
        <w:t xml:space="preserve"> као и да се питања о којима </w:t>
      </w:r>
      <w:r w:rsidR="00F24D03" w:rsidRPr="0DD3B114">
        <w:rPr>
          <w:rFonts w:ascii="Arial" w:hAnsi="Arial" w:cs="Arial"/>
          <w:sz w:val="20"/>
          <w:szCs w:val="20"/>
          <w:lang w:val="sr-Cyrl-RS"/>
        </w:rPr>
        <w:t xml:space="preserve">се </w:t>
      </w:r>
      <w:r w:rsidR="00C75AD7" w:rsidRPr="0DD3B114">
        <w:rPr>
          <w:rFonts w:ascii="Arial" w:hAnsi="Arial" w:cs="Arial"/>
          <w:sz w:val="20"/>
          <w:szCs w:val="20"/>
          <w:lang w:val="sr-Cyrl-RS"/>
        </w:rPr>
        <w:t>одлучује детаљније размотре пре стављања на дневни ред седнице.</w:t>
      </w:r>
      <w:r w:rsidR="502A25CD" w:rsidRPr="0DD3B114">
        <w:rPr>
          <w:rFonts w:ascii="Arial" w:hAnsi="Arial" w:cs="Arial"/>
          <w:sz w:val="20"/>
          <w:szCs w:val="20"/>
          <w:lang w:val="sr-Cyrl-RS"/>
        </w:rPr>
        <w:t xml:space="preserve"> </w:t>
      </w:r>
      <w:r w:rsidR="00C75AD7" w:rsidRPr="0DD3B114">
        <w:rPr>
          <w:rFonts w:ascii="Arial" w:hAnsi="Arial" w:cs="Arial"/>
          <w:sz w:val="20"/>
          <w:szCs w:val="20"/>
          <w:lang w:val="sr-Cyrl-RS"/>
        </w:rPr>
        <w:t xml:space="preserve">Такође, важан аспект </w:t>
      </w:r>
      <w:r w:rsidR="3DC4FF93" w:rsidRPr="0DD3B114">
        <w:rPr>
          <w:rFonts w:ascii="Arial" w:hAnsi="Arial" w:cs="Arial"/>
          <w:sz w:val="20"/>
          <w:szCs w:val="20"/>
          <w:lang w:val="sr-Cyrl-RS"/>
        </w:rPr>
        <w:t xml:space="preserve">скупштинске </w:t>
      </w:r>
      <w:r w:rsidR="00C75AD7" w:rsidRPr="0DD3B114">
        <w:rPr>
          <w:rFonts w:ascii="Arial" w:hAnsi="Arial" w:cs="Arial"/>
          <w:sz w:val="20"/>
          <w:szCs w:val="20"/>
          <w:lang w:val="sr-Cyrl-RS"/>
        </w:rPr>
        <w:t xml:space="preserve">контроле </w:t>
      </w:r>
      <w:r w:rsidR="6D4CD5D1" w:rsidRPr="0DD3B114">
        <w:rPr>
          <w:rFonts w:ascii="Arial" w:hAnsi="Arial" w:cs="Arial"/>
          <w:sz w:val="20"/>
          <w:szCs w:val="20"/>
          <w:lang w:val="sr-Cyrl-RS"/>
        </w:rPr>
        <w:t xml:space="preserve">рада </w:t>
      </w:r>
      <w:r w:rsidR="00C75AD7" w:rsidRPr="0DD3B114">
        <w:rPr>
          <w:rFonts w:ascii="Arial" w:hAnsi="Arial" w:cs="Arial"/>
          <w:sz w:val="20"/>
          <w:szCs w:val="20"/>
          <w:lang w:val="sr-Cyrl-RS"/>
        </w:rPr>
        <w:t>органа</w:t>
      </w:r>
      <w:r w:rsidR="1890A214" w:rsidRPr="0DD3B114">
        <w:rPr>
          <w:rFonts w:ascii="Arial" w:hAnsi="Arial" w:cs="Arial"/>
          <w:sz w:val="20"/>
          <w:szCs w:val="20"/>
          <w:lang w:val="sr-Cyrl-RS"/>
        </w:rPr>
        <w:t>,</w:t>
      </w:r>
      <w:r w:rsidR="00C75AD7" w:rsidRPr="0DD3B114">
        <w:rPr>
          <w:rFonts w:ascii="Arial" w:hAnsi="Arial" w:cs="Arial"/>
          <w:sz w:val="20"/>
          <w:szCs w:val="20"/>
          <w:lang w:val="sr-Cyrl-RS"/>
        </w:rPr>
        <w:t xml:space="preserve"> јавних предузећа, установа и других органа и служби </w:t>
      </w:r>
      <w:r w:rsidR="2E0C3414" w:rsidRPr="0DD3B114">
        <w:rPr>
          <w:rFonts w:ascii="Arial" w:hAnsi="Arial" w:cs="Arial"/>
          <w:sz w:val="20"/>
          <w:szCs w:val="20"/>
          <w:lang w:val="sr-Cyrl-RS"/>
        </w:rPr>
        <w:t xml:space="preserve">ЈЛС </w:t>
      </w:r>
      <w:r w:rsidR="007A7286" w:rsidRPr="0DD3B114">
        <w:rPr>
          <w:rFonts w:ascii="Arial" w:hAnsi="Arial" w:cs="Arial"/>
          <w:sz w:val="20"/>
          <w:szCs w:val="20"/>
          <w:lang w:val="sr-Cyrl-RS"/>
        </w:rPr>
        <w:t xml:space="preserve">јесте </w:t>
      </w:r>
      <w:r w:rsidR="00641975" w:rsidRPr="0DD3B114">
        <w:rPr>
          <w:rFonts w:ascii="Arial" w:hAnsi="Arial" w:cs="Arial"/>
          <w:sz w:val="20"/>
          <w:szCs w:val="20"/>
          <w:lang w:val="sr-Cyrl-RS"/>
        </w:rPr>
        <w:t xml:space="preserve">и </w:t>
      </w:r>
      <w:r w:rsidR="007A7286" w:rsidRPr="0DD3B114">
        <w:rPr>
          <w:rFonts w:ascii="Arial" w:hAnsi="Arial" w:cs="Arial"/>
          <w:sz w:val="20"/>
          <w:szCs w:val="20"/>
          <w:lang w:val="sr-Cyrl-RS"/>
        </w:rPr>
        <w:t xml:space="preserve">утврђивање обавезности </w:t>
      </w:r>
      <w:r w:rsidR="00641975" w:rsidRPr="0DD3B114">
        <w:rPr>
          <w:rFonts w:ascii="Arial" w:hAnsi="Arial" w:cs="Arial"/>
          <w:sz w:val="20"/>
          <w:szCs w:val="20"/>
          <w:lang w:val="sr-Cyrl-RS"/>
        </w:rPr>
        <w:t xml:space="preserve">расправе </w:t>
      </w:r>
      <w:r w:rsidR="00C75AD7" w:rsidRPr="0DD3B114">
        <w:rPr>
          <w:rFonts w:ascii="Arial" w:hAnsi="Arial" w:cs="Arial"/>
          <w:sz w:val="20"/>
          <w:szCs w:val="20"/>
          <w:lang w:val="sr-Cyrl-RS"/>
        </w:rPr>
        <w:t>на радним телима скупштине</w:t>
      </w:r>
      <w:r w:rsidR="007A7286" w:rsidRPr="0DD3B114">
        <w:rPr>
          <w:rFonts w:ascii="Arial" w:hAnsi="Arial" w:cs="Arial"/>
          <w:sz w:val="20"/>
          <w:szCs w:val="20"/>
          <w:lang w:val="sr-Cyrl-RS"/>
        </w:rPr>
        <w:t xml:space="preserve"> о њиховом раду</w:t>
      </w:r>
      <w:r w:rsidR="00C75AD7" w:rsidRPr="0DD3B114">
        <w:rPr>
          <w:rFonts w:ascii="Arial" w:hAnsi="Arial" w:cs="Arial"/>
          <w:sz w:val="20"/>
          <w:szCs w:val="20"/>
          <w:lang w:val="sr-Cyrl-RS"/>
        </w:rPr>
        <w:t>.</w:t>
      </w:r>
    </w:p>
    <w:p w14:paraId="374671B3" w14:textId="77777777" w:rsidR="00C75AD7" w:rsidRPr="00A021B7" w:rsidRDefault="00C75AD7" w:rsidP="0DD3B114">
      <w:pPr>
        <w:ind w:firstLine="720"/>
        <w:jc w:val="both"/>
        <w:rPr>
          <w:rFonts w:ascii="Arial" w:hAnsi="Arial" w:cs="Arial"/>
          <w:sz w:val="20"/>
          <w:szCs w:val="20"/>
          <w:lang w:val="sr-Cyrl-RS"/>
        </w:rPr>
      </w:pPr>
    </w:p>
    <w:p w14:paraId="2484AACF" w14:textId="739A90C5" w:rsidR="00C75AD7"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Међутим, иако су радна тела </w:t>
      </w:r>
      <w:r w:rsidR="00787C25" w:rsidRPr="0DD3B114">
        <w:rPr>
          <w:rFonts w:ascii="Arial" w:hAnsi="Arial" w:cs="Arial"/>
          <w:sz w:val="20"/>
          <w:szCs w:val="20"/>
          <w:lang w:val="sr-Cyrl-RS"/>
        </w:rPr>
        <w:t xml:space="preserve">важан </w:t>
      </w:r>
      <w:r w:rsidRPr="0DD3B114">
        <w:rPr>
          <w:rFonts w:ascii="Arial" w:hAnsi="Arial" w:cs="Arial"/>
          <w:sz w:val="20"/>
          <w:szCs w:val="20"/>
          <w:lang w:val="sr-Cyrl-RS"/>
        </w:rPr>
        <w:t xml:space="preserve">механизам за праћење рада свих органа и организационих облика у оквиру једне ЈЛС, </w:t>
      </w:r>
      <w:r w:rsidR="00787C25" w:rsidRPr="0DD3B114">
        <w:rPr>
          <w:rFonts w:ascii="Arial" w:hAnsi="Arial" w:cs="Arial"/>
          <w:sz w:val="20"/>
          <w:szCs w:val="20"/>
          <w:lang w:val="sr-Cyrl-RS"/>
        </w:rPr>
        <w:t xml:space="preserve">у стварности су </w:t>
      </w:r>
      <w:r w:rsidRPr="0DD3B114">
        <w:rPr>
          <w:rFonts w:ascii="Arial" w:hAnsi="Arial" w:cs="Arial"/>
          <w:sz w:val="20"/>
          <w:szCs w:val="20"/>
          <w:lang w:val="sr-Cyrl-RS"/>
        </w:rPr>
        <w:t xml:space="preserve">послови и овлашћења радних тела углавном </w:t>
      </w:r>
      <w:r w:rsidR="00787C25" w:rsidRPr="0DD3B114">
        <w:rPr>
          <w:rFonts w:ascii="Arial" w:hAnsi="Arial" w:cs="Arial"/>
          <w:sz w:val="20"/>
          <w:szCs w:val="20"/>
          <w:lang w:val="sr-Cyrl-RS"/>
        </w:rPr>
        <w:t xml:space="preserve">сведени </w:t>
      </w:r>
      <w:r w:rsidRPr="0DD3B114">
        <w:rPr>
          <w:rFonts w:ascii="Arial" w:hAnsi="Arial" w:cs="Arial"/>
          <w:sz w:val="20"/>
          <w:szCs w:val="20"/>
          <w:lang w:val="sr-Cyrl-RS"/>
        </w:rPr>
        <w:t>на давање мишљења о предложеним актима, а њихова активност везана је за седницу скупштине</w:t>
      </w:r>
      <w:r w:rsidR="00297C77" w:rsidRPr="0DD3B114">
        <w:rPr>
          <w:rFonts w:ascii="Arial" w:hAnsi="Arial" w:cs="Arial"/>
          <w:sz w:val="20"/>
          <w:szCs w:val="20"/>
          <w:lang w:val="sr-Cyrl-RS"/>
        </w:rPr>
        <w:t>,</w:t>
      </w:r>
      <w:r w:rsidRPr="0DD3B114">
        <w:rPr>
          <w:rFonts w:ascii="Arial" w:hAnsi="Arial" w:cs="Arial"/>
          <w:sz w:val="20"/>
          <w:szCs w:val="20"/>
          <w:lang w:val="sr-Cyrl-RS"/>
        </w:rPr>
        <w:t xml:space="preserve"> јер разматрају само питања која су на дневном реду седниц</w:t>
      </w:r>
      <w:r w:rsidR="00CE6A15" w:rsidRPr="0DD3B114">
        <w:rPr>
          <w:rFonts w:ascii="Arial" w:hAnsi="Arial" w:cs="Arial"/>
          <w:sz w:val="20"/>
          <w:szCs w:val="20"/>
          <w:lang w:val="sr-Cyrl-RS"/>
        </w:rPr>
        <w:t>е</w:t>
      </w:r>
      <w:r w:rsidRPr="0DD3B114">
        <w:rPr>
          <w:rFonts w:ascii="Arial" w:hAnsi="Arial" w:cs="Arial"/>
          <w:sz w:val="20"/>
          <w:szCs w:val="20"/>
          <w:lang w:val="sr-Cyrl-RS"/>
        </w:rPr>
        <w:t xml:space="preserve">. У неким општинским статутима се чланство у појединим радним телима ограничава на одборнике. Чест је случај да стална радна тела скупштине нису </w:t>
      </w:r>
      <w:r w:rsidR="00297C77" w:rsidRPr="0DD3B114">
        <w:rPr>
          <w:rFonts w:ascii="Arial" w:hAnsi="Arial" w:cs="Arial"/>
          <w:sz w:val="20"/>
          <w:szCs w:val="20"/>
          <w:lang w:val="sr-Cyrl-RS"/>
        </w:rPr>
        <w:t xml:space="preserve">пословником </w:t>
      </w:r>
      <w:r w:rsidRPr="0DD3B114">
        <w:rPr>
          <w:rFonts w:ascii="Arial" w:hAnsi="Arial" w:cs="Arial"/>
          <w:sz w:val="20"/>
          <w:szCs w:val="20"/>
          <w:lang w:val="sr-Cyrl-RS"/>
        </w:rPr>
        <w:t xml:space="preserve">овлашћена </w:t>
      </w:r>
      <w:r w:rsidR="003B2739" w:rsidRPr="0DD3B114">
        <w:rPr>
          <w:rFonts w:ascii="Arial" w:hAnsi="Arial" w:cs="Arial"/>
          <w:sz w:val="20"/>
          <w:szCs w:val="20"/>
          <w:lang w:val="sr-Cyrl-RS"/>
        </w:rPr>
        <w:t xml:space="preserve">за </w:t>
      </w:r>
      <w:r w:rsidRPr="0DD3B114">
        <w:rPr>
          <w:rFonts w:ascii="Arial" w:hAnsi="Arial" w:cs="Arial"/>
          <w:sz w:val="20"/>
          <w:szCs w:val="20"/>
          <w:lang w:val="sr-Cyrl-RS"/>
        </w:rPr>
        <w:t xml:space="preserve">предлагање одлука (и амандмана на предлог одлуке) из области за коју су </w:t>
      </w:r>
      <w:r w:rsidR="003B2739" w:rsidRPr="0DD3B114">
        <w:rPr>
          <w:rFonts w:ascii="Arial" w:hAnsi="Arial" w:cs="Arial"/>
          <w:sz w:val="20"/>
          <w:szCs w:val="20"/>
          <w:lang w:val="sr-Cyrl-RS"/>
        </w:rPr>
        <w:t>надлежна</w:t>
      </w:r>
      <w:r w:rsidRPr="0DD3B114">
        <w:rPr>
          <w:rFonts w:ascii="Arial" w:hAnsi="Arial" w:cs="Arial"/>
          <w:sz w:val="20"/>
          <w:szCs w:val="20"/>
          <w:lang w:val="sr-Cyrl-RS"/>
        </w:rPr>
        <w:t>, као и постојање правила да скупштина може разматрати и одлучивати о општем акту и ако нема мишљење ових субјеката</w:t>
      </w:r>
      <w:r w:rsidR="003B2739" w:rsidRPr="0DD3B114">
        <w:rPr>
          <w:rFonts w:ascii="Arial" w:hAnsi="Arial" w:cs="Arial"/>
          <w:sz w:val="20"/>
          <w:szCs w:val="20"/>
          <w:lang w:val="sr-Cyrl-RS"/>
        </w:rPr>
        <w:t>,</w:t>
      </w:r>
      <w:r w:rsidRPr="0DD3B114">
        <w:rPr>
          <w:rFonts w:ascii="Arial" w:hAnsi="Arial" w:cs="Arial"/>
          <w:sz w:val="20"/>
          <w:szCs w:val="20"/>
          <w:lang w:val="sr-Cyrl-RS"/>
        </w:rPr>
        <w:t xml:space="preserve"> чиме се њихов значај у потпуности занемарује. </w:t>
      </w:r>
      <w:r w:rsidR="00D55DE9" w:rsidRPr="0DD3B114">
        <w:rPr>
          <w:rFonts w:ascii="Arial" w:hAnsi="Arial" w:cs="Arial"/>
          <w:sz w:val="20"/>
          <w:szCs w:val="20"/>
          <w:lang w:val="sr-Cyrl-RS"/>
        </w:rPr>
        <w:t xml:space="preserve">Осим </w:t>
      </w:r>
      <w:r w:rsidRPr="0DD3B114">
        <w:rPr>
          <w:rFonts w:ascii="Arial" w:hAnsi="Arial" w:cs="Arial"/>
          <w:sz w:val="20"/>
          <w:szCs w:val="20"/>
          <w:lang w:val="sr-Cyrl-RS"/>
        </w:rPr>
        <w:t>спорадично, активнију улогу радних тела и савременије методе рада пракса не познаје, а пословници не предвиђају. Такође, у великом број</w:t>
      </w:r>
      <w:r w:rsidR="700D0096" w:rsidRPr="0DD3B114">
        <w:rPr>
          <w:rFonts w:ascii="Arial" w:hAnsi="Arial" w:cs="Arial"/>
          <w:sz w:val="20"/>
          <w:szCs w:val="20"/>
          <w:lang w:val="sr-Cyrl-RS"/>
        </w:rPr>
        <w:t>у</w:t>
      </w:r>
      <w:r w:rsidRPr="0DD3B114">
        <w:rPr>
          <w:rFonts w:ascii="Arial" w:hAnsi="Arial" w:cs="Arial"/>
          <w:sz w:val="20"/>
          <w:szCs w:val="20"/>
          <w:lang w:val="sr-Cyrl-RS"/>
        </w:rPr>
        <w:t xml:space="preserve"> ЈЛС не постоји електронски систем </w:t>
      </w:r>
      <w:r w:rsidR="00960E9A" w:rsidRPr="0DD3B114">
        <w:rPr>
          <w:rFonts w:ascii="Arial" w:hAnsi="Arial" w:cs="Arial"/>
          <w:sz w:val="20"/>
          <w:szCs w:val="20"/>
          <w:lang w:val="sr-Cyrl-RS"/>
        </w:rPr>
        <w:t xml:space="preserve">за </w:t>
      </w:r>
      <w:r w:rsidRPr="0DD3B114">
        <w:rPr>
          <w:rFonts w:ascii="Arial" w:hAnsi="Arial" w:cs="Arial"/>
          <w:sz w:val="20"/>
          <w:szCs w:val="20"/>
          <w:lang w:val="sr-Cyrl-RS"/>
        </w:rPr>
        <w:t xml:space="preserve">рад </w:t>
      </w:r>
      <w:r w:rsidR="005859F7" w:rsidRPr="0DD3B114">
        <w:rPr>
          <w:rFonts w:ascii="Arial" w:hAnsi="Arial" w:cs="Arial"/>
          <w:sz w:val="20"/>
          <w:szCs w:val="20"/>
          <w:lang w:val="sr-Cyrl-RS"/>
        </w:rPr>
        <w:t>с</w:t>
      </w:r>
      <w:r w:rsidRPr="0DD3B114">
        <w:rPr>
          <w:rFonts w:ascii="Arial" w:hAnsi="Arial" w:cs="Arial"/>
          <w:sz w:val="20"/>
          <w:szCs w:val="20"/>
          <w:lang w:val="sr-Cyrl-RS"/>
        </w:rPr>
        <w:t>купштине (и других повезаних система који могу бити од значаја за квалитетнији и сигурнији рад скупштине</w:t>
      </w:r>
      <w:r w:rsidR="00960E9A" w:rsidRPr="0DD3B114">
        <w:rPr>
          <w:rFonts w:ascii="Arial" w:hAnsi="Arial" w:cs="Arial"/>
          <w:sz w:val="20"/>
          <w:szCs w:val="20"/>
          <w:lang w:val="sr-Cyrl-RS"/>
        </w:rPr>
        <w:t xml:space="preserve">, попут </w:t>
      </w:r>
      <w:r w:rsidR="005859F7" w:rsidRPr="0DD3B114">
        <w:rPr>
          <w:rFonts w:ascii="Arial" w:hAnsi="Arial" w:cs="Arial"/>
          <w:sz w:val="20"/>
          <w:szCs w:val="20"/>
          <w:lang w:val="sr-Cyrl-RS"/>
        </w:rPr>
        <w:t xml:space="preserve">електронске базе </w:t>
      </w:r>
      <w:r w:rsidR="00960E9A" w:rsidRPr="0DD3B114">
        <w:rPr>
          <w:rFonts w:ascii="Arial" w:hAnsi="Arial" w:cs="Arial"/>
          <w:sz w:val="20"/>
          <w:szCs w:val="20"/>
          <w:lang w:val="sr-Cyrl-RS"/>
        </w:rPr>
        <w:t>аката</w:t>
      </w:r>
      <w:r w:rsidRPr="0DD3B114">
        <w:rPr>
          <w:rFonts w:ascii="Arial" w:hAnsi="Arial" w:cs="Arial"/>
          <w:sz w:val="20"/>
          <w:szCs w:val="20"/>
          <w:lang w:val="sr-Cyrl-RS"/>
        </w:rPr>
        <w:t>) који могу значајно повећати продуктивност одборника, скратити време потребно</w:t>
      </w:r>
      <w:r w:rsidR="0022198B" w:rsidRPr="0DD3B114">
        <w:rPr>
          <w:rFonts w:ascii="Arial" w:hAnsi="Arial" w:cs="Arial"/>
          <w:sz w:val="20"/>
          <w:szCs w:val="20"/>
          <w:lang w:val="sr-Cyrl-RS"/>
        </w:rPr>
        <w:t xml:space="preserve"> за </w:t>
      </w:r>
      <w:r w:rsidRPr="0DD3B114">
        <w:rPr>
          <w:rFonts w:ascii="Arial" w:hAnsi="Arial" w:cs="Arial"/>
          <w:sz w:val="20"/>
          <w:szCs w:val="20"/>
          <w:lang w:val="sr-Cyrl-RS"/>
        </w:rPr>
        <w:t xml:space="preserve">достављање материјала одборницима, као и </w:t>
      </w:r>
      <w:r w:rsidR="00120E2D" w:rsidRPr="0DD3B114">
        <w:rPr>
          <w:rFonts w:ascii="Arial" w:hAnsi="Arial" w:cs="Arial"/>
          <w:sz w:val="20"/>
          <w:szCs w:val="20"/>
          <w:lang w:val="sr-Cyrl-RS"/>
        </w:rPr>
        <w:t xml:space="preserve">смањити трошкове </w:t>
      </w:r>
      <w:r w:rsidRPr="0DD3B114">
        <w:rPr>
          <w:rFonts w:ascii="Arial" w:hAnsi="Arial" w:cs="Arial"/>
          <w:sz w:val="20"/>
          <w:szCs w:val="20"/>
          <w:lang w:val="sr-Cyrl-RS"/>
        </w:rPr>
        <w:t xml:space="preserve">(штампање и достава материјала одборницима, медијима, надлежнима у локалној управи, јавним предузећима и осталима). </w:t>
      </w:r>
      <w:r w:rsidR="00200950" w:rsidRPr="0DD3B114">
        <w:rPr>
          <w:rFonts w:ascii="Arial" w:hAnsi="Arial" w:cs="Arial"/>
          <w:sz w:val="20"/>
          <w:szCs w:val="20"/>
          <w:lang w:val="sr-Cyrl-RS"/>
        </w:rPr>
        <w:t>Ради</w:t>
      </w:r>
      <w:r w:rsidRPr="0DD3B114">
        <w:rPr>
          <w:rFonts w:ascii="Arial" w:hAnsi="Arial" w:cs="Arial"/>
          <w:sz w:val="20"/>
          <w:szCs w:val="20"/>
          <w:lang w:val="sr-Cyrl-RS"/>
        </w:rPr>
        <w:t xml:space="preserve"> јачања надзорне функције скупштине, потребно је предвидети активнију улогу радних тела (да прате стање у области за коју су основана, предлажу скупштини доношење одговарајућих одлука, </w:t>
      </w:r>
      <w:r w:rsidR="003F7555" w:rsidRPr="0DD3B114">
        <w:rPr>
          <w:rFonts w:ascii="Arial" w:hAnsi="Arial" w:cs="Arial"/>
          <w:sz w:val="20"/>
          <w:szCs w:val="20"/>
          <w:lang w:val="sr-Cyrl-RS"/>
        </w:rPr>
        <w:t xml:space="preserve">врше контролу рада </w:t>
      </w:r>
      <w:r w:rsidR="000955AD" w:rsidRPr="0DD3B114">
        <w:rPr>
          <w:rFonts w:ascii="Arial" w:hAnsi="Arial" w:cs="Arial"/>
          <w:sz w:val="20"/>
          <w:szCs w:val="20"/>
          <w:lang w:val="sr-Cyrl-RS"/>
        </w:rPr>
        <w:t xml:space="preserve">односно надзор у областима за које су основана, </w:t>
      </w:r>
      <w:r w:rsidRPr="0DD3B114">
        <w:rPr>
          <w:rFonts w:ascii="Arial" w:hAnsi="Arial" w:cs="Arial"/>
          <w:sz w:val="20"/>
          <w:szCs w:val="20"/>
          <w:lang w:val="sr-Cyrl-RS"/>
        </w:rPr>
        <w:t>остварују сарадњу са институцијама у тим областима и слично), учврстити њихов значај, посебно радних тела чији је циљ праћење рада установа и јавних предузећа</w:t>
      </w:r>
      <w:r w:rsidR="00200950" w:rsidRPr="0DD3B114">
        <w:rPr>
          <w:rFonts w:ascii="Arial" w:hAnsi="Arial" w:cs="Arial"/>
          <w:sz w:val="20"/>
          <w:szCs w:val="20"/>
          <w:lang w:val="sr-Cyrl-RS"/>
        </w:rPr>
        <w:t>,</w:t>
      </w:r>
      <w:r w:rsidRPr="0DD3B114">
        <w:rPr>
          <w:rFonts w:ascii="Arial" w:hAnsi="Arial" w:cs="Arial"/>
          <w:sz w:val="20"/>
          <w:szCs w:val="20"/>
          <w:lang w:val="sr-Cyrl-RS"/>
        </w:rPr>
        <w:t xml:space="preserve"> као и предвидети друге „специјалне</w:t>
      </w:r>
      <w:r w:rsidR="0074037A" w:rsidRPr="0DD3B114">
        <w:rPr>
          <w:rFonts w:ascii="Arial" w:hAnsi="Arial" w:cs="Arial"/>
          <w:sz w:val="20"/>
          <w:szCs w:val="20"/>
          <w:lang w:val="sr-Cyrl-RS"/>
        </w:rPr>
        <w:t>”</w:t>
      </w:r>
      <w:r w:rsidRPr="0DD3B114">
        <w:rPr>
          <w:rFonts w:ascii="Arial" w:hAnsi="Arial" w:cs="Arial"/>
          <w:sz w:val="20"/>
          <w:szCs w:val="20"/>
          <w:lang w:val="sr-Cyrl-RS"/>
        </w:rPr>
        <w:t xml:space="preserve"> облике контроле кроз оснивање повремених</w:t>
      </w:r>
      <w:r w:rsidR="00D47243" w:rsidRPr="0DD3B114">
        <w:rPr>
          <w:rFonts w:ascii="Arial" w:hAnsi="Arial" w:cs="Arial"/>
          <w:sz w:val="20"/>
          <w:szCs w:val="20"/>
          <w:lang w:val="sr-Cyrl-RS"/>
        </w:rPr>
        <w:t xml:space="preserve">, </w:t>
      </w:r>
      <w:r w:rsidR="00200950" w:rsidRPr="0DD3B114">
        <w:rPr>
          <w:rFonts w:ascii="Arial" w:hAnsi="Arial" w:cs="Arial"/>
          <w:i/>
          <w:iCs/>
          <w:sz w:val="20"/>
          <w:szCs w:val="20"/>
        </w:rPr>
        <w:t>ad hoc</w:t>
      </w:r>
      <w:r w:rsidRPr="0DD3B114">
        <w:rPr>
          <w:rFonts w:ascii="Arial" w:hAnsi="Arial" w:cs="Arial"/>
          <w:sz w:val="20"/>
          <w:szCs w:val="20"/>
          <w:lang w:val="sr-Cyrl-RS"/>
        </w:rPr>
        <w:t xml:space="preserve"> радних тела</w:t>
      </w:r>
      <w:r w:rsidR="005F7133" w:rsidRPr="0DD3B114">
        <w:rPr>
          <w:rFonts w:ascii="Arial" w:hAnsi="Arial" w:cs="Arial"/>
          <w:sz w:val="20"/>
          <w:szCs w:val="20"/>
          <w:lang w:val="sr-Cyrl-RS"/>
        </w:rPr>
        <w:t>.</w:t>
      </w:r>
    </w:p>
    <w:p w14:paraId="10998551" w14:textId="77777777" w:rsidR="00C75AD7" w:rsidRPr="00A021B7" w:rsidRDefault="00C75AD7" w:rsidP="0DD3B114">
      <w:pPr>
        <w:ind w:firstLine="720"/>
        <w:jc w:val="both"/>
        <w:rPr>
          <w:rFonts w:ascii="Arial" w:hAnsi="Arial" w:cs="Arial"/>
          <w:sz w:val="20"/>
          <w:szCs w:val="20"/>
          <w:lang w:val="sr-Cyrl-RS"/>
        </w:rPr>
      </w:pPr>
    </w:p>
    <w:p w14:paraId="6C9C3E27" w14:textId="49634C6A" w:rsidR="00B9168A"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У </w:t>
      </w:r>
      <w:r w:rsidR="00D47243" w:rsidRPr="0DD3B114">
        <w:rPr>
          <w:rFonts w:ascii="Arial" w:hAnsi="Arial" w:cs="Arial"/>
          <w:sz w:val="20"/>
          <w:szCs w:val="20"/>
          <w:lang w:val="sr-Cyrl-RS"/>
        </w:rPr>
        <w:t xml:space="preserve">раду </w:t>
      </w:r>
      <w:r w:rsidRPr="0DD3B114">
        <w:rPr>
          <w:rFonts w:ascii="Arial" w:hAnsi="Arial" w:cs="Arial"/>
          <w:sz w:val="20"/>
          <w:szCs w:val="20"/>
          <w:lang w:val="sr-Cyrl-RS"/>
        </w:rPr>
        <w:t xml:space="preserve">локалних скупштина примећени су проблеми </w:t>
      </w:r>
      <w:r w:rsidR="00D47243" w:rsidRPr="0DD3B114">
        <w:rPr>
          <w:rFonts w:ascii="Arial" w:hAnsi="Arial" w:cs="Arial"/>
          <w:sz w:val="20"/>
          <w:szCs w:val="20"/>
          <w:lang w:val="sr-Cyrl-RS"/>
        </w:rPr>
        <w:t xml:space="preserve">и </w:t>
      </w:r>
      <w:r w:rsidRPr="0DD3B114">
        <w:rPr>
          <w:rFonts w:ascii="Arial" w:hAnsi="Arial" w:cs="Arial"/>
          <w:sz w:val="20"/>
          <w:szCs w:val="20"/>
          <w:lang w:val="sr-Cyrl-RS"/>
        </w:rPr>
        <w:t>у интерном систему контроле нормативних аката које доносе ЈЛС, што може имати озбиљне последице</w:t>
      </w:r>
      <w:r w:rsidR="00BD1188" w:rsidRPr="0DD3B114">
        <w:rPr>
          <w:rFonts w:ascii="Arial" w:hAnsi="Arial" w:cs="Arial"/>
          <w:sz w:val="20"/>
          <w:szCs w:val="20"/>
          <w:lang w:val="sr-Cyrl-RS"/>
        </w:rPr>
        <w:t xml:space="preserve"> због могућности усвајања незаконитих или неусаглашених општих аката</w:t>
      </w:r>
      <w:r w:rsidRPr="0DD3B114">
        <w:rPr>
          <w:rFonts w:ascii="Arial" w:hAnsi="Arial" w:cs="Arial"/>
          <w:sz w:val="20"/>
          <w:szCs w:val="20"/>
          <w:lang w:val="sr-Cyrl-RS"/>
        </w:rPr>
        <w:t>. Као субјекти контроле унутар ЈЛС појављују се, првенствено, њена скупштина и општинско, односно градско веће (и донекле управа</w:t>
      </w:r>
      <w:r w:rsidR="007A2447" w:rsidRPr="0DD3B114">
        <w:rPr>
          <w:rFonts w:ascii="Arial" w:hAnsi="Arial" w:cs="Arial"/>
          <w:sz w:val="20"/>
          <w:szCs w:val="20"/>
          <w:lang w:val="sr-Cyrl-RS"/>
        </w:rPr>
        <w:t>,</w:t>
      </w:r>
      <w:r w:rsidRPr="0DD3B114">
        <w:rPr>
          <w:rFonts w:ascii="Arial" w:hAnsi="Arial" w:cs="Arial"/>
          <w:sz w:val="20"/>
          <w:szCs w:val="20"/>
          <w:lang w:val="sr-Cyrl-RS"/>
        </w:rPr>
        <w:t xml:space="preserve"> као орган задужен за припрему аката). </w:t>
      </w:r>
      <w:r w:rsidR="00CC4454" w:rsidRPr="0DD3B114">
        <w:rPr>
          <w:rFonts w:ascii="Arial" w:hAnsi="Arial" w:cs="Arial"/>
          <w:sz w:val="20"/>
          <w:szCs w:val="20"/>
          <w:lang w:val="sr-Cyrl-RS"/>
        </w:rPr>
        <w:t xml:space="preserve">Како </w:t>
      </w:r>
      <w:r w:rsidRPr="0DD3B114">
        <w:rPr>
          <w:rFonts w:ascii="Arial" w:hAnsi="Arial" w:cs="Arial"/>
          <w:sz w:val="20"/>
          <w:szCs w:val="20"/>
          <w:lang w:val="sr-Cyrl-RS"/>
        </w:rPr>
        <w:t>до активирања система контроле долази тек када ЈЛС начине пропусте</w:t>
      </w:r>
      <w:r w:rsidR="00F77B8B" w:rsidRPr="0DD3B114">
        <w:rPr>
          <w:rFonts w:ascii="Arial" w:hAnsi="Arial" w:cs="Arial"/>
          <w:sz w:val="20"/>
          <w:szCs w:val="20"/>
          <w:lang w:val="sr-Cyrl-RS"/>
        </w:rPr>
        <w:t xml:space="preserve"> усвајањ</w:t>
      </w:r>
      <w:r w:rsidR="005859F7" w:rsidRPr="0DD3B114">
        <w:rPr>
          <w:rFonts w:ascii="Arial" w:hAnsi="Arial" w:cs="Arial"/>
          <w:sz w:val="20"/>
          <w:szCs w:val="20"/>
          <w:lang w:val="sr-Cyrl-RS"/>
        </w:rPr>
        <w:t>ем</w:t>
      </w:r>
      <w:r w:rsidR="00F77B8B" w:rsidRPr="0DD3B114">
        <w:rPr>
          <w:rFonts w:ascii="Arial" w:hAnsi="Arial" w:cs="Arial"/>
          <w:sz w:val="20"/>
          <w:szCs w:val="20"/>
          <w:lang w:val="sr-Cyrl-RS"/>
        </w:rPr>
        <w:t xml:space="preserve"> </w:t>
      </w:r>
      <w:r w:rsidRPr="0DD3B114">
        <w:rPr>
          <w:rFonts w:ascii="Arial" w:hAnsi="Arial" w:cs="Arial"/>
          <w:sz w:val="20"/>
          <w:szCs w:val="20"/>
          <w:lang w:val="sr-Cyrl-RS"/>
        </w:rPr>
        <w:t xml:space="preserve">ових аката, јачање скупштинских механизама контроле приликом усвајања локалних прописа </w:t>
      </w:r>
      <w:r w:rsidR="00F4236D" w:rsidRPr="0DD3B114">
        <w:rPr>
          <w:rFonts w:ascii="Arial" w:hAnsi="Arial" w:cs="Arial"/>
          <w:sz w:val="20"/>
          <w:szCs w:val="20"/>
          <w:lang w:val="sr-Cyrl-RS"/>
        </w:rPr>
        <w:t>важно</w:t>
      </w:r>
      <w:r w:rsidRPr="0DD3B114">
        <w:rPr>
          <w:rFonts w:ascii="Arial" w:hAnsi="Arial" w:cs="Arial"/>
          <w:sz w:val="20"/>
          <w:szCs w:val="20"/>
          <w:lang w:val="sr-Cyrl-RS"/>
        </w:rPr>
        <w:t xml:space="preserve"> </w:t>
      </w:r>
      <w:r w:rsidR="00F77B8B" w:rsidRPr="0DD3B114">
        <w:rPr>
          <w:rFonts w:ascii="Arial" w:hAnsi="Arial" w:cs="Arial"/>
          <w:sz w:val="20"/>
          <w:szCs w:val="20"/>
          <w:lang w:val="sr-Cyrl-RS"/>
        </w:rPr>
        <w:t xml:space="preserve">је </w:t>
      </w:r>
      <w:r w:rsidRPr="0DD3B114">
        <w:rPr>
          <w:rFonts w:ascii="Arial" w:hAnsi="Arial" w:cs="Arial"/>
          <w:sz w:val="20"/>
          <w:szCs w:val="20"/>
          <w:lang w:val="sr-Cyrl-RS"/>
        </w:rPr>
        <w:t xml:space="preserve">за унапређење квалитета локалних прописа и других аката. </w:t>
      </w:r>
      <w:r w:rsidR="00B9168A" w:rsidRPr="0DD3B114">
        <w:rPr>
          <w:rFonts w:ascii="Arial" w:hAnsi="Arial" w:cs="Arial"/>
          <w:sz w:val="20"/>
          <w:szCs w:val="20"/>
          <w:lang w:val="sr-Cyrl-RS"/>
        </w:rPr>
        <w:t xml:space="preserve">Из </w:t>
      </w:r>
      <w:r w:rsidR="005562F2" w:rsidRPr="0DD3B114">
        <w:rPr>
          <w:rFonts w:ascii="Arial" w:hAnsi="Arial" w:cs="Arial"/>
          <w:sz w:val="20"/>
          <w:szCs w:val="20"/>
          <w:lang w:val="sr-Cyrl-RS"/>
        </w:rPr>
        <w:t xml:space="preserve">овога </w:t>
      </w:r>
      <w:r w:rsidR="00B9168A" w:rsidRPr="0DD3B114">
        <w:rPr>
          <w:rFonts w:ascii="Arial" w:hAnsi="Arial" w:cs="Arial"/>
          <w:sz w:val="20"/>
          <w:szCs w:val="20"/>
          <w:lang w:val="sr-Cyrl-RS"/>
        </w:rPr>
        <w:t xml:space="preserve">произлази да би надзорна функција скупштине требало да буде ојачана </w:t>
      </w:r>
      <w:r w:rsidR="00C07B61" w:rsidRPr="0DD3B114">
        <w:rPr>
          <w:rFonts w:ascii="Arial" w:hAnsi="Arial" w:cs="Arial"/>
          <w:sz w:val="20"/>
          <w:szCs w:val="20"/>
          <w:lang w:val="sr-Cyrl-RS"/>
        </w:rPr>
        <w:t xml:space="preserve">тако што би </w:t>
      </w:r>
      <w:r w:rsidR="005562F2" w:rsidRPr="0DD3B114">
        <w:rPr>
          <w:rFonts w:ascii="Arial" w:hAnsi="Arial" w:cs="Arial"/>
          <w:sz w:val="20"/>
          <w:szCs w:val="20"/>
          <w:lang w:val="sr-Cyrl-RS"/>
        </w:rPr>
        <w:t xml:space="preserve">њена радна </w:t>
      </w:r>
      <w:r w:rsidR="00B9168A" w:rsidRPr="0DD3B114">
        <w:rPr>
          <w:rFonts w:ascii="Arial" w:hAnsi="Arial" w:cs="Arial"/>
          <w:sz w:val="20"/>
          <w:szCs w:val="20"/>
          <w:lang w:val="sr-Cyrl-RS"/>
        </w:rPr>
        <w:t xml:space="preserve">тела која врше надзор </w:t>
      </w:r>
      <w:r w:rsidR="00200950" w:rsidRPr="0DD3B114">
        <w:rPr>
          <w:rFonts w:ascii="Arial" w:hAnsi="Arial" w:cs="Arial"/>
          <w:sz w:val="20"/>
          <w:szCs w:val="20"/>
          <w:lang w:val="sr-Cyrl-RS"/>
        </w:rPr>
        <w:t xml:space="preserve">над </w:t>
      </w:r>
      <w:r w:rsidR="00B9168A" w:rsidRPr="0DD3B114">
        <w:rPr>
          <w:rFonts w:ascii="Arial" w:hAnsi="Arial" w:cs="Arial"/>
          <w:sz w:val="20"/>
          <w:szCs w:val="20"/>
          <w:lang w:val="sr-Cyrl-RS"/>
        </w:rPr>
        <w:t>рад</w:t>
      </w:r>
      <w:r w:rsidR="00200950" w:rsidRPr="0DD3B114">
        <w:rPr>
          <w:rFonts w:ascii="Arial" w:hAnsi="Arial" w:cs="Arial"/>
          <w:sz w:val="20"/>
          <w:szCs w:val="20"/>
          <w:lang w:val="sr-Cyrl-RS"/>
        </w:rPr>
        <w:t>ом</w:t>
      </w:r>
      <w:r w:rsidR="00B9168A" w:rsidRPr="0DD3B114">
        <w:rPr>
          <w:rFonts w:ascii="Arial" w:hAnsi="Arial" w:cs="Arial"/>
          <w:sz w:val="20"/>
          <w:szCs w:val="20"/>
          <w:lang w:val="sr-Cyrl-RS"/>
        </w:rPr>
        <w:t xml:space="preserve"> (извештаја) предузећа и установа </w:t>
      </w:r>
      <w:r w:rsidR="00C07B61" w:rsidRPr="0DD3B114">
        <w:rPr>
          <w:rFonts w:ascii="Arial" w:hAnsi="Arial" w:cs="Arial"/>
          <w:sz w:val="20"/>
          <w:szCs w:val="20"/>
          <w:lang w:val="sr-Cyrl-RS"/>
        </w:rPr>
        <w:t>имала</w:t>
      </w:r>
      <w:r w:rsidR="00B9168A" w:rsidRPr="0DD3B114">
        <w:rPr>
          <w:rFonts w:ascii="Arial" w:hAnsi="Arial" w:cs="Arial"/>
          <w:sz w:val="20"/>
          <w:szCs w:val="20"/>
          <w:lang w:val="sr-Cyrl-RS"/>
        </w:rPr>
        <w:t xml:space="preserve"> стални карактер (стална радна тела) са неопходним нивоом стручности чланова радног тела (могућност учешћа и других лица осим одборника). Уколико постоји процена да је потребна</w:t>
      </w:r>
      <w:r w:rsidR="0009247C" w:rsidRPr="0DD3B114">
        <w:rPr>
          <w:rFonts w:ascii="Arial" w:hAnsi="Arial" w:cs="Arial"/>
          <w:sz w:val="20"/>
          <w:szCs w:val="20"/>
          <w:lang w:val="sr-Cyrl-RS"/>
        </w:rPr>
        <w:t xml:space="preserve"> и </w:t>
      </w:r>
      <w:r w:rsidR="00B9168A" w:rsidRPr="0DD3B114">
        <w:rPr>
          <w:rFonts w:ascii="Arial" w:hAnsi="Arial" w:cs="Arial"/>
          <w:sz w:val="20"/>
          <w:szCs w:val="20"/>
          <w:lang w:val="sr-Cyrl-RS"/>
        </w:rPr>
        <w:t xml:space="preserve">већа правна контрола аката, у овом правцу би </w:t>
      </w:r>
      <w:r w:rsidR="0009247C" w:rsidRPr="0DD3B114">
        <w:rPr>
          <w:rFonts w:ascii="Arial" w:hAnsi="Arial" w:cs="Arial"/>
          <w:sz w:val="20"/>
          <w:szCs w:val="20"/>
          <w:lang w:val="sr-Cyrl-RS"/>
        </w:rPr>
        <w:t>могл</w:t>
      </w:r>
      <w:r w:rsidR="004D2D87" w:rsidRPr="0DD3B114">
        <w:rPr>
          <w:rFonts w:ascii="Arial" w:hAnsi="Arial" w:cs="Arial"/>
          <w:sz w:val="20"/>
          <w:szCs w:val="20"/>
          <w:lang w:val="sr-Cyrl-RS"/>
        </w:rPr>
        <w:t>а</w:t>
      </w:r>
      <w:r w:rsidR="0009247C" w:rsidRPr="0DD3B114">
        <w:rPr>
          <w:rFonts w:ascii="Arial" w:hAnsi="Arial" w:cs="Arial"/>
          <w:sz w:val="20"/>
          <w:szCs w:val="20"/>
          <w:lang w:val="sr-Cyrl-RS"/>
        </w:rPr>
        <w:t xml:space="preserve"> </w:t>
      </w:r>
      <w:r w:rsidR="00B9168A" w:rsidRPr="0DD3B114">
        <w:rPr>
          <w:rFonts w:ascii="Arial" w:hAnsi="Arial" w:cs="Arial"/>
          <w:sz w:val="20"/>
          <w:szCs w:val="20"/>
          <w:lang w:val="sr-Cyrl-RS"/>
        </w:rPr>
        <w:t>да се размотри могућност и да се изменом ЗЛС отвори простор за успостављање мање стручне службе секретара скупштине</w:t>
      </w:r>
      <w:r w:rsidR="00ED44CE" w:rsidRPr="0DD3B114">
        <w:rPr>
          <w:rFonts w:ascii="Arial" w:hAnsi="Arial" w:cs="Arial"/>
          <w:sz w:val="20"/>
          <w:szCs w:val="20"/>
          <w:lang w:val="sr-Cyrl-RS"/>
        </w:rPr>
        <w:t xml:space="preserve"> или посебног скупштинског одбора</w:t>
      </w:r>
      <w:r w:rsidR="008E2986" w:rsidRPr="0DD3B114">
        <w:rPr>
          <w:rFonts w:ascii="Arial" w:hAnsi="Arial" w:cs="Arial"/>
          <w:sz w:val="20"/>
          <w:szCs w:val="20"/>
          <w:lang w:val="sr-Cyrl-RS"/>
        </w:rPr>
        <w:t>,</w:t>
      </w:r>
      <w:r w:rsidR="00B9168A" w:rsidRPr="0DD3B114">
        <w:rPr>
          <w:rFonts w:ascii="Arial" w:hAnsi="Arial" w:cs="Arial"/>
          <w:sz w:val="20"/>
          <w:szCs w:val="20"/>
          <w:lang w:val="sr-Cyrl-RS"/>
        </w:rPr>
        <w:t xml:space="preserve"> која би имала задатак </w:t>
      </w:r>
      <w:r w:rsidR="00F6219D" w:rsidRPr="0DD3B114">
        <w:rPr>
          <w:rFonts w:ascii="Arial" w:hAnsi="Arial" w:cs="Arial"/>
          <w:sz w:val="20"/>
          <w:szCs w:val="20"/>
          <w:lang w:val="sr-Cyrl-RS"/>
        </w:rPr>
        <w:t xml:space="preserve">да </w:t>
      </w:r>
      <w:r w:rsidR="00B9168A" w:rsidRPr="0DD3B114">
        <w:rPr>
          <w:rFonts w:ascii="Arial" w:hAnsi="Arial" w:cs="Arial"/>
          <w:sz w:val="20"/>
          <w:szCs w:val="20"/>
          <w:lang w:val="sr-Cyrl-RS"/>
        </w:rPr>
        <w:t>провер</w:t>
      </w:r>
      <w:r w:rsidR="00F6219D" w:rsidRPr="0DD3B114">
        <w:rPr>
          <w:rFonts w:ascii="Arial" w:hAnsi="Arial" w:cs="Arial"/>
          <w:sz w:val="20"/>
          <w:szCs w:val="20"/>
          <w:lang w:val="sr-Cyrl-RS"/>
        </w:rPr>
        <w:t>ава</w:t>
      </w:r>
      <w:r w:rsidR="00B9168A" w:rsidRPr="0DD3B114">
        <w:rPr>
          <w:rFonts w:ascii="Arial" w:hAnsi="Arial" w:cs="Arial"/>
          <w:sz w:val="20"/>
          <w:szCs w:val="20"/>
          <w:lang w:val="sr-Cyrl-RS"/>
        </w:rPr>
        <w:t xml:space="preserve"> усклађеност свих аката који се предлажу скупштини са </w:t>
      </w:r>
      <w:r w:rsidR="008E2986" w:rsidRPr="0DD3B114">
        <w:rPr>
          <w:rFonts w:ascii="Arial" w:hAnsi="Arial" w:cs="Arial"/>
          <w:sz w:val="20"/>
          <w:szCs w:val="20"/>
          <w:lang w:val="sr-Cyrl-RS"/>
        </w:rPr>
        <w:t xml:space="preserve">Уставом, </w:t>
      </w:r>
      <w:r w:rsidR="00B9168A" w:rsidRPr="0DD3B114">
        <w:rPr>
          <w:rFonts w:ascii="Arial" w:hAnsi="Arial" w:cs="Arial"/>
          <w:sz w:val="20"/>
          <w:szCs w:val="20"/>
          <w:lang w:val="sr-Cyrl-RS"/>
        </w:rPr>
        <w:t>законом</w:t>
      </w:r>
      <w:r w:rsidR="5FBA93D1" w:rsidRPr="0DD3B114">
        <w:rPr>
          <w:rFonts w:ascii="Arial" w:hAnsi="Arial" w:cs="Arial"/>
          <w:sz w:val="20"/>
          <w:szCs w:val="20"/>
          <w:lang w:val="sr-Cyrl-RS"/>
        </w:rPr>
        <w:t>,</w:t>
      </w:r>
      <w:r w:rsidR="00B9168A" w:rsidRPr="0DD3B114">
        <w:rPr>
          <w:rFonts w:ascii="Arial" w:hAnsi="Arial" w:cs="Arial"/>
          <w:sz w:val="20"/>
          <w:szCs w:val="20"/>
          <w:lang w:val="sr-Cyrl-RS"/>
        </w:rPr>
        <w:t xml:space="preserve"> статутом и другим општим актима ЈЛС.</w:t>
      </w:r>
    </w:p>
    <w:p w14:paraId="4109542E" w14:textId="77777777" w:rsidR="00C75AD7" w:rsidRPr="00A021B7" w:rsidRDefault="00C75AD7" w:rsidP="0DD3B114">
      <w:pPr>
        <w:ind w:firstLine="720"/>
        <w:jc w:val="both"/>
        <w:rPr>
          <w:rFonts w:ascii="Arial" w:hAnsi="Arial" w:cs="Arial"/>
          <w:sz w:val="20"/>
          <w:szCs w:val="20"/>
          <w:lang w:val="sr-Cyrl-RS"/>
        </w:rPr>
      </w:pPr>
    </w:p>
    <w:p w14:paraId="1DEF45D9" w14:textId="0830887B" w:rsidR="00C75AD7"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Коначно, </w:t>
      </w:r>
      <w:r w:rsidR="003816D0" w:rsidRPr="0DD3B114">
        <w:rPr>
          <w:rFonts w:ascii="Arial" w:hAnsi="Arial" w:cs="Arial"/>
          <w:sz w:val="20"/>
          <w:szCs w:val="20"/>
          <w:lang w:val="sr-Cyrl-RS"/>
        </w:rPr>
        <w:t xml:space="preserve">с </w:t>
      </w:r>
      <w:r w:rsidRPr="0DD3B114">
        <w:rPr>
          <w:rFonts w:ascii="Arial" w:hAnsi="Arial" w:cs="Arial"/>
          <w:sz w:val="20"/>
          <w:szCs w:val="20"/>
          <w:lang w:val="sr-Cyrl-RS"/>
        </w:rPr>
        <w:t xml:space="preserve">обзиром </w:t>
      </w:r>
      <w:r w:rsidR="00F6219D" w:rsidRPr="0DD3B114">
        <w:rPr>
          <w:rFonts w:ascii="Arial" w:hAnsi="Arial" w:cs="Arial"/>
          <w:sz w:val="20"/>
          <w:szCs w:val="20"/>
          <w:lang w:val="sr-Cyrl-RS"/>
        </w:rPr>
        <w:t xml:space="preserve">на то </w:t>
      </w:r>
      <w:r w:rsidRPr="0DD3B114">
        <w:rPr>
          <w:rFonts w:ascii="Arial" w:hAnsi="Arial" w:cs="Arial"/>
          <w:sz w:val="20"/>
          <w:szCs w:val="20"/>
          <w:lang w:val="sr-Cyrl-RS"/>
        </w:rPr>
        <w:t xml:space="preserve">да сваки орган припрема план рада и подноси извештај скупштини као највишем органу, логично је и оправдано размотрити потребу </w:t>
      </w:r>
      <w:r w:rsidR="003816D0" w:rsidRPr="0DD3B114">
        <w:rPr>
          <w:rFonts w:ascii="Arial" w:hAnsi="Arial" w:cs="Arial"/>
          <w:sz w:val="20"/>
          <w:szCs w:val="20"/>
          <w:lang w:val="sr-Cyrl-RS"/>
        </w:rPr>
        <w:t xml:space="preserve">за </w:t>
      </w:r>
      <w:r w:rsidRPr="0DD3B114">
        <w:rPr>
          <w:rFonts w:ascii="Arial" w:hAnsi="Arial" w:cs="Arial"/>
          <w:sz w:val="20"/>
          <w:szCs w:val="20"/>
          <w:lang w:val="sr-Cyrl-RS"/>
        </w:rPr>
        <w:t>увођење</w:t>
      </w:r>
      <w:r w:rsidR="003816D0" w:rsidRPr="0DD3B114">
        <w:rPr>
          <w:rFonts w:ascii="Arial" w:hAnsi="Arial" w:cs="Arial"/>
          <w:sz w:val="20"/>
          <w:szCs w:val="20"/>
          <w:lang w:val="sr-Cyrl-RS"/>
        </w:rPr>
        <w:t>м</w:t>
      </w:r>
      <w:r w:rsidRPr="0DD3B114">
        <w:rPr>
          <w:rFonts w:ascii="Arial" w:hAnsi="Arial" w:cs="Arial"/>
          <w:sz w:val="20"/>
          <w:szCs w:val="20"/>
          <w:lang w:val="sr-Cyrl-RS"/>
        </w:rPr>
        <w:t xml:space="preserve"> обавезног програм</w:t>
      </w:r>
      <w:r w:rsidR="005859F7" w:rsidRPr="0DD3B114">
        <w:rPr>
          <w:rFonts w:ascii="Arial" w:hAnsi="Arial" w:cs="Arial"/>
          <w:sz w:val="20"/>
          <w:szCs w:val="20"/>
          <w:lang w:val="sr-Cyrl-RS"/>
        </w:rPr>
        <w:t>ирања</w:t>
      </w:r>
      <w:r w:rsidRPr="0DD3B114">
        <w:rPr>
          <w:rFonts w:ascii="Arial" w:hAnsi="Arial" w:cs="Arial"/>
          <w:sz w:val="20"/>
          <w:szCs w:val="20"/>
          <w:lang w:val="sr-Cyrl-RS"/>
        </w:rPr>
        <w:t xml:space="preserve"> рада скупштине </w:t>
      </w:r>
      <w:r w:rsidR="005859F7" w:rsidRPr="0DD3B114">
        <w:rPr>
          <w:rFonts w:ascii="Arial" w:hAnsi="Arial" w:cs="Arial"/>
          <w:sz w:val="20"/>
          <w:szCs w:val="20"/>
          <w:lang w:val="sr-Cyrl-RS"/>
        </w:rPr>
        <w:t>и извештавања о њеном раду</w:t>
      </w:r>
      <w:r w:rsidRPr="0DD3B114">
        <w:rPr>
          <w:rFonts w:ascii="Arial" w:hAnsi="Arial" w:cs="Arial"/>
          <w:sz w:val="20"/>
          <w:szCs w:val="20"/>
          <w:lang w:val="sr-Cyrl-RS"/>
        </w:rPr>
        <w:t xml:space="preserve">. </w:t>
      </w:r>
      <w:r w:rsidRPr="0DD3B114">
        <w:rPr>
          <w:rFonts w:ascii="Arial" w:hAnsi="Arial" w:cs="Arial"/>
          <w:color w:val="000000" w:themeColor="text1"/>
          <w:sz w:val="20"/>
          <w:szCs w:val="20"/>
          <w:lang w:val="sr-Cyrl-RS"/>
        </w:rPr>
        <w:t xml:space="preserve">Анализа садржаја пословника о раду локалних скупштина </w:t>
      </w:r>
      <w:r w:rsidR="00C11A16" w:rsidRPr="0DD3B114">
        <w:rPr>
          <w:rFonts w:ascii="Arial" w:hAnsi="Arial" w:cs="Arial"/>
          <w:sz w:val="20"/>
          <w:szCs w:val="20"/>
          <w:lang w:val="sr-Cyrl-RS"/>
        </w:rPr>
        <w:t>пока</w:t>
      </w:r>
      <w:r w:rsidR="559580AF" w:rsidRPr="0DD3B114">
        <w:rPr>
          <w:rFonts w:ascii="Arial" w:hAnsi="Arial" w:cs="Arial"/>
          <w:sz w:val="20"/>
          <w:szCs w:val="20"/>
          <w:lang w:val="sr-Cyrl-RS"/>
        </w:rPr>
        <w:t>з</w:t>
      </w:r>
      <w:r w:rsidR="00C11A16" w:rsidRPr="0DD3B114">
        <w:rPr>
          <w:rFonts w:ascii="Arial" w:hAnsi="Arial" w:cs="Arial"/>
          <w:sz w:val="20"/>
          <w:szCs w:val="20"/>
          <w:lang w:val="sr-Cyrl-RS"/>
        </w:rPr>
        <w:t>уј</w:t>
      </w:r>
      <w:r w:rsidR="00791F08" w:rsidRPr="0DD3B114">
        <w:rPr>
          <w:rFonts w:ascii="Arial" w:hAnsi="Arial" w:cs="Arial"/>
          <w:color w:val="000000" w:themeColor="text1"/>
          <w:sz w:val="20"/>
          <w:szCs w:val="20"/>
          <w:lang w:val="sr-Cyrl-RS"/>
        </w:rPr>
        <w:t xml:space="preserve">е </w:t>
      </w:r>
      <w:r w:rsidRPr="0DD3B114">
        <w:rPr>
          <w:rFonts w:ascii="Arial" w:hAnsi="Arial" w:cs="Arial"/>
          <w:sz w:val="20"/>
          <w:szCs w:val="20"/>
          <w:lang w:val="sr-Cyrl-RS"/>
        </w:rPr>
        <w:t xml:space="preserve">да је само у једном пословнику предвиђено да скупштина доноси програм рада (најкасније на децембарској седници текуће </w:t>
      </w:r>
      <w:r w:rsidR="00D77779" w:rsidRPr="0DD3B114">
        <w:rPr>
          <w:rFonts w:ascii="Arial" w:hAnsi="Arial" w:cs="Arial"/>
          <w:sz w:val="20"/>
          <w:szCs w:val="20"/>
          <w:lang w:val="sr-Cyrl-RS"/>
        </w:rPr>
        <w:t xml:space="preserve">године </w:t>
      </w:r>
      <w:r w:rsidRPr="0DD3B114">
        <w:rPr>
          <w:rFonts w:ascii="Arial" w:hAnsi="Arial" w:cs="Arial"/>
          <w:sz w:val="20"/>
          <w:szCs w:val="20"/>
          <w:lang w:val="sr-Cyrl-RS"/>
        </w:rPr>
        <w:t xml:space="preserve">за наредну). Без обзира на то што се поједине активности скупштине не могу унапред планирати (углавном због честих промена закона), чињеница је да би рад скупштине требало усмеравати, </w:t>
      </w:r>
      <w:r w:rsidR="00F6219D" w:rsidRPr="0DD3B114">
        <w:rPr>
          <w:rFonts w:ascii="Arial" w:hAnsi="Arial" w:cs="Arial"/>
          <w:sz w:val="20"/>
          <w:szCs w:val="20"/>
          <w:lang w:val="sr-Cyrl-RS"/>
        </w:rPr>
        <w:t xml:space="preserve">као и </w:t>
      </w:r>
      <w:r w:rsidRPr="0DD3B114">
        <w:rPr>
          <w:rFonts w:ascii="Arial" w:hAnsi="Arial" w:cs="Arial"/>
          <w:sz w:val="20"/>
          <w:szCs w:val="20"/>
          <w:lang w:val="sr-Cyrl-RS"/>
        </w:rPr>
        <w:t xml:space="preserve">одредити приоритете и рокове за обављање одређених задатака. Истовремено, програм рада скупштине је полазиште за разматрање извештаја о раду других органа </w:t>
      </w:r>
      <w:r w:rsidR="00CE6A15" w:rsidRPr="0DD3B114">
        <w:rPr>
          <w:rFonts w:ascii="Arial" w:hAnsi="Arial" w:cs="Arial"/>
          <w:sz w:val="20"/>
          <w:szCs w:val="20"/>
          <w:lang w:val="sr-Cyrl-RS"/>
        </w:rPr>
        <w:t xml:space="preserve">и организација </w:t>
      </w:r>
      <w:r w:rsidRPr="0DD3B114">
        <w:rPr>
          <w:rFonts w:ascii="Arial" w:hAnsi="Arial" w:cs="Arial"/>
          <w:sz w:val="20"/>
          <w:szCs w:val="20"/>
          <w:lang w:val="sr-Cyrl-RS"/>
        </w:rPr>
        <w:t>ЈЛС. Програм рада скупштине за наредну годину, као и извештај о раду скупштине за протеклу годину треба да буд</w:t>
      </w:r>
      <w:r w:rsidR="00F6219D" w:rsidRPr="0DD3B114">
        <w:rPr>
          <w:rFonts w:ascii="Arial" w:hAnsi="Arial" w:cs="Arial"/>
          <w:sz w:val="20"/>
          <w:szCs w:val="20"/>
          <w:lang w:val="sr-Cyrl-RS"/>
        </w:rPr>
        <w:t>у</w:t>
      </w:r>
      <w:r w:rsidRPr="0DD3B114">
        <w:rPr>
          <w:rFonts w:ascii="Arial" w:hAnsi="Arial" w:cs="Arial"/>
          <w:sz w:val="20"/>
          <w:szCs w:val="20"/>
          <w:lang w:val="sr-Cyrl-RS"/>
        </w:rPr>
        <w:t xml:space="preserve"> доступн</w:t>
      </w:r>
      <w:r w:rsidR="00F6219D" w:rsidRPr="0DD3B114">
        <w:rPr>
          <w:rFonts w:ascii="Arial" w:hAnsi="Arial" w:cs="Arial"/>
          <w:sz w:val="20"/>
          <w:szCs w:val="20"/>
          <w:lang w:val="sr-Cyrl-RS"/>
        </w:rPr>
        <w:t>и</w:t>
      </w:r>
      <w:r w:rsidRPr="0DD3B114">
        <w:rPr>
          <w:rFonts w:ascii="Arial" w:hAnsi="Arial" w:cs="Arial"/>
          <w:sz w:val="20"/>
          <w:szCs w:val="20"/>
          <w:lang w:val="sr-Cyrl-RS"/>
        </w:rPr>
        <w:t xml:space="preserve"> јавности (у средствима јавног информисања, на интернет страници ЈЛС или </w:t>
      </w:r>
      <w:r w:rsidR="00F6219D" w:rsidRPr="0DD3B114">
        <w:rPr>
          <w:rFonts w:ascii="Arial" w:hAnsi="Arial" w:cs="Arial"/>
          <w:sz w:val="20"/>
          <w:szCs w:val="20"/>
          <w:lang w:val="sr-Cyrl-RS"/>
        </w:rPr>
        <w:t xml:space="preserve">у </w:t>
      </w:r>
      <w:r w:rsidRPr="0DD3B114">
        <w:rPr>
          <w:rFonts w:ascii="Arial" w:hAnsi="Arial" w:cs="Arial"/>
          <w:sz w:val="20"/>
          <w:szCs w:val="20"/>
          <w:lang w:val="sr-Cyrl-RS"/>
        </w:rPr>
        <w:t>одговарајућ</w:t>
      </w:r>
      <w:r w:rsidR="00F6219D" w:rsidRPr="0DD3B114">
        <w:rPr>
          <w:rFonts w:ascii="Arial" w:hAnsi="Arial" w:cs="Arial"/>
          <w:sz w:val="20"/>
          <w:szCs w:val="20"/>
          <w:lang w:val="sr-Cyrl-RS"/>
        </w:rPr>
        <w:t>ој</w:t>
      </w:r>
      <w:r w:rsidRPr="0DD3B114">
        <w:rPr>
          <w:rFonts w:ascii="Arial" w:hAnsi="Arial" w:cs="Arial"/>
          <w:sz w:val="20"/>
          <w:szCs w:val="20"/>
          <w:lang w:val="sr-Cyrl-RS"/>
        </w:rPr>
        <w:t xml:space="preserve"> публикациј</w:t>
      </w:r>
      <w:r w:rsidR="00F6219D" w:rsidRPr="0DD3B114">
        <w:rPr>
          <w:rFonts w:ascii="Arial" w:hAnsi="Arial" w:cs="Arial"/>
          <w:sz w:val="20"/>
          <w:szCs w:val="20"/>
          <w:lang w:val="sr-Cyrl-RS"/>
        </w:rPr>
        <w:t>и</w:t>
      </w:r>
      <w:r w:rsidRPr="0DD3B114">
        <w:rPr>
          <w:rFonts w:ascii="Arial" w:hAnsi="Arial" w:cs="Arial"/>
          <w:sz w:val="20"/>
          <w:szCs w:val="20"/>
          <w:lang w:val="sr-Cyrl-RS"/>
        </w:rPr>
        <w:t>).</w:t>
      </w:r>
    </w:p>
    <w:p w14:paraId="7F576733" w14:textId="77777777" w:rsidR="00C75AD7" w:rsidRPr="00A021B7" w:rsidRDefault="00C75AD7" w:rsidP="003E7BC9">
      <w:pPr>
        <w:contextualSpacing/>
        <w:jc w:val="both"/>
        <w:rPr>
          <w:rFonts w:ascii="Arial" w:hAnsi="Arial" w:cs="Arial"/>
          <w:i/>
          <w:iCs/>
          <w:sz w:val="20"/>
          <w:szCs w:val="20"/>
          <w:lang w:val="sr-Cyrl-RS"/>
        </w:rPr>
      </w:pPr>
    </w:p>
    <w:p w14:paraId="571F19C5" w14:textId="77777777" w:rsidR="00C75AD7" w:rsidRPr="00A021B7" w:rsidRDefault="00C75AD7" w:rsidP="003E7BC9">
      <w:pPr>
        <w:contextualSpacing/>
        <w:jc w:val="both"/>
        <w:rPr>
          <w:rFonts w:ascii="Arial" w:hAnsi="Arial" w:cs="Arial"/>
          <w:b/>
          <w:bCs/>
          <w:i/>
          <w:iCs/>
          <w:sz w:val="20"/>
          <w:szCs w:val="20"/>
          <w:lang w:val="sr-Cyrl-RS"/>
        </w:rPr>
      </w:pPr>
      <w:r w:rsidRPr="00A021B7">
        <w:rPr>
          <w:rFonts w:ascii="Arial" w:hAnsi="Arial" w:cs="Arial"/>
          <w:b/>
          <w:bCs/>
          <w:i/>
          <w:iCs/>
          <w:sz w:val="20"/>
          <w:szCs w:val="20"/>
          <w:lang w:val="sr-Cyrl-RS"/>
        </w:rPr>
        <w:t>Извршни органи ЈЛС</w:t>
      </w:r>
    </w:p>
    <w:p w14:paraId="5F2C7959" w14:textId="77777777" w:rsidR="00C75AD7" w:rsidRPr="00A021B7" w:rsidRDefault="00C75AD7" w:rsidP="003E7BC9">
      <w:pPr>
        <w:contextualSpacing/>
        <w:jc w:val="both"/>
        <w:rPr>
          <w:rFonts w:ascii="Arial" w:hAnsi="Arial" w:cs="Arial"/>
          <w:sz w:val="20"/>
          <w:szCs w:val="20"/>
          <w:highlight w:val="yellow"/>
          <w:lang w:val="sr-Cyrl-RS"/>
        </w:rPr>
      </w:pPr>
    </w:p>
    <w:p w14:paraId="483842EB" w14:textId="0B4EE2E7" w:rsidR="00C75AD7"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Општинско веће је колективни извршни орган, кој</w:t>
      </w:r>
      <w:r w:rsidR="00B34E6F" w:rsidRPr="0DD3B114">
        <w:rPr>
          <w:rFonts w:ascii="Arial" w:hAnsi="Arial" w:cs="Arial"/>
          <w:sz w:val="20"/>
          <w:szCs w:val="20"/>
          <w:lang w:val="sr-Cyrl-RS"/>
        </w:rPr>
        <w:t>и</w:t>
      </w:r>
      <w:r w:rsidRPr="0DD3B114">
        <w:rPr>
          <w:rFonts w:ascii="Arial" w:hAnsi="Arial" w:cs="Arial"/>
          <w:sz w:val="20"/>
          <w:szCs w:val="20"/>
          <w:lang w:val="sr-Cyrl-RS"/>
        </w:rPr>
        <w:t xml:space="preserve"> чине председник општине</w:t>
      </w:r>
      <w:r w:rsidR="00601D56" w:rsidRPr="0DD3B114">
        <w:rPr>
          <w:rFonts w:ascii="Arial" w:hAnsi="Arial" w:cs="Arial"/>
          <w:sz w:val="20"/>
          <w:szCs w:val="20"/>
          <w:lang w:val="sr-Cyrl-RS"/>
        </w:rPr>
        <w:t>,</w:t>
      </w:r>
      <w:r w:rsidRPr="0DD3B114">
        <w:rPr>
          <w:rFonts w:ascii="Arial" w:hAnsi="Arial" w:cs="Arial"/>
          <w:sz w:val="20"/>
          <w:szCs w:val="20"/>
          <w:lang w:val="sr-Cyrl-RS"/>
        </w:rPr>
        <w:t xml:space="preserve"> заменик </w:t>
      </w:r>
      <w:r w:rsidR="00601D56" w:rsidRPr="0DD3B114">
        <w:rPr>
          <w:rFonts w:ascii="Arial" w:hAnsi="Arial" w:cs="Arial"/>
          <w:sz w:val="20"/>
          <w:szCs w:val="20"/>
          <w:lang w:val="sr-Cyrl-RS"/>
        </w:rPr>
        <w:t xml:space="preserve">председника општине </w:t>
      </w:r>
      <w:r w:rsidRPr="0DD3B114">
        <w:rPr>
          <w:rFonts w:ascii="Arial" w:hAnsi="Arial" w:cs="Arial"/>
          <w:sz w:val="20"/>
          <w:szCs w:val="20"/>
          <w:lang w:val="sr-Cyrl-RS"/>
        </w:rPr>
        <w:t>и чланови</w:t>
      </w:r>
      <w:r w:rsidR="00B34E6F" w:rsidRPr="0DD3B114">
        <w:rPr>
          <w:rFonts w:ascii="Arial" w:hAnsi="Arial" w:cs="Arial"/>
          <w:sz w:val="20"/>
          <w:szCs w:val="20"/>
          <w:lang w:val="sr-Cyrl-RS"/>
        </w:rPr>
        <w:t>,</w:t>
      </w:r>
      <w:r w:rsidRPr="0DD3B114">
        <w:rPr>
          <w:rFonts w:ascii="Arial" w:hAnsi="Arial" w:cs="Arial"/>
          <w:sz w:val="20"/>
          <w:szCs w:val="20"/>
          <w:lang w:val="sr-Cyrl-RS"/>
        </w:rPr>
        <w:t xml:space="preserve"> чији број се одређује статутом</w:t>
      </w:r>
      <w:r w:rsidR="00CE6A15" w:rsidRPr="0DD3B114">
        <w:rPr>
          <w:rFonts w:ascii="Arial" w:hAnsi="Arial" w:cs="Arial"/>
          <w:sz w:val="20"/>
          <w:szCs w:val="20"/>
          <w:lang w:val="sr-Cyrl-RS"/>
        </w:rPr>
        <w:t xml:space="preserve"> (у складу са бројем становника </w:t>
      </w:r>
      <w:r w:rsidR="00B34E6F" w:rsidRPr="0DD3B114">
        <w:rPr>
          <w:rFonts w:ascii="Arial" w:hAnsi="Arial" w:cs="Arial"/>
          <w:sz w:val="20"/>
          <w:szCs w:val="20"/>
          <w:lang w:val="sr-Cyrl-RS"/>
        </w:rPr>
        <w:t xml:space="preserve">у </w:t>
      </w:r>
      <w:r w:rsidR="00CE6A15" w:rsidRPr="0DD3B114">
        <w:rPr>
          <w:rFonts w:ascii="Arial" w:hAnsi="Arial" w:cs="Arial"/>
          <w:sz w:val="20"/>
          <w:szCs w:val="20"/>
          <w:lang w:val="sr-Cyrl-RS"/>
        </w:rPr>
        <w:t>ЈЛС)</w:t>
      </w:r>
      <w:r w:rsidRPr="0DD3B114">
        <w:rPr>
          <w:rFonts w:ascii="Arial" w:hAnsi="Arial" w:cs="Arial"/>
          <w:sz w:val="20"/>
          <w:szCs w:val="20"/>
          <w:lang w:val="sr-Cyrl-RS"/>
        </w:rPr>
        <w:t>, али не може бити већи од 11, изузев у случају града Београда који може да има 13 чланова (</w:t>
      </w:r>
      <w:r w:rsidR="003B71E8" w:rsidRPr="0DD3B114">
        <w:rPr>
          <w:rFonts w:ascii="Arial" w:hAnsi="Arial" w:cs="Arial"/>
          <w:sz w:val="20"/>
          <w:szCs w:val="20"/>
          <w:lang w:val="sr-Cyrl-RS"/>
        </w:rPr>
        <w:t>чл</w:t>
      </w:r>
      <w:r w:rsidR="005859F7" w:rsidRPr="0DD3B114">
        <w:rPr>
          <w:rFonts w:ascii="Arial" w:hAnsi="Arial" w:cs="Arial"/>
          <w:sz w:val="20"/>
          <w:szCs w:val="20"/>
          <w:lang w:val="sr-Cyrl-RS"/>
        </w:rPr>
        <w:t>ан</w:t>
      </w:r>
      <w:r w:rsidR="003B71E8" w:rsidRPr="0DD3B114">
        <w:rPr>
          <w:rFonts w:ascii="Arial" w:hAnsi="Arial" w:cs="Arial"/>
          <w:sz w:val="20"/>
          <w:szCs w:val="20"/>
          <w:lang w:val="sr-Cyrl-RS"/>
        </w:rPr>
        <w:t xml:space="preserve"> </w:t>
      </w:r>
      <w:r w:rsidRPr="0DD3B114">
        <w:rPr>
          <w:rFonts w:ascii="Arial" w:hAnsi="Arial" w:cs="Arial"/>
          <w:sz w:val="20"/>
          <w:szCs w:val="20"/>
          <w:lang w:val="sr-Cyrl-RS"/>
        </w:rPr>
        <w:t>25. Закона о главном граду). Чланови већа могу имати задужења за поједине области и бити на сталном раду у општини.</w:t>
      </w:r>
    </w:p>
    <w:p w14:paraId="316C0751" w14:textId="77777777" w:rsidR="00C75AD7" w:rsidRPr="00A021B7" w:rsidRDefault="00C75AD7" w:rsidP="0DD3B114">
      <w:pPr>
        <w:ind w:firstLine="720"/>
        <w:jc w:val="both"/>
        <w:rPr>
          <w:rFonts w:ascii="Arial" w:hAnsi="Arial" w:cs="Arial"/>
          <w:sz w:val="20"/>
          <w:szCs w:val="20"/>
          <w:lang w:val="sr-Cyrl-RS"/>
        </w:rPr>
      </w:pPr>
    </w:p>
    <w:p w14:paraId="18616F04" w14:textId="77777777"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lastRenderedPageBreak/>
        <w:t>У складу са ЗЛС</w:t>
      </w:r>
      <w:r w:rsidR="000D7E7B" w:rsidRPr="0DD3B114">
        <w:rPr>
          <w:rFonts w:ascii="Arial" w:hAnsi="Arial" w:cs="Arial"/>
          <w:sz w:val="20"/>
          <w:szCs w:val="20"/>
          <w:lang w:val="sr-Cyrl-RS"/>
        </w:rPr>
        <w:t>,</w:t>
      </w:r>
      <w:r w:rsidRPr="0DD3B114">
        <w:rPr>
          <w:rFonts w:ascii="Arial" w:hAnsi="Arial" w:cs="Arial"/>
          <w:sz w:val="20"/>
          <w:szCs w:val="20"/>
          <w:lang w:val="sr-Cyrl-RS"/>
        </w:rPr>
        <w:t xml:space="preserve"> председник општине представља и заступа општину, предлаже начин решавања питања о којима одлучује скупштина, наредбодавац је за извршење буџета, усмерава и усклађује рад општинске управе, доноси појединачне акте за које је овлашћен законом, статутом или одлуком скупштине и врши друге послове утврђене статутом и другим актима општине. Његова позиција у извршној власти</w:t>
      </w:r>
      <w:r w:rsidR="00933BF2" w:rsidRPr="0DD3B114">
        <w:rPr>
          <w:rFonts w:ascii="Arial" w:hAnsi="Arial" w:cs="Arial"/>
          <w:sz w:val="20"/>
          <w:szCs w:val="20"/>
          <w:lang w:val="sr-Cyrl-RS"/>
        </w:rPr>
        <w:t>,</w:t>
      </w:r>
      <w:r w:rsidRPr="0DD3B114">
        <w:rPr>
          <w:rFonts w:ascii="Arial" w:hAnsi="Arial" w:cs="Arial"/>
          <w:sz w:val="20"/>
          <w:szCs w:val="20"/>
          <w:lang w:val="sr-Cyrl-RS"/>
        </w:rPr>
        <w:t xml:space="preserve"> </w:t>
      </w:r>
      <w:r w:rsidR="00C13B6A" w:rsidRPr="0DD3B114">
        <w:rPr>
          <w:rFonts w:ascii="Arial" w:hAnsi="Arial" w:cs="Arial"/>
          <w:sz w:val="20"/>
          <w:szCs w:val="20"/>
          <w:lang w:val="sr-Cyrl-RS"/>
        </w:rPr>
        <w:t xml:space="preserve">и </w:t>
      </w:r>
      <w:r w:rsidRPr="0DD3B114">
        <w:rPr>
          <w:rFonts w:ascii="Arial" w:hAnsi="Arial" w:cs="Arial"/>
          <w:sz w:val="20"/>
          <w:szCs w:val="20"/>
          <w:lang w:val="sr-Cyrl-RS"/>
        </w:rPr>
        <w:t xml:space="preserve">као инокосног органа и као председника општинског већа, са значајним правима </w:t>
      </w:r>
      <w:r w:rsidR="00CE6A15" w:rsidRPr="0DD3B114">
        <w:rPr>
          <w:rFonts w:ascii="Arial" w:hAnsi="Arial" w:cs="Arial"/>
          <w:sz w:val="20"/>
          <w:szCs w:val="20"/>
          <w:lang w:val="sr-Cyrl-RS"/>
        </w:rPr>
        <w:t xml:space="preserve">и одговорностима </w:t>
      </w:r>
      <w:r w:rsidRPr="0DD3B114">
        <w:rPr>
          <w:rFonts w:ascii="Arial" w:hAnsi="Arial" w:cs="Arial"/>
          <w:sz w:val="20"/>
          <w:szCs w:val="20"/>
          <w:lang w:val="sr-Cyrl-RS"/>
        </w:rPr>
        <w:t>у погледу одлука већа, додатно истичу доминантну улогу</w:t>
      </w:r>
      <w:r w:rsidR="00C13B6A" w:rsidRPr="0DD3B114">
        <w:rPr>
          <w:rFonts w:ascii="Arial" w:hAnsi="Arial" w:cs="Arial"/>
          <w:sz w:val="20"/>
          <w:szCs w:val="20"/>
          <w:lang w:val="sr-Cyrl-RS"/>
        </w:rPr>
        <w:t xml:space="preserve"> те функције</w:t>
      </w:r>
      <w:r w:rsidRPr="0DD3B114">
        <w:rPr>
          <w:rFonts w:ascii="Arial" w:hAnsi="Arial" w:cs="Arial"/>
          <w:sz w:val="20"/>
          <w:szCs w:val="20"/>
          <w:lang w:val="sr-Cyrl-RS"/>
        </w:rPr>
        <w:t xml:space="preserve">. </w:t>
      </w:r>
      <w:r w:rsidR="00C53410" w:rsidRPr="0DD3B114">
        <w:rPr>
          <w:rFonts w:ascii="Arial" w:hAnsi="Arial" w:cs="Arial"/>
          <w:sz w:val="20"/>
          <w:szCs w:val="20"/>
          <w:lang w:val="sr-Cyrl-RS"/>
        </w:rPr>
        <w:t xml:space="preserve">Председник општине </w:t>
      </w:r>
      <w:r w:rsidR="0030141A" w:rsidRPr="0DD3B114">
        <w:rPr>
          <w:rFonts w:ascii="Arial" w:hAnsi="Arial" w:cs="Arial"/>
          <w:sz w:val="20"/>
          <w:szCs w:val="20"/>
          <w:lang w:val="sr-Cyrl-RS"/>
        </w:rPr>
        <w:t xml:space="preserve">такође </w:t>
      </w:r>
      <w:r w:rsidRPr="0DD3B114">
        <w:rPr>
          <w:rFonts w:ascii="Arial" w:hAnsi="Arial" w:cs="Arial"/>
          <w:sz w:val="20"/>
          <w:szCs w:val="20"/>
          <w:lang w:val="sr-Cyrl-RS"/>
        </w:rPr>
        <w:t xml:space="preserve">предлаже свог заменика и чланове већа, представља веће, сазива и води </w:t>
      </w:r>
      <w:r w:rsidR="00C53410" w:rsidRPr="0DD3B114">
        <w:rPr>
          <w:rFonts w:ascii="Arial" w:hAnsi="Arial" w:cs="Arial"/>
          <w:sz w:val="20"/>
          <w:szCs w:val="20"/>
          <w:lang w:val="sr-Cyrl-RS"/>
        </w:rPr>
        <w:t xml:space="preserve">његове </w:t>
      </w:r>
      <w:r w:rsidRPr="0DD3B114">
        <w:rPr>
          <w:rFonts w:ascii="Arial" w:hAnsi="Arial" w:cs="Arial"/>
          <w:sz w:val="20"/>
          <w:szCs w:val="20"/>
          <w:lang w:val="sr-Cyrl-RS"/>
        </w:rPr>
        <w:t>седнице и одговоран је за законитост рада општинског већа.</w:t>
      </w:r>
    </w:p>
    <w:p w14:paraId="6CECB5F5" w14:textId="77777777" w:rsidR="00C75AD7" w:rsidRPr="00A021B7" w:rsidRDefault="00C75AD7" w:rsidP="0DD3B114">
      <w:pPr>
        <w:ind w:firstLine="720"/>
        <w:contextualSpacing/>
        <w:jc w:val="both"/>
        <w:rPr>
          <w:rFonts w:ascii="Arial" w:hAnsi="Arial" w:cs="Arial"/>
          <w:sz w:val="20"/>
          <w:szCs w:val="20"/>
          <w:highlight w:val="yellow"/>
          <w:lang w:val="sr-Cyrl-RS"/>
        </w:rPr>
      </w:pPr>
    </w:p>
    <w:p w14:paraId="500D591C" w14:textId="18661B6D"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 xml:space="preserve">Свакако најспорнија надлежност и највећи изазов у вези са функционисањем и радом општинског већа јесте његова надлежност за решавање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 Наиме, </w:t>
      </w:r>
      <w:r w:rsidR="00B34E6F" w:rsidRPr="0DD3B114">
        <w:rPr>
          <w:rFonts w:ascii="Arial" w:hAnsi="Arial" w:cs="Arial"/>
          <w:sz w:val="20"/>
          <w:szCs w:val="20"/>
          <w:lang w:val="sr-Cyrl-RS"/>
        </w:rPr>
        <w:t>с обзиром на то</w:t>
      </w:r>
      <w:r w:rsidRPr="0DD3B114">
        <w:rPr>
          <w:rFonts w:ascii="Arial" w:hAnsi="Arial" w:cs="Arial"/>
          <w:sz w:val="20"/>
          <w:szCs w:val="20"/>
          <w:lang w:val="sr-Cyrl-RS"/>
        </w:rPr>
        <w:t xml:space="preserve"> да је веће политички орган </w:t>
      </w:r>
      <w:r w:rsidR="00DA4FB7" w:rsidRPr="0DD3B114">
        <w:rPr>
          <w:rFonts w:ascii="Arial" w:hAnsi="Arial" w:cs="Arial"/>
          <w:sz w:val="20"/>
          <w:szCs w:val="20"/>
          <w:lang w:val="sr-Cyrl-RS"/>
        </w:rPr>
        <w:t xml:space="preserve">састављен од људи </w:t>
      </w:r>
      <w:r w:rsidRPr="0DD3B114">
        <w:rPr>
          <w:rFonts w:ascii="Arial" w:hAnsi="Arial" w:cs="Arial"/>
          <w:sz w:val="20"/>
          <w:szCs w:val="20"/>
          <w:lang w:val="sr-Cyrl-RS"/>
        </w:rPr>
        <w:t>различитих професија</w:t>
      </w:r>
      <w:r w:rsidR="00B34E6F" w:rsidRPr="0DD3B114">
        <w:rPr>
          <w:rFonts w:ascii="Arial" w:hAnsi="Arial" w:cs="Arial"/>
          <w:sz w:val="20"/>
          <w:szCs w:val="20"/>
          <w:lang w:val="sr-Cyrl-RS"/>
        </w:rPr>
        <w:t>,</w:t>
      </w:r>
      <w:r w:rsidRPr="0DD3B114">
        <w:rPr>
          <w:rFonts w:ascii="Arial" w:hAnsi="Arial" w:cs="Arial"/>
          <w:sz w:val="20"/>
          <w:szCs w:val="20"/>
          <w:lang w:val="sr-Cyrl-RS"/>
        </w:rPr>
        <w:t xml:space="preserve"> потребно је преиспитати концепт већа као органа који у другом степену одлучује о правима и обавезама грађана и других субјеката. </w:t>
      </w:r>
      <w:r w:rsidR="009E771D" w:rsidRPr="0DD3B114">
        <w:rPr>
          <w:rFonts w:ascii="Arial" w:hAnsi="Arial" w:cs="Arial"/>
          <w:sz w:val="20"/>
          <w:szCs w:val="20"/>
          <w:lang w:val="sr-Cyrl-RS"/>
        </w:rPr>
        <w:t xml:space="preserve">Ово питање је нарочито значајно ако се има у виду да предлоге одлука већа у другом степену припрема општинска/градска управа која је поступала у првом степену. </w:t>
      </w:r>
      <w:r w:rsidR="00B34E6F" w:rsidRPr="0DD3B114">
        <w:rPr>
          <w:rFonts w:ascii="Arial" w:hAnsi="Arial" w:cs="Arial"/>
          <w:sz w:val="20"/>
          <w:szCs w:val="20"/>
          <w:lang w:val="sr-Cyrl-RS"/>
        </w:rPr>
        <w:t xml:space="preserve">Ради одређивања </w:t>
      </w:r>
      <w:r w:rsidR="00901312" w:rsidRPr="0DD3B114">
        <w:rPr>
          <w:rFonts w:ascii="Arial" w:hAnsi="Arial" w:cs="Arial"/>
          <w:sz w:val="20"/>
          <w:szCs w:val="20"/>
          <w:lang w:val="sr-Cyrl-RS"/>
        </w:rPr>
        <w:t>правц</w:t>
      </w:r>
      <w:r w:rsidR="00B34E6F" w:rsidRPr="0DD3B114">
        <w:rPr>
          <w:rFonts w:ascii="Arial" w:hAnsi="Arial" w:cs="Arial"/>
          <w:sz w:val="20"/>
          <w:szCs w:val="20"/>
          <w:lang w:val="sr-Cyrl-RS"/>
        </w:rPr>
        <w:t>а у</w:t>
      </w:r>
      <w:r w:rsidR="00901312" w:rsidRPr="0DD3B114">
        <w:rPr>
          <w:rFonts w:ascii="Arial" w:hAnsi="Arial" w:cs="Arial"/>
          <w:sz w:val="20"/>
          <w:szCs w:val="20"/>
          <w:lang w:val="sr-Cyrl-RS"/>
        </w:rPr>
        <w:t xml:space="preserve"> р</w:t>
      </w:r>
      <w:r w:rsidR="009E771D" w:rsidRPr="0DD3B114">
        <w:rPr>
          <w:rFonts w:ascii="Arial" w:hAnsi="Arial" w:cs="Arial"/>
          <w:sz w:val="20"/>
          <w:szCs w:val="20"/>
          <w:lang w:val="sr-Cyrl-RS"/>
        </w:rPr>
        <w:t>еш</w:t>
      </w:r>
      <w:r w:rsidR="00B34E6F" w:rsidRPr="0DD3B114">
        <w:rPr>
          <w:rFonts w:ascii="Arial" w:hAnsi="Arial" w:cs="Arial"/>
          <w:sz w:val="20"/>
          <w:szCs w:val="20"/>
          <w:lang w:val="sr-Cyrl-RS"/>
        </w:rPr>
        <w:t>ава</w:t>
      </w:r>
      <w:r w:rsidR="009E771D" w:rsidRPr="0DD3B114">
        <w:rPr>
          <w:rFonts w:ascii="Arial" w:hAnsi="Arial" w:cs="Arial"/>
          <w:sz w:val="20"/>
          <w:szCs w:val="20"/>
          <w:lang w:val="sr-Cyrl-RS"/>
        </w:rPr>
        <w:t>њ</w:t>
      </w:r>
      <w:r w:rsidR="00B34E6F" w:rsidRPr="0DD3B114">
        <w:rPr>
          <w:rFonts w:ascii="Arial" w:hAnsi="Arial" w:cs="Arial"/>
          <w:sz w:val="20"/>
          <w:szCs w:val="20"/>
          <w:lang w:val="sr-Cyrl-RS"/>
        </w:rPr>
        <w:t>у</w:t>
      </w:r>
      <w:r w:rsidR="009E771D" w:rsidRPr="0DD3B114">
        <w:rPr>
          <w:rFonts w:ascii="Arial" w:hAnsi="Arial" w:cs="Arial"/>
          <w:sz w:val="20"/>
          <w:szCs w:val="20"/>
          <w:lang w:val="sr-Cyrl-RS"/>
        </w:rPr>
        <w:t xml:space="preserve"> овог питања</w:t>
      </w:r>
      <w:r w:rsidR="00B34E6F" w:rsidRPr="0DD3B114">
        <w:rPr>
          <w:rFonts w:ascii="Arial" w:hAnsi="Arial" w:cs="Arial"/>
          <w:sz w:val="20"/>
          <w:szCs w:val="20"/>
          <w:lang w:val="sr-Cyrl-RS"/>
        </w:rPr>
        <w:t>,</w:t>
      </w:r>
      <w:r w:rsidR="009E771D" w:rsidRPr="0DD3B114">
        <w:rPr>
          <w:rFonts w:ascii="Arial" w:hAnsi="Arial" w:cs="Arial"/>
          <w:sz w:val="20"/>
          <w:szCs w:val="20"/>
          <w:lang w:val="sr-Cyrl-RS"/>
        </w:rPr>
        <w:t xml:space="preserve"> </w:t>
      </w:r>
      <w:r w:rsidR="00901312" w:rsidRPr="0DD3B114">
        <w:rPr>
          <w:rFonts w:ascii="Arial" w:hAnsi="Arial" w:cs="Arial"/>
          <w:sz w:val="20"/>
          <w:szCs w:val="20"/>
          <w:lang w:val="sr-Cyrl-RS"/>
        </w:rPr>
        <w:t xml:space="preserve">треба сагледати функционална решења у другим областима, примера ради у </w:t>
      </w:r>
      <w:r w:rsidR="009E771D" w:rsidRPr="0DD3B114">
        <w:rPr>
          <w:rFonts w:ascii="Arial" w:hAnsi="Arial" w:cs="Arial"/>
          <w:sz w:val="20"/>
          <w:szCs w:val="20"/>
          <w:lang w:val="sr-Cyrl-RS"/>
        </w:rPr>
        <w:t>успостављеној жалбеној комисији која одлучује по жалбама на решења којима се уређују поједина питања из радно-правног положаја запослених из Закона о запосленима у АП и ЈЛС.</w:t>
      </w:r>
    </w:p>
    <w:p w14:paraId="2B207099" w14:textId="77777777" w:rsidR="00C75AD7" w:rsidRPr="00A021B7" w:rsidRDefault="00C75AD7" w:rsidP="0DD3B114">
      <w:pPr>
        <w:ind w:firstLine="720"/>
        <w:contextualSpacing/>
        <w:jc w:val="both"/>
        <w:rPr>
          <w:rFonts w:ascii="Arial" w:hAnsi="Arial" w:cs="Arial"/>
          <w:sz w:val="20"/>
          <w:szCs w:val="20"/>
          <w:lang w:val="sr-Cyrl-RS"/>
        </w:rPr>
      </w:pPr>
    </w:p>
    <w:p w14:paraId="168C66DD" w14:textId="77777777" w:rsidR="00C75AD7" w:rsidRPr="00A021B7" w:rsidRDefault="00C75AD7" w:rsidP="003E7BC9">
      <w:pPr>
        <w:contextualSpacing/>
        <w:rPr>
          <w:rFonts w:ascii="Arial" w:hAnsi="Arial" w:cs="Arial"/>
          <w:b/>
          <w:bCs/>
          <w:i/>
          <w:iCs/>
          <w:sz w:val="20"/>
          <w:szCs w:val="20"/>
          <w:lang w:val="sr-Cyrl-RS"/>
        </w:rPr>
      </w:pPr>
      <w:r w:rsidRPr="00A021B7">
        <w:rPr>
          <w:rFonts w:ascii="Arial" w:hAnsi="Arial" w:cs="Arial"/>
          <w:b/>
          <w:bCs/>
          <w:i/>
          <w:iCs/>
          <w:sz w:val="20"/>
          <w:szCs w:val="20"/>
          <w:lang w:val="sr-Cyrl-RS"/>
        </w:rPr>
        <w:t>Општинска управа</w:t>
      </w:r>
    </w:p>
    <w:p w14:paraId="2352F87D" w14:textId="77777777" w:rsidR="00C75AD7" w:rsidRPr="00A021B7" w:rsidRDefault="00C75AD7" w:rsidP="003E7BC9">
      <w:pPr>
        <w:contextualSpacing/>
        <w:jc w:val="both"/>
        <w:rPr>
          <w:rFonts w:ascii="Arial" w:hAnsi="Arial" w:cs="Arial"/>
          <w:sz w:val="20"/>
          <w:szCs w:val="20"/>
          <w:shd w:val="clear" w:color="auto" w:fill="FFFFFF"/>
          <w:lang w:val="sr-Cyrl-RS"/>
        </w:rPr>
      </w:pPr>
    </w:p>
    <w:p w14:paraId="4113A2D6" w14:textId="77777777" w:rsidR="00C75AD7" w:rsidRPr="00A021B7" w:rsidRDefault="00C75AD7" w:rsidP="0DD3B114">
      <w:pPr>
        <w:ind w:firstLine="720"/>
        <w:contextualSpacing/>
        <w:jc w:val="both"/>
        <w:rPr>
          <w:rFonts w:ascii="Arial" w:hAnsi="Arial" w:cs="Arial"/>
          <w:sz w:val="20"/>
          <w:szCs w:val="20"/>
          <w:lang w:val="sr-Cyrl-RS"/>
        </w:rPr>
      </w:pPr>
      <w:r w:rsidRPr="00A021B7">
        <w:rPr>
          <w:rFonts w:ascii="Arial" w:hAnsi="Arial" w:cs="Arial"/>
          <w:sz w:val="20"/>
          <w:szCs w:val="20"/>
          <w:lang w:val="sr-Cyrl-RS"/>
        </w:rPr>
        <w:t xml:space="preserve">Модернизација локалне управе, првенствено кроз увођење нових модела и метода рада, дигитализацију и развој електронске управе, треба да служи смањењу трошкова, поједностављењу и транспарентности функционисања локалне самоуправе, као и повећању доступности њених услуга грађанима и привреди. </w:t>
      </w:r>
      <w:r w:rsidR="005859F7" w:rsidRPr="00A021B7">
        <w:rPr>
          <w:rFonts w:ascii="Arial" w:hAnsi="Arial" w:cs="Arial"/>
          <w:sz w:val="20"/>
          <w:szCs w:val="20"/>
          <w:lang w:val="sr-Cyrl-RS"/>
        </w:rPr>
        <w:t>Поред тога</w:t>
      </w:r>
      <w:r w:rsidRPr="00A021B7">
        <w:rPr>
          <w:rFonts w:ascii="Arial" w:hAnsi="Arial" w:cs="Arial"/>
          <w:sz w:val="20"/>
          <w:szCs w:val="20"/>
          <w:lang w:val="sr-Cyrl-RS"/>
        </w:rPr>
        <w:t>, с</w:t>
      </w:r>
      <w:r w:rsidRPr="00A021B7">
        <w:rPr>
          <w:rFonts w:ascii="Arial" w:hAnsi="Arial" w:cs="Arial"/>
          <w:sz w:val="20"/>
          <w:szCs w:val="20"/>
          <w:shd w:val="clear" w:color="auto" w:fill="FFFFFF"/>
          <w:lang w:val="sr-Cyrl-RS"/>
        </w:rPr>
        <w:t>истемски приоритет јесте</w:t>
      </w:r>
      <w:r w:rsidR="005859F7" w:rsidRPr="00A021B7">
        <w:rPr>
          <w:rFonts w:ascii="Arial" w:hAnsi="Arial" w:cs="Arial"/>
          <w:sz w:val="20"/>
          <w:szCs w:val="20"/>
          <w:shd w:val="clear" w:color="auto" w:fill="FFFFFF"/>
          <w:lang w:val="sr-Cyrl-RS"/>
        </w:rPr>
        <w:t xml:space="preserve"> деполитизација локалне управе, односно </w:t>
      </w:r>
      <w:r w:rsidRPr="00A021B7">
        <w:rPr>
          <w:rFonts w:ascii="Arial" w:hAnsi="Arial" w:cs="Arial"/>
          <w:sz w:val="20"/>
          <w:szCs w:val="20"/>
          <w:shd w:val="clear" w:color="auto" w:fill="FFFFFF"/>
          <w:lang w:val="sr-Cyrl-RS"/>
        </w:rPr>
        <w:t>професионалн</w:t>
      </w:r>
      <w:r w:rsidR="0004724C" w:rsidRPr="00A021B7">
        <w:rPr>
          <w:rFonts w:ascii="Arial" w:hAnsi="Arial" w:cs="Arial"/>
          <w:sz w:val="20"/>
          <w:szCs w:val="20"/>
          <w:shd w:val="clear" w:color="auto" w:fill="FFFFFF"/>
          <w:lang w:val="sr-Cyrl-RS"/>
        </w:rPr>
        <w:t>и</w:t>
      </w:r>
      <w:r w:rsidRPr="00A021B7">
        <w:rPr>
          <w:rFonts w:ascii="Arial" w:hAnsi="Arial" w:cs="Arial"/>
          <w:sz w:val="20"/>
          <w:szCs w:val="20"/>
          <w:shd w:val="clear" w:color="auto" w:fill="FFFFFF"/>
          <w:lang w:val="sr-Cyrl-RS"/>
        </w:rPr>
        <w:t xml:space="preserve"> </w:t>
      </w:r>
      <w:r w:rsidR="0004724C" w:rsidRPr="00A021B7">
        <w:rPr>
          <w:rFonts w:ascii="Arial" w:hAnsi="Arial" w:cs="Arial"/>
          <w:sz w:val="20"/>
          <w:szCs w:val="20"/>
          <w:shd w:val="clear" w:color="auto" w:fill="FFFFFF"/>
          <w:lang w:val="sr-Cyrl-RS"/>
        </w:rPr>
        <w:t xml:space="preserve">развој </w:t>
      </w:r>
      <w:r w:rsidRPr="00A021B7">
        <w:rPr>
          <w:rFonts w:ascii="Arial" w:hAnsi="Arial" w:cs="Arial"/>
          <w:sz w:val="20"/>
          <w:szCs w:val="20"/>
          <w:shd w:val="clear" w:color="auto" w:fill="FFFFFF"/>
          <w:lang w:val="sr-Cyrl-RS"/>
        </w:rPr>
        <w:t xml:space="preserve">управе која је отпорна на политичке промене и </w:t>
      </w:r>
      <w:r w:rsidR="005A7068" w:rsidRPr="00A021B7">
        <w:rPr>
          <w:rFonts w:ascii="Arial" w:hAnsi="Arial" w:cs="Arial"/>
          <w:sz w:val="20"/>
          <w:szCs w:val="20"/>
          <w:shd w:val="clear" w:color="auto" w:fill="FFFFFF"/>
          <w:lang w:val="sr-Cyrl-RS"/>
        </w:rPr>
        <w:t xml:space="preserve">отпорна </w:t>
      </w:r>
      <w:r w:rsidRPr="00A021B7">
        <w:rPr>
          <w:rFonts w:ascii="Arial" w:hAnsi="Arial" w:cs="Arial"/>
          <w:sz w:val="20"/>
          <w:szCs w:val="20"/>
          <w:shd w:val="clear" w:color="auto" w:fill="FFFFFF"/>
          <w:lang w:val="sr-Cyrl-RS"/>
        </w:rPr>
        <w:t>на могућ</w:t>
      </w:r>
      <w:r w:rsidR="005A7068" w:rsidRPr="00A021B7">
        <w:rPr>
          <w:rFonts w:ascii="Arial" w:hAnsi="Arial" w:cs="Arial"/>
          <w:sz w:val="20"/>
          <w:szCs w:val="20"/>
          <w:shd w:val="clear" w:color="auto" w:fill="FFFFFF"/>
          <w:lang w:val="sr-Cyrl-RS"/>
        </w:rPr>
        <w:t>е</w:t>
      </w:r>
      <w:r w:rsidRPr="00A021B7">
        <w:rPr>
          <w:rFonts w:ascii="Arial" w:hAnsi="Arial" w:cs="Arial"/>
          <w:sz w:val="20"/>
          <w:szCs w:val="20"/>
          <w:shd w:val="clear" w:color="auto" w:fill="FFFFFF"/>
          <w:lang w:val="sr-Cyrl-RS"/>
        </w:rPr>
        <w:t xml:space="preserve"> негативн</w:t>
      </w:r>
      <w:r w:rsidR="005A7068" w:rsidRPr="00A021B7">
        <w:rPr>
          <w:rFonts w:ascii="Arial" w:hAnsi="Arial" w:cs="Arial"/>
          <w:sz w:val="20"/>
          <w:szCs w:val="20"/>
          <w:shd w:val="clear" w:color="auto" w:fill="FFFFFF"/>
          <w:lang w:val="sr-Cyrl-RS"/>
        </w:rPr>
        <w:t>е</w:t>
      </w:r>
      <w:r w:rsidRPr="00A021B7">
        <w:rPr>
          <w:rFonts w:ascii="Arial" w:hAnsi="Arial" w:cs="Arial"/>
          <w:sz w:val="20"/>
          <w:szCs w:val="20"/>
          <w:shd w:val="clear" w:color="auto" w:fill="FFFFFF"/>
          <w:lang w:val="sr-Cyrl-RS"/>
        </w:rPr>
        <w:t xml:space="preserve"> утицај</w:t>
      </w:r>
      <w:r w:rsidR="005A7068" w:rsidRPr="00A021B7">
        <w:rPr>
          <w:rFonts w:ascii="Arial" w:hAnsi="Arial" w:cs="Arial"/>
          <w:sz w:val="20"/>
          <w:szCs w:val="20"/>
          <w:shd w:val="clear" w:color="auto" w:fill="FFFFFF"/>
          <w:lang w:val="sr-Cyrl-RS"/>
        </w:rPr>
        <w:t>е</w:t>
      </w:r>
      <w:r w:rsidRPr="00A021B7">
        <w:rPr>
          <w:rFonts w:ascii="Arial" w:hAnsi="Arial" w:cs="Arial"/>
          <w:sz w:val="20"/>
          <w:szCs w:val="20"/>
          <w:shd w:val="clear" w:color="auto" w:fill="FFFFFF"/>
          <w:lang w:val="sr-Cyrl-RS"/>
        </w:rPr>
        <w:t xml:space="preserve"> на </w:t>
      </w:r>
      <w:r w:rsidR="005A7068" w:rsidRPr="00A021B7">
        <w:rPr>
          <w:rFonts w:ascii="Arial" w:hAnsi="Arial" w:cs="Arial"/>
          <w:sz w:val="20"/>
          <w:szCs w:val="20"/>
          <w:shd w:val="clear" w:color="auto" w:fill="FFFFFF"/>
          <w:lang w:val="sr-Cyrl-RS"/>
        </w:rPr>
        <w:t xml:space="preserve">законитост у </w:t>
      </w:r>
      <w:r w:rsidRPr="00A021B7">
        <w:rPr>
          <w:rFonts w:ascii="Arial" w:hAnsi="Arial" w:cs="Arial"/>
          <w:sz w:val="20"/>
          <w:szCs w:val="20"/>
          <w:shd w:val="clear" w:color="auto" w:fill="FFFFFF"/>
          <w:lang w:val="sr-Cyrl-RS"/>
        </w:rPr>
        <w:t>њен</w:t>
      </w:r>
      <w:r w:rsidR="005A7068" w:rsidRPr="00A021B7">
        <w:rPr>
          <w:rFonts w:ascii="Arial" w:hAnsi="Arial" w:cs="Arial"/>
          <w:sz w:val="20"/>
          <w:szCs w:val="20"/>
          <w:shd w:val="clear" w:color="auto" w:fill="FFFFFF"/>
          <w:lang w:val="sr-Cyrl-RS"/>
        </w:rPr>
        <w:t>ом</w:t>
      </w:r>
      <w:r w:rsidRPr="00A021B7">
        <w:rPr>
          <w:rFonts w:ascii="Arial" w:hAnsi="Arial" w:cs="Arial"/>
          <w:sz w:val="20"/>
          <w:szCs w:val="20"/>
          <w:shd w:val="clear" w:color="auto" w:fill="FFFFFF"/>
          <w:lang w:val="sr-Cyrl-RS"/>
        </w:rPr>
        <w:t xml:space="preserve"> рад</w:t>
      </w:r>
      <w:r w:rsidR="005A7068" w:rsidRPr="00A021B7">
        <w:rPr>
          <w:rFonts w:ascii="Arial" w:hAnsi="Arial" w:cs="Arial"/>
          <w:sz w:val="20"/>
          <w:szCs w:val="20"/>
          <w:shd w:val="clear" w:color="auto" w:fill="FFFFFF"/>
          <w:lang w:val="sr-Cyrl-RS"/>
        </w:rPr>
        <w:t>у</w:t>
      </w:r>
      <w:r w:rsidRPr="00A021B7">
        <w:rPr>
          <w:rFonts w:ascii="Arial" w:hAnsi="Arial" w:cs="Arial"/>
          <w:sz w:val="20"/>
          <w:szCs w:val="20"/>
          <w:shd w:val="clear" w:color="auto" w:fill="FFFFFF"/>
          <w:lang w:val="sr-Cyrl-RS"/>
        </w:rPr>
        <w:t>.</w:t>
      </w:r>
    </w:p>
    <w:p w14:paraId="295AB3E6" w14:textId="77777777" w:rsidR="00C75AD7" w:rsidRPr="00A021B7" w:rsidRDefault="00C75AD7" w:rsidP="0DD3B114">
      <w:pPr>
        <w:ind w:firstLine="720"/>
        <w:contextualSpacing/>
        <w:jc w:val="both"/>
        <w:rPr>
          <w:rFonts w:ascii="Arial" w:hAnsi="Arial" w:cs="Arial"/>
          <w:b/>
          <w:bCs/>
          <w:sz w:val="20"/>
          <w:szCs w:val="20"/>
          <w:lang w:val="sr-Cyrl-RS"/>
        </w:rPr>
      </w:pPr>
    </w:p>
    <w:p w14:paraId="17B45553" w14:textId="5342C8BA" w:rsidR="00C75AD7" w:rsidRPr="00A021B7" w:rsidRDefault="32B86406" w:rsidP="0DD3B114">
      <w:pPr>
        <w:ind w:firstLine="720"/>
        <w:contextualSpacing/>
        <w:jc w:val="both"/>
        <w:rPr>
          <w:rFonts w:ascii="Arial" w:hAnsi="Arial" w:cs="Arial"/>
          <w:sz w:val="20"/>
          <w:szCs w:val="20"/>
          <w:lang w:val="sr-Cyrl-RS"/>
        </w:rPr>
      </w:pPr>
      <w:r w:rsidRPr="00A021B7">
        <w:rPr>
          <w:rFonts w:ascii="Arial" w:hAnsi="Arial" w:cs="Arial"/>
          <w:sz w:val="20"/>
          <w:szCs w:val="20"/>
          <w:lang w:val="sr-Cyrl-RS"/>
        </w:rPr>
        <w:t xml:space="preserve">Као један од организационих проблема управе истиче се недостатак законске (или подзаконске) регулативе која би утврдила ближа јединствена правила за успостављање унутрашње организације и систематизације радних места у општинској и градској управи. </w:t>
      </w:r>
      <w:r w:rsidR="41A3EB8B" w:rsidRPr="00A021B7">
        <w:rPr>
          <w:rFonts w:ascii="Arial" w:hAnsi="Arial" w:cs="Arial"/>
          <w:sz w:val="20"/>
          <w:szCs w:val="20"/>
          <w:lang w:val="sr-Cyrl-RS"/>
        </w:rPr>
        <w:t>Примера ради</w:t>
      </w:r>
      <w:r w:rsidR="00E52FC6">
        <w:rPr>
          <w:rFonts w:ascii="Arial" w:hAnsi="Arial" w:cs="Arial"/>
          <w:sz w:val="20"/>
          <w:szCs w:val="20"/>
          <w:lang w:val="sr-Cyrl-RS"/>
        </w:rPr>
        <w:t>,</w:t>
      </w:r>
      <w:r w:rsidR="41A3EB8B" w:rsidRPr="00A021B7">
        <w:rPr>
          <w:rFonts w:ascii="Arial" w:hAnsi="Arial" w:cs="Arial"/>
          <w:sz w:val="20"/>
          <w:szCs w:val="20"/>
          <w:lang w:val="sr-Cyrl-RS"/>
        </w:rPr>
        <w:t xml:space="preserve"> за органе државне управе </w:t>
      </w:r>
      <w:r w:rsidR="3147FB3C" w:rsidRPr="00A021B7">
        <w:rPr>
          <w:rFonts w:ascii="Arial" w:hAnsi="Arial" w:cs="Arial"/>
          <w:sz w:val="20"/>
          <w:szCs w:val="20"/>
          <w:lang w:val="sr-Cyrl-RS"/>
        </w:rPr>
        <w:t xml:space="preserve">Влада је прописала општа начела која се </w:t>
      </w:r>
      <w:r w:rsidR="246AC837" w:rsidRPr="00A021B7">
        <w:rPr>
          <w:rFonts w:ascii="Arial" w:hAnsi="Arial" w:cs="Arial"/>
          <w:sz w:val="20"/>
          <w:szCs w:val="20"/>
          <w:lang w:val="sr-Cyrl-RS"/>
        </w:rPr>
        <w:t xml:space="preserve">примењују приликом </w:t>
      </w:r>
      <w:r w:rsidR="3147FB3C" w:rsidRPr="00A021B7">
        <w:rPr>
          <w:rFonts w:ascii="Arial" w:hAnsi="Arial" w:cs="Arial"/>
          <w:sz w:val="20"/>
          <w:szCs w:val="20"/>
          <w:lang w:val="sr-Cyrl-RS"/>
        </w:rPr>
        <w:t>организациј</w:t>
      </w:r>
      <w:r w:rsidR="246AC837" w:rsidRPr="00A021B7">
        <w:rPr>
          <w:rFonts w:ascii="Arial" w:hAnsi="Arial" w:cs="Arial"/>
          <w:sz w:val="20"/>
          <w:szCs w:val="20"/>
          <w:lang w:val="sr-Cyrl-RS"/>
        </w:rPr>
        <w:t>е</w:t>
      </w:r>
      <w:r w:rsidR="3147FB3C" w:rsidRPr="00A021B7">
        <w:rPr>
          <w:rFonts w:ascii="Arial" w:hAnsi="Arial" w:cs="Arial"/>
          <w:sz w:val="20"/>
          <w:szCs w:val="20"/>
          <w:lang w:val="sr-Cyrl-RS"/>
        </w:rPr>
        <w:t xml:space="preserve"> и систематизациј</w:t>
      </w:r>
      <w:r w:rsidR="246AC837" w:rsidRPr="00A021B7">
        <w:rPr>
          <w:rFonts w:ascii="Arial" w:hAnsi="Arial" w:cs="Arial"/>
          <w:sz w:val="20"/>
          <w:szCs w:val="20"/>
          <w:lang w:val="sr-Cyrl-RS"/>
        </w:rPr>
        <w:t>е</w:t>
      </w:r>
      <w:r w:rsidR="3A65283F" w:rsidRPr="00A021B7">
        <w:rPr>
          <w:rFonts w:ascii="Arial" w:hAnsi="Arial" w:cs="Arial"/>
          <w:sz w:val="20"/>
          <w:szCs w:val="20"/>
          <w:lang w:val="sr-Cyrl-RS"/>
        </w:rPr>
        <w:t>. Такође</w:t>
      </w:r>
      <w:r w:rsidR="00E52FC6">
        <w:rPr>
          <w:rFonts w:ascii="Arial" w:hAnsi="Arial" w:cs="Arial"/>
          <w:sz w:val="20"/>
          <w:szCs w:val="20"/>
          <w:lang w:val="sr-Cyrl-RS"/>
        </w:rPr>
        <w:t>,</w:t>
      </w:r>
      <w:r w:rsidR="3A65283F" w:rsidRPr="00A021B7">
        <w:rPr>
          <w:rFonts w:ascii="Arial" w:hAnsi="Arial" w:cs="Arial"/>
          <w:sz w:val="20"/>
          <w:szCs w:val="20"/>
          <w:lang w:val="sr-Cyrl-RS"/>
        </w:rPr>
        <w:t xml:space="preserve"> </w:t>
      </w:r>
      <w:r w:rsidR="00E52FC6">
        <w:rPr>
          <w:rFonts w:ascii="Arial" w:hAnsi="Arial" w:cs="Arial"/>
          <w:sz w:val="20"/>
          <w:szCs w:val="20"/>
          <w:lang w:val="sr-Cyrl-RS"/>
        </w:rPr>
        <w:t>З</w:t>
      </w:r>
      <w:r w:rsidR="3A65283F" w:rsidRPr="00A021B7">
        <w:rPr>
          <w:rFonts w:ascii="Arial" w:hAnsi="Arial" w:cs="Arial"/>
          <w:sz w:val="20"/>
          <w:szCs w:val="20"/>
          <w:lang w:val="sr-Cyrl-RS"/>
        </w:rPr>
        <w:t>аконом о запосленима у АП и ЈЛС</w:t>
      </w:r>
      <w:r w:rsidR="0C3AF7F3" w:rsidRPr="00A021B7">
        <w:rPr>
          <w:rFonts w:ascii="Arial" w:hAnsi="Arial" w:cs="Arial"/>
          <w:sz w:val="20"/>
          <w:szCs w:val="20"/>
          <w:lang w:val="sr-Cyrl-RS"/>
        </w:rPr>
        <w:t xml:space="preserve">, </w:t>
      </w:r>
      <w:r w:rsidR="3A65283F" w:rsidRPr="00A021B7">
        <w:rPr>
          <w:rFonts w:ascii="Arial" w:hAnsi="Arial" w:cs="Arial"/>
          <w:sz w:val="20"/>
          <w:szCs w:val="20"/>
          <w:lang w:val="sr-Cyrl-RS"/>
        </w:rPr>
        <w:t>Аутономна покрајина преко својих органа</w:t>
      </w:r>
      <w:r w:rsidR="2C47AA1C" w:rsidRPr="00A021B7">
        <w:rPr>
          <w:rFonts w:ascii="Arial" w:hAnsi="Arial" w:cs="Arial"/>
          <w:sz w:val="20"/>
          <w:szCs w:val="20"/>
          <w:lang w:val="sr-Cyrl-RS"/>
        </w:rPr>
        <w:t xml:space="preserve">, </w:t>
      </w:r>
      <w:r w:rsidR="3A65283F" w:rsidRPr="00A021B7">
        <w:rPr>
          <w:rFonts w:ascii="Arial" w:hAnsi="Arial" w:cs="Arial"/>
          <w:sz w:val="20"/>
          <w:szCs w:val="20"/>
          <w:lang w:val="sr-Cyrl-RS"/>
        </w:rPr>
        <w:t>служби и организације уређује начела за унутрашњу организацију и систематизацију радних места. Међутим</w:t>
      </w:r>
      <w:r w:rsidR="00E52FC6">
        <w:rPr>
          <w:rFonts w:ascii="Arial" w:hAnsi="Arial" w:cs="Arial"/>
          <w:sz w:val="20"/>
          <w:szCs w:val="20"/>
          <w:lang w:val="sr-Cyrl-RS"/>
        </w:rPr>
        <w:t>,</w:t>
      </w:r>
      <w:r w:rsidR="3A65283F" w:rsidRPr="00A021B7">
        <w:rPr>
          <w:rFonts w:ascii="Arial" w:hAnsi="Arial" w:cs="Arial"/>
          <w:sz w:val="20"/>
          <w:szCs w:val="20"/>
          <w:lang w:val="sr-Cyrl-RS"/>
        </w:rPr>
        <w:t xml:space="preserve"> закони</w:t>
      </w:r>
      <w:r w:rsidR="0676CCC1" w:rsidRPr="00A021B7">
        <w:rPr>
          <w:rFonts w:ascii="Arial" w:hAnsi="Arial" w:cs="Arial"/>
          <w:sz w:val="20"/>
          <w:szCs w:val="20"/>
          <w:lang w:val="sr-Cyrl-RS"/>
        </w:rPr>
        <w:t xml:space="preserve"> не предвиђају ни </w:t>
      </w:r>
      <w:r w:rsidR="7AB3CEE3" w:rsidRPr="00A021B7">
        <w:rPr>
          <w:rFonts w:ascii="Arial" w:hAnsi="Arial" w:cs="Arial"/>
          <w:sz w:val="20"/>
          <w:szCs w:val="20"/>
          <w:lang w:val="sr-Cyrl-RS"/>
        </w:rPr>
        <w:t>сходн</w:t>
      </w:r>
      <w:r w:rsidR="0676CCC1" w:rsidRPr="00A021B7">
        <w:rPr>
          <w:rFonts w:ascii="Arial" w:hAnsi="Arial" w:cs="Arial"/>
          <w:sz w:val="20"/>
          <w:szCs w:val="20"/>
          <w:lang w:val="sr-Cyrl-RS"/>
        </w:rPr>
        <w:t>у</w:t>
      </w:r>
      <w:r w:rsidR="7AB3CEE3" w:rsidRPr="00A021B7">
        <w:rPr>
          <w:rFonts w:ascii="Arial" w:hAnsi="Arial" w:cs="Arial"/>
          <w:sz w:val="20"/>
          <w:szCs w:val="20"/>
          <w:lang w:val="sr-Cyrl-RS"/>
        </w:rPr>
        <w:t xml:space="preserve"> примен</w:t>
      </w:r>
      <w:r w:rsidR="0676CCC1" w:rsidRPr="00A021B7">
        <w:rPr>
          <w:rFonts w:ascii="Arial" w:hAnsi="Arial" w:cs="Arial"/>
          <w:sz w:val="20"/>
          <w:szCs w:val="20"/>
          <w:lang w:val="sr-Cyrl-RS"/>
        </w:rPr>
        <w:t>у</w:t>
      </w:r>
      <w:r w:rsidR="7AB3CEE3" w:rsidRPr="00A021B7">
        <w:rPr>
          <w:rFonts w:ascii="Arial" w:hAnsi="Arial" w:cs="Arial"/>
          <w:sz w:val="20"/>
          <w:szCs w:val="20"/>
          <w:lang w:val="sr-Cyrl-RS"/>
        </w:rPr>
        <w:t xml:space="preserve"> ових начела од стране ЈЛС. </w:t>
      </w:r>
      <w:r w:rsidRPr="00A021B7">
        <w:rPr>
          <w:rFonts w:ascii="Arial" w:hAnsi="Arial" w:cs="Arial"/>
          <w:sz w:val="20"/>
          <w:szCs w:val="20"/>
          <w:lang w:val="sr-Cyrl-RS"/>
        </w:rPr>
        <w:t xml:space="preserve">Иако је неспорно да је у начелу исправно и у складу са ЕПЛС да се та питања уређују </w:t>
      </w:r>
      <w:r w:rsidR="00E52FC6">
        <w:rPr>
          <w:rFonts w:ascii="Arial" w:hAnsi="Arial" w:cs="Arial"/>
          <w:sz w:val="20"/>
          <w:szCs w:val="20"/>
          <w:lang w:val="sr-Cyrl-RS"/>
        </w:rPr>
        <w:t>о</w:t>
      </w:r>
      <w:r w:rsidRPr="00A021B7">
        <w:rPr>
          <w:rFonts w:ascii="Arial" w:hAnsi="Arial" w:cs="Arial"/>
          <w:sz w:val="20"/>
          <w:szCs w:val="20"/>
          <w:lang w:val="sr-Cyrl-RS"/>
        </w:rPr>
        <w:t xml:space="preserve">длуком о организацији управе и </w:t>
      </w:r>
      <w:r w:rsidR="00E52FC6">
        <w:rPr>
          <w:rFonts w:ascii="Arial" w:hAnsi="Arial" w:cs="Arial"/>
          <w:sz w:val="20"/>
          <w:szCs w:val="20"/>
          <w:lang w:val="sr-Cyrl-RS"/>
        </w:rPr>
        <w:t>п</w:t>
      </w:r>
      <w:r w:rsidRPr="00A021B7">
        <w:rPr>
          <w:rFonts w:ascii="Arial" w:hAnsi="Arial" w:cs="Arial"/>
          <w:sz w:val="20"/>
          <w:szCs w:val="20"/>
          <w:lang w:val="sr-Cyrl-RS"/>
        </w:rPr>
        <w:t>равилником о систематизацији радних места, непостојање јединствене регулативе доводи до различитих приступа уређивању унутрашње организације и систематизације.</w:t>
      </w:r>
      <w:r w:rsidR="512CDFFD" w:rsidRPr="00A021B7">
        <w:rPr>
          <w:rFonts w:ascii="Arial" w:hAnsi="Arial" w:cs="Arial"/>
          <w:sz w:val="20"/>
          <w:szCs w:val="20"/>
          <w:lang w:val="sr-Cyrl-RS"/>
        </w:rPr>
        <w:t xml:space="preserve"> </w:t>
      </w:r>
      <w:r w:rsidR="696BDDEC" w:rsidRPr="00A021B7">
        <w:rPr>
          <w:rFonts w:ascii="Arial" w:hAnsi="Arial" w:cs="Arial"/>
          <w:sz w:val="20"/>
          <w:szCs w:val="20"/>
          <w:lang w:val="sr-Cyrl-RS"/>
        </w:rPr>
        <w:t xml:space="preserve">Поред </w:t>
      </w:r>
      <w:r w:rsidRPr="00A021B7">
        <w:rPr>
          <w:rFonts w:ascii="Arial" w:hAnsi="Arial" w:cs="Arial"/>
          <w:sz w:val="20"/>
          <w:szCs w:val="20"/>
          <w:lang w:val="sr-Cyrl-RS"/>
        </w:rPr>
        <w:t xml:space="preserve">добрих примера, постоје и они за које се може рећи да имају негативан утицај на успешно остваривање функција управе. Тренутна ситуација јесте </w:t>
      </w:r>
      <w:r w:rsidR="00E52FC6">
        <w:rPr>
          <w:rFonts w:ascii="Arial" w:hAnsi="Arial" w:cs="Arial"/>
          <w:sz w:val="20"/>
          <w:szCs w:val="20"/>
          <w:lang w:val="sr-Cyrl-RS"/>
        </w:rPr>
        <w:t xml:space="preserve">таква </w:t>
      </w:r>
      <w:r w:rsidRPr="00A021B7">
        <w:rPr>
          <w:rFonts w:ascii="Arial" w:hAnsi="Arial" w:cs="Arial"/>
          <w:sz w:val="20"/>
          <w:szCs w:val="20"/>
          <w:lang w:val="sr-Cyrl-RS"/>
        </w:rPr>
        <w:t xml:space="preserve">да број и структура одељења у оквиру управе као јединственог органа, као и број одељења и управа у градовима који имају више управа, не стоје у корелацији са величином </w:t>
      </w:r>
      <w:r w:rsidR="6C544972" w:rsidRPr="00A021B7">
        <w:rPr>
          <w:rFonts w:ascii="Arial" w:hAnsi="Arial" w:cs="Arial"/>
          <w:sz w:val="20"/>
          <w:szCs w:val="20"/>
          <w:lang w:val="sr-Cyrl-RS"/>
        </w:rPr>
        <w:t xml:space="preserve">ЈЛС </w:t>
      </w:r>
      <w:r w:rsidRPr="00A021B7">
        <w:rPr>
          <w:rFonts w:ascii="Arial" w:hAnsi="Arial" w:cs="Arial"/>
          <w:sz w:val="20"/>
          <w:szCs w:val="20"/>
          <w:lang w:val="sr-Cyrl-RS"/>
        </w:rPr>
        <w:t xml:space="preserve">и обимом послова, нити се може извести било какав јасан закључак о </w:t>
      </w:r>
      <w:r w:rsidR="237C6226" w:rsidRPr="00A021B7">
        <w:rPr>
          <w:rFonts w:ascii="Arial" w:hAnsi="Arial" w:cs="Arial"/>
          <w:sz w:val="20"/>
          <w:szCs w:val="20"/>
          <w:lang w:val="sr-Cyrl-RS"/>
        </w:rPr>
        <w:t xml:space="preserve">начелима према којима </w:t>
      </w:r>
      <w:r w:rsidRPr="00A021B7">
        <w:rPr>
          <w:rFonts w:ascii="Arial" w:hAnsi="Arial" w:cs="Arial"/>
          <w:sz w:val="20"/>
          <w:szCs w:val="20"/>
          <w:lang w:val="sr-Cyrl-RS"/>
        </w:rPr>
        <w:t xml:space="preserve">су </w:t>
      </w:r>
      <w:r w:rsidR="237C6226" w:rsidRPr="00A021B7">
        <w:rPr>
          <w:rFonts w:ascii="Arial" w:hAnsi="Arial" w:cs="Arial"/>
          <w:sz w:val="20"/>
          <w:szCs w:val="20"/>
          <w:lang w:val="sr-Cyrl-RS"/>
        </w:rPr>
        <w:t xml:space="preserve">послови </w:t>
      </w:r>
      <w:r w:rsidRPr="00A021B7">
        <w:rPr>
          <w:rFonts w:ascii="Arial" w:hAnsi="Arial" w:cs="Arial"/>
          <w:sz w:val="20"/>
          <w:szCs w:val="20"/>
          <w:lang w:val="sr-Cyrl-RS"/>
        </w:rPr>
        <w:t xml:space="preserve">обједињени у одељења и управе. Ни линије разграничења делокруга између одељења и управа нису јасно изведене, уже организационе јединице су бројне, организују се на два до три, а понекад и на четири </w:t>
      </w:r>
      <w:r w:rsidR="6CBE18B6" w:rsidRPr="00A021B7">
        <w:rPr>
          <w:rFonts w:ascii="Arial" w:hAnsi="Arial" w:cs="Arial"/>
          <w:sz w:val="20"/>
          <w:szCs w:val="20"/>
          <w:lang w:val="sr-Cyrl-RS"/>
        </w:rPr>
        <w:t xml:space="preserve">и више </w:t>
      </w:r>
      <w:r w:rsidRPr="00A021B7">
        <w:rPr>
          <w:rFonts w:ascii="Arial" w:hAnsi="Arial" w:cs="Arial"/>
          <w:sz w:val="20"/>
          <w:szCs w:val="20"/>
          <w:lang w:val="sr-Cyrl-RS"/>
        </w:rPr>
        <w:t>нивоа (одељења, односно секретаријати, службе, одсеци, групе, реферати), при чему</w:t>
      </w:r>
      <w:r w:rsidR="71143E71" w:rsidRPr="00A021B7">
        <w:rPr>
          <w:rFonts w:ascii="Arial" w:hAnsi="Arial" w:cs="Arial"/>
          <w:sz w:val="20"/>
          <w:szCs w:val="20"/>
          <w:lang w:val="sr-Cyrl-RS"/>
        </w:rPr>
        <w:t xml:space="preserve"> често </w:t>
      </w:r>
      <w:r w:rsidRPr="00A021B7">
        <w:rPr>
          <w:rFonts w:ascii="Arial" w:hAnsi="Arial" w:cs="Arial"/>
          <w:sz w:val="20"/>
          <w:szCs w:val="20"/>
          <w:lang w:val="sr-Cyrl-RS"/>
        </w:rPr>
        <w:t xml:space="preserve">у њиховом успостављању нема логичног критеријума. Систематизације радних места су често различите од стварног стања попуњености, а описи послова у систематизацији често не одговарају ономе што извршиоци стварно раде. Ови и други налази </w:t>
      </w:r>
      <w:r w:rsidR="00E52FC6">
        <w:rPr>
          <w:rFonts w:ascii="Arial" w:hAnsi="Arial" w:cs="Arial"/>
          <w:sz w:val="20"/>
          <w:szCs w:val="20"/>
          <w:lang w:val="sr-Cyrl-RS"/>
        </w:rPr>
        <w:t>изнети</w:t>
      </w:r>
      <w:r w:rsidR="00E52FC6" w:rsidRPr="00A021B7">
        <w:rPr>
          <w:rFonts w:ascii="Arial" w:hAnsi="Arial" w:cs="Arial"/>
          <w:sz w:val="20"/>
          <w:szCs w:val="20"/>
          <w:lang w:val="sr-Cyrl-RS"/>
        </w:rPr>
        <w:t xml:space="preserve"> </w:t>
      </w:r>
      <w:r w:rsidR="00E52FC6">
        <w:rPr>
          <w:rFonts w:ascii="Arial" w:hAnsi="Arial" w:cs="Arial"/>
          <w:sz w:val="20"/>
          <w:szCs w:val="20"/>
          <w:lang w:val="sr-Cyrl-RS"/>
        </w:rPr>
        <w:t xml:space="preserve">су </w:t>
      </w:r>
      <w:r w:rsidRPr="00A021B7">
        <w:rPr>
          <w:rFonts w:ascii="Arial" w:hAnsi="Arial" w:cs="Arial"/>
          <w:sz w:val="20"/>
          <w:szCs w:val="20"/>
          <w:lang w:val="sr-Cyrl-RS"/>
        </w:rPr>
        <w:t>и у</w:t>
      </w:r>
      <w:r w:rsidR="512CDFFD" w:rsidRPr="00A021B7">
        <w:rPr>
          <w:rFonts w:ascii="Arial" w:hAnsi="Arial" w:cs="Arial"/>
          <w:sz w:val="20"/>
          <w:szCs w:val="20"/>
          <w:lang w:val="sr-Cyrl-RS"/>
        </w:rPr>
        <w:t xml:space="preserve"> </w:t>
      </w:r>
      <w:r w:rsidRPr="00A021B7">
        <w:rPr>
          <w:rFonts w:ascii="Arial" w:hAnsi="Arial" w:cs="Arial"/>
          <w:sz w:val="20"/>
          <w:szCs w:val="20"/>
          <w:lang w:val="sr-Cyrl-RS"/>
        </w:rPr>
        <w:t>Функционалној анализи која је урађена 2019</w:t>
      </w:r>
      <w:r w:rsidR="161773FB" w:rsidRPr="00A021B7">
        <w:rPr>
          <w:rFonts w:ascii="Arial" w:hAnsi="Arial" w:cs="Arial"/>
          <w:sz w:val="20"/>
          <w:szCs w:val="20"/>
          <w:lang w:val="sr-Cyrl-RS"/>
        </w:rPr>
        <w:t>.</w:t>
      </w:r>
      <w:r w:rsidRPr="00A021B7">
        <w:rPr>
          <w:rFonts w:ascii="Arial" w:hAnsi="Arial" w:cs="Arial"/>
          <w:sz w:val="20"/>
          <w:szCs w:val="20"/>
          <w:lang w:val="sr-Cyrl-RS"/>
        </w:rPr>
        <w:t xml:space="preserve"> године у 15 ЈЛС.</w:t>
      </w:r>
      <w:r w:rsidR="00C75AD7" w:rsidRPr="00A021B7">
        <w:rPr>
          <w:rStyle w:val="FootnoteReference"/>
          <w:rFonts w:ascii="Arial" w:hAnsi="Arial" w:cs="Arial"/>
          <w:sz w:val="20"/>
          <w:szCs w:val="20"/>
          <w:lang w:val="sr-Cyrl-RS"/>
        </w:rPr>
        <w:footnoteReference w:id="19"/>
      </w:r>
      <w:r w:rsidRPr="00A021B7">
        <w:rPr>
          <w:rFonts w:ascii="Arial" w:hAnsi="Arial" w:cs="Arial"/>
          <w:sz w:val="20"/>
          <w:szCs w:val="20"/>
          <w:lang w:val="sr-Cyrl-RS"/>
        </w:rPr>
        <w:t xml:space="preserve"> Налази ове анализе говоре у прилог потреб</w:t>
      </w:r>
      <w:r w:rsidR="00E52FC6">
        <w:rPr>
          <w:rFonts w:ascii="Arial" w:hAnsi="Arial" w:cs="Arial"/>
          <w:sz w:val="20"/>
          <w:szCs w:val="20"/>
          <w:lang w:val="sr-Cyrl-RS"/>
        </w:rPr>
        <w:t>и</w:t>
      </w:r>
      <w:r w:rsidRPr="00A021B7">
        <w:rPr>
          <w:rFonts w:ascii="Arial" w:hAnsi="Arial" w:cs="Arial"/>
          <w:sz w:val="20"/>
          <w:szCs w:val="20"/>
          <w:lang w:val="sr-Cyrl-RS"/>
        </w:rPr>
        <w:t xml:space="preserve"> за реорганизацијом и унапређењем унутрашње организације и систематизације у циљу креирања адекватније и оптималне организације управе.</w:t>
      </w:r>
    </w:p>
    <w:p w14:paraId="7C3A11AA" w14:textId="77777777" w:rsidR="00C75AD7" w:rsidRPr="00A021B7" w:rsidRDefault="00C75AD7" w:rsidP="0DD3B114">
      <w:pPr>
        <w:ind w:firstLine="720"/>
        <w:contextualSpacing/>
        <w:jc w:val="both"/>
        <w:rPr>
          <w:rFonts w:ascii="Arial" w:hAnsi="Arial" w:cs="Arial"/>
          <w:sz w:val="20"/>
          <w:szCs w:val="20"/>
          <w:lang w:val="sr-Cyrl-RS"/>
        </w:rPr>
      </w:pPr>
    </w:p>
    <w:p w14:paraId="5AC48FA8" w14:textId="33808CC1" w:rsidR="00C75AD7" w:rsidRPr="00A021B7" w:rsidRDefault="00C75AD7" w:rsidP="0DD3B114">
      <w:pPr>
        <w:tabs>
          <w:tab w:val="left" w:pos="1440"/>
        </w:tabs>
        <w:ind w:firstLine="720"/>
        <w:jc w:val="both"/>
        <w:rPr>
          <w:rFonts w:ascii="Arial" w:hAnsi="Arial" w:cs="Arial"/>
          <w:sz w:val="20"/>
          <w:szCs w:val="20"/>
          <w:lang w:val="sr-Cyrl-RS"/>
        </w:rPr>
      </w:pPr>
      <w:r w:rsidRPr="0DD3B114">
        <w:rPr>
          <w:rFonts w:ascii="Arial" w:hAnsi="Arial" w:cs="Arial"/>
          <w:sz w:val="20"/>
          <w:szCs w:val="20"/>
          <w:lang w:val="sr-Cyrl-RS"/>
        </w:rPr>
        <w:lastRenderedPageBreak/>
        <w:t xml:space="preserve">У вези са </w:t>
      </w:r>
      <w:r w:rsidR="003A3F13" w:rsidRPr="0DD3B114">
        <w:rPr>
          <w:rFonts w:ascii="Arial" w:hAnsi="Arial" w:cs="Arial"/>
          <w:sz w:val="20"/>
          <w:szCs w:val="20"/>
          <w:lang w:val="sr-Cyrl-RS"/>
        </w:rPr>
        <w:t xml:space="preserve">тиме </w:t>
      </w:r>
      <w:r w:rsidR="004E3DE6" w:rsidRPr="0DD3B114">
        <w:rPr>
          <w:rFonts w:ascii="Arial" w:hAnsi="Arial" w:cs="Arial"/>
          <w:sz w:val="20"/>
          <w:szCs w:val="20"/>
          <w:lang w:val="sr-Cyrl-RS"/>
        </w:rPr>
        <w:t xml:space="preserve">стоји </w:t>
      </w:r>
      <w:r w:rsidRPr="0DD3B114">
        <w:rPr>
          <w:rFonts w:ascii="Arial" w:hAnsi="Arial" w:cs="Arial"/>
          <w:sz w:val="20"/>
          <w:szCs w:val="20"/>
          <w:lang w:val="sr-Cyrl-RS"/>
        </w:rPr>
        <w:t xml:space="preserve">и </w:t>
      </w:r>
      <w:r w:rsidR="00E52FC6" w:rsidRPr="0DD3B114">
        <w:rPr>
          <w:rFonts w:ascii="Arial" w:hAnsi="Arial" w:cs="Arial"/>
          <w:sz w:val="20"/>
          <w:szCs w:val="20"/>
          <w:lang w:val="sr-Cyrl-RS"/>
        </w:rPr>
        <w:t xml:space="preserve">у </w:t>
      </w:r>
      <w:r w:rsidRPr="0DD3B114">
        <w:rPr>
          <w:rFonts w:ascii="Arial" w:hAnsi="Arial" w:cs="Arial"/>
          <w:sz w:val="20"/>
          <w:szCs w:val="20"/>
          <w:lang w:val="sr-Cyrl-RS"/>
        </w:rPr>
        <w:t>ово</w:t>
      </w:r>
      <w:r w:rsidR="00E52FC6" w:rsidRPr="0DD3B114">
        <w:rPr>
          <w:rFonts w:ascii="Arial" w:hAnsi="Arial" w:cs="Arial"/>
          <w:sz w:val="20"/>
          <w:szCs w:val="20"/>
          <w:lang w:val="sr-Cyrl-RS"/>
        </w:rPr>
        <w:t>ј</w:t>
      </w:r>
      <w:r w:rsidRPr="0DD3B114">
        <w:rPr>
          <w:rFonts w:ascii="Arial" w:hAnsi="Arial" w:cs="Arial"/>
          <w:sz w:val="20"/>
          <w:szCs w:val="20"/>
          <w:lang w:val="sr-Cyrl-RS"/>
        </w:rPr>
        <w:t xml:space="preserve"> анализ</w:t>
      </w:r>
      <w:r w:rsidR="00E52FC6" w:rsidRPr="0DD3B114">
        <w:rPr>
          <w:rFonts w:ascii="Arial" w:hAnsi="Arial" w:cs="Arial"/>
          <w:sz w:val="20"/>
          <w:szCs w:val="20"/>
          <w:lang w:val="sr-Cyrl-RS"/>
        </w:rPr>
        <w:t>и</w:t>
      </w:r>
      <w:r w:rsidRPr="0DD3B114">
        <w:rPr>
          <w:rFonts w:ascii="Arial" w:hAnsi="Arial" w:cs="Arial"/>
          <w:sz w:val="20"/>
          <w:szCs w:val="20"/>
          <w:lang w:val="sr-Cyrl-RS"/>
        </w:rPr>
        <w:t xml:space="preserve"> препознат проблем оптимизације рада и ефикасности управе приказан кроз распон контроле (однос између непосредних руководилаца и запослених</w:t>
      </w:r>
      <w:r w:rsidR="00954AA9" w:rsidRPr="0DD3B114">
        <w:rPr>
          <w:rFonts w:ascii="Arial" w:hAnsi="Arial" w:cs="Arial"/>
          <w:sz w:val="20"/>
          <w:szCs w:val="20"/>
          <w:lang w:val="sr-Cyrl-RS"/>
        </w:rPr>
        <w:t xml:space="preserve"> чијим радом руководе</w:t>
      </w:r>
      <w:r w:rsidRPr="0DD3B114">
        <w:rPr>
          <w:rFonts w:ascii="Arial" w:hAnsi="Arial" w:cs="Arial"/>
          <w:sz w:val="20"/>
          <w:szCs w:val="20"/>
          <w:lang w:val="sr-Cyrl-RS"/>
        </w:rPr>
        <w:t>) који је често постављен произвољно и креће се од 1:1 до 1:10 и више. Међусобни однос између броја стручних извршилаца, пратећег и помоћног особља је такође неповољан (недовољно стручних извршилаца, а превише пратећег и помоћног особља), а посебно је лош однос између оних који пружају услуге грађанима, односно другим странкама и оних који обављају послове подршке (на штету првих). Као јасан пример недовољне ефикасности (али и оптерећености запослених услед недостатка високо стручног кадра) могу се видети налази функционалне анализе којима је установљено да 61</w:t>
      </w:r>
      <w:r w:rsidR="001C4CBB" w:rsidRPr="0DD3B114">
        <w:rPr>
          <w:rFonts w:ascii="Arial" w:hAnsi="Arial" w:cs="Arial"/>
          <w:sz w:val="20"/>
          <w:szCs w:val="20"/>
          <w:lang w:val="sr-Cyrl-RS"/>
        </w:rPr>
        <w:t>,</w:t>
      </w:r>
      <w:r w:rsidRPr="0DD3B114">
        <w:rPr>
          <w:rFonts w:ascii="Arial" w:hAnsi="Arial" w:cs="Arial"/>
          <w:sz w:val="20"/>
          <w:szCs w:val="20"/>
          <w:lang w:val="sr-Cyrl-RS"/>
        </w:rPr>
        <w:t>5% запослених обавља послове у оквиру три функције, 22% запослених обавља послове у оквиру укупно две функције, а тек 16</w:t>
      </w:r>
      <w:r w:rsidR="001C4CBB" w:rsidRPr="0DD3B114">
        <w:rPr>
          <w:rFonts w:ascii="Arial" w:hAnsi="Arial" w:cs="Arial"/>
          <w:sz w:val="20"/>
          <w:szCs w:val="20"/>
          <w:lang w:val="sr-Cyrl-RS"/>
        </w:rPr>
        <w:t>,</w:t>
      </w:r>
      <w:r w:rsidRPr="0DD3B114">
        <w:rPr>
          <w:rFonts w:ascii="Arial" w:hAnsi="Arial" w:cs="Arial"/>
          <w:sz w:val="20"/>
          <w:szCs w:val="20"/>
          <w:lang w:val="sr-Cyrl-RS"/>
        </w:rPr>
        <w:t xml:space="preserve">5% запослених обавља само једну функцију. </w:t>
      </w:r>
      <w:r w:rsidR="00AD7211" w:rsidRPr="0DD3B114">
        <w:rPr>
          <w:rFonts w:ascii="Arial" w:hAnsi="Arial" w:cs="Arial"/>
          <w:sz w:val="20"/>
          <w:szCs w:val="20"/>
          <w:lang w:val="sr-Cyrl-RS"/>
        </w:rPr>
        <w:t>Због свега овога</w:t>
      </w:r>
      <w:r w:rsidRPr="0DD3B114">
        <w:rPr>
          <w:rFonts w:ascii="Arial" w:hAnsi="Arial" w:cs="Arial"/>
          <w:sz w:val="20"/>
          <w:szCs w:val="20"/>
          <w:lang w:val="sr-Cyrl-RS"/>
        </w:rPr>
        <w:t xml:space="preserve">, правилно успостављена унутрашња организација и адекватна систематизација долазе у ред важних претпоставки </w:t>
      </w:r>
      <w:r w:rsidR="00E52FC6" w:rsidRPr="0DD3B114">
        <w:rPr>
          <w:rFonts w:ascii="Arial" w:hAnsi="Arial" w:cs="Arial"/>
          <w:sz w:val="20"/>
          <w:szCs w:val="20"/>
          <w:lang w:val="sr-Cyrl-RS"/>
        </w:rPr>
        <w:t xml:space="preserve">за </w:t>
      </w:r>
      <w:r w:rsidRPr="0DD3B114">
        <w:rPr>
          <w:rFonts w:ascii="Arial" w:hAnsi="Arial" w:cs="Arial"/>
          <w:sz w:val="20"/>
          <w:szCs w:val="20"/>
          <w:lang w:val="sr-Cyrl-RS"/>
        </w:rPr>
        <w:t>успешно обављањ</w:t>
      </w:r>
      <w:r w:rsidR="00E52FC6" w:rsidRPr="0DD3B114">
        <w:rPr>
          <w:rFonts w:ascii="Arial" w:hAnsi="Arial" w:cs="Arial"/>
          <w:sz w:val="20"/>
          <w:szCs w:val="20"/>
          <w:lang w:val="sr-Cyrl-RS"/>
        </w:rPr>
        <w:t>е</w:t>
      </w:r>
      <w:r w:rsidRPr="0DD3B114">
        <w:rPr>
          <w:rFonts w:ascii="Arial" w:hAnsi="Arial" w:cs="Arial"/>
          <w:sz w:val="20"/>
          <w:szCs w:val="20"/>
          <w:lang w:val="sr-Cyrl-RS"/>
        </w:rPr>
        <w:t xml:space="preserve"> послова.</w:t>
      </w:r>
    </w:p>
    <w:p w14:paraId="41C80542" w14:textId="77777777" w:rsidR="00C75AD7" w:rsidRPr="00A021B7" w:rsidRDefault="00C75AD7" w:rsidP="0DD3B114">
      <w:pPr>
        <w:tabs>
          <w:tab w:val="left" w:pos="1440"/>
        </w:tabs>
        <w:ind w:firstLine="720"/>
        <w:jc w:val="both"/>
        <w:rPr>
          <w:rFonts w:ascii="Arial" w:hAnsi="Arial" w:cs="Arial"/>
          <w:sz w:val="20"/>
          <w:szCs w:val="20"/>
          <w:lang w:val="sr-Cyrl-RS"/>
        </w:rPr>
      </w:pPr>
    </w:p>
    <w:p w14:paraId="317E9E07" w14:textId="451D13AB" w:rsidR="00C75AD7" w:rsidRPr="00A021B7" w:rsidRDefault="00C75AD7" w:rsidP="0DD3B114">
      <w:pPr>
        <w:tabs>
          <w:tab w:val="left" w:pos="1440"/>
        </w:tabs>
        <w:ind w:firstLine="720"/>
        <w:jc w:val="both"/>
        <w:rPr>
          <w:rFonts w:ascii="Arial" w:hAnsi="Arial" w:cs="Arial"/>
          <w:sz w:val="20"/>
          <w:szCs w:val="20"/>
          <w:lang w:val="sr-Cyrl-RS"/>
        </w:rPr>
      </w:pPr>
      <w:r w:rsidRPr="0DD3B114">
        <w:rPr>
          <w:rFonts w:ascii="Arial" w:hAnsi="Arial" w:cs="Arial"/>
          <w:sz w:val="20"/>
          <w:szCs w:val="20"/>
          <w:lang w:val="sr-Cyrl-RS"/>
        </w:rPr>
        <w:t>Проблем који начелници управа (и други представници ЛС) истичу у први план јесте лоша кадровска структура запослених у управи, која неповољно утиче на управни капацитет ЈЛС. Мере које су предузете да би се ограничио, односно смањио број запослених</w:t>
      </w:r>
      <w:r w:rsidR="0074724E" w:rsidRPr="0DD3B114">
        <w:rPr>
          <w:rFonts w:ascii="Arial" w:hAnsi="Arial" w:cs="Arial"/>
          <w:sz w:val="20"/>
          <w:szCs w:val="20"/>
          <w:lang w:val="sr-Cyrl-RS"/>
        </w:rPr>
        <w:t>, као</w:t>
      </w:r>
      <w:r w:rsidRPr="0DD3B114">
        <w:rPr>
          <w:rFonts w:ascii="Arial" w:hAnsi="Arial" w:cs="Arial"/>
          <w:sz w:val="20"/>
          <w:szCs w:val="20"/>
          <w:lang w:val="sr-Cyrl-RS"/>
        </w:rPr>
        <w:t xml:space="preserve"> и смањење плата су допринеле још већем одливу најстручнијих кадрова, с тим што је то само део разлога који су допринели тренутној ситуацији. </w:t>
      </w:r>
      <w:r w:rsidR="00954AA9" w:rsidRPr="0DD3B114">
        <w:rPr>
          <w:rFonts w:ascii="Arial" w:hAnsi="Arial" w:cs="Arial"/>
          <w:sz w:val="20"/>
          <w:szCs w:val="20"/>
          <w:lang w:val="sr-Cyrl-RS"/>
        </w:rPr>
        <w:t xml:space="preserve">Поред поменуте рационализације, на лошу кадровску структуру </w:t>
      </w:r>
      <w:r w:rsidR="006B546A" w:rsidRPr="0DD3B114">
        <w:rPr>
          <w:rFonts w:ascii="Arial" w:hAnsi="Arial" w:cs="Arial"/>
          <w:sz w:val="20"/>
          <w:szCs w:val="20"/>
          <w:lang w:val="sr-Cyrl-RS"/>
        </w:rPr>
        <w:t xml:space="preserve">утицај има и још увек недовољно </w:t>
      </w:r>
      <w:r w:rsidR="003F2A3B" w:rsidRPr="0DD3B114">
        <w:rPr>
          <w:rFonts w:ascii="Arial" w:hAnsi="Arial" w:cs="Arial"/>
          <w:sz w:val="20"/>
          <w:szCs w:val="20"/>
          <w:lang w:val="sr-Cyrl-RS"/>
        </w:rPr>
        <w:t xml:space="preserve">развијен систем управљања кадровима, о чему ће касније бити више речи. </w:t>
      </w:r>
      <w:r w:rsidR="006B546A" w:rsidRPr="0DD3B114">
        <w:rPr>
          <w:rFonts w:ascii="Arial" w:hAnsi="Arial" w:cs="Arial"/>
          <w:sz w:val="20"/>
          <w:szCs w:val="20"/>
          <w:lang w:val="sr-Cyrl-RS"/>
        </w:rPr>
        <w:t xml:space="preserve">Такође, негативан утицај </w:t>
      </w:r>
      <w:r w:rsidR="002A768F" w:rsidRPr="0DD3B114">
        <w:rPr>
          <w:rFonts w:ascii="Arial" w:hAnsi="Arial" w:cs="Arial"/>
          <w:sz w:val="20"/>
          <w:szCs w:val="20"/>
          <w:lang w:val="sr-Cyrl-RS"/>
        </w:rPr>
        <w:t xml:space="preserve">приметан је и тамо где постоји </w:t>
      </w:r>
      <w:r w:rsidR="006B546A" w:rsidRPr="0DD3B114">
        <w:rPr>
          <w:rFonts w:ascii="Arial" w:hAnsi="Arial" w:cs="Arial"/>
          <w:sz w:val="20"/>
          <w:szCs w:val="20"/>
          <w:lang w:val="sr-Cyrl-RS"/>
        </w:rPr>
        <w:t>запошљавање по политичким основама</w:t>
      </w:r>
      <w:r w:rsidR="0074724E" w:rsidRPr="0DD3B114">
        <w:rPr>
          <w:rFonts w:ascii="Arial" w:hAnsi="Arial" w:cs="Arial"/>
          <w:sz w:val="20"/>
          <w:szCs w:val="20"/>
          <w:lang w:val="sr-Cyrl-RS"/>
        </w:rPr>
        <w:t>,</w:t>
      </w:r>
      <w:r w:rsidR="002A768F" w:rsidRPr="0DD3B114">
        <w:rPr>
          <w:rFonts w:ascii="Arial" w:hAnsi="Arial" w:cs="Arial"/>
          <w:sz w:val="20"/>
          <w:szCs w:val="20"/>
          <w:lang w:val="sr-Cyrl-RS"/>
        </w:rPr>
        <w:t xml:space="preserve"> </w:t>
      </w:r>
      <w:r w:rsidR="0074724E" w:rsidRPr="0DD3B114">
        <w:rPr>
          <w:rFonts w:ascii="Arial" w:hAnsi="Arial" w:cs="Arial"/>
          <w:sz w:val="20"/>
          <w:szCs w:val="20"/>
          <w:lang w:val="sr-Cyrl-RS"/>
        </w:rPr>
        <w:t>а</w:t>
      </w:r>
      <w:r w:rsidR="002A768F" w:rsidRPr="0DD3B114">
        <w:rPr>
          <w:rFonts w:ascii="Arial" w:hAnsi="Arial" w:cs="Arial"/>
          <w:sz w:val="20"/>
          <w:szCs w:val="20"/>
          <w:lang w:val="sr-Cyrl-RS"/>
        </w:rPr>
        <w:t xml:space="preserve"> посебно уколико оно није засновано на </w:t>
      </w:r>
      <w:r w:rsidR="006F164E" w:rsidRPr="0DD3B114">
        <w:rPr>
          <w:rFonts w:ascii="Arial" w:hAnsi="Arial" w:cs="Arial"/>
          <w:sz w:val="20"/>
          <w:szCs w:val="20"/>
          <w:lang w:val="sr-Cyrl-RS"/>
        </w:rPr>
        <w:t>потребним компетенцијама за одгов</w:t>
      </w:r>
      <w:r w:rsidR="00926515" w:rsidRPr="0DD3B114">
        <w:rPr>
          <w:rFonts w:ascii="Arial" w:hAnsi="Arial" w:cs="Arial"/>
          <w:sz w:val="20"/>
          <w:szCs w:val="20"/>
          <w:lang w:val="sr-Cyrl-RS"/>
        </w:rPr>
        <w:t>а</w:t>
      </w:r>
      <w:r w:rsidR="006F164E" w:rsidRPr="0DD3B114">
        <w:rPr>
          <w:rFonts w:ascii="Arial" w:hAnsi="Arial" w:cs="Arial"/>
          <w:sz w:val="20"/>
          <w:szCs w:val="20"/>
          <w:lang w:val="sr-Cyrl-RS"/>
        </w:rPr>
        <w:t>рајуће радно место.</w:t>
      </w:r>
      <w:r w:rsidR="006B546A" w:rsidRPr="0DD3B114">
        <w:rPr>
          <w:rFonts w:ascii="Arial" w:hAnsi="Arial" w:cs="Arial"/>
          <w:sz w:val="20"/>
          <w:szCs w:val="20"/>
          <w:lang w:val="sr-Cyrl-RS"/>
        </w:rPr>
        <w:t xml:space="preserve"> </w:t>
      </w:r>
      <w:r w:rsidR="007A11FA" w:rsidRPr="0DD3B114">
        <w:rPr>
          <w:rFonts w:ascii="Arial" w:hAnsi="Arial" w:cs="Arial"/>
          <w:sz w:val="20"/>
          <w:szCs w:val="20"/>
          <w:lang w:val="sr-Cyrl-RS"/>
        </w:rPr>
        <w:t>П</w:t>
      </w:r>
      <w:r w:rsidRPr="0DD3B114">
        <w:rPr>
          <w:rFonts w:ascii="Arial" w:hAnsi="Arial" w:cs="Arial"/>
          <w:sz w:val="20"/>
          <w:szCs w:val="20"/>
          <w:lang w:val="sr-Cyrl-RS"/>
        </w:rPr>
        <w:t xml:space="preserve">итању броја запослених у локалној </w:t>
      </w:r>
      <w:r w:rsidR="003326B7" w:rsidRPr="0DD3B114">
        <w:rPr>
          <w:rFonts w:ascii="Arial" w:hAnsi="Arial" w:cs="Arial"/>
          <w:sz w:val="20"/>
          <w:szCs w:val="20"/>
          <w:lang w:val="sr-Cyrl-RS"/>
        </w:rPr>
        <w:t>управи</w:t>
      </w:r>
      <w:r w:rsidRPr="0DD3B114">
        <w:rPr>
          <w:rFonts w:ascii="Arial" w:hAnsi="Arial" w:cs="Arial"/>
          <w:sz w:val="20"/>
          <w:szCs w:val="20"/>
          <w:lang w:val="sr-Cyrl-RS"/>
        </w:rPr>
        <w:t xml:space="preserve">, а и генерално, мора </w:t>
      </w:r>
      <w:r w:rsidR="00FD17EA" w:rsidRPr="0DD3B114">
        <w:rPr>
          <w:rFonts w:ascii="Arial" w:hAnsi="Arial" w:cs="Arial"/>
          <w:sz w:val="20"/>
          <w:szCs w:val="20"/>
          <w:lang w:val="sr-Cyrl-RS"/>
        </w:rPr>
        <w:t xml:space="preserve">се </w:t>
      </w:r>
      <w:r w:rsidRPr="0DD3B114">
        <w:rPr>
          <w:rFonts w:ascii="Arial" w:hAnsi="Arial" w:cs="Arial"/>
          <w:sz w:val="20"/>
          <w:szCs w:val="20"/>
          <w:lang w:val="sr-Cyrl-RS"/>
        </w:rPr>
        <w:t>приступити на другачији начин</w:t>
      </w:r>
      <w:r w:rsidR="00FD17EA" w:rsidRPr="0DD3B114">
        <w:rPr>
          <w:rFonts w:ascii="Arial" w:hAnsi="Arial" w:cs="Arial"/>
          <w:sz w:val="20"/>
          <w:szCs w:val="20"/>
          <w:lang w:val="sr-Cyrl-RS"/>
        </w:rPr>
        <w:t>.</w:t>
      </w:r>
      <w:r w:rsidRPr="0DD3B114">
        <w:rPr>
          <w:rFonts w:ascii="Arial" w:hAnsi="Arial" w:cs="Arial"/>
          <w:sz w:val="20"/>
          <w:szCs w:val="20"/>
          <w:lang w:val="sr-Cyrl-RS"/>
        </w:rPr>
        <w:t xml:space="preserve"> </w:t>
      </w:r>
      <w:r w:rsidR="00FD17EA" w:rsidRPr="0DD3B114">
        <w:rPr>
          <w:rFonts w:ascii="Arial" w:hAnsi="Arial" w:cs="Arial"/>
          <w:sz w:val="20"/>
          <w:szCs w:val="20"/>
          <w:lang w:val="sr-Cyrl-RS"/>
        </w:rPr>
        <w:t xml:space="preserve">Неопходно је </w:t>
      </w:r>
      <w:r w:rsidRPr="0DD3B114">
        <w:rPr>
          <w:rFonts w:ascii="Arial" w:hAnsi="Arial" w:cs="Arial"/>
          <w:sz w:val="20"/>
          <w:szCs w:val="20"/>
          <w:lang w:val="sr-Cyrl-RS"/>
        </w:rPr>
        <w:t xml:space="preserve">извршити функционалну анализу, утврдити </w:t>
      </w:r>
      <w:r w:rsidR="00145707" w:rsidRPr="0DD3B114">
        <w:rPr>
          <w:rFonts w:ascii="Arial" w:hAnsi="Arial" w:cs="Arial"/>
          <w:sz w:val="20"/>
          <w:szCs w:val="20"/>
          <w:lang w:val="sr-Cyrl-RS"/>
        </w:rPr>
        <w:t xml:space="preserve">тачне </w:t>
      </w:r>
      <w:r w:rsidRPr="0DD3B114">
        <w:rPr>
          <w:rFonts w:ascii="Arial" w:hAnsi="Arial" w:cs="Arial"/>
          <w:sz w:val="20"/>
          <w:szCs w:val="20"/>
          <w:lang w:val="sr-Cyrl-RS"/>
        </w:rPr>
        <w:t>потребе у погледу броја и стручне спреме запослених и затим</w:t>
      </w:r>
      <w:r w:rsidR="0074724E" w:rsidRPr="0DD3B114">
        <w:rPr>
          <w:rFonts w:ascii="Arial" w:hAnsi="Arial" w:cs="Arial"/>
          <w:sz w:val="20"/>
          <w:szCs w:val="20"/>
          <w:lang w:val="sr-Cyrl-RS"/>
        </w:rPr>
        <w:t>,</w:t>
      </w:r>
      <w:r w:rsidRPr="0DD3B114">
        <w:rPr>
          <w:rFonts w:ascii="Arial" w:hAnsi="Arial" w:cs="Arial"/>
          <w:sz w:val="20"/>
          <w:szCs w:val="20"/>
          <w:lang w:val="sr-Cyrl-RS"/>
        </w:rPr>
        <w:t xml:space="preserve"> у сарадњи са општинама и градовима, односно субјектима на које се односи смањење броја запослених, приступити решавању овог питања. Смањење броја запослених не сме да буде на штету капацитета ЈЛС и без дугорочне стратегије развоја и унапређења способности органа и служби за обављање послова ради којих су формирани.</w:t>
      </w:r>
    </w:p>
    <w:p w14:paraId="0E87F684" w14:textId="216B7C96" w:rsidR="00C06E94" w:rsidRPr="00A021B7" w:rsidRDefault="00C06E94" w:rsidP="003E7BC9">
      <w:pPr>
        <w:jc w:val="both"/>
        <w:rPr>
          <w:rFonts w:ascii="Arial" w:hAnsi="Arial" w:cs="Arial"/>
          <w:bCs/>
          <w:i/>
          <w:iCs/>
          <w:sz w:val="20"/>
          <w:szCs w:val="20"/>
          <w:lang w:val="sr-Cyrl-RS"/>
        </w:rPr>
      </w:pPr>
    </w:p>
    <w:p w14:paraId="41CC1B08" w14:textId="77777777" w:rsidR="00C06E94" w:rsidRPr="00A021B7" w:rsidRDefault="00C06E94" w:rsidP="003E7BC9">
      <w:pPr>
        <w:contextualSpacing/>
        <w:jc w:val="both"/>
        <w:rPr>
          <w:rFonts w:ascii="Arial" w:hAnsi="Arial" w:cs="Arial"/>
          <w:b/>
          <w:bCs/>
          <w:i/>
          <w:iCs/>
          <w:sz w:val="20"/>
          <w:szCs w:val="20"/>
          <w:lang w:val="sr-Cyrl-RS"/>
        </w:rPr>
      </w:pPr>
      <w:r w:rsidRPr="00A021B7">
        <w:rPr>
          <w:rFonts w:ascii="Arial" w:hAnsi="Arial" w:cs="Arial"/>
          <w:b/>
          <w:bCs/>
          <w:i/>
          <w:iCs/>
          <w:sz w:val="20"/>
          <w:szCs w:val="20"/>
          <w:lang w:val="sr-Cyrl-RS"/>
        </w:rPr>
        <w:t>Градске општине</w:t>
      </w:r>
    </w:p>
    <w:p w14:paraId="4E35C7F7" w14:textId="77777777" w:rsidR="00C06E94" w:rsidRPr="00A021B7" w:rsidRDefault="00C06E94" w:rsidP="003E7BC9">
      <w:pPr>
        <w:contextualSpacing/>
        <w:jc w:val="both"/>
        <w:rPr>
          <w:rFonts w:ascii="Arial" w:hAnsi="Arial" w:cs="Arial"/>
          <w:b/>
          <w:bCs/>
          <w:sz w:val="20"/>
          <w:szCs w:val="20"/>
          <w:lang w:val="sr-Cyrl-RS"/>
        </w:rPr>
      </w:pPr>
    </w:p>
    <w:p w14:paraId="1CA208CE" w14:textId="5C1AFF8B" w:rsidR="00C06E94" w:rsidRPr="00A021B7" w:rsidRDefault="00C06E94" w:rsidP="0DD3B114">
      <w:pPr>
        <w:shd w:val="clear" w:color="auto" w:fill="FFFFFF" w:themeFill="background1"/>
        <w:ind w:firstLine="720"/>
        <w:jc w:val="both"/>
        <w:rPr>
          <w:rFonts w:ascii="Arial" w:hAnsi="Arial" w:cs="Arial"/>
          <w:color w:val="000000"/>
          <w:lang w:val="sr-Cyrl-RS"/>
        </w:rPr>
      </w:pPr>
      <w:r w:rsidRPr="0DD3B114">
        <w:rPr>
          <w:rFonts w:ascii="Arial" w:hAnsi="Arial" w:cs="Arial"/>
          <w:color w:val="000000" w:themeColor="text1"/>
          <w:sz w:val="20"/>
          <w:szCs w:val="20"/>
          <w:lang w:val="sr-Cyrl-RS"/>
        </w:rPr>
        <w:t>Уставом РС је прописано</w:t>
      </w:r>
      <w:r w:rsidR="00E700C2" w:rsidRPr="0DD3B114">
        <w:rPr>
          <w:rFonts w:ascii="Arial" w:hAnsi="Arial" w:cs="Arial"/>
          <w:color w:val="000000" w:themeColor="text1"/>
          <w:sz w:val="20"/>
          <w:szCs w:val="20"/>
          <w:lang w:val="sr-Cyrl-RS"/>
        </w:rPr>
        <w:t xml:space="preserve"> да се с</w:t>
      </w:r>
      <w:r w:rsidRPr="0DD3B114">
        <w:rPr>
          <w:rFonts w:ascii="Arial" w:hAnsi="Arial" w:cs="Arial"/>
          <w:color w:val="000000" w:themeColor="text1"/>
          <w:sz w:val="20"/>
          <w:szCs w:val="20"/>
          <w:lang w:val="sr-Cyrl-RS"/>
        </w:rPr>
        <w:t>татутом града мо</w:t>
      </w:r>
      <w:r w:rsidR="00E700C2" w:rsidRPr="0DD3B114">
        <w:rPr>
          <w:rFonts w:ascii="Arial" w:hAnsi="Arial" w:cs="Arial"/>
          <w:color w:val="000000" w:themeColor="text1"/>
          <w:sz w:val="20"/>
          <w:szCs w:val="20"/>
          <w:lang w:val="sr-Cyrl-RS"/>
        </w:rPr>
        <w:t xml:space="preserve">гу образовати </w:t>
      </w:r>
      <w:r w:rsidRPr="0DD3B114">
        <w:rPr>
          <w:rFonts w:ascii="Arial" w:hAnsi="Arial" w:cs="Arial"/>
          <w:color w:val="000000" w:themeColor="text1"/>
          <w:sz w:val="20"/>
          <w:szCs w:val="20"/>
          <w:lang w:val="sr-Cyrl-RS"/>
        </w:rPr>
        <w:t>две или више градских општина</w:t>
      </w:r>
      <w:r w:rsidR="00E700C2" w:rsidRPr="0DD3B114">
        <w:rPr>
          <w:rFonts w:ascii="Arial" w:hAnsi="Arial" w:cs="Arial"/>
          <w:color w:val="000000" w:themeColor="text1"/>
          <w:sz w:val="20"/>
          <w:szCs w:val="20"/>
          <w:lang w:val="sr-Cyrl-RS"/>
        </w:rPr>
        <w:t xml:space="preserve"> и</w:t>
      </w:r>
      <w:r w:rsidRPr="0DD3B114">
        <w:rPr>
          <w:rFonts w:ascii="Arial" w:hAnsi="Arial" w:cs="Arial"/>
          <w:color w:val="000000" w:themeColor="text1"/>
          <w:sz w:val="20"/>
          <w:szCs w:val="20"/>
          <w:lang w:val="sr-Cyrl-RS"/>
        </w:rPr>
        <w:t xml:space="preserve"> </w:t>
      </w:r>
      <w:r w:rsidR="00E700C2" w:rsidRPr="0DD3B114">
        <w:rPr>
          <w:rFonts w:ascii="Arial" w:hAnsi="Arial" w:cs="Arial"/>
          <w:color w:val="000000" w:themeColor="text1"/>
          <w:sz w:val="20"/>
          <w:szCs w:val="20"/>
          <w:lang w:val="sr-Cyrl-RS"/>
        </w:rPr>
        <w:t>уредити</w:t>
      </w:r>
      <w:r w:rsidRPr="0DD3B114">
        <w:rPr>
          <w:rFonts w:ascii="Arial" w:hAnsi="Arial" w:cs="Arial"/>
          <w:color w:val="000000" w:themeColor="text1"/>
          <w:sz w:val="20"/>
          <w:szCs w:val="20"/>
          <w:lang w:val="sr-Cyrl-RS"/>
        </w:rPr>
        <w:t xml:space="preserve"> послови из надлежности града које врше градске општине (чл. 189. ст. 4. и 5.)</w:t>
      </w:r>
      <w:r w:rsidR="00E700C2" w:rsidRPr="0DD3B114">
        <w:rPr>
          <w:rFonts w:ascii="Arial" w:hAnsi="Arial" w:cs="Arial"/>
          <w:color w:val="000000" w:themeColor="text1"/>
          <w:sz w:val="20"/>
          <w:szCs w:val="20"/>
          <w:lang w:val="sr-Cyrl-RS"/>
        </w:rPr>
        <w:t>.</w:t>
      </w:r>
      <w:r w:rsidRPr="0DD3B114">
        <w:rPr>
          <w:rFonts w:ascii="Arial" w:hAnsi="Arial" w:cs="Arial"/>
          <w:color w:val="000000" w:themeColor="text1"/>
          <w:sz w:val="20"/>
          <w:szCs w:val="20"/>
          <w:lang w:val="sr-Cyrl-RS"/>
        </w:rPr>
        <w:t xml:space="preserve"> </w:t>
      </w:r>
      <w:r w:rsidR="0074724E" w:rsidRPr="0DD3B114">
        <w:rPr>
          <w:rFonts w:ascii="Arial" w:hAnsi="Arial" w:cs="Arial"/>
          <w:color w:val="000000" w:themeColor="text1"/>
          <w:sz w:val="20"/>
          <w:szCs w:val="20"/>
          <w:lang w:val="sr-Cyrl-RS"/>
        </w:rPr>
        <w:t>Ако се п</w:t>
      </w:r>
      <w:r w:rsidR="00E700C2" w:rsidRPr="0DD3B114">
        <w:rPr>
          <w:rFonts w:ascii="Arial" w:hAnsi="Arial" w:cs="Arial"/>
          <w:color w:val="000000" w:themeColor="text1"/>
          <w:sz w:val="20"/>
          <w:szCs w:val="20"/>
          <w:lang w:val="sr-Cyrl-RS"/>
        </w:rPr>
        <w:t>о</w:t>
      </w:r>
      <w:r w:rsidR="0074724E" w:rsidRPr="0DD3B114">
        <w:rPr>
          <w:rFonts w:ascii="Arial" w:hAnsi="Arial" w:cs="Arial"/>
          <w:color w:val="000000" w:themeColor="text1"/>
          <w:sz w:val="20"/>
          <w:szCs w:val="20"/>
          <w:lang w:val="sr-Cyrl-RS"/>
        </w:rPr>
        <w:t>ђе</w:t>
      </w:r>
      <w:r w:rsidR="00E700C2" w:rsidRPr="0DD3B114">
        <w:rPr>
          <w:rFonts w:ascii="Arial" w:hAnsi="Arial" w:cs="Arial"/>
          <w:color w:val="000000" w:themeColor="text1"/>
          <w:sz w:val="20"/>
          <w:szCs w:val="20"/>
          <w:lang w:val="sr-Cyrl-RS"/>
        </w:rPr>
        <w:t xml:space="preserve"> од Устава</w:t>
      </w:r>
      <w:r w:rsidR="0074724E" w:rsidRPr="0DD3B114">
        <w:rPr>
          <w:rFonts w:ascii="Arial" w:hAnsi="Arial" w:cs="Arial"/>
          <w:color w:val="000000" w:themeColor="text1"/>
          <w:sz w:val="20"/>
          <w:szCs w:val="20"/>
          <w:lang w:val="sr-Cyrl-RS"/>
        </w:rPr>
        <w:t>,</w:t>
      </w:r>
      <w:r w:rsidR="00E700C2" w:rsidRPr="0DD3B114">
        <w:rPr>
          <w:rFonts w:ascii="Arial" w:hAnsi="Arial" w:cs="Arial"/>
          <w:color w:val="000000" w:themeColor="text1"/>
          <w:sz w:val="20"/>
          <w:szCs w:val="20"/>
          <w:lang w:val="sr-Cyrl-RS"/>
        </w:rPr>
        <w:t xml:space="preserve"> </w:t>
      </w:r>
      <w:r w:rsidRPr="0DD3B114">
        <w:rPr>
          <w:rFonts w:ascii="Arial" w:hAnsi="Arial" w:cs="Arial"/>
          <w:color w:val="000000" w:themeColor="text1"/>
          <w:sz w:val="20"/>
          <w:szCs w:val="20"/>
          <w:lang w:val="sr-Cyrl-RS"/>
        </w:rPr>
        <w:t xml:space="preserve">јасно је да се питање образовања и уређивања градских општина не </w:t>
      </w:r>
      <w:r w:rsidR="0091425E" w:rsidRPr="0DD3B114">
        <w:rPr>
          <w:rFonts w:ascii="Arial" w:hAnsi="Arial" w:cs="Arial"/>
          <w:color w:val="000000" w:themeColor="text1"/>
          <w:sz w:val="20"/>
          <w:szCs w:val="20"/>
          <w:lang w:val="sr-Cyrl-RS"/>
        </w:rPr>
        <w:t>уређује</w:t>
      </w:r>
      <w:r w:rsidRPr="0DD3B114">
        <w:rPr>
          <w:rFonts w:ascii="Arial" w:hAnsi="Arial" w:cs="Arial"/>
          <w:color w:val="000000" w:themeColor="text1"/>
          <w:sz w:val="20"/>
          <w:szCs w:val="20"/>
          <w:lang w:val="sr-Cyrl-RS"/>
        </w:rPr>
        <w:t xml:space="preserve"> законом. Једини делимични изузетак од овог правила успостављен</w:t>
      </w:r>
      <w:r w:rsidR="0074724E" w:rsidRPr="0DD3B114">
        <w:rPr>
          <w:rFonts w:ascii="Arial" w:hAnsi="Arial" w:cs="Arial"/>
          <w:color w:val="000000" w:themeColor="text1"/>
          <w:sz w:val="20"/>
          <w:szCs w:val="20"/>
          <w:lang w:val="sr-Cyrl-RS"/>
        </w:rPr>
        <w:t xml:space="preserve"> је</w:t>
      </w:r>
      <w:r w:rsidRPr="0DD3B114">
        <w:rPr>
          <w:rFonts w:ascii="Arial" w:hAnsi="Arial" w:cs="Arial"/>
          <w:color w:val="000000" w:themeColor="text1"/>
          <w:sz w:val="20"/>
          <w:szCs w:val="20"/>
          <w:lang w:val="sr-Cyrl-RS"/>
        </w:rPr>
        <w:t xml:space="preserve"> чланом 6. ст. 2. и 3. Закона о главном граду: „Ради ефикаснијег и економичнијег обављања одређених надлежности града Београда, у оквиру законом утврђене територије града Београда, Статутом града се образују градске општине. Градска општина има својство правног лица и има свој печат.</w:t>
      </w:r>
      <w:r w:rsidR="0074724E" w:rsidRPr="0DD3B114">
        <w:rPr>
          <w:rFonts w:ascii="Arial" w:hAnsi="Arial" w:cs="Arial"/>
          <w:color w:val="000000" w:themeColor="text1"/>
          <w:sz w:val="20"/>
          <w:szCs w:val="20"/>
        </w:rPr>
        <w:t>”</w:t>
      </w:r>
      <w:r w:rsidRPr="0DD3B114">
        <w:rPr>
          <w:rFonts w:ascii="Arial" w:hAnsi="Arial" w:cs="Arial"/>
          <w:color w:val="000000" w:themeColor="text1"/>
          <w:sz w:val="20"/>
          <w:szCs w:val="20"/>
          <w:lang w:val="sr-Cyrl-RS"/>
        </w:rPr>
        <w:t xml:space="preserve"> Из наведеног произлази законска обавеза да град Београд мора да</w:t>
      </w:r>
      <w:r w:rsidR="0074724E" w:rsidRPr="0DD3B114">
        <w:rPr>
          <w:rFonts w:ascii="Arial" w:hAnsi="Arial" w:cs="Arial"/>
          <w:color w:val="000000" w:themeColor="text1"/>
          <w:sz w:val="20"/>
          <w:szCs w:val="20"/>
          <w:lang w:val="sr-Cyrl-RS"/>
        </w:rPr>
        <w:t xml:space="preserve"> </w:t>
      </w:r>
      <w:r w:rsidRPr="0DD3B114">
        <w:rPr>
          <w:rFonts w:ascii="Arial" w:hAnsi="Arial" w:cs="Arial"/>
          <w:color w:val="000000" w:themeColor="text1"/>
          <w:sz w:val="20"/>
          <w:szCs w:val="20"/>
          <w:lang w:val="sr-Cyrl-RS"/>
        </w:rPr>
        <w:t>има градске општине</w:t>
      </w:r>
      <w:r w:rsidR="0074724E" w:rsidRPr="0DD3B114">
        <w:rPr>
          <w:rFonts w:ascii="Arial" w:hAnsi="Arial" w:cs="Arial"/>
          <w:color w:val="000000" w:themeColor="text1"/>
          <w:sz w:val="20"/>
          <w:szCs w:val="20"/>
          <w:lang w:val="sr-Cyrl-RS"/>
        </w:rPr>
        <w:t>,</w:t>
      </w:r>
      <w:r w:rsidRPr="0DD3B114">
        <w:rPr>
          <w:rFonts w:ascii="Arial" w:hAnsi="Arial" w:cs="Arial"/>
          <w:color w:val="000000" w:themeColor="text1"/>
          <w:sz w:val="20"/>
          <w:szCs w:val="20"/>
          <w:lang w:val="sr-Cyrl-RS"/>
        </w:rPr>
        <w:t xml:space="preserve"> као и законско уређивање положаја градских општина као правног лица са правом на свој печат. Ова специфичност произлази из посебног уставноправног положаја града Београда као главног града</w:t>
      </w:r>
      <w:r w:rsidR="0074724E" w:rsidRPr="0DD3B114">
        <w:rPr>
          <w:rFonts w:ascii="Arial" w:hAnsi="Arial" w:cs="Arial"/>
          <w:color w:val="000000" w:themeColor="text1"/>
          <w:sz w:val="20"/>
          <w:szCs w:val="20"/>
          <w:lang w:val="sr-Cyrl-RS"/>
        </w:rPr>
        <w:t>,</w:t>
      </w:r>
      <w:r w:rsidRPr="0DD3B114">
        <w:rPr>
          <w:rFonts w:ascii="Arial" w:hAnsi="Arial" w:cs="Arial"/>
          <w:color w:val="000000" w:themeColor="text1"/>
          <w:sz w:val="20"/>
          <w:szCs w:val="20"/>
          <w:lang w:val="sr-Cyrl-RS"/>
        </w:rPr>
        <w:t xml:space="preserve"> а на основу одредбе Устава из члана 189. став 6.</w:t>
      </w:r>
      <w:r w:rsidR="00AC46C4" w:rsidRPr="0DD3B114">
        <w:rPr>
          <w:rFonts w:ascii="Arial" w:hAnsi="Arial" w:cs="Arial"/>
          <w:color w:val="000000" w:themeColor="text1"/>
          <w:sz w:val="20"/>
          <w:szCs w:val="20"/>
          <w:lang w:val="sr-Cyrl-RS"/>
        </w:rPr>
        <w:t xml:space="preserve"> која </w:t>
      </w:r>
      <w:r w:rsidR="0074724E" w:rsidRPr="0DD3B114">
        <w:rPr>
          <w:rFonts w:ascii="Arial" w:hAnsi="Arial" w:cs="Arial"/>
          <w:color w:val="000000" w:themeColor="text1"/>
          <w:sz w:val="20"/>
          <w:szCs w:val="20"/>
          <w:lang w:val="sr-Cyrl-RS"/>
        </w:rPr>
        <w:t xml:space="preserve">предвиђа </w:t>
      </w:r>
      <w:r w:rsidR="00AC46C4" w:rsidRPr="0DD3B114">
        <w:rPr>
          <w:rFonts w:ascii="Arial" w:hAnsi="Arial" w:cs="Arial"/>
          <w:color w:val="000000" w:themeColor="text1"/>
          <w:sz w:val="20"/>
          <w:szCs w:val="20"/>
          <w:lang w:val="sr-Cyrl-RS"/>
        </w:rPr>
        <w:t xml:space="preserve">да се </w:t>
      </w:r>
      <w:r w:rsidR="00DE2B50" w:rsidRPr="0DD3B114">
        <w:rPr>
          <w:rFonts w:ascii="Arial" w:hAnsi="Arial" w:cs="Arial"/>
          <w:color w:val="000000" w:themeColor="text1"/>
          <w:sz w:val="20"/>
          <w:szCs w:val="20"/>
          <w:lang w:val="sr-Cyrl-RS"/>
        </w:rPr>
        <w:t>п</w:t>
      </w:r>
      <w:r w:rsidRPr="0DD3B114">
        <w:rPr>
          <w:rFonts w:ascii="Arial" w:hAnsi="Arial" w:cs="Arial"/>
          <w:color w:val="000000" w:themeColor="text1"/>
          <w:sz w:val="20"/>
          <w:szCs w:val="20"/>
          <w:lang w:val="sr-Cyrl-RS"/>
        </w:rPr>
        <w:t>оложај града Београда, главног града Републике Србије, уређује законом о главном граду и статутом града Београда</w:t>
      </w:r>
      <w:r w:rsidR="00DE2B50" w:rsidRPr="0DD3B114">
        <w:rPr>
          <w:rFonts w:ascii="Arial" w:hAnsi="Arial" w:cs="Arial"/>
          <w:color w:val="000000" w:themeColor="text1"/>
          <w:sz w:val="20"/>
          <w:szCs w:val="20"/>
          <w:lang w:val="sr-Cyrl-RS"/>
        </w:rPr>
        <w:t>.</w:t>
      </w:r>
      <w:r w:rsidR="00415B73" w:rsidRPr="0DD3B114">
        <w:rPr>
          <w:rFonts w:ascii="Arial" w:hAnsi="Arial" w:cs="Arial"/>
          <w:color w:val="000000" w:themeColor="text1"/>
          <w:sz w:val="20"/>
          <w:szCs w:val="20"/>
          <w:lang w:val="sr-Cyrl-RS"/>
        </w:rPr>
        <w:t xml:space="preserve"> </w:t>
      </w:r>
      <w:r w:rsidRPr="0DD3B114">
        <w:rPr>
          <w:rFonts w:ascii="Arial" w:hAnsi="Arial" w:cs="Arial"/>
          <w:color w:val="000000" w:themeColor="text1"/>
          <w:sz w:val="20"/>
          <w:szCs w:val="20"/>
          <w:lang w:val="sr-Cyrl-RS"/>
        </w:rPr>
        <w:t>Независно од наведене разлике</w:t>
      </w:r>
      <w:r w:rsidR="0074724E" w:rsidRPr="0DD3B114">
        <w:rPr>
          <w:rFonts w:ascii="Arial" w:hAnsi="Arial" w:cs="Arial"/>
          <w:color w:val="000000" w:themeColor="text1"/>
          <w:sz w:val="20"/>
          <w:szCs w:val="20"/>
          <w:lang w:val="sr-Cyrl-RS"/>
        </w:rPr>
        <w:t xml:space="preserve"> између</w:t>
      </w:r>
      <w:r w:rsidRPr="0DD3B114">
        <w:rPr>
          <w:rFonts w:ascii="Arial" w:hAnsi="Arial" w:cs="Arial"/>
          <w:color w:val="000000" w:themeColor="text1"/>
          <w:sz w:val="20"/>
          <w:szCs w:val="20"/>
          <w:lang w:val="sr-Cyrl-RS"/>
        </w:rPr>
        <w:t xml:space="preserve"> града Београда и других градова, већ је раније наведено да су градске општине,</w:t>
      </w:r>
      <w:r w:rsidR="0074724E" w:rsidRPr="0DD3B114">
        <w:rPr>
          <w:rFonts w:ascii="Arial" w:hAnsi="Arial" w:cs="Arial"/>
          <w:color w:val="000000" w:themeColor="text1"/>
          <w:sz w:val="20"/>
          <w:szCs w:val="20"/>
          <w:lang w:val="sr-Cyrl-RS"/>
        </w:rPr>
        <w:t xml:space="preserve"> </w:t>
      </w:r>
      <w:r w:rsidRPr="0DD3B114">
        <w:rPr>
          <w:rFonts w:ascii="Arial" w:hAnsi="Arial" w:cs="Arial"/>
          <w:color w:val="000000" w:themeColor="text1"/>
          <w:sz w:val="20"/>
          <w:szCs w:val="20"/>
          <w:lang w:val="sr-Cyrl-RS"/>
        </w:rPr>
        <w:t xml:space="preserve">по угледу на јединице локалне самоуправе, статутима градова на исти начин уређене </w:t>
      </w:r>
      <w:r w:rsidR="0074724E" w:rsidRPr="0DD3B114">
        <w:rPr>
          <w:rFonts w:ascii="Arial" w:hAnsi="Arial" w:cs="Arial"/>
          <w:color w:val="000000" w:themeColor="text1"/>
          <w:sz w:val="20"/>
          <w:szCs w:val="20"/>
          <w:lang w:val="sr-Cyrl-RS"/>
        </w:rPr>
        <w:t>кад је реч о</w:t>
      </w:r>
      <w:r w:rsidRPr="0DD3B114">
        <w:rPr>
          <w:rFonts w:ascii="Arial" w:hAnsi="Arial" w:cs="Arial"/>
          <w:color w:val="000000" w:themeColor="text1"/>
          <w:sz w:val="20"/>
          <w:szCs w:val="20"/>
          <w:lang w:val="sr-Cyrl-RS"/>
        </w:rPr>
        <w:t xml:space="preserve"> орган</w:t>
      </w:r>
      <w:r w:rsidR="0074724E" w:rsidRPr="0DD3B114">
        <w:rPr>
          <w:rFonts w:ascii="Arial" w:hAnsi="Arial" w:cs="Arial"/>
          <w:color w:val="000000" w:themeColor="text1"/>
          <w:sz w:val="20"/>
          <w:szCs w:val="20"/>
          <w:lang w:val="sr-Cyrl-RS"/>
        </w:rPr>
        <w:t>им</w:t>
      </w:r>
      <w:r w:rsidRPr="0DD3B114">
        <w:rPr>
          <w:rFonts w:ascii="Arial" w:hAnsi="Arial" w:cs="Arial"/>
          <w:color w:val="000000" w:themeColor="text1"/>
          <w:sz w:val="20"/>
          <w:szCs w:val="20"/>
          <w:lang w:val="sr-Cyrl-RS"/>
        </w:rPr>
        <w:t>а градских општина, избор</w:t>
      </w:r>
      <w:r w:rsidR="0074724E" w:rsidRPr="0DD3B114">
        <w:rPr>
          <w:rFonts w:ascii="Arial" w:hAnsi="Arial" w:cs="Arial"/>
          <w:color w:val="000000" w:themeColor="text1"/>
          <w:sz w:val="20"/>
          <w:szCs w:val="20"/>
          <w:lang w:val="sr-Cyrl-RS"/>
        </w:rPr>
        <w:t>им</w:t>
      </w:r>
      <w:r w:rsidRPr="0DD3B114">
        <w:rPr>
          <w:rFonts w:ascii="Arial" w:hAnsi="Arial" w:cs="Arial"/>
          <w:color w:val="000000" w:themeColor="text1"/>
          <w:sz w:val="20"/>
          <w:szCs w:val="20"/>
          <w:lang w:val="sr-Cyrl-RS"/>
        </w:rPr>
        <w:t>а органа, радно-правно</w:t>
      </w:r>
      <w:r w:rsidR="0074724E" w:rsidRPr="0DD3B114">
        <w:rPr>
          <w:rFonts w:ascii="Arial" w:hAnsi="Arial" w:cs="Arial"/>
          <w:color w:val="000000" w:themeColor="text1"/>
          <w:sz w:val="20"/>
          <w:szCs w:val="20"/>
          <w:lang w:val="sr-Cyrl-RS"/>
        </w:rPr>
        <w:t>м</w:t>
      </w:r>
      <w:r w:rsidRPr="0DD3B114">
        <w:rPr>
          <w:rFonts w:ascii="Arial" w:hAnsi="Arial" w:cs="Arial"/>
          <w:color w:val="000000" w:themeColor="text1"/>
          <w:sz w:val="20"/>
          <w:szCs w:val="20"/>
          <w:lang w:val="sr-Cyrl-RS"/>
        </w:rPr>
        <w:t xml:space="preserve"> положај</w:t>
      </w:r>
      <w:r w:rsidR="0074724E" w:rsidRPr="0DD3B114">
        <w:rPr>
          <w:rFonts w:ascii="Arial" w:hAnsi="Arial" w:cs="Arial"/>
          <w:color w:val="000000" w:themeColor="text1"/>
          <w:sz w:val="20"/>
          <w:szCs w:val="20"/>
          <w:lang w:val="sr-Cyrl-RS"/>
        </w:rPr>
        <w:t>у</w:t>
      </w:r>
      <w:r w:rsidRPr="0DD3B114">
        <w:rPr>
          <w:rFonts w:ascii="Arial" w:hAnsi="Arial" w:cs="Arial"/>
          <w:color w:val="000000" w:themeColor="text1"/>
          <w:sz w:val="20"/>
          <w:szCs w:val="20"/>
          <w:lang w:val="sr-Cyrl-RS"/>
        </w:rPr>
        <w:t xml:space="preserve"> запослених и други</w:t>
      </w:r>
      <w:r w:rsidR="0074724E" w:rsidRPr="0DD3B114">
        <w:rPr>
          <w:rFonts w:ascii="Arial" w:hAnsi="Arial" w:cs="Arial"/>
          <w:color w:val="000000" w:themeColor="text1"/>
          <w:sz w:val="20"/>
          <w:szCs w:val="20"/>
          <w:lang w:val="sr-Cyrl-RS"/>
        </w:rPr>
        <w:t>м</w:t>
      </w:r>
      <w:r w:rsidRPr="0DD3B114">
        <w:rPr>
          <w:rFonts w:ascii="Arial" w:hAnsi="Arial" w:cs="Arial"/>
          <w:color w:val="000000" w:themeColor="text1"/>
          <w:sz w:val="20"/>
          <w:szCs w:val="20"/>
          <w:lang w:val="sr-Cyrl-RS"/>
        </w:rPr>
        <w:t xml:space="preserve"> питањ</w:t>
      </w:r>
      <w:r w:rsidR="0074724E" w:rsidRPr="0DD3B114">
        <w:rPr>
          <w:rFonts w:ascii="Arial" w:hAnsi="Arial" w:cs="Arial"/>
          <w:color w:val="000000" w:themeColor="text1"/>
          <w:sz w:val="20"/>
          <w:szCs w:val="20"/>
          <w:lang w:val="sr-Cyrl-RS"/>
        </w:rPr>
        <w:t>им</w:t>
      </w:r>
      <w:r w:rsidRPr="0DD3B114">
        <w:rPr>
          <w:rFonts w:ascii="Arial" w:hAnsi="Arial" w:cs="Arial"/>
          <w:color w:val="000000" w:themeColor="text1"/>
          <w:sz w:val="20"/>
          <w:szCs w:val="20"/>
          <w:lang w:val="sr-Cyrl-RS"/>
        </w:rPr>
        <w:t>а.</w:t>
      </w:r>
    </w:p>
    <w:p w14:paraId="0F38839B" w14:textId="78D1FD89" w:rsidR="00C06E94" w:rsidRPr="00A021B7" w:rsidRDefault="00C06E94" w:rsidP="0DD3B114">
      <w:pPr>
        <w:shd w:val="clear" w:color="auto" w:fill="FFFFFF" w:themeFill="background1"/>
        <w:ind w:firstLine="720"/>
        <w:jc w:val="both"/>
        <w:rPr>
          <w:rFonts w:ascii="Arial" w:hAnsi="Arial" w:cs="Arial"/>
          <w:color w:val="000000"/>
          <w:lang w:val="sr-Cyrl-RS"/>
        </w:rPr>
      </w:pPr>
    </w:p>
    <w:p w14:paraId="061D90B4" w14:textId="7EDD8BCA" w:rsidR="00C06E94" w:rsidRPr="00A021B7" w:rsidRDefault="00C53175" w:rsidP="0DD3B114">
      <w:pPr>
        <w:shd w:val="clear" w:color="auto" w:fill="FFFFFF" w:themeFill="background1"/>
        <w:ind w:firstLine="720"/>
        <w:jc w:val="both"/>
        <w:rPr>
          <w:rFonts w:ascii="Arial" w:hAnsi="Arial" w:cs="Arial"/>
          <w:color w:val="000000"/>
          <w:lang w:val="sr-Cyrl-RS"/>
        </w:rPr>
      </w:pPr>
      <w:r w:rsidRPr="0DD3B114">
        <w:rPr>
          <w:rFonts w:ascii="Arial" w:hAnsi="Arial" w:cs="Arial"/>
          <w:color w:val="000000" w:themeColor="text1"/>
          <w:sz w:val="20"/>
          <w:szCs w:val="20"/>
          <w:lang w:val="sr-Cyrl-RS"/>
        </w:rPr>
        <w:t xml:space="preserve">У </w:t>
      </w:r>
      <w:r w:rsidR="00415B73" w:rsidRPr="0DD3B114">
        <w:rPr>
          <w:rFonts w:ascii="Arial" w:hAnsi="Arial" w:cs="Arial"/>
          <w:color w:val="000000" w:themeColor="text1"/>
          <w:sz w:val="20"/>
          <w:szCs w:val="20"/>
          <w:lang w:val="sr-Cyrl-RS"/>
        </w:rPr>
        <w:t>погледу успостављања градских општина</w:t>
      </w:r>
      <w:r w:rsidR="009B4188" w:rsidRPr="0DD3B114">
        <w:rPr>
          <w:rFonts w:ascii="Arial" w:hAnsi="Arial" w:cs="Arial"/>
          <w:color w:val="000000" w:themeColor="text1"/>
          <w:sz w:val="20"/>
          <w:szCs w:val="20"/>
          <w:lang w:val="sr-Cyrl-RS"/>
        </w:rPr>
        <w:t xml:space="preserve"> и уређивањ</w:t>
      </w:r>
      <w:r w:rsidR="003117F9" w:rsidRPr="0DD3B114">
        <w:rPr>
          <w:rFonts w:ascii="Arial" w:hAnsi="Arial" w:cs="Arial"/>
          <w:color w:val="000000" w:themeColor="text1"/>
          <w:sz w:val="20"/>
          <w:szCs w:val="20"/>
          <w:lang w:val="sr-Cyrl-RS"/>
        </w:rPr>
        <w:t>а њиховог делокруга, спроведена је децентрализација у систему локалне самоуправе и препуштено</w:t>
      </w:r>
      <w:r w:rsidRPr="0DD3B114">
        <w:rPr>
          <w:rFonts w:ascii="Arial" w:hAnsi="Arial" w:cs="Arial"/>
          <w:color w:val="000000" w:themeColor="text1"/>
          <w:sz w:val="20"/>
          <w:szCs w:val="20"/>
          <w:lang w:val="sr-Cyrl-RS"/>
        </w:rPr>
        <w:t xml:space="preserve"> је</w:t>
      </w:r>
      <w:r w:rsidR="003117F9" w:rsidRPr="0DD3B114">
        <w:rPr>
          <w:rFonts w:ascii="Arial" w:hAnsi="Arial" w:cs="Arial"/>
          <w:color w:val="000000" w:themeColor="text1"/>
          <w:sz w:val="20"/>
          <w:szCs w:val="20"/>
          <w:lang w:val="sr-Cyrl-RS"/>
        </w:rPr>
        <w:t xml:space="preserve"> </w:t>
      </w:r>
      <w:r w:rsidR="0081297B" w:rsidRPr="0DD3B114">
        <w:rPr>
          <w:rFonts w:ascii="Arial" w:hAnsi="Arial" w:cs="Arial"/>
          <w:color w:val="000000" w:themeColor="text1"/>
          <w:sz w:val="20"/>
          <w:szCs w:val="20"/>
          <w:lang w:val="sr-Cyrl-RS"/>
        </w:rPr>
        <w:t>грађанима и њиховим изабраним представницима у градским органима да дефинишу потребу</w:t>
      </w:r>
      <w:r w:rsidR="007B5378" w:rsidRPr="0DD3B114">
        <w:rPr>
          <w:rFonts w:ascii="Arial" w:hAnsi="Arial" w:cs="Arial"/>
          <w:color w:val="000000" w:themeColor="text1"/>
          <w:sz w:val="20"/>
          <w:szCs w:val="20"/>
          <w:lang w:val="sr-Cyrl-RS"/>
        </w:rPr>
        <w:t xml:space="preserve"> за оснивањем</w:t>
      </w:r>
      <w:r w:rsidR="0074724E" w:rsidRPr="0DD3B114">
        <w:rPr>
          <w:rFonts w:ascii="Arial" w:hAnsi="Arial" w:cs="Arial"/>
          <w:color w:val="000000" w:themeColor="text1"/>
          <w:sz w:val="20"/>
          <w:szCs w:val="20"/>
          <w:lang w:val="sr-Cyrl-RS"/>
        </w:rPr>
        <w:t xml:space="preserve"> градских општина</w:t>
      </w:r>
      <w:r w:rsidR="0081297B" w:rsidRPr="0DD3B114">
        <w:rPr>
          <w:rFonts w:ascii="Arial" w:hAnsi="Arial" w:cs="Arial"/>
          <w:color w:val="000000" w:themeColor="text1"/>
          <w:sz w:val="20"/>
          <w:szCs w:val="20"/>
          <w:lang w:val="sr-Cyrl-RS"/>
        </w:rPr>
        <w:t xml:space="preserve"> и </w:t>
      </w:r>
      <w:r w:rsidR="00FB64F5" w:rsidRPr="0DD3B114">
        <w:rPr>
          <w:rFonts w:ascii="Arial" w:hAnsi="Arial" w:cs="Arial"/>
          <w:color w:val="000000" w:themeColor="text1"/>
          <w:sz w:val="20"/>
          <w:szCs w:val="20"/>
          <w:lang w:val="sr-Cyrl-RS"/>
        </w:rPr>
        <w:t>садржај својих градских општина.</w:t>
      </w:r>
      <w:r w:rsidR="003117F9" w:rsidRPr="0DD3B114">
        <w:rPr>
          <w:rFonts w:ascii="Arial" w:hAnsi="Arial" w:cs="Arial"/>
          <w:color w:val="000000" w:themeColor="text1"/>
          <w:sz w:val="20"/>
          <w:szCs w:val="20"/>
          <w:lang w:val="sr-Cyrl-RS"/>
        </w:rPr>
        <w:t xml:space="preserve"> </w:t>
      </w:r>
      <w:r w:rsidR="000239E5" w:rsidRPr="0DD3B114">
        <w:rPr>
          <w:rFonts w:ascii="Arial" w:hAnsi="Arial" w:cs="Arial"/>
          <w:color w:val="000000" w:themeColor="text1"/>
          <w:sz w:val="20"/>
          <w:szCs w:val="20"/>
          <w:lang w:val="sr-Cyrl-RS"/>
        </w:rPr>
        <w:t xml:space="preserve">Основна сврха постојања градских општина је </w:t>
      </w:r>
      <w:r w:rsidR="00D65D92" w:rsidRPr="0DD3B114">
        <w:rPr>
          <w:rFonts w:ascii="Arial" w:hAnsi="Arial" w:cs="Arial"/>
          <w:color w:val="000000" w:themeColor="text1"/>
          <w:sz w:val="20"/>
          <w:szCs w:val="20"/>
          <w:lang w:val="sr-Cyrl-RS"/>
        </w:rPr>
        <w:t xml:space="preserve">да се </w:t>
      </w:r>
      <w:r w:rsidR="000239E5" w:rsidRPr="0DD3B114">
        <w:rPr>
          <w:rFonts w:ascii="Arial" w:hAnsi="Arial" w:cs="Arial"/>
          <w:color w:val="000000" w:themeColor="text1"/>
          <w:sz w:val="20"/>
          <w:szCs w:val="20"/>
          <w:lang w:val="sr-Cyrl-RS"/>
        </w:rPr>
        <w:t>послов</w:t>
      </w:r>
      <w:r w:rsidR="00D65D92" w:rsidRPr="0DD3B114">
        <w:rPr>
          <w:rFonts w:ascii="Arial" w:hAnsi="Arial" w:cs="Arial"/>
          <w:color w:val="000000" w:themeColor="text1"/>
          <w:sz w:val="20"/>
          <w:szCs w:val="20"/>
          <w:lang w:val="sr-Cyrl-RS"/>
        </w:rPr>
        <w:t>и</w:t>
      </w:r>
      <w:r w:rsidR="000239E5" w:rsidRPr="0DD3B114">
        <w:rPr>
          <w:rFonts w:ascii="Arial" w:hAnsi="Arial" w:cs="Arial"/>
          <w:color w:val="000000" w:themeColor="text1"/>
          <w:sz w:val="20"/>
          <w:szCs w:val="20"/>
          <w:lang w:val="sr-Cyrl-RS"/>
        </w:rPr>
        <w:t xml:space="preserve"> градова као великих територијалних локалних заједница </w:t>
      </w:r>
      <w:r w:rsidR="00D65D92" w:rsidRPr="0DD3B114">
        <w:rPr>
          <w:rFonts w:ascii="Arial" w:hAnsi="Arial" w:cs="Arial"/>
          <w:color w:val="000000" w:themeColor="text1"/>
          <w:sz w:val="20"/>
          <w:szCs w:val="20"/>
          <w:lang w:val="sr-Cyrl-RS"/>
        </w:rPr>
        <w:t xml:space="preserve">обављају </w:t>
      </w:r>
      <w:r w:rsidR="000239E5" w:rsidRPr="0DD3B114">
        <w:rPr>
          <w:rFonts w:ascii="Arial" w:hAnsi="Arial" w:cs="Arial"/>
          <w:color w:val="000000" w:themeColor="text1"/>
          <w:sz w:val="20"/>
          <w:szCs w:val="20"/>
          <w:lang w:val="sr-Cyrl-RS"/>
        </w:rPr>
        <w:t xml:space="preserve">што ближе грађанима. Када се то има у виду, захтев за јачањем градских општина и већом „унутрашњом децентрализацијом” у оквиру градова јесте оправдан. </w:t>
      </w:r>
      <w:r w:rsidR="00FB64F5" w:rsidRPr="0DD3B114">
        <w:rPr>
          <w:rFonts w:ascii="Arial" w:hAnsi="Arial" w:cs="Arial"/>
          <w:color w:val="000000" w:themeColor="text1"/>
          <w:sz w:val="20"/>
          <w:szCs w:val="20"/>
          <w:lang w:val="sr-Cyrl-RS"/>
        </w:rPr>
        <w:t xml:space="preserve">С </w:t>
      </w:r>
      <w:r w:rsidR="00C06E94" w:rsidRPr="0DD3B114">
        <w:rPr>
          <w:rFonts w:ascii="Arial" w:hAnsi="Arial" w:cs="Arial"/>
          <w:color w:val="000000" w:themeColor="text1"/>
          <w:sz w:val="20"/>
          <w:szCs w:val="20"/>
          <w:lang w:val="sr-Cyrl-RS"/>
        </w:rPr>
        <w:t>обзиром</w:t>
      </w:r>
      <w:r w:rsidR="00D65D92" w:rsidRPr="0DD3B114">
        <w:rPr>
          <w:rFonts w:ascii="Arial" w:hAnsi="Arial" w:cs="Arial"/>
          <w:color w:val="000000" w:themeColor="text1"/>
          <w:sz w:val="20"/>
          <w:szCs w:val="20"/>
          <w:lang w:val="sr-Cyrl-RS"/>
        </w:rPr>
        <w:t xml:space="preserve"> на то</w:t>
      </w:r>
      <w:r w:rsidR="00C06E94" w:rsidRPr="0DD3B114">
        <w:rPr>
          <w:rFonts w:ascii="Arial" w:hAnsi="Arial" w:cs="Arial"/>
          <w:color w:val="000000" w:themeColor="text1"/>
          <w:sz w:val="20"/>
          <w:szCs w:val="20"/>
          <w:lang w:val="sr-Cyrl-RS"/>
        </w:rPr>
        <w:t xml:space="preserve"> да градске општине представљају облик организовања обављања послова града,</w:t>
      </w:r>
      <w:r w:rsidR="00554CF2" w:rsidRPr="0DD3B114">
        <w:rPr>
          <w:rFonts w:ascii="Arial" w:hAnsi="Arial" w:cs="Arial"/>
          <w:color w:val="000000" w:themeColor="text1"/>
          <w:sz w:val="20"/>
          <w:szCs w:val="20"/>
          <w:lang w:val="sr-Cyrl-RS"/>
        </w:rPr>
        <w:t xml:space="preserve"> у пракси постоје</w:t>
      </w:r>
      <w:r w:rsidR="00C06E94" w:rsidRPr="0DD3B114">
        <w:rPr>
          <w:rFonts w:ascii="Arial" w:hAnsi="Arial" w:cs="Arial"/>
          <w:color w:val="000000" w:themeColor="text1"/>
          <w:sz w:val="20"/>
          <w:szCs w:val="20"/>
          <w:lang w:val="sr-Cyrl-RS"/>
        </w:rPr>
        <w:t xml:space="preserve"> значајније разлике између градских општина</w:t>
      </w:r>
      <w:r w:rsidR="007B5378" w:rsidRPr="0DD3B114">
        <w:rPr>
          <w:rFonts w:ascii="Arial" w:hAnsi="Arial" w:cs="Arial"/>
          <w:color w:val="000000" w:themeColor="text1"/>
          <w:sz w:val="20"/>
          <w:szCs w:val="20"/>
          <w:lang w:val="sr-Cyrl-RS"/>
        </w:rPr>
        <w:t xml:space="preserve"> које су образоване </w:t>
      </w:r>
      <w:r w:rsidR="00C571F1" w:rsidRPr="0DD3B114">
        <w:rPr>
          <w:rFonts w:ascii="Arial" w:hAnsi="Arial" w:cs="Arial"/>
          <w:color w:val="000000" w:themeColor="text1"/>
          <w:sz w:val="20"/>
          <w:szCs w:val="20"/>
          <w:lang w:val="sr-Cyrl-RS"/>
        </w:rPr>
        <w:t>у више градова</w:t>
      </w:r>
      <w:r w:rsidR="00554CF2" w:rsidRPr="0DD3B114">
        <w:rPr>
          <w:rFonts w:ascii="Arial" w:hAnsi="Arial" w:cs="Arial"/>
          <w:color w:val="000000" w:themeColor="text1"/>
          <w:sz w:val="20"/>
          <w:szCs w:val="20"/>
          <w:lang w:val="sr-Cyrl-RS"/>
        </w:rPr>
        <w:t xml:space="preserve">. Оне се првенствено </w:t>
      </w:r>
      <w:r w:rsidR="00C06E94" w:rsidRPr="0DD3B114">
        <w:rPr>
          <w:rFonts w:ascii="Arial" w:hAnsi="Arial" w:cs="Arial"/>
          <w:color w:val="000000" w:themeColor="text1"/>
          <w:sz w:val="20"/>
          <w:szCs w:val="20"/>
          <w:lang w:val="sr-Cyrl-RS"/>
        </w:rPr>
        <w:t xml:space="preserve">препознају </w:t>
      </w:r>
      <w:r w:rsidR="00D65D92" w:rsidRPr="0DD3B114">
        <w:rPr>
          <w:rFonts w:ascii="Arial" w:hAnsi="Arial" w:cs="Arial"/>
          <w:color w:val="000000" w:themeColor="text1"/>
          <w:sz w:val="20"/>
          <w:szCs w:val="20"/>
          <w:lang w:val="sr-Cyrl-RS"/>
        </w:rPr>
        <w:t>кад је реч о</w:t>
      </w:r>
      <w:r w:rsidR="00C06E94" w:rsidRPr="0DD3B114">
        <w:rPr>
          <w:rFonts w:ascii="Arial" w:hAnsi="Arial" w:cs="Arial"/>
          <w:color w:val="000000" w:themeColor="text1"/>
          <w:sz w:val="20"/>
          <w:szCs w:val="20"/>
          <w:lang w:val="sr-Cyrl-RS"/>
        </w:rPr>
        <w:t xml:space="preserve"> надлежности</w:t>
      </w:r>
      <w:r w:rsidR="00D65D92" w:rsidRPr="0DD3B114">
        <w:rPr>
          <w:rFonts w:ascii="Arial" w:hAnsi="Arial" w:cs="Arial"/>
          <w:color w:val="000000" w:themeColor="text1"/>
          <w:sz w:val="20"/>
          <w:szCs w:val="20"/>
          <w:lang w:val="sr-Cyrl-RS"/>
        </w:rPr>
        <w:t>ма</w:t>
      </w:r>
      <w:r w:rsidR="00C06E94" w:rsidRPr="0DD3B114">
        <w:rPr>
          <w:rFonts w:ascii="Arial" w:hAnsi="Arial" w:cs="Arial"/>
          <w:color w:val="000000" w:themeColor="text1"/>
          <w:sz w:val="20"/>
          <w:szCs w:val="20"/>
          <w:lang w:val="sr-Cyrl-RS"/>
        </w:rPr>
        <w:t xml:space="preserve"> и послов</w:t>
      </w:r>
      <w:r w:rsidR="00D65D92" w:rsidRPr="0DD3B114">
        <w:rPr>
          <w:rFonts w:ascii="Arial" w:hAnsi="Arial" w:cs="Arial"/>
          <w:color w:val="000000" w:themeColor="text1"/>
          <w:sz w:val="20"/>
          <w:szCs w:val="20"/>
          <w:lang w:val="sr-Cyrl-RS"/>
        </w:rPr>
        <w:t>им</w:t>
      </w:r>
      <w:r w:rsidR="00C06E94" w:rsidRPr="0DD3B114">
        <w:rPr>
          <w:rFonts w:ascii="Arial" w:hAnsi="Arial" w:cs="Arial"/>
          <w:color w:val="000000" w:themeColor="text1"/>
          <w:sz w:val="20"/>
          <w:szCs w:val="20"/>
          <w:lang w:val="sr-Cyrl-RS"/>
        </w:rPr>
        <w:t>а који су им поверени из оквира изворн</w:t>
      </w:r>
      <w:r w:rsidR="00985322" w:rsidRPr="0DD3B114">
        <w:rPr>
          <w:rFonts w:ascii="Arial" w:hAnsi="Arial" w:cs="Arial"/>
          <w:color w:val="000000" w:themeColor="text1"/>
          <w:sz w:val="20"/>
          <w:szCs w:val="20"/>
          <w:lang w:val="sr-Cyrl-RS"/>
        </w:rPr>
        <w:t>ог</w:t>
      </w:r>
      <w:r w:rsidR="00D65D92" w:rsidRPr="0DD3B114">
        <w:rPr>
          <w:rFonts w:ascii="Arial" w:hAnsi="Arial" w:cs="Arial"/>
          <w:color w:val="000000" w:themeColor="text1"/>
          <w:sz w:val="20"/>
          <w:szCs w:val="20"/>
          <w:lang w:val="sr-Cyrl-RS"/>
        </w:rPr>
        <w:t xml:space="preserve"> </w:t>
      </w:r>
      <w:r w:rsidR="00985322" w:rsidRPr="0DD3B114">
        <w:rPr>
          <w:rFonts w:ascii="Arial" w:hAnsi="Arial" w:cs="Arial"/>
          <w:color w:val="000000" w:themeColor="text1"/>
          <w:sz w:val="20"/>
          <w:szCs w:val="20"/>
          <w:lang w:val="sr-Cyrl-RS"/>
        </w:rPr>
        <w:t>делокруга</w:t>
      </w:r>
      <w:r w:rsidR="00D65D92" w:rsidRPr="0DD3B114">
        <w:rPr>
          <w:rFonts w:ascii="Arial" w:hAnsi="Arial" w:cs="Arial"/>
          <w:color w:val="000000" w:themeColor="text1"/>
          <w:sz w:val="20"/>
          <w:szCs w:val="20"/>
          <w:lang w:val="sr-Cyrl-RS"/>
        </w:rPr>
        <w:t xml:space="preserve"> </w:t>
      </w:r>
      <w:r w:rsidR="00C06E94" w:rsidRPr="0DD3B114">
        <w:rPr>
          <w:rFonts w:ascii="Arial" w:hAnsi="Arial" w:cs="Arial"/>
          <w:color w:val="000000" w:themeColor="text1"/>
          <w:sz w:val="20"/>
          <w:szCs w:val="20"/>
          <w:lang w:val="sr-Cyrl-RS"/>
        </w:rPr>
        <w:t>градова.</w:t>
      </w:r>
      <w:r w:rsidR="00985322" w:rsidRPr="0DD3B114">
        <w:rPr>
          <w:rFonts w:ascii="Arial" w:hAnsi="Arial" w:cs="Arial"/>
          <w:color w:val="000000" w:themeColor="text1"/>
          <w:sz w:val="20"/>
          <w:szCs w:val="20"/>
          <w:lang w:val="sr-Cyrl-RS"/>
        </w:rPr>
        <w:t xml:space="preserve"> </w:t>
      </w:r>
      <w:r w:rsidR="00554CF2" w:rsidRPr="0DD3B114">
        <w:rPr>
          <w:rFonts w:ascii="Arial" w:hAnsi="Arial" w:cs="Arial"/>
          <w:color w:val="000000" w:themeColor="text1"/>
          <w:sz w:val="20"/>
          <w:szCs w:val="20"/>
          <w:lang w:val="sr-Cyrl-RS"/>
        </w:rPr>
        <w:t>Ту</w:t>
      </w:r>
      <w:r w:rsidR="00307A2E" w:rsidRPr="0DD3B114">
        <w:rPr>
          <w:rFonts w:ascii="Arial" w:hAnsi="Arial" w:cs="Arial"/>
          <w:color w:val="000000" w:themeColor="text1"/>
          <w:sz w:val="20"/>
          <w:szCs w:val="20"/>
          <w:lang w:val="sr-Cyrl-RS"/>
        </w:rPr>
        <w:t xml:space="preserve"> треба имати у виду да п</w:t>
      </w:r>
      <w:r w:rsidR="00C06E94" w:rsidRPr="0DD3B114">
        <w:rPr>
          <w:rFonts w:ascii="Arial" w:hAnsi="Arial" w:cs="Arial"/>
          <w:color w:val="000000" w:themeColor="text1"/>
          <w:sz w:val="20"/>
          <w:szCs w:val="20"/>
          <w:lang w:val="sr-Cyrl-RS"/>
        </w:rPr>
        <w:t>остојеће разлике у надлежностима и пословима које обављају градске општине</w:t>
      </w:r>
      <w:r w:rsidR="005D28B7" w:rsidRPr="0DD3B114">
        <w:rPr>
          <w:rFonts w:ascii="Arial" w:hAnsi="Arial" w:cs="Arial"/>
          <w:color w:val="000000" w:themeColor="text1"/>
          <w:sz w:val="20"/>
          <w:szCs w:val="20"/>
          <w:lang w:val="sr-Cyrl-RS"/>
        </w:rPr>
        <w:t xml:space="preserve"> у Републици Србији</w:t>
      </w:r>
      <w:r w:rsidR="00C06E94" w:rsidRPr="0DD3B114">
        <w:rPr>
          <w:rFonts w:ascii="Arial" w:hAnsi="Arial" w:cs="Arial"/>
          <w:color w:val="000000" w:themeColor="text1"/>
          <w:sz w:val="20"/>
          <w:szCs w:val="20"/>
          <w:lang w:val="sr-Cyrl-RS"/>
        </w:rPr>
        <w:t xml:space="preserve"> </w:t>
      </w:r>
      <w:r w:rsidR="00307A2E" w:rsidRPr="0DD3B114">
        <w:rPr>
          <w:rFonts w:ascii="Arial" w:hAnsi="Arial" w:cs="Arial"/>
          <w:color w:val="000000" w:themeColor="text1"/>
          <w:sz w:val="20"/>
          <w:szCs w:val="20"/>
          <w:lang w:val="sr-Cyrl-RS"/>
        </w:rPr>
        <w:t>јесу</w:t>
      </w:r>
      <w:r w:rsidR="00C06E94" w:rsidRPr="0DD3B114">
        <w:rPr>
          <w:rFonts w:ascii="Arial" w:hAnsi="Arial" w:cs="Arial"/>
          <w:color w:val="000000" w:themeColor="text1"/>
          <w:sz w:val="20"/>
          <w:szCs w:val="20"/>
          <w:lang w:val="sr-Cyrl-RS"/>
        </w:rPr>
        <w:t xml:space="preserve"> превасходно условљене дужином </w:t>
      </w:r>
      <w:r w:rsidR="00C06E94" w:rsidRPr="0DD3B114">
        <w:rPr>
          <w:rFonts w:ascii="Arial" w:hAnsi="Arial" w:cs="Arial"/>
          <w:color w:val="000000" w:themeColor="text1"/>
          <w:sz w:val="20"/>
          <w:szCs w:val="20"/>
          <w:lang w:val="sr-Cyrl-RS"/>
        </w:rPr>
        <w:lastRenderedPageBreak/>
        <w:t>њиховог постојања (</w:t>
      </w:r>
      <w:r w:rsidR="00B65458" w:rsidRPr="0DD3B114">
        <w:rPr>
          <w:rFonts w:ascii="Arial" w:hAnsi="Arial" w:cs="Arial"/>
          <w:color w:val="000000" w:themeColor="text1"/>
          <w:sz w:val="20"/>
          <w:szCs w:val="20"/>
          <w:lang w:val="sr-Cyrl-RS"/>
        </w:rPr>
        <w:t xml:space="preserve">већина градских општина у Београду постоји </w:t>
      </w:r>
      <w:r w:rsidR="00EA43C3" w:rsidRPr="0DD3B114">
        <w:rPr>
          <w:rFonts w:ascii="Arial" w:hAnsi="Arial" w:cs="Arial"/>
          <w:color w:val="000000" w:themeColor="text1"/>
          <w:sz w:val="20"/>
          <w:szCs w:val="20"/>
          <w:lang w:val="sr-Cyrl-RS"/>
        </w:rPr>
        <w:t xml:space="preserve">више </w:t>
      </w:r>
      <w:r w:rsidR="00B65458" w:rsidRPr="0DD3B114">
        <w:rPr>
          <w:rFonts w:ascii="Arial" w:hAnsi="Arial" w:cs="Arial"/>
          <w:color w:val="000000" w:themeColor="text1"/>
          <w:sz w:val="20"/>
          <w:szCs w:val="20"/>
          <w:lang w:val="sr-Cyrl-RS"/>
        </w:rPr>
        <w:t>деценија док су нпр.</w:t>
      </w:r>
      <w:r w:rsidR="00D65D92" w:rsidRPr="0DD3B114">
        <w:rPr>
          <w:rFonts w:ascii="Arial" w:hAnsi="Arial" w:cs="Arial"/>
          <w:color w:val="000000" w:themeColor="text1"/>
          <w:sz w:val="20"/>
          <w:szCs w:val="20"/>
          <w:lang w:val="sr-Cyrl-RS"/>
        </w:rPr>
        <w:t xml:space="preserve"> градске општине</w:t>
      </w:r>
      <w:r w:rsidR="00B65458" w:rsidRPr="0DD3B114">
        <w:rPr>
          <w:rFonts w:ascii="Arial" w:hAnsi="Arial" w:cs="Arial"/>
          <w:color w:val="000000" w:themeColor="text1"/>
          <w:sz w:val="20"/>
          <w:szCs w:val="20"/>
          <w:lang w:val="sr-Cyrl-RS"/>
        </w:rPr>
        <w:t xml:space="preserve"> </w:t>
      </w:r>
      <w:r w:rsidR="00C06E94" w:rsidRPr="0DD3B114">
        <w:rPr>
          <w:rFonts w:ascii="Arial" w:hAnsi="Arial" w:cs="Arial"/>
          <w:color w:val="000000" w:themeColor="text1"/>
          <w:sz w:val="20"/>
          <w:szCs w:val="20"/>
          <w:lang w:val="sr-Cyrl-RS"/>
        </w:rPr>
        <w:t>Костолац, Врањска Бања и Севојно</w:t>
      </w:r>
      <w:r w:rsidR="00B65458" w:rsidRPr="0DD3B114">
        <w:rPr>
          <w:rFonts w:ascii="Arial" w:hAnsi="Arial" w:cs="Arial"/>
          <w:color w:val="000000" w:themeColor="text1"/>
          <w:sz w:val="20"/>
          <w:szCs w:val="20"/>
          <w:lang w:val="sr-Cyrl-RS"/>
        </w:rPr>
        <w:t xml:space="preserve"> </w:t>
      </w:r>
      <w:r w:rsidR="00C06E94" w:rsidRPr="0DD3B114">
        <w:rPr>
          <w:rFonts w:ascii="Arial" w:hAnsi="Arial" w:cs="Arial"/>
          <w:color w:val="000000" w:themeColor="text1"/>
          <w:sz w:val="20"/>
          <w:szCs w:val="20"/>
          <w:lang w:val="sr-Cyrl-RS"/>
        </w:rPr>
        <w:t>образоване тек пре неколико година)</w:t>
      </w:r>
      <w:r w:rsidR="00D65D92" w:rsidRPr="0DD3B114">
        <w:rPr>
          <w:rFonts w:ascii="Arial" w:hAnsi="Arial" w:cs="Arial"/>
          <w:color w:val="000000" w:themeColor="text1"/>
          <w:sz w:val="20"/>
          <w:szCs w:val="20"/>
          <w:lang w:val="sr-Cyrl-RS"/>
        </w:rPr>
        <w:t>,</w:t>
      </w:r>
      <w:r w:rsidR="00C06E94" w:rsidRPr="0DD3B114">
        <w:rPr>
          <w:rFonts w:ascii="Arial" w:hAnsi="Arial" w:cs="Arial"/>
          <w:color w:val="000000" w:themeColor="text1"/>
          <w:sz w:val="20"/>
          <w:szCs w:val="20"/>
          <w:lang w:val="sr-Cyrl-RS"/>
        </w:rPr>
        <w:t xml:space="preserve"> па тиме и периодом изградње њихових капацитета. Такође</w:t>
      </w:r>
      <w:r w:rsidR="00D65D92" w:rsidRPr="0DD3B114">
        <w:rPr>
          <w:rFonts w:ascii="Arial" w:hAnsi="Arial" w:cs="Arial"/>
          <w:color w:val="000000" w:themeColor="text1"/>
          <w:sz w:val="20"/>
          <w:szCs w:val="20"/>
          <w:lang w:val="sr-Cyrl-RS"/>
        </w:rPr>
        <w:t>,</w:t>
      </w:r>
      <w:r w:rsidR="009904CB" w:rsidRPr="0DD3B114">
        <w:rPr>
          <w:rFonts w:ascii="Arial" w:hAnsi="Arial" w:cs="Arial"/>
          <w:color w:val="000000" w:themeColor="text1"/>
          <w:sz w:val="20"/>
          <w:szCs w:val="20"/>
          <w:lang w:val="sr-Cyrl-RS"/>
        </w:rPr>
        <w:t xml:space="preserve"> треба сагледати и чињеницу да је формирање и деловање градских општина део укупне динамике </w:t>
      </w:r>
      <w:r w:rsidR="0089467C" w:rsidRPr="0DD3B114">
        <w:rPr>
          <w:rFonts w:ascii="Arial" w:hAnsi="Arial" w:cs="Arial"/>
          <w:color w:val="000000" w:themeColor="text1"/>
          <w:sz w:val="20"/>
          <w:szCs w:val="20"/>
          <w:lang w:val="sr-Cyrl-RS"/>
        </w:rPr>
        <w:t>остваривања локалне самоуправе у самим градовима. К</w:t>
      </w:r>
      <w:r w:rsidR="007C63CF" w:rsidRPr="0DD3B114">
        <w:rPr>
          <w:rFonts w:ascii="Arial" w:hAnsi="Arial" w:cs="Arial"/>
          <w:color w:val="000000" w:themeColor="text1"/>
          <w:sz w:val="20"/>
          <w:szCs w:val="20"/>
          <w:lang w:val="sr-Cyrl-RS"/>
        </w:rPr>
        <w:t>онституисањ</w:t>
      </w:r>
      <w:r w:rsidR="00672A4A" w:rsidRPr="0DD3B114">
        <w:rPr>
          <w:rFonts w:ascii="Arial" w:hAnsi="Arial" w:cs="Arial"/>
          <w:color w:val="000000" w:themeColor="text1"/>
          <w:sz w:val="20"/>
          <w:szCs w:val="20"/>
          <w:lang w:val="sr-Cyrl-RS"/>
        </w:rPr>
        <w:t>е</w:t>
      </w:r>
      <w:r w:rsidR="007C63CF" w:rsidRPr="0DD3B114">
        <w:rPr>
          <w:rFonts w:ascii="Arial" w:hAnsi="Arial" w:cs="Arial"/>
          <w:color w:val="000000" w:themeColor="text1"/>
          <w:sz w:val="20"/>
          <w:szCs w:val="20"/>
          <w:lang w:val="sr-Cyrl-RS"/>
        </w:rPr>
        <w:t xml:space="preserve"> градских општина и </w:t>
      </w:r>
      <w:r w:rsidR="00E565E2" w:rsidRPr="0DD3B114">
        <w:rPr>
          <w:rFonts w:ascii="Arial" w:hAnsi="Arial" w:cs="Arial"/>
          <w:color w:val="000000" w:themeColor="text1"/>
          <w:sz w:val="20"/>
          <w:szCs w:val="20"/>
          <w:lang w:val="sr-Cyrl-RS"/>
        </w:rPr>
        <w:t xml:space="preserve">преношење послова локалне самоуправе на њих није </w:t>
      </w:r>
      <w:r w:rsidR="00D65D92" w:rsidRPr="0DD3B114">
        <w:rPr>
          <w:rFonts w:ascii="Arial" w:hAnsi="Arial" w:cs="Arial"/>
          <w:color w:val="000000" w:themeColor="text1"/>
          <w:sz w:val="20"/>
          <w:szCs w:val="20"/>
          <w:lang w:val="sr-Cyrl-RS"/>
        </w:rPr>
        <w:t>бесповратан</w:t>
      </w:r>
      <w:r w:rsidR="00E565E2" w:rsidRPr="0DD3B114">
        <w:rPr>
          <w:rFonts w:ascii="Arial" w:hAnsi="Arial" w:cs="Arial"/>
          <w:color w:val="000000" w:themeColor="text1"/>
          <w:sz w:val="20"/>
          <w:szCs w:val="20"/>
          <w:lang w:val="sr-Cyrl-RS"/>
        </w:rPr>
        <w:t xml:space="preserve"> процес</w:t>
      </w:r>
      <w:r w:rsidR="00376A78" w:rsidRPr="0DD3B114">
        <w:rPr>
          <w:rFonts w:ascii="Arial" w:hAnsi="Arial" w:cs="Arial"/>
          <w:color w:val="000000" w:themeColor="text1"/>
          <w:sz w:val="20"/>
          <w:szCs w:val="20"/>
          <w:lang w:val="sr-Cyrl-RS"/>
        </w:rPr>
        <w:t>,</w:t>
      </w:r>
      <w:r w:rsidR="0089467C" w:rsidRPr="0DD3B114">
        <w:rPr>
          <w:rFonts w:ascii="Arial" w:hAnsi="Arial" w:cs="Arial"/>
          <w:color w:val="000000" w:themeColor="text1"/>
          <w:sz w:val="20"/>
          <w:szCs w:val="20"/>
          <w:lang w:val="sr-Cyrl-RS"/>
        </w:rPr>
        <w:t xml:space="preserve"> јер је увек могуће</w:t>
      </w:r>
      <w:r w:rsidR="00E565E2" w:rsidRPr="0DD3B114">
        <w:rPr>
          <w:rFonts w:ascii="Arial" w:hAnsi="Arial" w:cs="Arial"/>
          <w:color w:val="000000" w:themeColor="text1"/>
          <w:sz w:val="20"/>
          <w:szCs w:val="20"/>
          <w:lang w:val="sr-Cyrl-RS"/>
        </w:rPr>
        <w:t xml:space="preserve"> </w:t>
      </w:r>
      <w:r w:rsidR="00D65D92" w:rsidRPr="0DD3B114">
        <w:rPr>
          <w:rFonts w:ascii="Arial" w:hAnsi="Arial" w:cs="Arial"/>
          <w:color w:val="000000" w:themeColor="text1"/>
          <w:sz w:val="20"/>
          <w:szCs w:val="20"/>
          <w:lang w:val="sr-Cyrl-RS"/>
        </w:rPr>
        <w:t xml:space="preserve">послове </w:t>
      </w:r>
      <w:r w:rsidR="00C06E94" w:rsidRPr="0DD3B114">
        <w:rPr>
          <w:rFonts w:ascii="Arial" w:hAnsi="Arial" w:cs="Arial"/>
          <w:color w:val="000000" w:themeColor="text1"/>
          <w:sz w:val="20"/>
          <w:szCs w:val="20"/>
          <w:lang w:val="sr-Cyrl-RS"/>
        </w:rPr>
        <w:t>претходно поверен</w:t>
      </w:r>
      <w:r w:rsidR="00376A78" w:rsidRPr="0DD3B114">
        <w:rPr>
          <w:rFonts w:ascii="Arial" w:hAnsi="Arial" w:cs="Arial"/>
          <w:color w:val="000000" w:themeColor="text1"/>
          <w:sz w:val="20"/>
          <w:szCs w:val="20"/>
          <w:lang w:val="sr-Cyrl-RS"/>
        </w:rPr>
        <w:t>е</w:t>
      </w:r>
      <w:r w:rsidR="00C06E94" w:rsidRPr="0DD3B114">
        <w:rPr>
          <w:rFonts w:ascii="Arial" w:hAnsi="Arial" w:cs="Arial"/>
          <w:color w:val="000000" w:themeColor="text1"/>
          <w:sz w:val="20"/>
          <w:szCs w:val="20"/>
          <w:lang w:val="sr-Cyrl-RS"/>
        </w:rPr>
        <w:t xml:space="preserve"> градским општинама преузети назад на ниво града (нпр. послови озакоњења у граду Београду).</w:t>
      </w:r>
    </w:p>
    <w:p w14:paraId="3744F021" w14:textId="4F592E44" w:rsidR="00C06E94" w:rsidRPr="00A021B7" w:rsidRDefault="00C06E94" w:rsidP="0DD3B114">
      <w:pPr>
        <w:shd w:val="clear" w:color="auto" w:fill="FFFFFF" w:themeFill="background1"/>
        <w:ind w:firstLine="720"/>
        <w:jc w:val="both"/>
        <w:rPr>
          <w:rFonts w:ascii="Arial" w:hAnsi="Arial" w:cs="Arial"/>
          <w:color w:val="000000"/>
          <w:lang w:val="sr-Cyrl-RS"/>
        </w:rPr>
      </w:pPr>
    </w:p>
    <w:p w14:paraId="75550D5C" w14:textId="6F0480BB" w:rsidR="00C06E94" w:rsidRPr="00A021B7" w:rsidRDefault="00D65D92" w:rsidP="0DD3B114">
      <w:pPr>
        <w:shd w:val="clear" w:color="auto" w:fill="FFFFFF" w:themeFill="background1"/>
        <w:ind w:firstLine="720"/>
        <w:jc w:val="both"/>
        <w:rPr>
          <w:rFonts w:ascii="Arial" w:hAnsi="Arial" w:cs="Arial"/>
          <w:color w:val="000000"/>
          <w:lang w:val="sr-Cyrl-RS"/>
        </w:rPr>
      </w:pPr>
      <w:r w:rsidRPr="0DD3B114">
        <w:rPr>
          <w:rFonts w:ascii="Arial" w:hAnsi="Arial" w:cs="Arial"/>
          <w:color w:val="000000" w:themeColor="text1"/>
          <w:sz w:val="20"/>
          <w:szCs w:val="20"/>
          <w:lang w:val="sr-Cyrl-RS"/>
        </w:rPr>
        <w:t xml:space="preserve">Будући </w:t>
      </w:r>
      <w:r w:rsidR="00947FC6" w:rsidRPr="0DD3B114">
        <w:rPr>
          <w:rFonts w:ascii="Arial" w:hAnsi="Arial" w:cs="Arial"/>
          <w:color w:val="000000" w:themeColor="text1"/>
          <w:sz w:val="20"/>
          <w:szCs w:val="20"/>
          <w:lang w:val="sr-Cyrl-RS"/>
        </w:rPr>
        <w:t>да градови задржавају законску одговорност за обављање послова из свог изворног делокруга</w:t>
      </w:r>
      <w:r w:rsidRPr="0DD3B114">
        <w:rPr>
          <w:rFonts w:ascii="Arial" w:hAnsi="Arial" w:cs="Arial"/>
          <w:color w:val="000000" w:themeColor="text1"/>
          <w:sz w:val="20"/>
          <w:szCs w:val="20"/>
          <w:lang w:val="sr-Cyrl-RS"/>
        </w:rPr>
        <w:t>,</w:t>
      </w:r>
      <w:r w:rsidR="00947FC6" w:rsidRPr="0DD3B114">
        <w:rPr>
          <w:rFonts w:ascii="Arial" w:hAnsi="Arial" w:cs="Arial"/>
          <w:color w:val="000000" w:themeColor="text1"/>
          <w:sz w:val="20"/>
          <w:szCs w:val="20"/>
          <w:lang w:val="sr-Cyrl-RS"/>
        </w:rPr>
        <w:t xml:space="preserve"> без обзира </w:t>
      </w:r>
      <w:r w:rsidRPr="0DD3B114">
        <w:rPr>
          <w:rFonts w:ascii="Arial" w:hAnsi="Arial" w:cs="Arial"/>
          <w:color w:val="000000" w:themeColor="text1"/>
          <w:sz w:val="20"/>
          <w:szCs w:val="20"/>
          <w:lang w:val="sr-Cyrl-RS"/>
        </w:rPr>
        <w:t xml:space="preserve">на то </w:t>
      </w:r>
      <w:r w:rsidR="00947FC6" w:rsidRPr="0DD3B114">
        <w:rPr>
          <w:rFonts w:ascii="Arial" w:hAnsi="Arial" w:cs="Arial"/>
          <w:color w:val="000000" w:themeColor="text1"/>
          <w:sz w:val="20"/>
          <w:szCs w:val="20"/>
          <w:lang w:val="sr-Cyrl-RS"/>
        </w:rPr>
        <w:t xml:space="preserve">да ли су неке од тих послова поверили градским општинама, неспорна је потреба </w:t>
      </w:r>
      <w:r w:rsidRPr="0DD3B114">
        <w:rPr>
          <w:rFonts w:ascii="Arial" w:hAnsi="Arial" w:cs="Arial"/>
          <w:color w:val="000000" w:themeColor="text1"/>
          <w:sz w:val="20"/>
          <w:szCs w:val="20"/>
          <w:lang w:val="sr-Cyrl-RS"/>
        </w:rPr>
        <w:t xml:space="preserve">за тиме </w:t>
      </w:r>
      <w:r w:rsidR="00947FC6" w:rsidRPr="0DD3B114">
        <w:rPr>
          <w:rFonts w:ascii="Arial" w:hAnsi="Arial" w:cs="Arial"/>
          <w:color w:val="000000" w:themeColor="text1"/>
          <w:sz w:val="20"/>
          <w:szCs w:val="20"/>
          <w:lang w:val="sr-Cyrl-RS"/>
        </w:rPr>
        <w:t>да се градови активније укључе у развој ка</w:t>
      </w:r>
      <w:r w:rsidR="005F0170" w:rsidRPr="0DD3B114">
        <w:rPr>
          <w:rFonts w:ascii="Arial" w:hAnsi="Arial" w:cs="Arial"/>
          <w:color w:val="000000" w:themeColor="text1"/>
          <w:sz w:val="20"/>
          <w:szCs w:val="20"/>
          <w:lang w:val="sr-Cyrl-RS"/>
        </w:rPr>
        <w:t xml:space="preserve">пацитета градских општина </w:t>
      </w:r>
      <w:r w:rsidRPr="0DD3B114">
        <w:rPr>
          <w:rFonts w:ascii="Arial" w:hAnsi="Arial" w:cs="Arial"/>
          <w:color w:val="000000" w:themeColor="text1"/>
          <w:sz w:val="20"/>
          <w:szCs w:val="20"/>
          <w:lang w:val="sr-Cyrl-RS"/>
        </w:rPr>
        <w:t>и</w:t>
      </w:r>
      <w:r w:rsidR="005F0170" w:rsidRPr="0DD3B114">
        <w:rPr>
          <w:rFonts w:ascii="Arial" w:hAnsi="Arial" w:cs="Arial"/>
          <w:color w:val="000000" w:themeColor="text1"/>
          <w:sz w:val="20"/>
          <w:szCs w:val="20"/>
          <w:lang w:val="sr-Cyrl-RS"/>
        </w:rPr>
        <w:t xml:space="preserve"> ств</w:t>
      </w:r>
      <w:r w:rsidRPr="0DD3B114">
        <w:rPr>
          <w:rFonts w:ascii="Arial" w:hAnsi="Arial" w:cs="Arial"/>
          <w:color w:val="000000" w:themeColor="text1"/>
          <w:sz w:val="20"/>
          <w:szCs w:val="20"/>
          <w:lang w:val="sr-Cyrl-RS"/>
        </w:rPr>
        <w:t>о</w:t>
      </w:r>
      <w:r w:rsidR="00947FC6" w:rsidRPr="0DD3B114">
        <w:rPr>
          <w:rFonts w:ascii="Arial" w:hAnsi="Arial" w:cs="Arial"/>
          <w:color w:val="000000" w:themeColor="text1"/>
          <w:sz w:val="20"/>
          <w:szCs w:val="20"/>
          <w:lang w:val="sr-Cyrl-RS"/>
        </w:rPr>
        <w:t>р</w:t>
      </w:r>
      <w:r w:rsidR="0056200C" w:rsidRPr="0DD3B114">
        <w:rPr>
          <w:rFonts w:ascii="Arial" w:hAnsi="Arial" w:cs="Arial"/>
          <w:color w:val="000000" w:themeColor="text1"/>
          <w:sz w:val="20"/>
          <w:szCs w:val="20"/>
          <w:lang w:val="sr-Cyrl-RS"/>
        </w:rPr>
        <w:t>е</w:t>
      </w:r>
      <w:r w:rsidR="00947FC6" w:rsidRPr="0DD3B114">
        <w:rPr>
          <w:rFonts w:ascii="Arial" w:hAnsi="Arial" w:cs="Arial"/>
          <w:color w:val="000000" w:themeColor="text1"/>
          <w:sz w:val="20"/>
          <w:szCs w:val="20"/>
          <w:lang w:val="sr-Cyrl-RS"/>
        </w:rPr>
        <w:t xml:space="preserve"> услов</w:t>
      </w:r>
      <w:r w:rsidRPr="0DD3B114">
        <w:rPr>
          <w:rFonts w:ascii="Arial" w:hAnsi="Arial" w:cs="Arial"/>
          <w:color w:val="000000" w:themeColor="text1"/>
          <w:sz w:val="20"/>
          <w:szCs w:val="20"/>
          <w:lang w:val="sr-Cyrl-RS"/>
        </w:rPr>
        <w:t>и</w:t>
      </w:r>
      <w:r w:rsidR="00947FC6" w:rsidRPr="0DD3B114">
        <w:rPr>
          <w:rFonts w:ascii="Arial" w:hAnsi="Arial" w:cs="Arial"/>
          <w:color w:val="000000" w:themeColor="text1"/>
          <w:sz w:val="20"/>
          <w:szCs w:val="20"/>
          <w:lang w:val="sr-Cyrl-RS"/>
        </w:rPr>
        <w:t xml:space="preserve"> да се значајни послови града обављају што ближе грађанима и привреди</w:t>
      </w:r>
      <w:r w:rsidR="0056200C" w:rsidRPr="0DD3B114">
        <w:rPr>
          <w:rFonts w:ascii="Arial" w:hAnsi="Arial" w:cs="Arial"/>
          <w:color w:val="000000" w:themeColor="text1"/>
          <w:sz w:val="20"/>
          <w:szCs w:val="20"/>
          <w:lang w:val="sr-Cyrl-RS"/>
        </w:rPr>
        <w:t>. К</w:t>
      </w:r>
      <w:r w:rsidR="00C06E94" w:rsidRPr="0DD3B114">
        <w:rPr>
          <w:rFonts w:ascii="Arial" w:hAnsi="Arial" w:cs="Arial"/>
          <w:color w:val="000000" w:themeColor="text1"/>
          <w:sz w:val="20"/>
          <w:szCs w:val="20"/>
          <w:lang w:val="sr-Cyrl-RS"/>
        </w:rPr>
        <w:t xml:space="preserve">ада се посматра постојање простора за поверавање послова градским општинама, потребно је сагледати стање </w:t>
      </w:r>
      <w:r w:rsidRPr="0DD3B114">
        <w:rPr>
          <w:rFonts w:ascii="Arial" w:hAnsi="Arial" w:cs="Arial"/>
          <w:color w:val="000000" w:themeColor="text1"/>
          <w:sz w:val="20"/>
          <w:szCs w:val="20"/>
          <w:lang w:val="sr-Cyrl-RS"/>
        </w:rPr>
        <w:t xml:space="preserve">у погледу </w:t>
      </w:r>
      <w:r w:rsidR="00C06E94" w:rsidRPr="0DD3B114">
        <w:rPr>
          <w:rFonts w:ascii="Arial" w:hAnsi="Arial" w:cs="Arial"/>
          <w:color w:val="000000" w:themeColor="text1"/>
          <w:sz w:val="20"/>
          <w:szCs w:val="20"/>
          <w:lang w:val="sr-Cyrl-RS"/>
        </w:rPr>
        <w:t>кадровских, организационих и техничких капацитета градских општина за стручно и ефикасно обављање тих послова. Досадашња пракса поверавања послова градским општинама</w:t>
      </w:r>
      <w:r w:rsidR="000A591A" w:rsidRPr="0DD3B114">
        <w:rPr>
          <w:rFonts w:ascii="Arial" w:hAnsi="Arial" w:cs="Arial"/>
          <w:color w:val="000000" w:themeColor="text1"/>
          <w:sz w:val="20"/>
          <w:szCs w:val="20"/>
          <w:lang w:val="sr-Cyrl-RS"/>
        </w:rPr>
        <w:t xml:space="preserve"> најчешће</w:t>
      </w:r>
      <w:r w:rsidR="00C06E94" w:rsidRPr="0DD3B114">
        <w:rPr>
          <w:rFonts w:ascii="Arial" w:hAnsi="Arial" w:cs="Arial"/>
          <w:color w:val="000000" w:themeColor="text1"/>
          <w:sz w:val="20"/>
          <w:szCs w:val="20"/>
          <w:lang w:val="sr-Cyrl-RS"/>
        </w:rPr>
        <w:t xml:space="preserve"> је била линеарна</w:t>
      </w:r>
      <w:r w:rsidRPr="0DD3B114">
        <w:rPr>
          <w:rFonts w:ascii="Arial" w:hAnsi="Arial" w:cs="Arial"/>
          <w:color w:val="000000" w:themeColor="text1"/>
          <w:sz w:val="20"/>
          <w:szCs w:val="20"/>
          <w:lang w:val="sr-Cyrl-RS"/>
        </w:rPr>
        <w:t>,</w:t>
      </w:r>
      <w:r w:rsidR="00C06E94" w:rsidRPr="0DD3B114">
        <w:rPr>
          <w:rFonts w:ascii="Arial" w:hAnsi="Arial" w:cs="Arial"/>
          <w:color w:val="000000" w:themeColor="text1"/>
          <w:sz w:val="20"/>
          <w:szCs w:val="20"/>
          <w:lang w:val="sr-Cyrl-RS"/>
        </w:rPr>
        <w:t xml:space="preserve"> тј. једнака за све</w:t>
      </w:r>
      <w:r w:rsidR="000A591A" w:rsidRPr="0DD3B114">
        <w:rPr>
          <w:rFonts w:ascii="Arial" w:hAnsi="Arial" w:cs="Arial"/>
          <w:color w:val="000000" w:themeColor="text1"/>
          <w:sz w:val="20"/>
          <w:szCs w:val="20"/>
          <w:lang w:val="sr-Cyrl-RS"/>
        </w:rPr>
        <w:t xml:space="preserve"> </w:t>
      </w:r>
      <w:r w:rsidR="00C06E94" w:rsidRPr="0DD3B114">
        <w:rPr>
          <w:rFonts w:ascii="Arial" w:hAnsi="Arial" w:cs="Arial"/>
          <w:color w:val="000000" w:themeColor="text1"/>
          <w:sz w:val="20"/>
          <w:szCs w:val="20"/>
          <w:lang w:val="sr-Cyrl-RS"/>
        </w:rPr>
        <w:t xml:space="preserve">по угледу на поверавање послова државне управе </w:t>
      </w:r>
      <w:r w:rsidR="00E93100" w:rsidRPr="0DD3B114">
        <w:rPr>
          <w:rFonts w:ascii="Arial" w:hAnsi="Arial" w:cs="Arial"/>
          <w:color w:val="000000" w:themeColor="text1"/>
          <w:sz w:val="20"/>
          <w:szCs w:val="20"/>
          <w:lang w:val="sr-Cyrl-RS"/>
        </w:rPr>
        <w:t>ЈЛС (ако се изузме нешто другачије уређивање делокруга приградских и градских општина из уже градске зоне у Граду Београду)</w:t>
      </w:r>
      <w:r w:rsidR="00C06E94" w:rsidRPr="0DD3B114">
        <w:rPr>
          <w:rFonts w:ascii="Arial" w:hAnsi="Arial" w:cs="Arial"/>
          <w:color w:val="000000" w:themeColor="text1"/>
          <w:sz w:val="20"/>
          <w:szCs w:val="20"/>
          <w:lang w:val="sr-Cyrl-RS"/>
        </w:rPr>
        <w:t>.</w:t>
      </w:r>
      <w:r w:rsidRPr="0DD3B114">
        <w:rPr>
          <w:rFonts w:ascii="Arial" w:hAnsi="Arial" w:cs="Arial"/>
          <w:color w:val="000000" w:themeColor="text1"/>
          <w:sz w:val="20"/>
          <w:szCs w:val="20"/>
          <w:lang w:val="sr-Cyrl-RS"/>
        </w:rPr>
        <w:t xml:space="preserve"> </w:t>
      </w:r>
      <w:r w:rsidR="00C06E94" w:rsidRPr="0DD3B114">
        <w:rPr>
          <w:rFonts w:ascii="Arial" w:hAnsi="Arial" w:cs="Arial"/>
          <w:color w:val="000000" w:themeColor="text1"/>
          <w:sz w:val="20"/>
          <w:szCs w:val="20"/>
          <w:lang w:val="sr-Cyrl-RS"/>
        </w:rPr>
        <w:t xml:space="preserve">За спровођење </w:t>
      </w:r>
      <w:r w:rsidR="00192671" w:rsidRPr="0DD3B114">
        <w:rPr>
          <w:rFonts w:ascii="Arial" w:hAnsi="Arial" w:cs="Arial"/>
          <w:color w:val="000000" w:themeColor="text1"/>
          <w:sz w:val="20"/>
          <w:szCs w:val="20"/>
          <w:lang w:val="sr-Cyrl-RS"/>
        </w:rPr>
        <w:t xml:space="preserve">процеса </w:t>
      </w:r>
      <w:r w:rsidRPr="0DD3B114">
        <w:rPr>
          <w:rFonts w:ascii="Arial" w:hAnsi="Arial" w:cs="Arial"/>
          <w:color w:val="000000" w:themeColor="text1"/>
          <w:sz w:val="20"/>
          <w:szCs w:val="20"/>
          <w:lang w:val="sr-Cyrl-RS"/>
        </w:rPr>
        <w:t>„</w:t>
      </w:r>
      <w:r w:rsidR="00C06E94" w:rsidRPr="0DD3B114">
        <w:rPr>
          <w:rFonts w:ascii="Arial" w:hAnsi="Arial" w:cs="Arial"/>
          <w:color w:val="000000" w:themeColor="text1"/>
          <w:sz w:val="20"/>
          <w:szCs w:val="20"/>
          <w:lang w:val="sr-Cyrl-RS"/>
        </w:rPr>
        <w:t>унутрашње децентрализације градова</w:t>
      </w:r>
      <w:r w:rsidRPr="0DD3B114">
        <w:rPr>
          <w:rFonts w:ascii="Arial" w:hAnsi="Arial" w:cs="Arial"/>
          <w:color w:val="000000" w:themeColor="text1"/>
          <w:sz w:val="20"/>
          <w:szCs w:val="20"/>
        </w:rPr>
        <w:t>”</w:t>
      </w:r>
      <w:r w:rsidR="00C06E94" w:rsidRPr="0DD3B114">
        <w:rPr>
          <w:rFonts w:ascii="Arial" w:hAnsi="Arial" w:cs="Arial"/>
          <w:color w:val="000000" w:themeColor="text1"/>
          <w:sz w:val="20"/>
          <w:szCs w:val="20"/>
          <w:lang w:val="sr-Cyrl-RS"/>
        </w:rPr>
        <w:t xml:space="preserve"> неопходно је да градови заједно са градским општинама сагледају послове града које би требало поверити градским општинама</w:t>
      </w:r>
      <w:r w:rsidRPr="0DD3B114">
        <w:rPr>
          <w:rFonts w:ascii="Arial" w:hAnsi="Arial" w:cs="Arial"/>
          <w:color w:val="000000" w:themeColor="text1"/>
          <w:sz w:val="20"/>
          <w:szCs w:val="20"/>
          <w:lang w:val="sr-Cyrl-RS"/>
        </w:rPr>
        <w:t>,</w:t>
      </w:r>
      <w:r w:rsidR="00C06E94" w:rsidRPr="0DD3B114">
        <w:rPr>
          <w:rFonts w:ascii="Arial" w:hAnsi="Arial" w:cs="Arial"/>
          <w:color w:val="000000" w:themeColor="text1"/>
          <w:sz w:val="20"/>
          <w:szCs w:val="20"/>
          <w:lang w:val="sr-Cyrl-RS"/>
        </w:rPr>
        <w:t xml:space="preserve"> али и да утврде услове и критеријуме који морају да буду испуњени како би градске општине биле у могућности да их преузму и обављају. </w:t>
      </w:r>
      <w:r w:rsidR="00774621" w:rsidRPr="0DD3B114">
        <w:rPr>
          <w:rFonts w:ascii="Arial" w:hAnsi="Arial" w:cs="Arial"/>
          <w:color w:val="000000" w:themeColor="text1"/>
          <w:sz w:val="20"/>
          <w:szCs w:val="20"/>
          <w:lang w:val="sr-Cyrl-RS"/>
        </w:rPr>
        <w:t>Као што је један од примарних циљева реформе система локалне самоуправе изградња укупних капацитета ЈЛС</w:t>
      </w:r>
      <w:r w:rsidRPr="0DD3B114">
        <w:rPr>
          <w:rFonts w:ascii="Arial" w:hAnsi="Arial" w:cs="Arial"/>
          <w:color w:val="000000" w:themeColor="text1"/>
          <w:sz w:val="20"/>
          <w:szCs w:val="20"/>
          <w:lang w:val="sr-Cyrl-RS"/>
        </w:rPr>
        <w:t xml:space="preserve"> </w:t>
      </w:r>
      <w:r w:rsidR="00774621" w:rsidRPr="0DD3B114">
        <w:rPr>
          <w:rFonts w:ascii="Arial" w:hAnsi="Arial" w:cs="Arial"/>
          <w:color w:val="000000" w:themeColor="text1"/>
          <w:sz w:val="20"/>
          <w:szCs w:val="20"/>
          <w:lang w:val="sr-Cyrl-RS"/>
        </w:rPr>
        <w:t xml:space="preserve">за ефикасно и стручно обављање послова, тако је неопходно и да градови унапређују капацитете градских општина за пружање услуга грађанима и привреди. </w:t>
      </w:r>
      <w:r w:rsidR="00B61EC2" w:rsidRPr="0DD3B114">
        <w:rPr>
          <w:rFonts w:ascii="Arial" w:hAnsi="Arial" w:cs="Arial"/>
          <w:color w:val="000000" w:themeColor="text1"/>
          <w:sz w:val="20"/>
          <w:szCs w:val="20"/>
          <w:lang w:val="sr-Cyrl-RS"/>
        </w:rPr>
        <w:t>Примера ради, р</w:t>
      </w:r>
      <w:r w:rsidR="00C06E94" w:rsidRPr="0DD3B114">
        <w:rPr>
          <w:rFonts w:ascii="Arial" w:hAnsi="Arial" w:cs="Arial"/>
          <w:color w:val="000000" w:themeColor="text1"/>
          <w:sz w:val="20"/>
          <w:szCs w:val="20"/>
          <w:lang w:val="sr-Cyrl-RS"/>
        </w:rPr>
        <w:t xml:space="preserve">еализацијом </w:t>
      </w:r>
      <w:r w:rsidR="00270DA8" w:rsidRPr="0DD3B114">
        <w:rPr>
          <w:rFonts w:ascii="Arial" w:hAnsi="Arial" w:cs="Arial"/>
          <w:color w:val="000000" w:themeColor="text1"/>
          <w:sz w:val="20"/>
          <w:szCs w:val="20"/>
          <w:lang w:val="sr-Cyrl-RS"/>
        </w:rPr>
        <w:t>неке врсте</w:t>
      </w:r>
      <w:r w:rsidR="00C06E94" w:rsidRPr="0DD3B114">
        <w:rPr>
          <w:rFonts w:ascii="Arial" w:hAnsi="Arial" w:cs="Arial"/>
          <w:color w:val="000000" w:themeColor="text1"/>
          <w:sz w:val="20"/>
          <w:szCs w:val="20"/>
          <w:lang w:val="sr-Cyrl-RS"/>
        </w:rPr>
        <w:t xml:space="preserve"> „мапе пута</w:t>
      </w:r>
      <w:r w:rsidRPr="0DD3B114">
        <w:rPr>
          <w:rFonts w:ascii="Arial" w:hAnsi="Arial" w:cs="Arial"/>
          <w:color w:val="000000" w:themeColor="text1"/>
          <w:sz w:val="20"/>
          <w:szCs w:val="20"/>
        </w:rPr>
        <w:t>”</w:t>
      </w:r>
      <w:r w:rsidR="00C06E94" w:rsidRPr="0DD3B114">
        <w:rPr>
          <w:rFonts w:ascii="Arial" w:hAnsi="Arial" w:cs="Arial"/>
          <w:color w:val="000000" w:themeColor="text1"/>
          <w:sz w:val="20"/>
          <w:szCs w:val="20"/>
          <w:lang w:val="sr-Cyrl-RS"/>
        </w:rPr>
        <w:t xml:space="preserve"> </w:t>
      </w:r>
      <w:r w:rsidRPr="0DD3B114">
        <w:rPr>
          <w:rFonts w:ascii="Arial" w:hAnsi="Arial" w:cs="Arial"/>
          <w:color w:val="000000" w:themeColor="text1"/>
          <w:sz w:val="20"/>
          <w:szCs w:val="20"/>
          <w:lang w:val="sr-Cyrl-RS"/>
        </w:rPr>
        <w:t xml:space="preserve">за </w:t>
      </w:r>
      <w:r w:rsidR="00C06E94" w:rsidRPr="0DD3B114">
        <w:rPr>
          <w:rFonts w:ascii="Arial" w:hAnsi="Arial" w:cs="Arial"/>
          <w:color w:val="000000" w:themeColor="text1"/>
          <w:sz w:val="20"/>
          <w:szCs w:val="20"/>
          <w:lang w:val="sr-Cyrl-RS"/>
        </w:rPr>
        <w:t>изградњ</w:t>
      </w:r>
      <w:r w:rsidRPr="0DD3B114">
        <w:rPr>
          <w:rFonts w:ascii="Arial" w:hAnsi="Arial" w:cs="Arial"/>
          <w:color w:val="000000" w:themeColor="text1"/>
          <w:sz w:val="20"/>
          <w:szCs w:val="20"/>
          <w:lang w:val="sr-Cyrl-RS"/>
        </w:rPr>
        <w:t>у</w:t>
      </w:r>
      <w:r w:rsidR="00C06E94" w:rsidRPr="0DD3B114">
        <w:rPr>
          <w:rFonts w:ascii="Arial" w:hAnsi="Arial" w:cs="Arial"/>
          <w:color w:val="000000" w:themeColor="text1"/>
          <w:sz w:val="20"/>
          <w:szCs w:val="20"/>
          <w:lang w:val="sr-Cyrl-RS"/>
        </w:rPr>
        <w:t xml:space="preserve"> потребних капацитета свак</w:t>
      </w:r>
      <w:r w:rsidR="00C30DB6" w:rsidRPr="0DD3B114">
        <w:rPr>
          <w:rFonts w:ascii="Arial" w:hAnsi="Arial" w:cs="Arial"/>
          <w:color w:val="000000" w:themeColor="text1"/>
          <w:sz w:val="20"/>
          <w:szCs w:val="20"/>
          <w:lang w:val="sr-Cyrl-RS"/>
        </w:rPr>
        <w:t>е</w:t>
      </w:r>
      <w:r w:rsidR="00C06E94" w:rsidRPr="0DD3B114">
        <w:rPr>
          <w:rFonts w:ascii="Arial" w:hAnsi="Arial" w:cs="Arial"/>
          <w:color w:val="000000" w:themeColor="text1"/>
          <w:sz w:val="20"/>
          <w:szCs w:val="20"/>
          <w:lang w:val="sr-Cyrl-RS"/>
        </w:rPr>
        <w:t xml:space="preserve"> од градских општина</w:t>
      </w:r>
      <w:r w:rsidR="00591450" w:rsidRPr="0DD3B114">
        <w:rPr>
          <w:rFonts w:ascii="Arial" w:hAnsi="Arial" w:cs="Arial"/>
          <w:color w:val="000000" w:themeColor="text1"/>
          <w:sz w:val="20"/>
          <w:szCs w:val="20"/>
          <w:lang w:val="sr-Cyrl-RS"/>
        </w:rPr>
        <w:t xml:space="preserve">, </w:t>
      </w:r>
      <w:r w:rsidR="00C30DB6" w:rsidRPr="0DD3B114">
        <w:rPr>
          <w:rFonts w:ascii="Arial" w:hAnsi="Arial" w:cs="Arial"/>
          <w:color w:val="000000" w:themeColor="text1"/>
          <w:sz w:val="20"/>
          <w:szCs w:val="20"/>
          <w:lang w:val="sr-Cyrl-RS"/>
        </w:rPr>
        <w:t xml:space="preserve">могли би се створити услови за даље преузимање </w:t>
      </w:r>
      <w:r w:rsidR="00C06E94" w:rsidRPr="0DD3B114">
        <w:rPr>
          <w:rFonts w:ascii="Arial" w:hAnsi="Arial" w:cs="Arial"/>
          <w:color w:val="000000" w:themeColor="text1"/>
          <w:sz w:val="20"/>
          <w:szCs w:val="20"/>
          <w:lang w:val="sr-Cyrl-RS"/>
        </w:rPr>
        <w:t>обављањ</w:t>
      </w:r>
      <w:r w:rsidR="005F0170" w:rsidRPr="0DD3B114">
        <w:rPr>
          <w:rFonts w:ascii="Arial" w:hAnsi="Arial" w:cs="Arial"/>
          <w:color w:val="000000" w:themeColor="text1"/>
          <w:sz w:val="20"/>
          <w:szCs w:val="20"/>
          <w:lang w:val="sr-Cyrl-RS"/>
        </w:rPr>
        <w:t>а</w:t>
      </w:r>
      <w:r w:rsidR="00C06E94" w:rsidRPr="0DD3B114">
        <w:rPr>
          <w:rFonts w:ascii="Arial" w:hAnsi="Arial" w:cs="Arial"/>
          <w:color w:val="000000" w:themeColor="text1"/>
          <w:sz w:val="20"/>
          <w:szCs w:val="20"/>
          <w:lang w:val="sr-Cyrl-RS"/>
        </w:rPr>
        <w:t xml:space="preserve"> поверених послова града.</w:t>
      </w:r>
      <w:r w:rsidR="00591450" w:rsidRPr="0DD3B114">
        <w:rPr>
          <w:rFonts w:ascii="Arial" w:hAnsi="Arial" w:cs="Arial"/>
          <w:color w:val="000000" w:themeColor="text1"/>
          <w:sz w:val="20"/>
          <w:szCs w:val="20"/>
          <w:lang w:val="sr-Cyrl-RS"/>
        </w:rPr>
        <w:t xml:space="preserve"> И у процесу </w:t>
      </w:r>
      <w:r w:rsidR="00520181" w:rsidRPr="0DD3B114">
        <w:rPr>
          <w:rFonts w:ascii="Arial" w:hAnsi="Arial" w:cs="Arial"/>
          <w:color w:val="000000" w:themeColor="text1"/>
          <w:sz w:val="20"/>
          <w:szCs w:val="20"/>
          <w:lang w:val="sr-Cyrl-RS"/>
        </w:rPr>
        <w:t xml:space="preserve">дистрибуције </w:t>
      </w:r>
      <w:r w:rsidR="009335A2" w:rsidRPr="0DD3B114">
        <w:rPr>
          <w:rFonts w:ascii="Arial" w:hAnsi="Arial" w:cs="Arial"/>
          <w:color w:val="000000" w:themeColor="text1"/>
          <w:sz w:val="20"/>
          <w:szCs w:val="20"/>
          <w:lang w:val="sr-Cyrl-RS"/>
        </w:rPr>
        <w:t xml:space="preserve">одговорности </w:t>
      </w:r>
      <w:r w:rsidR="00520181" w:rsidRPr="0DD3B114">
        <w:rPr>
          <w:rFonts w:ascii="Arial" w:hAnsi="Arial" w:cs="Arial"/>
          <w:color w:val="000000" w:themeColor="text1"/>
          <w:sz w:val="20"/>
          <w:szCs w:val="20"/>
          <w:lang w:val="sr-Cyrl-RS"/>
        </w:rPr>
        <w:t xml:space="preserve">за спровођење локалних јавних услуга на територији градова, </w:t>
      </w:r>
      <w:r w:rsidR="00591450" w:rsidRPr="0DD3B114">
        <w:rPr>
          <w:rFonts w:ascii="Arial" w:hAnsi="Arial" w:cs="Arial"/>
          <w:color w:val="000000" w:themeColor="text1"/>
          <w:sz w:val="20"/>
          <w:szCs w:val="20"/>
          <w:lang w:val="sr-Cyrl-RS"/>
        </w:rPr>
        <w:t xml:space="preserve">као и у самом систему локалне самоуправе треба превазићи </w:t>
      </w:r>
      <w:r w:rsidR="00C06E94" w:rsidRPr="0DD3B114">
        <w:rPr>
          <w:rFonts w:ascii="Arial" w:hAnsi="Arial" w:cs="Arial"/>
          <w:color w:val="000000" w:themeColor="text1"/>
          <w:sz w:val="20"/>
          <w:szCs w:val="20"/>
          <w:lang w:val="sr-Cyrl-RS"/>
        </w:rPr>
        <w:t>пракс</w:t>
      </w:r>
      <w:r w:rsidR="00591450" w:rsidRPr="0DD3B114">
        <w:rPr>
          <w:rFonts w:ascii="Arial" w:hAnsi="Arial" w:cs="Arial"/>
          <w:color w:val="000000" w:themeColor="text1"/>
          <w:sz w:val="20"/>
          <w:szCs w:val="20"/>
          <w:lang w:val="sr-Cyrl-RS"/>
        </w:rPr>
        <w:t>у</w:t>
      </w:r>
      <w:r w:rsidR="00C06E94" w:rsidRPr="0DD3B114">
        <w:rPr>
          <w:rFonts w:ascii="Arial" w:hAnsi="Arial" w:cs="Arial"/>
          <w:color w:val="000000" w:themeColor="text1"/>
          <w:sz w:val="20"/>
          <w:szCs w:val="20"/>
          <w:lang w:val="sr-Cyrl-RS"/>
        </w:rPr>
        <w:t xml:space="preserve"> линераног поверавања послова свим градским општинама (Београд, Ниш)</w:t>
      </w:r>
      <w:r w:rsidR="00972F2C" w:rsidRPr="0DD3B114">
        <w:rPr>
          <w:rFonts w:ascii="Arial" w:hAnsi="Arial" w:cs="Arial"/>
          <w:color w:val="000000" w:themeColor="text1"/>
          <w:sz w:val="20"/>
          <w:szCs w:val="20"/>
          <w:lang w:val="sr-Cyrl-RS"/>
        </w:rPr>
        <w:t>,</w:t>
      </w:r>
      <w:r w:rsidR="00C06E94" w:rsidRPr="0DD3B114">
        <w:rPr>
          <w:rFonts w:ascii="Arial" w:hAnsi="Arial" w:cs="Arial"/>
          <w:color w:val="000000" w:themeColor="text1"/>
          <w:sz w:val="20"/>
          <w:szCs w:val="20"/>
          <w:lang w:val="sr-Cyrl-RS"/>
        </w:rPr>
        <w:t xml:space="preserve"> независно од њихове стварне спремности да стручно и ефикасно обављају те послове. </w:t>
      </w:r>
      <w:r w:rsidR="005B5669" w:rsidRPr="0DD3B114">
        <w:rPr>
          <w:rFonts w:ascii="Arial" w:hAnsi="Arial" w:cs="Arial"/>
          <w:color w:val="000000" w:themeColor="text1"/>
          <w:sz w:val="20"/>
          <w:szCs w:val="20"/>
          <w:lang w:val="sr-Cyrl-RS"/>
        </w:rPr>
        <w:t>Ипак, з</w:t>
      </w:r>
      <w:r w:rsidR="00C06E94" w:rsidRPr="0DD3B114">
        <w:rPr>
          <w:rFonts w:ascii="Arial" w:hAnsi="Arial" w:cs="Arial"/>
          <w:color w:val="000000" w:themeColor="text1"/>
          <w:sz w:val="20"/>
          <w:szCs w:val="20"/>
          <w:lang w:val="sr-Cyrl-RS"/>
        </w:rPr>
        <w:t>начајније ангажовање градова на изградњи капацитета градских општина би требало да буде подржано и овлашћењима града у погледу прописивањ</w:t>
      </w:r>
      <w:r w:rsidR="007238C6" w:rsidRPr="0DD3B114">
        <w:rPr>
          <w:rFonts w:ascii="Arial" w:hAnsi="Arial" w:cs="Arial"/>
          <w:color w:val="000000" w:themeColor="text1"/>
          <w:sz w:val="20"/>
          <w:szCs w:val="20"/>
          <w:lang w:val="sr-Cyrl-RS"/>
        </w:rPr>
        <w:t>а</w:t>
      </w:r>
      <w:r w:rsidR="00C06E94" w:rsidRPr="0DD3B114">
        <w:rPr>
          <w:rFonts w:ascii="Arial" w:hAnsi="Arial" w:cs="Arial"/>
          <w:color w:val="000000" w:themeColor="text1"/>
          <w:sz w:val="20"/>
          <w:szCs w:val="20"/>
          <w:lang w:val="sr-Cyrl-RS"/>
        </w:rPr>
        <w:t xml:space="preserve"> стручних и других услова за кадрове који би обављали одређене поверене послове</w:t>
      </w:r>
      <w:r w:rsidR="00403FE0" w:rsidRPr="0DD3B114">
        <w:rPr>
          <w:rFonts w:ascii="Arial" w:hAnsi="Arial" w:cs="Arial"/>
          <w:color w:val="000000" w:themeColor="text1"/>
          <w:sz w:val="20"/>
          <w:szCs w:val="20"/>
          <w:lang w:val="sr-Cyrl-RS"/>
        </w:rPr>
        <w:t xml:space="preserve"> и за</w:t>
      </w:r>
      <w:r w:rsidR="00C06E94" w:rsidRPr="0DD3B114">
        <w:rPr>
          <w:rFonts w:ascii="Arial" w:hAnsi="Arial" w:cs="Arial"/>
          <w:color w:val="000000" w:themeColor="text1"/>
          <w:sz w:val="20"/>
          <w:szCs w:val="20"/>
          <w:lang w:val="sr-Cyrl-RS"/>
        </w:rPr>
        <w:t xml:space="preserve"> помоћ градским општинама у изградњи техничких или организационих капацитета.</w:t>
      </w:r>
    </w:p>
    <w:p w14:paraId="71D2DF44" w14:textId="77777777" w:rsidR="00C06E94" w:rsidRPr="00A021B7" w:rsidRDefault="00C06E94" w:rsidP="0DD3B114">
      <w:pPr>
        <w:ind w:firstLine="720"/>
        <w:jc w:val="both"/>
        <w:rPr>
          <w:rFonts w:ascii="Arial" w:hAnsi="Arial" w:cs="Arial"/>
          <w:i/>
          <w:iCs/>
          <w:sz w:val="20"/>
          <w:szCs w:val="20"/>
          <w:lang w:val="sr-Cyrl-RS"/>
        </w:rPr>
      </w:pPr>
    </w:p>
    <w:p w14:paraId="3667F3C7" w14:textId="77777777" w:rsidR="00C75AD7" w:rsidRPr="00A021B7" w:rsidRDefault="00C75AD7" w:rsidP="003E7BC9">
      <w:pPr>
        <w:jc w:val="both"/>
        <w:rPr>
          <w:rFonts w:ascii="Arial" w:hAnsi="Arial" w:cs="Arial"/>
          <w:b/>
          <w:i/>
          <w:iCs/>
          <w:sz w:val="20"/>
          <w:szCs w:val="20"/>
          <w:lang w:val="sr-Cyrl-RS"/>
        </w:rPr>
      </w:pPr>
      <w:r w:rsidRPr="00A021B7">
        <w:rPr>
          <w:rFonts w:ascii="Arial" w:hAnsi="Arial" w:cs="Arial"/>
          <w:b/>
          <w:i/>
          <w:iCs/>
          <w:sz w:val="20"/>
          <w:szCs w:val="20"/>
          <w:lang w:val="sr-Cyrl-RS"/>
        </w:rPr>
        <w:t>Месне заједнице</w:t>
      </w:r>
    </w:p>
    <w:p w14:paraId="4CFFE6D8" w14:textId="77777777" w:rsidR="00C75AD7" w:rsidRPr="00A021B7" w:rsidRDefault="00C75AD7" w:rsidP="003E7BC9">
      <w:pPr>
        <w:contextualSpacing/>
        <w:jc w:val="both"/>
        <w:rPr>
          <w:rFonts w:ascii="Arial" w:hAnsi="Arial" w:cs="Arial"/>
          <w:bCs/>
          <w:sz w:val="20"/>
          <w:szCs w:val="20"/>
          <w:lang w:val="sr-Cyrl-RS"/>
        </w:rPr>
      </w:pPr>
    </w:p>
    <w:p w14:paraId="1047C63C" w14:textId="40BA92C7" w:rsidR="00C75AD7" w:rsidRPr="00A021B7" w:rsidRDefault="00F41B9A"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 xml:space="preserve">Изменама и допунама ЗЛС 2018. године </w:t>
      </w:r>
      <w:r w:rsidR="00A000DB" w:rsidRPr="0DD3B114">
        <w:rPr>
          <w:rFonts w:ascii="Arial" w:hAnsi="Arial" w:cs="Arial"/>
          <w:sz w:val="20"/>
          <w:szCs w:val="20"/>
          <w:lang w:val="sr-Cyrl-RS"/>
        </w:rPr>
        <w:t xml:space="preserve">потпуније </w:t>
      </w:r>
      <w:r w:rsidRPr="0DD3B114">
        <w:rPr>
          <w:rFonts w:ascii="Arial" w:hAnsi="Arial" w:cs="Arial"/>
          <w:sz w:val="20"/>
          <w:szCs w:val="20"/>
          <w:lang w:val="sr-Cyrl-RS"/>
        </w:rPr>
        <w:t xml:space="preserve">су уређена питања положаја </w:t>
      </w:r>
      <w:r w:rsidR="00053F5D" w:rsidRPr="0DD3B114">
        <w:rPr>
          <w:rFonts w:ascii="Arial" w:hAnsi="Arial" w:cs="Arial"/>
          <w:sz w:val="20"/>
          <w:szCs w:val="20"/>
          <w:lang w:val="sr-Cyrl-RS"/>
        </w:rPr>
        <w:t>месних заједница (</w:t>
      </w:r>
      <w:r w:rsidRPr="0DD3B114">
        <w:rPr>
          <w:rFonts w:ascii="Arial" w:hAnsi="Arial" w:cs="Arial"/>
          <w:sz w:val="20"/>
          <w:szCs w:val="20"/>
          <w:lang w:val="sr-Cyrl-RS"/>
        </w:rPr>
        <w:t>МЗ</w:t>
      </w:r>
      <w:r w:rsidR="00053F5D" w:rsidRPr="0DD3B114">
        <w:rPr>
          <w:rFonts w:ascii="Arial" w:hAnsi="Arial" w:cs="Arial"/>
          <w:sz w:val="20"/>
          <w:szCs w:val="20"/>
          <w:lang w:val="sr-Cyrl-RS"/>
        </w:rPr>
        <w:t>)</w:t>
      </w:r>
      <w:r w:rsidRPr="0DD3B114">
        <w:rPr>
          <w:rFonts w:ascii="Arial" w:hAnsi="Arial" w:cs="Arial"/>
          <w:sz w:val="20"/>
          <w:szCs w:val="20"/>
          <w:lang w:val="sr-Cyrl-RS"/>
        </w:rPr>
        <w:t xml:space="preserve">. </w:t>
      </w:r>
      <w:r w:rsidR="00D65D92" w:rsidRPr="0DD3B114">
        <w:rPr>
          <w:rFonts w:ascii="Arial" w:hAnsi="Arial" w:cs="Arial"/>
          <w:sz w:val="20"/>
          <w:szCs w:val="20"/>
          <w:lang w:val="sr-Cyrl-RS"/>
        </w:rPr>
        <w:t xml:space="preserve">На основу </w:t>
      </w:r>
      <w:r w:rsidR="00C75AD7" w:rsidRPr="0DD3B114">
        <w:rPr>
          <w:rFonts w:ascii="Arial" w:hAnsi="Arial" w:cs="Arial"/>
          <w:sz w:val="20"/>
          <w:szCs w:val="20"/>
          <w:lang w:val="sr-Cyrl-RS"/>
        </w:rPr>
        <w:t xml:space="preserve">тренутне ситуације </w:t>
      </w:r>
      <w:r w:rsidR="00053F5D" w:rsidRPr="0DD3B114">
        <w:rPr>
          <w:rFonts w:ascii="Arial" w:hAnsi="Arial" w:cs="Arial"/>
          <w:sz w:val="20"/>
          <w:szCs w:val="20"/>
          <w:lang w:val="sr-Cyrl-RS"/>
        </w:rPr>
        <w:t>ни</w:t>
      </w:r>
      <w:r w:rsidR="00C75AD7" w:rsidRPr="0DD3B114">
        <w:rPr>
          <w:rFonts w:ascii="Arial" w:hAnsi="Arial" w:cs="Arial"/>
          <w:sz w:val="20"/>
          <w:szCs w:val="20"/>
          <w:lang w:val="sr-Cyrl-RS"/>
        </w:rPr>
        <w:t xml:space="preserve">је </w:t>
      </w:r>
      <w:r w:rsidR="00053F5D" w:rsidRPr="0DD3B114">
        <w:rPr>
          <w:rFonts w:ascii="Arial" w:hAnsi="Arial" w:cs="Arial"/>
          <w:sz w:val="20"/>
          <w:szCs w:val="20"/>
          <w:lang w:val="sr-Cyrl-RS"/>
        </w:rPr>
        <w:t xml:space="preserve">лако </w:t>
      </w:r>
      <w:r w:rsidR="00C75AD7" w:rsidRPr="0DD3B114">
        <w:rPr>
          <w:rFonts w:ascii="Arial" w:hAnsi="Arial" w:cs="Arial"/>
          <w:sz w:val="20"/>
          <w:szCs w:val="20"/>
          <w:lang w:val="sr-Cyrl-RS"/>
        </w:rPr>
        <w:t xml:space="preserve">проценити у ком правцу треба направити следећи искорак у развоју МЗ, </w:t>
      </w:r>
      <w:r w:rsidR="00053F5D" w:rsidRPr="0DD3B114">
        <w:rPr>
          <w:rFonts w:ascii="Arial" w:hAnsi="Arial" w:cs="Arial"/>
          <w:sz w:val="20"/>
          <w:szCs w:val="20"/>
          <w:lang w:val="sr-Cyrl-RS"/>
        </w:rPr>
        <w:t xml:space="preserve">с </w:t>
      </w:r>
      <w:r w:rsidR="00C75AD7" w:rsidRPr="0DD3B114">
        <w:rPr>
          <w:rFonts w:ascii="Arial" w:hAnsi="Arial" w:cs="Arial"/>
          <w:sz w:val="20"/>
          <w:szCs w:val="20"/>
          <w:lang w:val="sr-Cyrl-RS"/>
        </w:rPr>
        <w:t xml:space="preserve">обзиром </w:t>
      </w:r>
      <w:r w:rsidR="00D65D92" w:rsidRPr="0DD3B114">
        <w:rPr>
          <w:rFonts w:ascii="Arial" w:hAnsi="Arial" w:cs="Arial"/>
          <w:sz w:val="20"/>
          <w:szCs w:val="20"/>
          <w:lang w:val="sr-Cyrl-RS"/>
        </w:rPr>
        <w:t xml:space="preserve">на то </w:t>
      </w:r>
      <w:r w:rsidR="00C75AD7" w:rsidRPr="0DD3B114">
        <w:rPr>
          <w:rFonts w:ascii="Arial" w:hAnsi="Arial" w:cs="Arial"/>
          <w:sz w:val="20"/>
          <w:szCs w:val="20"/>
          <w:lang w:val="sr-Cyrl-RS"/>
        </w:rPr>
        <w:t xml:space="preserve">да су ЈЛС тек током 2019. године донеле нове </w:t>
      </w:r>
      <w:r w:rsidR="00D65D92" w:rsidRPr="0DD3B114">
        <w:rPr>
          <w:rFonts w:ascii="Arial" w:hAnsi="Arial" w:cs="Arial"/>
          <w:sz w:val="20"/>
          <w:szCs w:val="20"/>
          <w:lang w:val="sr-Cyrl-RS"/>
        </w:rPr>
        <w:t>о</w:t>
      </w:r>
      <w:r w:rsidR="00C75AD7" w:rsidRPr="0DD3B114">
        <w:rPr>
          <w:rFonts w:ascii="Arial" w:hAnsi="Arial" w:cs="Arial"/>
          <w:sz w:val="20"/>
          <w:szCs w:val="20"/>
          <w:lang w:val="sr-Cyrl-RS"/>
        </w:rPr>
        <w:t xml:space="preserve">длуке о </w:t>
      </w:r>
      <w:r w:rsidR="002003DA" w:rsidRPr="0DD3B114">
        <w:rPr>
          <w:rFonts w:ascii="Arial" w:hAnsi="Arial" w:cs="Arial"/>
          <w:sz w:val="20"/>
          <w:szCs w:val="20"/>
          <w:lang w:val="sr-Cyrl-RS"/>
        </w:rPr>
        <w:t>МЗ</w:t>
      </w:r>
      <w:r w:rsidR="00C75AD7" w:rsidRPr="0DD3B114">
        <w:rPr>
          <w:rFonts w:ascii="Arial" w:hAnsi="Arial" w:cs="Arial"/>
          <w:sz w:val="20"/>
          <w:szCs w:val="20"/>
          <w:lang w:val="sr-Cyrl-RS"/>
        </w:rPr>
        <w:t>, односно усагласиле своје раније одлуке са последњим новелама ЗЛС, те самим тим још увек не постоји пракса која би указала на „нове</w:t>
      </w:r>
      <w:r w:rsidR="0074037A" w:rsidRPr="0DD3B114">
        <w:rPr>
          <w:rFonts w:ascii="Arial" w:hAnsi="Arial" w:cs="Arial"/>
          <w:sz w:val="20"/>
          <w:szCs w:val="20"/>
          <w:lang w:val="sr-Cyrl-RS"/>
        </w:rPr>
        <w:t>”</w:t>
      </w:r>
      <w:r w:rsidR="00C75AD7" w:rsidRPr="0DD3B114">
        <w:rPr>
          <w:rFonts w:ascii="Arial" w:hAnsi="Arial" w:cs="Arial"/>
          <w:sz w:val="20"/>
          <w:szCs w:val="20"/>
          <w:lang w:val="sr-Cyrl-RS"/>
        </w:rPr>
        <w:t xml:space="preserve"> проблеме и потребе МЗ. </w:t>
      </w:r>
      <w:r w:rsidR="00BA58EB" w:rsidRPr="0DD3B114">
        <w:rPr>
          <w:rFonts w:ascii="Arial" w:hAnsi="Arial" w:cs="Arial"/>
          <w:sz w:val="20"/>
          <w:szCs w:val="20"/>
          <w:lang w:val="sr-Cyrl-RS"/>
        </w:rPr>
        <w:t xml:space="preserve">Неспорно </w:t>
      </w:r>
      <w:r w:rsidR="00C75AD7" w:rsidRPr="0DD3B114">
        <w:rPr>
          <w:rFonts w:ascii="Arial" w:hAnsi="Arial" w:cs="Arial"/>
          <w:sz w:val="20"/>
          <w:szCs w:val="20"/>
          <w:lang w:val="sr-Cyrl-RS"/>
        </w:rPr>
        <w:t>је</w:t>
      </w:r>
      <w:r w:rsidR="00BA58EB" w:rsidRPr="0DD3B114">
        <w:rPr>
          <w:rFonts w:ascii="Arial" w:hAnsi="Arial" w:cs="Arial"/>
          <w:sz w:val="20"/>
          <w:szCs w:val="20"/>
          <w:lang w:val="sr-Cyrl-RS"/>
        </w:rPr>
        <w:t>,</w:t>
      </w:r>
      <w:r w:rsidR="00C75AD7" w:rsidRPr="0DD3B114">
        <w:rPr>
          <w:rFonts w:ascii="Arial" w:hAnsi="Arial" w:cs="Arial"/>
          <w:sz w:val="20"/>
          <w:szCs w:val="20"/>
          <w:lang w:val="sr-Cyrl-RS"/>
        </w:rPr>
        <w:t xml:space="preserve"> </w:t>
      </w:r>
      <w:r w:rsidR="00BA58EB" w:rsidRPr="0DD3B114">
        <w:rPr>
          <w:rFonts w:ascii="Arial" w:hAnsi="Arial" w:cs="Arial"/>
          <w:sz w:val="20"/>
          <w:szCs w:val="20"/>
          <w:lang w:val="sr-Cyrl-RS"/>
        </w:rPr>
        <w:t xml:space="preserve">међутим, </w:t>
      </w:r>
      <w:r w:rsidR="00C75AD7" w:rsidRPr="0DD3B114">
        <w:rPr>
          <w:rFonts w:ascii="Arial" w:hAnsi="Arial" w:cs="Arial"/>
          <w:sz w:val="20"/>
          <w:szCs w:val="20"/>
          <w:lang w:val="sr-Cyrl-RS"/>
        </w:rPr>
        <w:t xml:space="preserve">да овај традиционални институт, типичан за наш регион, треба даље развијати кроз нормативно и финансијски осмишљен план децентрализације изворних надлежности ЈЛС. </w:t>
      </w:r>
      <w:r w:rsidR="00BA0594" w:rsidRPr="0DD3B114">
        <w:rPr>
          <w:rFonts w:ascii="Arial" w:hAnsi="Arial" w:cs="Arial"/>
          <w:sz w:val="20"/>
          <w:szCs w:val="20"/>
          <w:lang w:val="sr-Cyrl-RS"/>
        </w:rPr>
        <w:t>Н</w:t>
      </w:r>
      <w:r w:rsidR="00C75AD7" w:rsidRPr="0DD3B114">
        <w:rPr>
          <w:rFonts w:ascii="Arial" w:hAnsi="Arial" w:cs="Arial"/>
          <w:sz w:val="20"/>
          <w:szCs w:val="20"/>
          <w:lang w:val="sr-Cyrl-RS"/>
        </w:rPr>
        <w:t xml:space="preserve">е треба заборавити </w:t>
      </w:r>
      <w:r w:rsidR="00BA0594" w:rsidRPr="0DD3B114">
        <w:rPr>
          <w:rFonts w:ascii="Arial" w:hAnsi="Arial" w:cs="Arial"/>
          <w:sz w:val="20"/>
          <w:szCs w:val="20"/>
          <w:lang w:val="sr-Cyrl-RS"/>
        </w:rPr>
        <w:t xml:space="preserve">ни </w:t>
      </w:r>
      <w:r w:rsidR="00C75AD7" w:rsidRPr="0DD3B114">
        <w:rPr>
          <w:rFonts w:ascii="Arial" w:hAnsi="Arial" w:cs="Arial"/>
          <w:sz w:val="20"/>
          <w:szCs w:val="20"/>
          <w:lang w:val="sr-Cyrl-RS"/>
        </w:rPr>
        <w:t>партиципативне могућности којима располажу МЗ, те у том смислу треба јачати механизме укључивања грађана у јавни живот, односно грађански активизам</w:t>
      </w:r>
      <w:r w:rsidR="00D65D92" w:rsidRPr="0DD3B114">
        <w:rPr>
          <w:rFonts w:ascii="Arial" w:hAnsi="Arial" w:cs="Arial"/>
          <w:sz w:val="20"/>
          <w:szCs w:val="20"/>
          <w:lang w:val="sr-Cyrl-RS"/>
        </w:rPr>
        <w:t>,</w:t>
      </w:r>
      <w:r w:rsidR="00C75AD7" w:rsidRPr="0DD3B114">
        <w:rPr>
          <w:rFonts w:ascii="Arial" w:hAnsi="Arial" w:cs="Arial"/>
          <w:sz w:val="20"/>
          <w:szCs w:val="20"/>
          <w:lang w:val="sr-Cyrl-RS"/>
        </w:rPr>
        <w:t xml:space="preserve"> који су у сржи постојања МЗ. У даљем развоју МЗ свакако треба обратити пажњу на природу послова које </w:t>
      </w:r>
      <w:r w:rsidR="00021D41" w:rsidRPr="0DD3B114">
        <w:rPr>
          <w:rFonts w:ascii="Arial" w:hAnsi="Arial" w:cs="Arial"/>
          <w:sz w:val="20"/>
          <w:szCs w:val="20"/>
          <w:lang w:val="sr-Cyrl-RS"/>
        </w:rPr>
        <w:t xml:space="preserve">оне </w:t>
      </w:r>
      <w:r w:rsidR="00C75AD7" w:rsidRPr="0DD3B114">
        <w:rPr>
          <w:rFonts w:ascii="Arial" w:hAnsi="Arial" w:cs="Arial"/>
          <w:sz w:val="20"/>
          <w:szCs w:val="20"/>
          <w:lang w:val="sr-Cyrl-RS"/>
        </w:rPr>
        <w:t>могу да обављају (пропраћену реалним финансијским издвајањима),</w:t>
      </w:r>
      <w:r w:rsidR="003532EF" w:rsidRPr="0DD3B114">
        <w:rPr>
          <w:rFonts w:ascii="Arial" w:hAnsi="Arial" w:cs="Arial"/>
          <w:sz w:val="20"/>
          <w:szCs w:val="20"/>
          <w:lang w:val="sr-Cyrl-RS"/>
        </w:rPr>
        <w:t xml:space="preserve"> </w:t>
      </w:r>
      <w:r w:rsidR="00C75AD7" w:rsidRPr="0DD3B114">
        <w:rPr>
          <w:rFonts w:ascii="Arial" w:hAnsi="Arial" w:cs="Arial"/>
          <w:sz w:val="20"/>
          <w:szCs w:val="20"/>
          <w:lang w:val="sr-Cyrl-RS"/>
        </w:rPr>
        <w:t>са једне стране</w:t>
      </w:r>
      <w:r w:rsidR="003532EF" w:rsidRPr="0DD3B114">
        <w:rPr>
          <w:rFonts w:ascii="Arial" w:hAnsi="Arial" w:cs="Arial"/>
          <w:sz w:val="20"/>
          <w:szCs w:val="20"/>
          <w:lang w:val="sr-Cyrl-RS"/>
        </w:rPr>
        <w:t>,</w:t>
      </w:r>
      <w:r w:rsidR="00C75AD7" w:rsidRPr="0DD3B114">
        <w:rPr>
          <w:rFonts w:ascii="Arial" w:hAnsi="Arial" w:cs="Arial"/>
          <w:sz w:val="20"/>
          <w:szCs w:val="20"/>
          <w:lang w:val="sr-Cyrl-RS"/>
        </w:rPr>
        <w:t xml:space="preserve"> и </w:t>
      </w:r>
      <w:r w:rsidR="00D65D92" w:rsidRPr="0DD3B114">
        <w:rPr>
          <w:rFonts w:ascii="Arial" w:hAnsi="Arial" w:cs="Arial"/>
          <w:sz w:val="20"/>
          <w:szCs w:val="20"/>
          <w:lang w:val="sr-Cyrl-RS"/>
        </w:rPr>
        <w:t xml:space="preserve">њихов </w:t>
      </w:r>
      <w:r w:rsidR="00C75AD7" w:rsidRPr="0DD3B114">
        <w:rPr>
          <w:rFonts w:ascii="Arial" w:hAnsi="Arial" w:cs="Arial"/>
          <w:sz w:val="20"/>
          <w:szCs w:val="20"/>
          <w:lang w:val="sr-Cyrl-RS"/>
        </w:rPr>
        <w:t xml:space="preserve">грађански дискурс са друге, </w:t>
      </w:r>
      <w:r w:rsidR="00D65D92" w:rsidRPr="0DD3B114">
        <w:rPr>
          <w:rFonts w:ascii="Arial" w:hAnsi="Arial" w:cs="Arial"/>
          <w:sz w:val="20"/>
          <w:szCs w:val="20"/>
          <w:lang w:val="sr-Cyrl-RS"/>
        </w:rPr>
        <w:t>п</w:t>
      </w:r>
      <w:r w:rsidR="00021D41" w:rsidRPr="0DD3B114">
        <w:rPr>
          <w:rFonts w:ascii="Arial" w:hAnsi="Arial" w:cs="Arial"/>
          <w:sz w:val="20"/>
          <w:szCs w:val="20"/>
          <w:lang w:val="sr-Cyrl-RS"/>
        </w:rPr>
        <w:t xml:space="preserve">а је </w:t>
      </w:r>
      <w:r w:rsidR="00C75AD7" w:rsidRPr="0DD3B114">
        <w:rPr>
          <w:rFonts w:ascii="Arial" w:hAnsi="Arial" w:cs="Arial"/>
          <w:sz w:val="20"/>
          <w:szCs w:val="20"/>
          <w:lang w:val="sr-Cyrl-RS"/>
        </w:rPr>
        <w:t>потребно осмислити поделу послова унутар система</w:t>
      </w:r>
      <w:r w:rsidR="00D65D92" w:rsidRPr="0DD3B114">
        <w:rPr>
          <w:rFonts w:ascii="Arial" w:hAnsi="Arial" w:cs="Arial"/>
          <w:sz w:val="20"/>
          <w:szCs w:val="20"/>
          <w:lang w:val="sr-Cyrl-RS"/>
        </w:rPr>
        <w:t xml:space="preserve"> тако да</w:t>
      </w:r>
      <w:r w:rsidR="00C75AD7" w:rsidRPr="0DD3B114">
        <w:rPr>
          <w:rFonts w:ascii="Arial" w:hAnsi="Arial" w:cs="Arial"/>
          <w:sz w:val="20"/>
          <w:szCs w:val="20"/>
          <w:lang w:val="sr-Cyrl-RS"/>
        </w:rPr>
        <w:t xml:space="preserve"> МЗ доби</w:t>
      </w:r>
      <w:r w:rsidR="00D65D92" w:rsidRPr="0DD3B114">
        <w:rPr>
          <w:rFonts w:ascii="Arial" w:hAnsi="Arial" w:cs="Arial"/>
          <w:sz w:val="20"/>
          <w:szCs w:val="20"/>
          <w:lang w:val="sr-Cyrl-RS"/>
        </w:rPr>
        <w:t>ју</w:t>
      </w:r>
      <w:r w:rsidR="00C75AD7" w:rsidRPr="0DD3B114">
        <w:rPr>
          <w:rFonts w:ascii="Arial" w:hAnsi="Arial" w:cs="Arial"/>
          <w:sz w:val="20"/>
          <w:szCs w:val="20"/>
          <w:lang w:val="sr-Cyrl-RS"/>
        </w:rPr>
        <w:t xml:space="preserve"> на значају, а </w:t>
      </w:r>
      <w:r w:rsidR="00D65D92" w:rsidRPr="0DD3B114">
        <w:rPr>
          <w:rFonts w:ascii="Arial" w:hAnsi="Arial" w:cs="Arial"/>
          <w:sz w:val="20"/>
          <w:szCs w:val="20"/>
          <w:lang w:val="sr-Cyrl-RS"/>
        </w:rPr>
        <w:t xml:space="preserve">да се </w:t>
      </w:r>
      <w:r w:rsidR="00C75AD7" w:rsidRPr="0DD3B114">
        <w:rPr>
          <w:rFonts w:ascii="Arial" w:hAnsi="Arial" w:cs="Arial"/>
          <w:sz w:val="20"/>
          <w:szCs w:val="20"/>
          <w:lang w:val="sr-Cyrl-RS"/>
        </w:rPr>
        <w:t>смањи притисак политике (нпр. приликом избора чланова</w:t>
      </w:r>
      <w:r w:rsidR="0004724C" w:rsidRPr="0DD3B114">
        <w:rPr>
          <w:rFonts w:ascii="Arial" w:hAnsi="Arial" w:cs="Arial"/>
          <w:sz w:val="20"/>
          <w:szCs w:val="20"/>
          <w:lang w:val="sr-Cyrl-RS"/>
        </w:rPr>
        <w:t xml:space="preserve"> савета или органа</w:t>
      </w:r>
      <w:r w:rsidR="00C75AD7" w:rsidRPr="0DD3B114">
        <w:rPr>
          <w:rFonts w:ascii="Arial" w:hAnsi="Arial" w:cs="Arial"/>
          <w:sz w:val="20"/>
          <w:szCs w:val="20"/>
          <w:lang w:val="sr-Cyrl-RS"/>
        </w:rPr>
        <w:t>), чиме ће се отворити простор за пуну интеграцију</w:t>
      </w:r>
      <w:r w:rsidR="00D65D92" w:rsidRPr="0DD3B114">
        <w:rPr>
          <w:rFonts w:ascii="Arial" w:hAnsi="Arial" w:cs="Arial"/>
          <w:sz w:val="20"/>
          <w:szCs w:val="20"/>
          <w:lang w:val="sr-Cyrl-RS"/>
        </w:rPr>
        <w:t xml:space="preserve"> МЗ</w:t>
      </w:r>
      <w:r w:rsidR="00C75AD7" w:rsidRPr="0DD3B114">
        <w:rPr>
          <w:rFonts w:ascii="Arial" w:hAnsi="Arial" w:cs="Arial"/>
          <w:sz w:val="20"/>
          <w:szCs w:val="20"/>
          <w:lang w:val="sr-Cyrl-RS"/>
        </w:rPr>
        <w:t xml:space="preserve"> и </w:t>
      </w:r>
      <w:r w:rsidR="00D65D92" w:rsidRPr="0DD3B114">
        <w:rPr>
          <w:rFonts w:ascii="Arial" w:hAnsi="Arial" w:cs="Arial"/>
          <w:sz w:val="20"/>
          <w:szCs w:val="20"/>
          <w:lang w:val="sr-Cyrl-RS"/>
        </w:rPr>
        <w:t xml:space="preserve">њихов </w:t>
      </w:r>
      <w:r w:rsidR="00C75AD7" w:rsidRPr="0DD3B114">
        <w:rPr>
          <w:rFonts w:ascii="Arial" w:hAnsi="Arial" w:cs="Arial"/>
          <w:sz w:val="20"/>
          <w:szCs w:val="20"/>
          <w:lang w:val="sr-Cyrl-RS"/>
        </w:rPr>
        <w:t>допринос развоју система ЛС.</w:t>
      </w:r>
    </w:p>
    <w:p w14:paraId="2E6D26B8" w14:textId="77777777" w:rsidR="00D01759" w:rsidRPr="00A021B7" w:rsidRDefault="00D01759" w:rsidP="0DD3B114">
      <w:pPr>
        <w:ind w:firstLine="720"/>
        <w:contextualSpacing/>
        <w:jc w:val="both"/>
        <w:rPr>
          <w:rFonts w:ascii="Arial" w:hAnsi="Arial" w:cs="Arial"/>
          <w:sz w:val="20"/>
          <w:szCs w:val="20"/>
          <w:lang w:val="sr-Cyrl-RS"/>
        </w:rPr>
      </w:pPr>
    </w:p>
    <w:p w14:paraId="2D422A03" w14:textId="77777777" w:rsidR="00CE205B" w:rsidRPr="00A021B7" w:rsidRDefault="00C75AD7" w:rsidP="004935B9">
      <w:pPr>
        <w:pStyle w:val="Heading3"/>
        <w:rPr>
          <w:noProof w:val="0"/>
          <w:lang w:val="sr-Cyrl-RS"/>
        </w:rPr>
      </w:pPr>
      <w:bookmarkStart w:id="34" w:name="_Toc52865772"/>
      <w:bookmarkStart w:id="35" w:name="_Toc52866183"/>
      <w:bookmarkStart w:id="36" w:name="_Toc56508433"/>
      <w:bookmarkStart w:id="37" w:name="_Toc60136069"/>
      <w:r w:rsidRPr="00A021B7">
        <w:rPr>
          <w:noProof w:val="0"/>
          <w:lang w:val="sr-Cyrl-RS"/>
        </w:rPr>
        <w:t xml:space="preserve">IV.3.2. Организација и рад </w:t>
      </w:r>
      <w:r w:rsidR="0004724C" w:rsidRPr="00A021B7">
        <w:rPr>
          <w:noProof w:val="0"/>
          <w:lang w:val="sr-Cyrl-RS"/>
        </w:rPr>
        <w:t xml:space="preserve">јавних </w:t>
      </w:r>
      <w:r w:rsidRPr="00A021B7">
        <w:rPr>
          <w:noProof w:val="0"/>
          <w:lang w:val="sr-Cyrl-RS"/>
        </w:rPr>
        <w:t xml:space="preserve">установа </w:t>
      </w:r>
      <w:r w:rsidR="00E8158F" w:rsidRPr="00A021B7">
        <w:rPr>
          <w:noProof w:val="0"/>
          <w:lang w:val="sr-Cyrl-RS"/>
        </w:rPr>
        <w:t>које оснива</w:t>
      </w:r>
      <w:r w:rsidR="00561D9E" w:rsidRPr="00A021B7">
        <w:rPr>
          <w:noProof w:val="0"/>
          <w:lang w:val="sr-Cyrl-RS"/>
        </w:rPr>
        <w:t xml:space="preserve"> </w:t>
      </w:r>
      <w:r w:rsidRPr="00A021B7">
        <w:rPr>
          <w:noProof w:val="0"/>
          <w:lang w:val="sr-Cyrl-RS"/>
        </w:rPr>
        <w:t>ЈЛС</w:t>
      </w:r>
      <w:bookmarkEnd w:id="34"/>
      <w:bookmarkEnd w:id="35"/>
      <w:bookmarkEnd w:id="36"/>
      <w:bookmarkEnd w:id="37"/>
    </w:p>
    <w:p w14:paraId="5E5282F0" w14:textId="77777777" w:rsidR="00C75AD7" w:rsidRPr="00A021B7" w:rsidRDefault="00C75AD7" w:rsidP="003E7BC9">
      <w:pPr>
        <w:contextualSpacing/>
        <w:jc w:val="both"/>
        <w:rPr>
          <w:rFonts w:ascii="Arial" w:hAnsi="Arial" w:cs="Arial"/>
          <w:b/>
          <w:bCs/>
          <w:i/>
          <w:iCs/>
          <w:sz w:val="20"/>
          <w:szCs w:val="20"/>
          <w:lang w:val="sr-Cyrl-RS"/>
        </w:rPr>
      </w:pPr>
    </w:p>
    <w:p w14:paraId="1E7626D4" w14:textId="6CA1B18B"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Правни оквир за оснивање и рад установа одређен је Законом о јавним службама</w:t>
      </w:r>
      <w:r w:rsidR="0022198B" w:rsidRPr="0DD3B114">
        <w:rPr>
          <w:rFonts w:ascii="Arial" w:hAnsi="Arial" w:cs="Arial"/>
          <w:sz w:val="20"/>
          <w:szCs w:val="20"/>
          <w:lang w:val="sr-Cyrl-RS"/>
        </w:rPr>
        <w:t>,</w:t>
      </w:r>
      <w:r w:rsidRPr="0DD3B114">
        <w:rPr>
          <w:rFonts w:ascii="Arial" w:hAnsi="Arial" w:cs="Arial"/>
          <w:sz w:val="20"/>
          <w:szCs w:val="20"/>
          <w:lang w:val="sr-Cyrl-RS"/>
        </w:rPr>
        <w:t xml:space="preserve"> </w:t>
      </w:r>
      <w:r w:rsidR="00561D9E" w:rsidRPr="0DD3B114">
        <w:rPr>
          <w:rFonts w:ascii="Arial" w:hAnsi="Arial" w:cs="Arial"/>
          <w:sz w:val="20"/>
          <w:szCs w:val="20"/>
          <w:lang w:val="sr-Cyrl-RS"/>
        </w:rPr>
        <w:t xml:space="preserve">ЗЛС </w:t>
      </w:r>
      <w:r w:rsidRPr="0DD3B114">
        <w:rPr>
          <w:rFonts w:ascii="Arial" w:hAnsi="Arial" w:cs="Arial"/>
          <w:sz w:val="20"/>
          <w:szCs w:val="20"/>
          <w:lang w:val="sr-Cyrl-RS"/>
        </w:rPr>
        <w:t xml:space="preserve">и </w:t>
      </w:r>
      <w:r w:rsidR="0004724C" w:rsidRPr="0DD3B114">
        <w:rPr>
          <w:rFonts w:ascii="Arial" w:hAnsi="Arial" w:cs="Arial"/>
          <w:sz w:val="20"/>
          <w:szCs w:val="20"/>
          <w:lang w:val="sr-Cyrl-RS"/>
        </w:rPr>
        <w:t xml:space="preserve">нарочито детаљно </w:t>
      </w:r>
      <w:r w:rsidRPr="0DD3B114">
        <w:rPr>
          <w:rFonts w:ascii="Arial" w:hAnsi="Arial" w:cs="Arial"/>
          <w:sz w:val="20"/>
          <w:szCs w:val="20"/>
          <w:lang w:val="sr-Cyrl-RS"/>
        </w:rPr>
        <w:t>посебним законима којима се уређују области у којима се могу оснивати установе.</w:t>
      </w:r>
      <w:r w:rsidR="0004724C" w:rsidRPr="0DD3B114">
        <w:rPr>
          <w:rFonts w:ascii="Arial" w:hAnsi="Arial" w:cs="Arial"/>
          <w:sz w:val="20"/>
          <w:szCs w:val="20"/>
          <w:lang w:val="sr-Cyrl-RS"/>
        </w:rPr>
        <w:t xml:space="preserve"> Устав и</w:t>
      </w:r>
      <w:r w:rsidRPr="0DD3B114">
        <w:rPr>
          <w:rFonts w:ascii="Arial" w:hAnsi="Arial" w:cs="Arial"/>
          <w:sz w:val="20"/>
          <w:szCs w:val="20"/>
          <w:lang w:val="sr-Cyrl-RS"/>
        </w:rPr>
        <w:t xml:space="preserve"> </w:t>
      </w:r>
      <w:r w:rsidR="008C4879" w:rsidRPr="0DD3B114">
        <w:rPr>
          <w:rFonts w:ascii="Arial" w:hAnsi="Arial" w:cs="Arial"/>
          <w:sz w:val="20"/>
          <w:szCs w:val="20"/>
          <w:lang w:val="sr-Cyrl-RS"/>
        </w:rPr>
        <w:t xml:space="preserve">ЗЛС </w:t>
      </w:r>
      <w:r w:rsidRPr="0DD3B114">
        <w:rPr>
          <w:rFonts w:ascii="Arial" w:hAnsi="Arial" w:cs="Arial"/>
          <w:sz w:val="20"/>
          <w:szCs w:val="20"/>
          <w:lang w:val="sr-Cyrl-RS"/>
        </w:rPr>
        <w:t>већ у основним одредбама (</w:t>
      </w:r>
      <w:r w:rsidR="008C4879" w:rsidRPr="0DD3B114">
        <w:rPr>
          <w:rFonts w:ascii="Arial" w:hAnsi="Arial" w:cs="Arial"/>
          <w:sz w:val="20"/>
          <w:szCs w:val="20"/>
          <w:lang w:val="sr-Cyrl-RS"/>
        </w:rPr>
        <w:t>чл</w:t>
      </w:r>
      <w:r w:rsidR="0004724C" w:rsidRPr="0DD3B114">
        <w:rPr>
          <w:rFonts w:ascii="Arial" w:hAnsi="Arial" w:cs="Arial"/>
          <w:sz w:val="20"/>
          <w:szCs w:val="20"/>
          <w:lang w:val="sr-Cyrl-RS"/>
        </w:rPr>
        <w:t>ан</w:t>
      </w:r>
      <w:r w:rsidR="008C4879" w:rsidRPr="0DD3B114">
        <w:rPr>
          <w:rFonts w:ascii="Arial" w:hAnsi="Arial" w:cs="Arial"/>
          <w:sz w:val="20"/>
          <w:szCs w:val="20"/>
          <w:lang w:val="sr-Cyrl-RS"/>
        </w:rPr>
        <w:t xml:space="preserve"> </w:t>
      </w:r>
      <w:r w:rsidRPr="0DD3B114">
        <w:rPr>
          <w:rFonts w:ascii="Arial" w:hAnsi="Arial" w:cs="Arial"/>
          <w:sz w:val="20"/>
          <w:szCs w:val="20"/>
          <w:lang w:val="sr-Cyrl-RS"/>
        </w:rPr>
        <w:t>7</w:t>
      </w:r>
      <w:r w:rsidR="00363F9E" w:rsidRPr="0DD3B114">
        <w:rPr>
          <w:rFonts w:ascii="Arial" w:hAnsi="Arial" w:cs="Arial"/>
          <w:sz w:val="20"/>
          <w:szCs w:val="20"/>
          <w:lang w:val="sr-Cyrl-RS"/>
        </w:rPr>
        <w:t>.</w:t>
      </w:r>
      <w:r w:rsidR="008C4879" w:rsidRPr="0DD3B114">
        <w:rPr>
          <w:rFonts w:ascii="Arial" w:hAnsi="Arial" w:cs="Arial"/>
          <w:sz w:val="20"/>
          <w:szCs w:val="20"/>
          <w:lang w:val="sr-Cyrl-RS"/>
        </w:rPr>
        <w:t xml:space="preserve"> ст</w:t>
      </w:r>
      <w:r w:rsidR="0004724C" w:rsidRPr="0DD3B114">
        <w:rPr>
          <w:rFonts w:ascii="Arial" w:hAnsi="Arial" w:cs="Arial"/>
          <w:sz w:val="20"/>
          <w:szCs w:val="20"/>
          <w:lang w:val="sr-Cyrl-RS"/>
        </w:rPr>
        <w:t>ав</w:t>
      </w:r>
      <w:r w:rsidR="008C4879" w:rsidRPr="0DD3B114">
        <w:rPr>
          <w:rFonts w:ascii="Arial" w:hAnsi="Arial" w:cs="Arial"/>
          <w:sz w:val="20"/>
          <w:szCs w:val="20"/>
          <w:lang w:val="sr-Cyrl-RS"/>
        </w:rPr>
        <w:t xml:space="preserve"> </w:t>
      </w:r>
      <w:r w:rsidRPr="0DD3B114">
        <w:rPr>
          <w:rFonts w:ascii="Arial" w:hAnsi="Arial" w:cs="Arial"/>
          <w:sz w:val="20"/>
          <w:szCs w:val="20"/>
          <w:lang w:val="sr-Cyrl-RS"/>
        </w:rPr>
        <w:t>1) дај</w:t>
      </w:r>
      <w:r w:rsidR="00A902D1" w:rsidRPr="0DD3B114">
        <w:rPr>
          <w:rFonts w:ascii="Arial" w:hAnsi="Arial" w:cs="Arial"/>
          <w:sz w:val="20"/>
          <w:szCs w:val="20"/>
          <w:lang w:val="sr-Cyrl-RS"/>
        </w:rPr>
        <w:t>у</w:t>
      </w:r>
      <w:r w:rsidRPr="0DD3B114">
        <w:rPr>
          <w:rFonts w:ascii="Arial" w:hAnsi="Arial" w:cs="Arial"/>
          <w:sz w:val="20"/>
          <w:szCs w:val="20"/>
          <w:lang w:val="sr-Cyrl-RS"/>
        </w:rPr>
        <w:t xml:space="preserve"> генерално овлашћење </w:t>
      </w:r>
      <w:r w:rsidR="00627AE0" w:rsidRPr="0DD3B114">
        <w:rPr>
          <w:rFonts w:ascii="Arial" w:hAnsi="Arial" w:cs="Arial"/>
          <w:sz w:val="20"/>
          <w:szCs w:val="20"/>
          <w:lang w:val="sr-Cyrl-RS"/>
        </w:rPr>
        <w:lastRenderedPageBreak/>
        <w:t xml:space="preserve">ЈЛС </w:t>
      </w:r>
      <w:r w:rsidRPr="0DD3B114">
        <w:rPr>
          <w:rFonts w:ascii="Arial" w:hAnsi="Arial" w:cs="Arial"/>
          <w:sz w:val="20"/>
          <w:szCs w:val="20"/>
          <w:lang w:val="sr-Cyrl-RS"/>
        </w:rPr>
        <w:t>да</w:t>
      </w:r>
      <w:r w:rsidR="00627AE0" w:rsidRPr="0DD3B114">
        <w:rPr>
          <w:rFonts w:ascii="Arial" w:hAnsi="Arial" w:cs="Arial"/>
          <w:sz w:val="20"/>
          <w:szCs w:val="20"/>
          <w:lang w:val="sr-Cyrl-RS"/>
        </w:rPr>
        <w:t xml:space="preserve"> оснивају јавне службе</w:t>
      </w:r>
      <w:r w:rsidRPr="0DD3B114">
        <w:rPr>
          <w:rFonts w:ascii="Arial" w:hAnsi="Arial" w:cs="Arial"/>
          <w:sz w:val="20"/>
          <w:szCs w:val="20"/>
          <w:lang w:val="sr-Cyrl-RS"/>
        </w:rPr>
        <w:t xml:space="preserve"> ради обављања делатности којима се омогућује остваривање права и дужности ЈЛС и задовољавање потреба локалног становништва. </w:t>
      </w:r>
      <w:r w:rsidR="00194F3F" w:rsidRPr="0DD3B114">
        <w:rPr>
          <w:rFonts w:ascii="Arial" w:hAnsi="Arial" w:cs="Arial"/>
          <w:sz w:val="20"/>
          <w:szCs w:val="20"/>
          <w:lang w:val="sr-Cyrl-RS"/>
        </w:rPr>
        <w:t>З</w:t>
      </w:r>
      <w:r w:rsidR="0004724C" w:rsidRPr="0DD3B114">
        <w:rPr>
          <w:rFonts w:ascii="Arial" w:hAnsi="Arial" w:cs="Arial"/>
          <w:sz w:val="20"/>
          <w:szCs w:val="20"/>
          <w:lang w:val="sr-Cyrl-RS"/>
        </w:rPr>
        <w:t>акон о јавним службама</w:t>
      </w:r>
      <w:r w:rsidR="00194F3F" w:rsidRPr="0DD3B114">
        <w:rPr>
          <w:rFonts w:ascii="Arial" w:hAnsi="Arial" w:cs="Arial"/>
          <w:sz w:val="20"/>
          <w:szCs w:val="20"/>
          <w:lang w:val="sr-Cyrl-RS"/>
        </w:rPr>
        <w:t xml:space="preserve"> </w:t>
      </w:r>
      <w:r w:rsidRPr="0DD3B114">
        <w:rPr>
          <w:rFonts w:ascii="Arial" w:hAnsi="Arial" w:cs="Arial"/>
          <w:sz w:val="20"/>
          <w:szCs w:val="20"/>
          <w:lang w:val="sr-Cyrl-RS"/>
        </w:rPr>
        <w:t xml:space="preserve">даје општи оквир за оснивање установе, уређује органе установе, вршење надзора над законитошћу рада установе и услове и надлежност за њено укидање. </w:t>
      </w:r>
      <w:r w:rsidR="00DF6212" w:rsidRPr="0DD3B114">
        <w:rPr>
          <w:rFonts w:ascii="Arial" w:hAnsi="Arial" w:cs="Arial"/>
          <w:sz w:val="20"/>
          <w:szCs w:val="20"/>
          <w:lang w:val="sr-Cyrl-RS"/>
        </w:rPr>
        <w:t>З</w:t>
      </w:r>
      <w:r w:rsidR="0004724C" w:rsidRPr="0DD3B114">
        <w:rPr>
          <w:rFonts w:ascii="Arial" w:hAnsi="Arial" w:cs="Arial"/>
          <w:sz w:val="20"/>
          <w:szCs w:val="20"/>
          <w:lang w:val="sr-Cyrl-RS"/>
        </w:rPr>
        <w:t>акон о јавним службама</w:t>
      </w:r>
      <w:r w:rsidR="00DF6212" w:rsidRPr="0DD3B114">
        <w:rPr>
          <w:rFonts w:ascii="Arial" w:hAnsi="Arial" w:cs="Arial"/>
          <w:sz w:val="20"/>
          <w:szCs w:val="20"/>
          <w:lang w:val="sr-Cyrl-RS"/>
        </w:rPr>
        <w:t xml:space="preserve"> </w:t>
      </w:r>
      <w:r w:rsidRPr="0DD3B114">
        <w:rPr>
          <w:rFonts w:ascii="Arial" w:hAnsi="Arial" w:cs="Arial"/>
          <w:sz w:val="20"/>
          <w:szCs w:val="20"/>
          <w:lang w:val="sr-Cyrl-RS"/>
        </w:rPr>
        <w:t xml:space="preserve">у </w:t>
      </w:r>
      <w:r w:rsidR="00DF6212" w:rsidRPr="0DD3B114">
        <w:rPr>
          <w:rFonts w:ascii="Arial" w:hAnsi="Arial" w:cs="Arial"/>
          <w:sz w:val="20"/>
          <w:szCs w:val="20"/>
          <w:lang w:val="sr-Cyrl-RS"/>
        </w:rPr>
        <w:t>чл</w:t>
      </w:r>
      <w:r w:rsidR="0004724C" w:rsidRPr="0DD3B114">
        <w:rPr>
          <w:rFonts w:ascii="Arial" w:hAnsi="Arial" w:cs="Arial"/>
          <w:sz w:val="20"/>
          <w:szCs w:val="20"/>
          <w:lang w:val="sr-Cyrl-RS"/>
        </w:rPr>
        <w:t>ану</w:t>
      </w:r>
      <w:r w:rsidR="00DF6212" w:rsidRPr="0DD3B114">
        <w:rPr>
          <w:rFonts w:ascii="Arial" w:hAnsi="Arial" w:cs="Arial"/>
          <w:sz w:val="20"/>
          <w:szCs w:val="20"/>
          <w:lang w:val="sr-Cyrl-RS"/>
        </w:rPr>
        <w:t xml:space="preserve"> </w:t>
      </w:r>
      <w:r w:rsidRPr="0DD3B114">
        <w:rPr>
          <w:rFonts w:ascii="Arial" w:hAnsi="Arial" w:cs="Arial"/>
          <w:sz w:val="20"/>
          <w:szCs w:val="20"/>
          <w:lang w:val="sr-Cyrl-RS"/>
        </w:rPr>
        <w:t>3. дефинише да се установе оснивају ради обезбеђивања остваривања права утврђених законом и остваривања другог законом утврђеног интереса у области</w:t>
      </w:r>
      <w:r w:rsidR="00DF6212" w:rsidRPr="0DD3B114">
        <w:rPr>
          <w:rFonts w:ascii="Arial" w:hAnsi="Arial" w:cs="Arial"/>
          <w:sz w:val="20"/>
          <w:szCs w:val="20"/>
          <w:lang w:val="sr-Cyrl-RS"/>
        </w:rPr>
        <w:t>ма</w:t>
      </w:r>
      <w:r w:rsidRPr="0DD3B114">
        <w:rPr>
          <w:rFonts w:ascii="Arial" w:hAnsi="Arial" w:cs="Arial"/>
          <w:sz w:val="20"/>
          <w:szCs w:val="20"/>
          <w:lang w:val="sr-Cyrl-RS"/>
        </w:rPr>
        <w:t xml:space="preserve"> образовања, науке, културе, физичке културе, ученичког и студентског стандарда, здравствене заштите, социјалне заштите, друштвене бриге о деци, социјалног осигурања </w:t>
      </w:r>
      <w:r w:rsidR="00201569" w:rsidRPr="0DD3B114">
        <w:rPr>
          <w:rFonts w:ascii="Arial" w:hAnsi="Arial" w:cs="Arial"/>
          <w:sz w:val="20"/>
          <w:szCs w:val="20"/>
          <w:lang w:val="sr-Cyrl-RS"/>
        </w:rPr>
        <w:t xml:space="preserve">и </w:t>
      </w:r>
      <w:r w:rsidRPr="0DD3B114">
        <w:rPr>
          <w:rFonts w:ascii="Arial" w:hAnsi="Arial" w:cs="Arial"/>
          <w:sz w:val="20"/>
          <w:szCs w:val="20"/>
          <w:lang w:val="sr-Cyrl-RS"/>
        </w:rPr>
        <w:t xml:space="preserve">здравствене заштите животиња. </w:t>
      </w:r>
      <w:r w:rsidR="00201569" w:rsidRPr="0DD3B114">
        <w:rPr>
          <w:rFonts w:ascii="Arial" w:hAnsi="Arial" w:cs="Arial"/>
          <w:sz w:val="20"/>
          <w:szCs w:val="20"/>
          <w:lang w:val="sr-Cyrl-RS"/>
        </w:rPr>
        <w:t xml:space="preserve">Пошто </w:t>
      </w:r>
      <w:r w:rsidRPr="0DD3B114">
        <w:rPr>
          <w:rFonts w:ascii="Arial" w:hAnsi="Arial" w:cs="Arial"/>
          <w:sz w:val="20"/>
          <w:szCs w:val="20"/>
          <w:lang w:val="sr-Cyrl-RS"/>
        </w:rPr>
        <w:t xml:space="preserve">ЗЛС предвиђа да скупштина именује и разрешава управни и надзорни одбор и директора установа чији је оснивач и даје сагласност на њихова статуте, у складу са законом, одредбе ЗЛС не могу </w:t>
      </w:r>
      <w:r w:rsidR="000C467B" w:rsidRPr="0DD3B114">
        <w:rPr>
          <w:rFonts w:ascii="Arial" w:hAnsi="Arial" w:cs="Arial"/>
          <w:sz w:val="20"/>
          <w:szCs w:val="20"/>
          <w:lang w:val="sr-Cyrl-RS"/>
        </w:rPr>
        <w:t xml:space="preserve">се </w:t>
      </w:r>
      <w:r w:rsidRPr="0DD3B114">
        <w:rPr>
          <w:rFonts w:ascii="Arial" w:hAnsi="Arial" w:cs="Arial"/>
          <w:sz w:val="20"/>
          <w:szCs w:val="20"/>
          <w:lang w:val="sr-Cyrl-RS"/>
        </w:rPr>
        <w:t xml:space="preserve">непосредно применити </w:t>
      </w:r>
      <w:r w:rsidR="00A902D1" w:rsidRPr="0DD3B114">
        <w:rPr>
          <w:rFonts w:ascii="Arial" w:hAnsi="Arial" w:cs="Arial"/>
          <w:sz w:val="20"/>
          <w:szCs w:val="20"/>
          <w:lang w:val="sr-Cyrl-RS"/>
        </w:rPr>
        <w:t>кад је реч о</w:t>
      </w:r>
      <w:r w:rsidRPr="0DD3B114">
        <w:rPr>
          <w:rFonts w:ascii="Arial" w:hAnsi="Arial" w:cs="Arial"/>
          <w:sz w:val="20"/>
          <w:szCs w:val="20"/>
          <w:lang w:val="sr-Cyrl-RS"/>
        </w:rPr>
        <w:t xml:space="preserve"> могућности оснивања, као и обим</w:t>
      </w:r>
      <w:r w:rsidR="00A902D1" w:rsidRPr="0DD3B114">
        <w:rPr>
          <w:rFonts w:ascii="Arial" w:hAnsi="Arial" w:cs="Arial"/>
          <w:sz w:val="20"/>
          <w:szCs w:val="20"/>
          <w:lang w:val="sr-Cyrl-RS"/>
        </w:rPr>
        <w:t>у</w:t>
      </w:r>
      <w:r w:rsidRPr="0DD3B114">
        <w:rPr>
          <w:rFonts w:ascii="Arial" w:hAnsi="Arial" w:cs="Arial"/>
          <w:sz w:val="20"/>
          <w:szCs w:val="20"/>
          <w:lang w:val="sr-Cyrl-RS"/>
        </w:rPr>
        <w:t xml:space="preserve"> и садржин</w:t>
      </w:r>
      <w:r w:rsidR="00A902D1" w:rsidRPr="0DD3B114">
        <w:rPr>
          <w:rFonts w:ascii="Arial" w:hAnsi="Arial" w:cs="Arial"/>
          <w:sz w:val="20"/>
          <w:szCs w:val="20"/>
          <w:lang w:val="sr-Cyrl-RS"/>
        </w:rPr>
        <w:t>и</w:t>
      </w:r>
      <w:r w:rsidRPr="0DD3B114">
        <w:rPr>
          <w:rFonts w:ascii="Arial" w:hAnsi="Arial" w:cs="Arial"/>
          <w:sz w:val="20"/>
          <w:szCs w:val="20"/>
          <w:lang w:val="sr-Cyrl-RS"/>
        </w:rPr>
        <w:t xml:space="preserve"> права оснивача која остварује скупштина, већ овај закон упућује на законе којима су уређене наведене области.</w:t>
      </w:r>
    </w:p>
    <w:p w14:paraId="35BC4D3C" w14:textId="77777777" w:rsidR="00C75AD7" w:rsidRPr="00A021B7" w:rsidRDefault="00C75AD7" w:rsidP="0DD3B114">
      <w:pPr>
        <w:ind w:firstLine="720"/>
        <w:rPr>
          <w:rFonts w:ascii="Arial" w:hAnsi="Arial" w:cs="Arial"/>
          <w:sz w:val="20"/>
          <w:szCs w:val="20"/>
          <w:lang w:val="sr-Cyrl-RS"/>
        </w:rPr>
      </w:pPr>
    </w:p>
    <w:p w14:paraId="13EBD5CF" w14:textId="4C911684" w:rsidR="00C75AD7"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У раду</w:t>
      </w:r>
      <w:r w:rsidR="0004724C" w:rsidRPr="0DD3B114">
        <w:rPr>
          <w:rFonts w:ascii="Arial" w:hAnsi="Arial" w:cs="Arial"/>
          <w:sz w:val="20"/>
          <w:szCs w:val="20"/>
          <w:lang w:val="sr-Cyrl-RS"/>
        </w:rPr>
        <w:t xml:space="preserve"> локалних јавних</w:t>
      </w:r>
      <w:r w:rsidRPr="0DD3B114">
        <w:rPr>
          <w:rFonts w:ascii="Arial" w:hAnsi="Arial" w:cs="Arial"/>
          <w:sz w:val="20"/>
          <w:szCs w:val="20"/>
          <w:lang w:val="sr-Cyrl-RS"/>
        </w:rPr>
        <w:t xml:space="preserve"> установа дефинисан је</w:t>
      </w:r>
      <w:r w:rsidR="00A902D1" w:rsidRPr="0DD3B114">
        <w:rPr>
          <w:rFonts w:ascii="Arial" w:hAnsi="Arial" w:cs="Arial"/>
          <w:sz w:val="20"/>
          <w:szCs w:val="20"/>
          <w:lang w:val="sr-Cyrl-RS"/>
        </w:rPr>
        <w:t>,</w:t>
      </w:r>
      <w:r w:rsidRPr="0DD3B114">
        <w:rPr>
          <w:rFonts w:ascii="Arial" w:hAnsi="Arial" w:cs="Arial"/>
          <w:sz w:val="20"/>
          <w:szCs w:val="20"/>
          <w:lang w:val="sr-Cyrl-RS"/>
        </w:rPr>
        <w:t xml:space="preserve"> у првом реду</w:t>
      </w:r>
      <w:r w:rsidR="00A902D1" w:rsidRPr="0DD3B114">
        <w:rPr>
          <w:rFonts w:ascii="Arial" w:hAnsi="Arial" w:cs="Arial"/>
          <w:sz w:val="20"/>
          <w:szCs w:val="20"/>
          <w:lang w:val="sr-Cyrl-RS"/>
        </w:rPr>
        <w:t>,</w:t>
      </w:r>
      <w:r w:rsidRPr="0DD3B114">
        <w:rPr>
          <w:rFonts w:ascii="Arial" w:hAnsi="Arial" w:cs="Arial"/>
          <w:sz w:val="20"/>
          <w:szCs w:val="20"/>
          <w:lang w:val="sr-Cyrl-RS"/>
        </w:rPr>
        <w:t xml:space="preserve"> проблем преплитања надлежности између државних органа и органа локалне самоуправе. То је изражено у два најважнија питања </w:t>
      </w:r>
      <w:r w:rsidR="00F96D18" w:rsidRPr="0DD3B114">
        <w:rPr>
          <w:rFonts w:ascii="Arial" w:hAnsi="Arial" w:cs="Arial"/>
          <w:sz w:val="20"/>
          <w:szCs w:val="20"/>
          <w:lang w:val="sr-Cyrl-RS"/>
        </w:rPr>
        <w:t>у вези са</w:t>
      </w:r>
      <w:r w:rsidRPr="0DD3B114">
        <w:rPr>
          <w:rFonts w:ascii="Arial" w:hAnsi="Arial" w:cs="Arial"/>
          <w:sz w:val="20"/>
          <w:szCs w:val="20"/>
          <w:lang w:val="sr-Cyrl-RS"/>
        </w:rPr>
        <w:t xml:space="preserve"> функционисање</w:t>
      </w:r>
      <w:r w:rsidR="00F96D18" w:rsidRPr="0DD3B114">
        <w:rPr>
          <w:rFonts w:ascii="Arial" w:hAnsi="Arial" w:cs="Arial"/>
          <w:sz w:val="20"/>
          <w:szCs w:val="20"/>
          <w:lang w:val="sr-Cyrl-RS"/>
        </w:rPr>
        <w:t>м</w:t>
      </w:r>
      <w:r w:rsidRPr="0DD3B114">
        <w:rPr>
          <w:rFonts w:ascii="Arial" w:hAnsi="Arial" w:cs="Arial"/>
          <w:sz w:val="20"/>
          <w:szCs w:val="20"/>
          <w:lang w:val="sr-Cyrl-RS"/>
        </w:rPr>
        <w:t xml:space="preserve"> било ког организационог облика, а то су управљање установом и њено финансирање. Наиме, законска регулатива за поједине области</w:t>
      </w:r>
      <w:r w:rsidR="00607F5D" w:rsidRPr="0DD3B114">
        <w:rPr>
          <w:rFonts w:ascii="Arial" w:hAnsi="Arial" w:cs="Arial"/>
          <w:sz w:val="20"/>
          <w:szCs w:val="20"/>
          <w:lang w:val="sr-Cyrl-RS"/>
        </w:rPr>
        <w:t>,</w:t>
      </w:r>
      <w:r w:rsidRPr="0DD3B114">
        <w:rPr>
          <w:rFonts w:ascii="Arial" w:hAnsi="Arial" w:cs="Arial"/>
          <w:sz w:val="20"/>
          <w:szCs w:val="20"/>
          <w:lang w:val="sr-Cyrl-RS"/>
        </w:rPr>
        <w:t xml:space="preserve"> </w:t>
      </w:r>
      <w:r w:rsidR="00842424" w:rsidRPr="0DD3B114">
        <w:rPr>
          <w:rFonts w:ascii="Arial" w:hAnsi="Arial" w:cs="Arial"/>
          <w:sz w:val="20"/>
          <w:szCs w:val="20"/>
          <w:lang w:val="sr-Cyrl-RS"/>
        </w:rPr>
        <w:t>попут социјалне заштите</w:t>
      </w:r>
      <w:r w:rsidRPr="0DD3B114">
        <w:rPr>
          <w:rFonts w:ascii="Arial" w:hAnsi="Arial" w:cs="Arial"/>
          <w:sz w:val="20"/>
          <w:szCs w:val="20"/>
          <w:lang w:val="sr-Cyrl-RS"/>
        </w:rPr>
        <w:t>, предвиђа да установу (центар за социјални рад) оснива ЈЛС, да она поставља и носиоце управљачких функција (уз сагласност ресорног министарства)</w:t>
      </w:r>
      <w:r w:rsidR="00FC1D1F" w:rsidRPr="0DD3B114">
        <w:rPr>
          <w:rFonts w:ascii="Arial" w:hAnsi="Arial" w:cs="Arial"/>
          <w:sz w:val="20"/>
          <w:szCs w:val="20"/>
          <w:lang w:val="sr-Cyrl-RS"/>
        </w:rPr>
        <w:t>,</w:t>
      </w:r>
      <w:r w:rsidRPr="0DD3B114">
        <w:rPr>
          <w:rFonts w:ascii="Arial" w:hAnsi="Arial" w:cs="Arial"/>
          <w:sz w:val="20"/>
          <w:szCs w:val="20"/>
          <w:lang w:val="sr-Cyrl-RS"/>
        </w:rPr>
        <w:t xml:space="preserve"> док се финансирање зарада запослених и основне делатности установе врши из буџета Републике Србије. Присутна је и обрнута ситуација, да се зарада и делатности </w:t>
      </w:r>
      <w:r w:rsidR="000F2C15" w:rsidRPr="0DD3B114">
        <w:rPr>
          <w:rFonts w:ascii="Arial" w:hAnsi="Arial" w:cs="Arial"/>
          <w:sz w:val="20"/>
          <w:szCs w:val="20"/>
          <w:lang w:val="sr-Cyrl-RS"/>
        </w:rPr>
        <w:t xml:space="preserve">финансирају </w:t>
      </w:r>
      <w:r w:rsidRPr="0DD3B114">
        <w:rPr>
          <w:rFonts w:ascii="Arial" w:hAnsi="Arial" w:cs="Arial"/>
          <w:sz w:val="20"/>
          <w:szCs w:val="20"/>
          <w:lang w:val="sr-Cyrl-RS"/>
        </w:rPr>
        <w:t xml:space="preserve">из буџета ЈЛС, а да се </w:t>
      </w:r>
      <w:r w:rsidR="000427F2" w:rsidRPr="0DD3B114">
        <w:rPr>
          <w:rFonts w:ascii="Arial" w:hAnsi="Arial" w:cs="Arial"/>
          <w:sz w:val="20"/>
          <w:szCs w:val="20"/>
          <w:lang w:val="sr-Cyrl-RS"/>
        </w:rPr>
        <w:t xml:space="preserve">носиоце </w:t>
      </w:r>
      <w:r w:rsidRPr="0DD3B114">
        <w:rPr>
          <w:rFonts w:ascii="Arial" w:hAnsi="Arial" w:cs="Arial"/>
          <w:sz w:val="20"/>
          <w:szCs w:val="20"/>
          <w:lang w:val="sr-Cyrl-RS"/>
        </w:rPr>
        <w:t xml:space="preserve">управљачких функција постављају </w:t>
      </w:r>
      <w:r w:rsidR="000427F2" w:rsidRPr="0DD3B114">
        <w:rPr>
          <w:rFonts w:ascii="Arial" w:hAnsi="Arial" w:cs="Arial"/>
          <w:sz w:val="20"/>
          <w:szCs w:val="20"/>
          <w:lang w:val="sr-Cyrl-RS"/>
        </w:rPr>
        <w:t xml:space="preserve">органи </w:t>
      </w:r>
      <w:r w:rsidRPr="0DD3B114">
        <w:rPr>
          <w:rFonts w:ascii="Arial" w:hAnsi="Arial" w:cs="Arial"/>
          <w:sz w:val="20"/>
          <w:szCs w:val="20"/>
          <w:lang w:val="sr-Cyrl-RS"/>
        </w:rPr>
        <w:t xml:space="preserve">Републике или </w:t>
      </w:r>
      <w:r w:rsidR="000106F5" w:rsidRPr="0DD3B114">
        <w:rPr>
          <w:rFonts w:ascii="Arial" w:hAnsi="Arial" w:cs="Arial"/>
          <w:sz w:val="20"/>
          <w:szCs w:val="20"/>
          <w:lang w:val="sr-Cyrl-RS"/>
        </w:rPr>
        <w:t xml:space="preserve">пак дају </w:t>
      </w:r>
      <w:r w:rsidRPr="0DD3B114">
        <w:rPr>
          <w:rFonts w:ascii="Arial" w:hAnsi="Arial" w:cs="Arial"/>
          <w:sz w:val="20"/>
          <w:szCs w:val="20"/>
          <w:lang w:val="sr-Cyrl-RS"/>
        </w:rPr>
        <w:t>сагласност на њихов избор (нпр. код библиотечко-информационе делатност</w:t>
      </w:r>
      <w:r w:rsidR="00F96D18" w:rsidRPr="0DD3B114">
        <w:rPr>
          <w:rFonts w:ascii="Arial" w:hAnsi="Arial" w:cs="Arial"/>
          <w:sz w:val="20"/>
          <w:szCs w:val="20"/>
          <w:lang w:val="sr-Cyrl-RS"/>
        </w:rPr>
        <w:t>и</w:t>
      </w:r>
      <w:r w:rsidRPr="0DD3B114">
        <w:rPr>
          <w:rFonts w:ascii="Arial" w:hAnsi="Arial" w:cs="Arial"/>
          <w:sz w:val="20"/>
          <w:szCs w:val="20"/>
          <w:lang w:val="sr-Cyrl-RS"/>
        </w:rPr>
        <w:t>, формирања заједничке јединице за интерну ревизију или предшколске установе). Овако утврђене надлежности републичких и локалних органа често доводе до конфузије, па и застоја у раду установа.</w:t>
      </w:r>
    </w:p>
    <w:p w14:paraId="597625F6" w14:textId="77777777" w:rsidR="00C75AD7" w:rsidRPr="00A021B7" w:rsidRDefault="00C75AD7" w:rsidP="0DD3B114">
      <w:pPr>
        <w:ind w:firstLine="720"/>
        <w:jc w:val="both"/>
        <w:rPr>
          <w:rFonts w:ascii="Arial" w:hAnsi="Arial" w:cs="Arial"/>
          <w:sz w:val="20"/>
          <w:szCs w:val="20"/>
          <w:lang w:val="sr-Cyrl-RS"/>
        </w:rPr>
      </w:pPr>
    </w:p>
    <w:p w14:paraId="249B3E50" w14:textId="33326B2B" w:rsidR="00C75AD7" w:rsidRPr="00A021B7" w:rsidRDefault="32B86406" w:rsidP="0DD3B114">
      <w:pPr>
        <w:ind w:firstLine="720"/>
        <w:jc w:val="both"/>
        <w:rPr>
          <w:rFonts w:ascii="Arial" w:hAnsi="Arial" w:cs="Arial"/>
          <w:sz w:val="20"/>
          <w:szCs w:val="20"/>
          <w:lang w:val="sr-Cyrl-RS"/>
        </w:rPr>
      </w:pPr>
      <w:r w:rsidRPr="0DD3B114">
        <w:rPr>
          <w:rFonts w:ascii="Arial" w:hAnsi="Arial" w:cs="Arial"/>
          <w:sz w:val="20"/>
          <w:szCs w:val="20"/>
          <w:lang w:val="sr-Cyrl-RS"/>
        </w:rPr>
        <w:t>Одређени проблем представља надзорна функција органа локалне самоуправе према установама. Приликом разматрања кварталних и годишњих извештаја јавних предузећа и установа, фокус је обично на извештајима јавних предузећа, док се по правилу о извештајима установа мало расправља. Без обзира на чињеницу да су средст</w:t>
      </w:r>
      <w:r w:rsidR="479A8BEE" w:rsidRPr="0DD3B114">
        <w:rPr>
          <w:rFonts w:ascii="Arial" w:hAnsi="Arial" w:cs="Arial"/>
          <w:sz w:val="20"/>
          <w:szCs w:val="20"/>
          <w:lang w:val="sr-Cyrl-RS"/>
        </w:rPr>
        <w:t>ва</w:t>
      </w:r>
      <w:r w:rsidRPr="0DD3B114">
        <w:rPr>
          <w:rFonts w:ascii="Arial" w:hAnsi="Arial" w:cs="Arial"/>
          <w:sz w:val="20"/>
          <w:szCs w:val="20"/>
          <w:lang w:val="sr-Cyrl-RS"/>
        </w:rPr>
        <w:t xml:space="preserve"> намењена установама </w:t>
      </w:r>
      <w:r w:rsidR="00A902D1" w:rsidRPr="0DD3B114">
        <w:rPr>
          <w:rFonts w:ascii="Arial" w:hAnsi="Arial" w:cs="Arial"/>
          <w:sz w:val="20"/>
          <w:szCs w:val="20"/>
          <w:lang w:val="sr-Cyrl-RS"/>
        </w:rPr>
        <w:t xml:space="preserve">знатно </w:t>
      </w:r>
      <w:r w:rsidRPr="0DD3B114">
        <w:rPr>
          <w:rFonts w:ascii="Arial" w:hAnsi="Arial" w:cs="Arial"/>
          <w:sz w:val="20"/>
          <w:szCs w:val="20"/>
          <w:lang w:val="sr-Cyrl-RS"/>
        </w:rPr>
        <w:t>мања од средстава којима располажу јавна предузећа, установе су важне јавне службе, преко којих грађани задовољавају своје потребе у разним областима. Из тог разлога,</w:t>
      </w:r>
      <w:r w:rsidR="512CDFFD" w:rsidRPr="0DD3B114">
        <w:rPr>
          <w:rFonts w:ascii="Arial" w:hAnsi="Arial" w:cs="Arial"/>
          <w:sz w:val="20"/>
          <w:szCs w:val="20"/>
          <w:lang w:val="sr-Cyrl-RS"/>
        </w:rPr>
        <w:t xml:space="preserve"> </w:t>
      </w:r>
      <w:r w:rsidR="00A902D1" w:rsidRPr="0DD3B114">
        <w:rPr>
          <w:rFonts w:ascii="Arial" w:hAnsi="Arial" w:cs="Arial"/>
          <w:sz w:val="20"/>
          <w:szCs w:val="20"/>
          <w:lang w:val="sr-Cyrl-RS"/>
        </w:rPr>
        <w:t xml:space="preserve">требало би да </w:t>
      </w:r>
      <w:r w:rsidRPr="0DD3B114">
        <w:rPr>
          <w:rFonts w:ascii="Arial" w:hAnsi="Arial" w:cs="Arial"/>
          <w:sz w:val="20"/>
          <w:szCs w:val="20"/>
          <w:lang w:val="sr-Cyrl-RS"/>
        </w:rPr>
        <w:t>интересовање</w:t>
      </w:r>
      <w:r w:rsidR="00A902D1" w:rsidRPr="0DD3B114">
        <w:rPr>
          <w:rFonts w:ascii="Arial" w:hAnsi="Arial" w:cs="Arial"/>
          <w:sz w:val="20"/>
          <w:szCs w:val="20"/>
          <w:lang w:val="sr-Cyrl-RS"/>
        </w:rPr>
        <w:t xml:space="preserve"> буде веће,</w:t>
      </w:r>
      <w:r w:rsidRPr="0DD3B114">
        <w:rPr>
          <w:rFonts w:ascii="Arial" w:hAnsi="Arial" w:cs="Arial"/>
          <w:sz w:val="20"/>
          <w:szCs w:val="20"/>
          <w:lang w:val="sr-Cyrl-RS"/>
        </w:rPr>
        <w:t xml:space="preserve"> </w:t>
      </w:r>
      <w:r w:rsidR="00A902D1" w:rsidRPr="0DD3B114">
        <w:rPr>
          <w:rFonts w:ascii="Arial" w:hAnsi="Arial" w:cs="Arial"/>
          <w:sz w:val="20"/>
          <w:szCs w:val="20"/>
          <w:lang w:val="sr-Cyrl-RS"/>
        </w:rPr>
        <w:t>а</w:t>
      </w:r>
      <w:r w:rsidRPr="0DD3B114">
        <w:rPr>
          <w:rFonts w:ascii="Arial" w:hAnsi="Arial" w:cs="Arial"/>
          <w:sz w:val="20"/>
          <w:szCs w:val="20"/>
          <w:lang w:val="sr-Cyrl-RS"/>
        </w:rPr>
        <w:t xml:space="preserve"> надзор над радом установа озбиљниј</w:t>
      </w:r>
      <w:r w:rsidR="00A902D1" w:rsidRPr="0DD3B114">
        <w:rPr>
          <w:rFonts w:ascii="Arial" w:hAnsi="Arial" w:cs="Arial"/>
          <w:sz w:val="20"/>
          <w:szCs w:val="20"/>
          <w:lang w:val="sr-Cyrl-RS"/>
        </w:rPr>
        <w:t>и</w:t>
      </w:r>
      <w:r w:rsidRPr="0DD3B114">
        <w:rPr>
          <w:rFonts w:ascii="Arial" w:hAnsi="Arial" w:cs="Arial"/>
          <w:sz w:val="20"/>
          <w:szCs w:val="20"/>
          <w:lang w:val="sr-Cyrl-RS"/>
        </w:rPr>
        <w:t xml:space="preserve"> и учесталиј</w:t>
      </w:r>
      <w:r w:rsidR="00A902D1" w:rsidRPr="0DD3B114">
        <w:rPr>
          <w:rFonts w:ascii="Arial" w:hAnsi="Arial" w:cs="Arial"/>
          <w:sz w:val="20"/>
          <w:szCs w:val="20"/>
          <w:lang w:val="sr-Cyrl-RS"/>
        </w:rPr>
        <w:t>и</w:t>
      </w:r>
      <w:r w:rsidRPr="0DD3B114">
        <w:rPr>
          <w:rFonts w:ascii="Arial" w:hAnsi="Arial" w:cs="Arial"/>
          <w:sz w:val="20"/>
          <w:szCs w:val="20"/>
          <w:lang w:val="sr-Cyrl-RS"/>
        </w:rPr>
        <w:t xml:space="preserve">, а само извештавање би требало да садржи детаљније податке о резултатима у реализацији програма. </w:t>
      </w:r>
      <w:r w:rsidR="4EC9F1E7" w:rsidRPr="0DD3B114">
        <w:rPr>
          <w:rFonts w:ascii="Arial" w:hAnsi="Arial" w:cs="Arial"/>
          <w:sz w:val="20"/>
          <w:szCs w:val="20"/>
          <w:lang w:val="sr-Cyrl-RS"/>
        </w:rPr>
        <w:t xml:space="preserve">Однос </w:t>
      </w:r>
      <w:r w:rsidRPr="0DD3B114">
        <w:rPr>
          <w:rFonts w:ascii="Arial" w:hAnsi="Arial" w:cs="Arial"/>
          <w:sz w:val="20"/>
          <w:szCs w:val="20"/>
          <w:lang w:val="sr-Cyrl-RS"/>
        </w:rPr>
        <w:t xml:space="preserve">органа ЈЛС према установама може </w:t>
      </w:r>
      <w:r w:rsidR="4EC9F1E7" w:rsidRPr="0DD3B114">
        <w:rPr>
          <w:rFonts w:ascii="Arial" w:hAnsi="Arial" w:cs="Arial"/>
          <w:sz w:val="20"/>
          <w:szCs w:val="20"/>
          <w:lang w:val="sr-Cyrl-RS"/>
        </w:rPr>
        <w:t xml:space="preserve">се </w:t>
      </w:r>
      <w:r w:rsidRPr="0DD3B114">
        <w:rPr>
          <w:rFonts w:ascii="Arial" w:hAnsi="Arial" w:cs="Arial"/>
          <w:sz w:val="20"/>
          <w:szCs w:val="20"/>
          <w:lang w:val="sr-Cyrl-RS"/>
        </w:rPr>
        <w:t>оценити као типизиран и некреативан</w:t>
      </w:r>
      <w:r w:rsidR="4145417D" w:rsidRPr="0DD3B114">
        <w:rPr>
          <w:rFonts w:ascii="Arial" w:hAnsi="Arial" w:cs="Arial"/>
          <w:sz w:val="20"/>
          <w:szCs w:val="20"/>
          <w:lang w:val="sr-Cyrl-RS"/>
        </w:rPr>
        <w:t xml:space="preserve">, што </w:t>
      </w:r>
      <w:r w:rsidRPr="0DD3B114">
        <w:rPr>
          <w:rFonts w:ascii="Arial" w:hAnsi="Arial" w:cs="Arial"/>
          <w:sz w:val="20"/>
          <w:szCs w:val="20"/>
          <w:lang w:val="sr-Cyrl-RS"/>
        </w:rPr>
        <w:t xml:space="preserve">се заснива на чињеници да </w:t>
      </w:r>
      <w:r w:rsidR="4145417D" w:rsidRPr="0DD3B114">
        <w:rPr>
          <w:rFonts w:ascii="Arial" w:hAnsi="Arial" w:cs="Arial"/>
          <w:sz w:val="20"/>
          <w:szCs w:val="20"/>
          <w:lang w:val="sr-Cyrl-RS"/>
        </w:rPr>
        <w:t xml:space="preserve">се </w:t>
      </w:r>
      <w:r w:rsidRPr="0DD3B114">
        <w:rPr>
          <w:rFonts w:ascii="Arial" w:hAnsi="Arial" w:cs="Arial"/>
          <w:sz w:val="20"/>
          <w:szCs w:val="20"/>
          <w:lang w:val="sr-Cyrl-RS"/>
        </w:rPr>
        <w:t xml:space="preserve">планови рада установа преписују из године у годину, </w:t>
      </w:r>
      <w:r w:rsidR="558DEC9A" w:rsidRPr="0DD3B114">
        <w:rPr>
          <w:rFonts w:ascii="Arial" w:hAnsi="Arial" w:cs="Arial"/>
          <w:sz w:val="20"/>
          <w:szCs w:val="20"/>
          <w:lang w:val="sr-Cyrl-RS"/>
        </w:rPr>
        <w:t xml:space="preserve">а последица тога јесте </w:t>
      </w:r>
      <w:r w:rsidRPr="0DD3B114">
        <w:rPr>
          <w:rFonts w:ascii="Arial" w:hAnsi="Arial" w:cs="Arial"/>
          <w:sz w:val="20"/>
          <w:szCs w:val="20"/>
          <w:lang w:val="sr-Cyrl-RS"/>
        </w:rPr>
        <w:t xml:space="preserve">да </w:t>
      </w:r>
      <w:r w:rsidR="558DEC9A" w:rsidRPr="0DD3B114">
        <w:rPr>
          <w:rFonts w:ascii="Arial" w:hAnsi="Arial" w:cs="Arial"/>
          <w:sz w:val="20"/>
          <w:szCs w:val="20"/>
          <w:lang w:val="sr-Cyrl-RS"/>
        </w:rPr>
        <w:t xml:space="preserve">се </w:t>
      </w:r>
      <w:r w:rsidRPr="0DD3B114">
        <w:rPr>
          <w:rFonts w:ascii="Arial" w:hAnsi="Arial" w:cs="Arial"/>
          <w:sz w:val="20"/>
          <w:szCs w:val="20"/>
          <w:lang w:val="sr-Cyrl-RS"/>
        </w:rPr>
        <w:t xml:space="preserve">њихов рад </w:t>
      </w:r>
      <w:r w:rsidR="558DEC9A" w:rsidRPr="0DD3B114">
        <w:rPr>
          <w:rFonts w:ascii="Arial" w:hAnsi="Arial" w:cs="Arial"/>
          <w:sz w:val="20"/>
          <w:szCs w:val="20"/>
          <w:lang w:val="sr-Cyrl-RS"/>
        </w:rPr>
        <w:t xml:space="preserve">суштински </w:t>
      </w:r>
      <w:r w:rsidRPr="0DD3B114">
        <w:rPr>
          <w:rFonts w:ascii="Arial" w:hAnsi="Arial" w:cs="Arial"/>
          <w:sz w:val="20"/>
          <w:szCs w:val="20"/>
          <w:lang w:val="sr-Cyrl-RS"/>
        </w:rPr>
        <w:t>своди искључиво на обављање основне делатности. Средства која оснивач</w:t>
      </w:r>
      <w:r w:rsidR="00A902D1" w:rsidRPr="0DD3B114">
        <w:rPr>
          <w:rFonts w:ascii="Arial" w:hAnsi="Arial" w:cs="Arial"/>
          <w:sz w:val="20"/>
          <w:szCs w:val="20"/>
          <w:lang w:val="sr-Cyrl-RS"/>
        </w:rPr>
        <w:t>и</w:t>
      </w:r>
      <w:r w:rsidRPr="0DD3B114">
        <w:rPr>
          <w:rFonts w:ascii="Arial" w:hAnsi="Arial" w:cs="Arial"/>
          <w:sz w:val="20"/>
          <w:szCs w:val="20"/>
          <w:lang w:val="sr-Cyrl-RS"/>
        </w:rPr>
        <w:t xml:space="preserve"> опредељују установама за реализацију програма и пројеката којима се проширују њихове услуге, чиме се може постићи </w:t>
      </w:r>
      <w:r w:rsidR="00A902D1" w:rsidRPr="0DD3B114">
        <w:rPr>
          <w:rFonts w:ascii="Arial" w:hAnsi="Arial" w:cs="Arial"/>
          <w:sz w:val="20"/>
          <w:szCs w:val="20"/>
          <w:lang w:val="sr-Cyrl-RS"/>
        </w:rPr>
        <w:t xml:space="preserve">то </w:t>
      </w:r>
      <w:r w:rsidRPr="0DD3B114">
        <w:rPr>
          <w:rFonts w:ascii="Arial" w:hAnsi="Arial" w:cs="Arial"/>
          <w:sz w:val="20"/>
          <w:szCs w:val="20"/>
          <w:lang w:val="sr-Cyrl-RS"/>
        </w:rPr>
        <w:t xml:space="preserve">да их знатно већи број грађана користи (поготово у области културе, </w:t>
      </w:r>
      <w:r w:rsidR="71143E71" w:rsidRPr="0DD3B114">
        <w:rPr>
          <w:rFonts w:ascii="Arial" w:hAnsi="Arial" w:cs="Arial"/>
          <w:sz w:val="20"/>
          <w:szCs w:val="20"/>
          <w:lang w:val="sr-Cyrl-RS"/>
        </w:rPr>
        <w:t xml:space="preserve">бриге о </w:t>
      </w:r>
      <w:r w:rsidR="02367DFA" w:rsidRPr="0DD3B114">
        <w:rPr>
          <w:rFonts w:ascii="Arial" w:hAnsi="Arial" w:cs="Arial"/>
          <w:sz w:val="20"/>
          <w:szCs w:val="20"/>
          <w:lang w:val="sr-Cyrl-RS"/>
        </w:rPr>
        <w:t>млади</w:t>
      </w:r>
      <w:r w:rsidR="71143E71" w:rsidRPr="0DD3B114">
        <w:rPr>
          <w:rFonts w:ascii="Arial" w:hAnsi="Arial" w:cs="Arial"/>
          <w:sz w:val="20"/>
          <w:szCs w:val="20"/>
          <w:lang w:val="sr-Cyrl-RS"/>
        </w:rPr>
        <w:t>ма</w:t>
      </w:r>
      <w:r w:rsidR="02367DFA" w:rsidRPr="0DD3B114">
        <w:rPr>
          <w:rFonts w:ascii="Arial" w:hAnsi="Arial" w:cs="Arial"/>
          <w:sz w:val="20"/>
          <w:szCs w:val="20"/>
          <w:lang w:val="sr-Cyrl-RS"/>
        </w:rPr>
        <w:t xml:space="preserve"> </w:t>
      </w:r>
      <w:r w:rsidRPr="0DD3B114">
        <w:rPr>
          <w:rFonts w:ascii="Arial" w:hAnsi="Arial" w:cs="Arial"/>
          <w:sz w:val="20"/>
          <w:szCs w:val="20"/>
          <w:lang w:val="sr-Cyrl-RS"/>
        </w:rPr>
        <w:t>и слично), обично су недовољна да би се програми квалитетно реализовали. Не може се оспорити да је финансирање програма и пројеката установа уско везано за висину буџета ЈЛС, али уз иновативан приступ, како оснивача тако и руководства установе, развијање квалитетних програма и пројек</w:t>
      </w:r>
      <w:r w:rsidR="00A902D1" w:rsidRPr="0DD3B114">
        <w:rPr>
          <w:rFonts w:ascii="Arial" w:hAnsi="Arial" w:cs="Arial"/>
          <w:sz w:val="20"/>
          <w:szCs w:val="20"/>
          <w:lang w:val="sr-Cyrl-RS"/>
        </w:rPr>
        <w:t>а</w:t>
      </w:r>
      <w:r w:rsidRPr="0DD3B114">
        <w:rPr>
          <w:rFonts w:ascii="Arial" w:hAnsi="Arial" w:cs="Arial"/>
          <w:sz w:val="20"/>
          <w:szCs w:val="20"/>
          <w:lang w:val="sr-Cyrl-RS"/>
        </w:rPr>
        <w:t>та може бити средство које у догледно време може обезбедити значајан финансијски прилив установи.</w:t>
      </w:r>
      <w:r w:rsidR="4D1AA8B8" w:rsidRPr="0DD3B114">
        <w:rPr>
          <w:rFonts w:ascii="Arial" w:hAnsi="Arial" w:cs="Arial"/>
          <w:sz w:val="20"/>
          <w:szCs w:val="20"/>
          <w:lang w:val="sr-Cyrl-RS"/>
        </w:rPr>
        <w:t xml:space="preserve"> С обзиром на време</w:t>
      </w:r>
      <w:r w:rsidR="14A4D7E3" w:rsidRPr="0DD3B114">
        <w:rPr>
          <w:rFonts w:ascii="Arial" w:hAnsi="Arial" w:cs="Arial"/>
          <w:sz w:val="20"/>
          <w:szCs w:val="20"/>
          <w:lang w:val="sr-Cyrl-RS"/>
        </w:rPr>
        <w:t xml:space="preserve"> усвајања З</w:t>
      </w:r>
      <w:r w:rsidR="2DDB0A4A" w:rsidRPr="0DD3B114">
        <w:rPr>
          <w:rFonts w:ascii="Arial" w:hAnsi="Arial" w:cs="Arial"/>
          <w:sz w:val="20"/>
          <w:szCs w:val="20"/>
          <w:lang w:val="sr-Cyrl-RS"/>
        </w:rPr>
        <w:t>акона о јавним службама</w:t>
      </w:r>
      <w:r w:rsidR="14A4D7E3" w:rsidRPr="0DD3B114">
        <w:rPr>
          <w:rFonts w:ascii="Arial" w:hAnsi="Arial" w:cs="Arial"/>
          <w:sz w:val="20"/>
          <w:szCs w:val="20"/>
          <w:lang w:val="sr-Cyrl-RS"/>
        </w:rPr>
        <w:t>,</w:t>
      </w:r>
      <w:r w:rsidR="512CDFFD" w:rsidRPr="0DD3B114">
        <w:rPr>
          <w:rFonts w:ascii="Arial" w:hAnsi="Arial" w:cs="Arial"/>
          <w:sz w:val="20"/>
          <w:szCs w:val="20"/>
          <w:lang w:val="sr-Cyrl-RS"/>
        </w:rPr>
        <w:t xml:space="preserve"> </w:t>
      </w:r>
      <w:r w:rsidR="36F82C47" w:rsidRPr="0DD3B114">
        <w:rPr>
          <w:rFonts w:ascii="Arial" w:hAnsi="Arial" w:cs="Arial"/>
          <w:sz w:val="20"/>
          <w:szCs w:val="20"/>
          <w:lang w:val="sr-Cyrl-RS"/>
        </w:rPr>
        <w:t xml:space="preserve">изостало је значајније уређивање </w:t>
      </w:r>
      <w:r w:rsidR="4D1AA8B8" w:rsidRPr="0DD3B114">
        <w:rPr>
          <w:rFonts w:ascii="Arial" w:hAnsi="Arial" w:cs="Arial"/>
          <w:sz w:val="20"/>
          <w:szCs w:val="20"/>
          <w:lang w:val="sr-Cyrl-RS"/>
        </w:rPr>
        <w:t>опредељења за међуопштинске јавне службе, уступање и концесионирање послова.</w:t>
      </w:r>
    </w:p>
    <w:p w14:paraId="72B244C6" w14:textId="77777777" w:rsidR="00C75AD7" w:rsidRPr="00A021B7" w:rsidRDefault="00C75AD7" w:rsidP="0DD3B114">
      <w:pPr>
        <w:ind w:firstLine="720"/>
        <w:jc w:val="both"/>
        <w:rPr>
          <w:rFonts w:ascii="Arial" w:hAnsi="Arial" w:cs="Arial"/>
          <w:sz w:val="20"/>
          <w:szCs w:val="20"/>
          <w:lang w:val="sr-Cyrl-RS"/>
        </w:rPr>
      </w:pPr>
    </w:p>
    <w:p w14:paraId="3C05453C" w14:textId="2317C0FC"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 xml:space="preserve">Током 2019. године у 15 ЈЛС спроведена је функционална анализа на узорку од 109 установа. </w:t>
      </w:r>
      <w:r w:rsidR="0004724C" w:rsidRPr="0DD3B114">
        <w:rPr>
          <w:rFonts w:ascii="Arial" w:hAnsi="Arial" w:cs="Arial"/>
          <w:sz w:val="20"/>
          <w:szCs w:val="20"/>
          <w:lang w:val="sr-Cyrl-RS"/>
        </w:rPr>
        <w:t>Анализирана су</w:t>
      </w:r>
      <w:r w:rsidR="00B54CAA" w:rsidRPr="0DD3B114">
        <w:rPr>
          <w:rFonts w:ascii="Arial" w:hAnsi="Arial" w:cs="Arial"/>
          <w:sz w:val="20"/>
          <w:szCs w:val="20"/>
          <w:lang w:val="sr-Cyrl-RS"/>
        </w:rPr>
        <w:t xml:space="preserve"> </w:t>
      </w:r>
      <w:r w:rsidRPr="0DD3B114">
        <w:rPr>
          <w:rFonts w:ascii="Arial" w:hAnsi="Arial" w:cs="Arial"/>
          <w:sz w:val="20"/>
          <w:szCs w:val="20"/>
          <w:lang w:val="sr-Cyrl-RS"/>
        </w:rPr>
        <w:t xml:space="preserve">два основна типа функција у установама: основне и пратеће функције. </w:t>
      </w:r>
      <w:r w:rsidR="00CD7C20" w:rsidRPr="0DD3B114">
        <w:rPr>
          <w:rFonts w:ascii="Arial" w:hAnsi="Arial" w:cs="Arial"/>
          <w:sz w:val="20"/>
          <w:szCs w:val="20"/>
          <w:lang w:val="sr-Cyrl-RS"/>
        </w:rPr>
        <w:t xml:space="preserve">Основним функцијама установа остварује своје законске задатке, који јесу темељни разлог њеног оснивања. </w:t>
      </w:r>
      <w:r w:rsidRPr="0DD3B114">
        <w:rPr>
          <w:rFonts w:ascii="Arial" w:hAnsi="Arial" w:cs="Arial"/>
          <w:sz w:val="20"/>
          <w:szCs w:val="20"/>
          <w:lang w:val="sr-Cyrl-RS"/>
        </w:rPr>
        <w:t>Пратеће функције служе као подршка спровођењу основних функција</w:t>
      </w:r>
      <w:r w:rsidR="00103F9E" w:rsidRPr="0DD3B114">
        <w:rPr>
          <w:rFonts w:ascii="Arial" w:hAnsi="Arial" w:cs="Arial"/>
          <w:sz w:val="20"/>
          <w:szCs w:val="20"/>
          <w:lang w:val="sr-Cyrl-RS"/>
        </w:rPr>
        <w:t>,</w:t>
      </w:r>
      <w:r w:rsidRPr="0DD3B114">
        <w:rPr>
          <w:rFonts w:ascii="Arial" w:hAnsi="Arial" w:cs="Arial"/>
          <w:sz w:val="20"/>
          <w:szCs w:val="20"/>
          <w:lang w:val="sr-Cyrl-RS"/>
        </w:rPr>
        <w:t xml:space="preserve"> односно остваривању постављених циљева установа. </w:t>
      </w:r>
      <w:r w:rsidR="00701C9E" w:rsidRPr="0DD3B114">
        <w:rPr>
          <w:rFonts w:ascii="Arial" w:hAnsi="Arial" w:cs="Arial"/>
          <w:sz w:val="20"/>
          <w:szCs w:val="20"/>
          <w:lang w:val="sr-Cyrl-RS"/>
        </w:rPr>
        <w:t>П</w:t>
      </w:r>
      <w:r w:rsidRPr="0DD3B114">
        <w:rPr>
          <w:rFonts w:ascii="Arial" w:hAnsi="Arial" w:cs="Arial"/>
          <w:sz w:val="20"/>
          <w:szCs w:val="20"/>
          <w:lang w:val="sr-Cyrl-RS"/>
        </w:rPr>
        <w:t xml:space="preserve">росечан однос између основних и пратећих функција варира у анализираним ЈЛС и њиховим установама (од 44% </w:t>
      </w:r>
      <w:r w:rsidR="005F6690" w:rsidRPr="0DD3B114">
        <w:rPr>
          <w:rFonts w:ascii="Arial" w:hAnsi="Arial" w:cs="Arial"/>
          <w:sz w:val="20"/>
          <w:szCs w:val="20"/>
          <w:lang w:val="sr-Cyrl-RS"/>
        </w:rPr>
        <w:t>основне функције</w:t>
      </w:r>
      <w:r w:rsidR="000D64BA" w:rsidRPr="0DD3B114">
        <w:rPr>
          <w:rFonts w:ascii="Arial" w:hAnsi="Arial" w:cs="Arial"/>
          <w:sz w:val="20"/>
          <w:szCs w:val="20"/>
          <w:lang w:val="sr-Cyrl-RS"/>
        </w:rPr>
        <w:t>,</w:t>
      </w:r>
      <w:r w:rsidRPr="0DD3B114">
        <w:rPr>
          <w:rFonts w:ascii="Arial" w:hAnsi="Arial" w:cs="Arial"/>
          <w:sz w:val="20"/>
          <w:szCs w:val="20"/>
          <w:lang w:val="sr-Cyrl-RS"/>
        </w:rPr>
        <w:t xml:space="preserve"> </w:t>
      </w:r>
      <w:r w:rsidR="000D64BA" w:rsidRPr="0DD3B114">
        <w:rPr>
          <w:rFonts w:ascii="Arial" w:hAnsi="Arial" w:cs="Arial"/>
          <w:sz w:val="20"/>
          <w:szCs w:val="20"/>
          <w:lang w:val="sr-Cyrl-RS"/>
        </w:rPr>
        <w:t>односно</w:t>
      </w:r>
      <w:r w:rsidRPr="0DD3B114">
        <w:rPr>
          <w:rFonts w:ascii="Arial" w:hAnsi="Arial" w:cs="Arial"/>
          <w:sz w:val="20"/>
          <w:szCs w:val="20"/>
          <w:lang w:val="sr-Cyrl-RS"/>
        </w:rPr>
        <w:t xml:space="preserve"> 56% пратећ</w:t>
      </w:r>
      <w:r w:rsidR="000D64BA" w:rsidRPr="0DD3B114">
        <w:rPr>
          <w:rFonts w:ascii="Arial" w:hAnsi="Arial" w:cs="Arial"/>
          <w:sz w:val="20"/>
          <w:szCs w:val="20"/>
          <w:lang w:val="sr-Cyrl-RS"/>
        </w:rPr>
        <w:t>их,</w:t>
      </w:r>
      <w:r w:rsidRPr="0DD3B114">
        <w:rPr>
          <w:rFonts w:ascii="Arial" w:hAnsi="Arial" w:cs="Arial"/>
          <w:sz w:val="20"/>
          <w:szCs w:val="20"/>
          <w:lang w:val="sr-Cyrl-RS"/>
        </w:rPr>
        <w:t xml:space="preserve"> до 61% основн</w:t>
      </w:r>
      <w:r w:rsidR="00474907" w:rsidRPr="0DD3B114">
        <w:rPr>
          <w:rFonts w:ascii="Arial" w:hAnsi="Arial" w:cs="Arial"/>
          <w:sz w:val="20"/>
          <w:szCs w:val="20"/>
          <w:lang w:val="sr-Cyrl-RS"/>
        </w:rPr>
        <w:t>их</w:t>
      </w:r>
      <w:r w:rsidRPr="0DD3B114">
        <w:rPr>
          <w:rFonts w:ascii="Arial" w:hAnsi="Arial" w:cs="Arial"/>
          <w:sz w:val="20"/>
          <w:szCs w:val="20"/>
          <w:lang w:val="sr-Cyrl-RS"/>
        </w:rPr>
        <w:t xml:space="preserve"> </w:t>
      </w:r>
      <w:r w:rsidR="00474907" w:rsidRPr="0DD3B114">
        <w:rPr>
          <w:rFonts w:ascii="Arial" w:hAnsi="Arial" w:cs="Arial"/>
          <w:sz w:val="20"/>
          <w:szCs w:val="20"/>
          <w:lang w:val="sr-Cyrl-RS"/>
        </w:rPr>
        <w:t>и</w:t>
      </w:r>
      <w:r w:rsidRPr="0DD3B114">
        <w:rPr>
          <w:rFonts w:ascii="Arial" w:hAnsi="Arial" w:cs="Arial"/>
          <w:sz w:val="20"/>
          <w:szCs w:val="20"/>
          <w:lang w:val="sr-Cyrl-RS"/>
        </w:rPr>
        <w:t xml:space="preserve"> 39% пратећ</w:t>
      </w:r>
      <w:r w:rsidR="00474907" w:rsidRPr="0DD3B114">
        <w:rPr>
          <w:rFonts w:ascii="Arial" w:hAnsi="Arial" w:cs="Arial"/>
          <w:sz w:val="20"/>
          <w:szCs w:val="20"/>
          <w:lang w:val="sr-Cyrl-RS"/>
        </w:rPr>
        <w:t>их</w:t>
      </w:r>
      <w:r w:rsidRPr="0DD3B114">
        <w:rPr>
          <w:rFonts w:ascii="Arial" w:hAnsi="Arial" w:cs="Arial"/>
          <w:sz w:val="20"/>
          <w:szCs w:val="20"/>
          <w:lang w:val="sr-Cyrl-RS"/>
        </w:rPr>
        <w:t xml:space="preserve">). Анализа је пошла од </w:t>
      </w:r>
      <w:r w:rsidR="00CD7C20" w:rsidRPr="0DD3B114">
        <w:rPr>
          <w:rFonts w:ascii="Arial" w:hAnsi="Arial" w:cs="Arial"/>
          <w:sz w:val="20"/>
          <w:szCs w:val="20"/>
          <w:lang w:val="sr-Cyrl-RS"/>
        </w:rPr>
        <w:t xml:space="preserve">става </w:t>
      </w:r>
      <w:r w:rsidRPr="0DD3B114">
        <w:rPr>
          <w:rFonts w:ascii="Arial" w:hAnsi="Arial" w:cs="Arial"/>
          <w:sz w:val="20"/>
          <w:szCs w:val="20"/>
          <w:lang w:val="sr-Cyrl-RS"/>
        </w:rPr>
        <w:t>да би оптималан однос основних и пратећих функција у органима управе и установама заједно, требало да се креће у распону између 60:40% и 70:30%</w:t>
      </w:r>
      <w:r w:rsidR="000C429A" w:rsidRPr="0DD3B114">
        <w:rPr>
          <w:rFonts w:ascii="Arial" w:hAnsi="Arial" w:cs="Arial"/>
          <w:sz w:val="20"/>
          <w:szCs w:val="20"/>
          <w:lang w:val="sr-Cyrl-RS"/>
        </w:rPr>
        <w:t>,</w:t>
      </w:r>
      <w:r w:rsidRPr="0DD3B114">
        <w:rPr>
          <w:rFonts w:ascii="Arial" w:hAnsi="Arial" w:cs="Arial"/>
          <w:sz w:val="20"/>
          <w:szCs w:val="20"/>
          <w:lang w:val="sr-Cyrl-RS"/>
        </w:rPr>
        <w:t xml:space="preserve"> зависно од величине ЈЛС и броја запослених. У складу са тим, неопходно је повећање удела основних функција</w:t>
      </w:r>
      <w:r w:rsidR="00973CFC" w:rsidRPr="0DD3B114">
        <w:rPr>
          <w:rFonts w:ascii="Arial" w:hAnsi="Arial" w:cs="Arial"/>
          <w:sz w:val="20"/>
          <w:szCs w:val="20"/>
          <w:lang w:val="sr-Cyrl-RS"/>
        </w:rPr>
        <w:t>,</w:t>
      </w:r>
      <w:r w:rsidRPr="0DD3B114">
        <w:rPr>
          <w:rFonts w:ascii="Arial" w:hAnsi="Arial" w:cs="Arial"/>
          <w:sz w:val="20"/>
          <w:szCs w:val="20"/>
          <w:lang w:val="sr-Cyrl-RS"/>
        </w:rPr>
        <w:t xml:space="preserve"> односно смањење удела пратећих </w:t>
      </w:r>
      <w:r w:rsidR="00A902D1" w:rsidRPr="0DD3B114">
        <w:rPr>
          <w:rFonts w:ascii="Arial" w:hAnsi="Arial" w:cs="Arial"/>
          <w:sz w:val="20"/>
          <w:szCs w:val="20"/>
          <w:lang w:val="sr-Cyrl-RS"/>
        </w:rPr>
        <w:t xml:space="preserve">функција </w:t>
      </w:r>
      <w:r w:rsidRPr="0DD3B114">
        <w:rPr>
          <w:rFonts w:ascii="Arial" w:hAnsi="Arial" w:cs="Arial"/>
          <w:sz w:val="20"/>
          <w:szCs w:val="20"/>
          <w:lang w:val="sr-Cyrl-RS"/>
        </w:rPr>
        <w:t xml:space="preserve">у органима управе и установама у просеку за 8%. </w:t>
      </w:r>
      <w:r w:rsidR="007D00EF" w:rsidRPr="0DD3B114">
        <w:rPr>
          <w:rFonts w:ascii="Arial" w:hAnsi="Arial" w:cs="Arial"/>
          <w:sz w:val="20"/>
          <w:szCs w:val="20"/>
          <w:lang w:val="sr-Cyrl-RS"/>
        </w:rPr>
        <w:t>Ако се и</w:t>
      </w:r>
      <w:r w:rsidRPr="0DD3B114">
        <w:rPr>
          <w:rFonts w:ascii="Arial" w:hAnsi="Arial" w:cs="Arial"/>
          <w:sz w:val="20"/>
          <w:szCs w:val="20"/>
          <w:lang w:val="sr-Cyrl-RS"/>
        </w:rPr>
        <w:t>ма у виду да пратеће функције нису део основне надлежности</w:t>
      </w:r>
      <w:r w:rsidR="007D00EF" w:rsidRPr="0DD3B114">
        <w:rPr>
          <w:rFonts w:ascii="Arial" w:hAnsi="Arial" w:cs="Arial"/>
          <w:sz w:val="20"/>
          <w:szCs w:val="20"/>
          <w:lang w:val="sr-Cyrl-RS"/>
        </w:rPr>
        <w:t>,</w:t>
      </w:r>
      <w:r w:rsidRPr="0DD3B114">
        <w:rPr>
          <w:rFonts w:ascii="Arial" w:hAnsi="Arial" w:cs="Arial"/>
          <w:sz w:val="20"/>
          <w:szCs w:val="20"/>
          <w:lang w:val="sr-Cyrl-RS"/>
        </w:rPr>
        <w:t xml:space="preserve"> односно основних циљева локалне самоуправе, </w:t>
      </w:r>
      <w:r w:rsidR="00973CFC" w:rsidRPr="0DD3B114">
        <w:rPr>
          <w:rFonts w:ascii="Arial" w:hAnsi="Arial" w:cs="Arial"/>
          <w:sz w:val="20"/>
          <w:szCs w:val="20"/>
          <w:lang w:val="sr-Cyrl-RS"/>
        </w:rPr>
        <w:t xml:space="preserve">него </w:t>
      </w:r>
      <w:r w:rsidRPr="0DD3B114">
        <w:rPr>
          <w:rFonts w:ascii="Arial" w:hAnsi="Arial" w:cs="Arial"/>
          <w:sz w:val="20"/>
          <w:szCs w:val="20"/>
          <w:lang w:val="sr-Cyrl-RS"/>
        </w:rPr>
        <w:t xml:space="preserve">углавном служе као вид подршке основним функцијама, постоји изражена потреба </w:t>
      </w:r>
      <w:r w:rsidR="007D00EF" w:rsidRPr="0DD3B114">
        <w:rPr>
          <w:rFonts w:ascii="Arial" w:hAnsi="Arial" w:cs="Arial"/>
          <w:sz w:val="20"/>
          <w:szCs w:val="20"/>
          <w:lang w:val="sr-Cyrl-RS"/>
        </w:rPr>
        <w:t xml:space="preserve">за тиме </w:t>
      </w:r>
      <w:r w:rsidRPr="0DD3B114">
        <w:rPr>
          <w:rFonts w:ascii="Arial" w:hAnsi="Arial" w:cs="Arial"/>
          <w:sz w:val="20"/>
          <w:szCs w:val="20"/>
          <w:lang w:val="sr-Cyrl-RS"/>
        </w:rPr>
        <w:t xml:space="preserve">да се </w:t>
      </w:r>
      <w:r w:rsidRPr="0DD3B114">
        <w:rPr>
          <w:rFonts w:ascii="Arial" w:hAnsi="Arial" w:cs="Arial"/>
          <w:sz w:val="20"/>
          <w:szCs w:val="20"/>
          <w:lang w:val="sr-Cyrl-RS"/>
        </w:rPr>
        <w:lastRenderedPageBreak/>
        <w:t>удео пратећих функција смањи у већини обрађених ЈЛС, што истовремено представља и потенцијал за уштеде. Ово би се могло постићи евентуалним екстерним ангажовањем правних лица,</w:t>
      </w:r>
      <w:r w:rsidR="00246C42" w:rsidRPr="0DD3B114">
        <w:rPr>
          <w:rFonts w:ascii="Arial" w:hAnsi="Arial" w:cs="Arial"/>
          <w:sz w:val="20"/>
          <w:szCs w:val="20"/>
          <w:lang w:val="sr-Cyrl-RS"/>
        </w:rPr>
        <w:t xml:space="preserve"> обједињавањем у заједничке службе свих установа за пратеће функције,</w:t>
      </w:r>
      <w:r w:rsidRPr="0DD3B114">
        <w:rPr>
          <w:rFonts w:ascii="Arial" w:hAnsi="Arial" w:cs="Arial"/>
          <w:sz w:val="20"/>
          <w:szCs w:val="20"/>
          <w:lang w:val="sr-Cyrl-RS"/>
        </w:rPr>
        <w:t xml:space="preserve"> међуопштинском сарадњом, додатним преусмеравањем постојећег кадра са пратећих на основне функције и истовременим повећањем ефикасности постојећег кадра на пратећим функцијама.</w:t>
      </w:r>
    </w:p>
    <w:p w14:paraId="313DD874" w14:textId="77777777" w:rsidR="00C75AD7" w:rsidRPr="00A021B7" w:rsidRDefault="00C75AD7" w:rsidP="0DD3B114">
      <w:pPr>
        <w:ind w:firstLine="720"/>
        <w:contextualSpacing/>
        <w:jc w:val="both"/>
        <w:rPr>
          <w:rFonts w:ascii="Arial" w:hAnsi="Arial" w:cs="Arial"/>
          <w:sz w:val="20"/>
          <w:szCs w:val="20"/>
          <w:lang w:val="sr-Cyrl-RS"/>
        </w:rPr>
      </w:pPr>
    </w:p>
    <w:p w14:paraId="2CA5A2D3" w14:textId="00B612E8" w:rsidR="00C75AD7" w:rsidRPr="00A021B7" w:rsidRDefault="32B86406" w:rsidP="0DD3B114">
      <w:pPr>
        <w:ind w:firstLine="720"/>
        <w:contextualSpacing/>
        <w:jc w:val="both"/>
        <w:rPr>
          <w:rFonts w:ascii="Arial" w:hAnsi="Arial" w:cs="Arial"/>
          <w:sz w:val="20"/>
          <w:szCs w:val="20"/>
          <w:lang w:val="sr-Cyrl-RS"/>
        </w:rPr>
      </w:pPr>
      <w:r w:rsidRPr="00A021B7">
        <w:rPr>
          <w:rFonts w:ascii="Arial" w:hAnsi="Arial" w:cs="Arial"/>
          <w:sz w:val="20"/>
          <w:szCs w:val="20"/>
          <w:lang w:val="sr-Cyrl-RS"/>
        </w:rPr>
        <w:t xml:space="preserve">Посебну пажњу у установама треба посветити управљању људским ресурсима и стручном усавршавању запослених, уз претходно </w:t>
      </w:r>
      <w:r w:rsidR="17289584" w:rsidRPr="00A021B7">
        <w:rPr>
          <w:rFonts w:ascii="Arial" w:hAnsi="Arial" w:cs="Arial"/>
          <w:sz w:val="20"/>
          <w:szCs w:val="20"/>
          <w:lang w:val="sr-Cyrl-RS"/>
        </w:rPr>
        <w:t>с</w:t>
      </w:r>
      <w:r w:rsidR="64D469CB" w:rsidRPr="00A021B7">
        <w:rPr>
          <w:rFonts w:ascii="Arial" w:hAnsi="Arial" w:cs="Arial"/>
          <w:sz w:val="20"/>
          <w:szCs w:val="20"/>
          <w:lang w:val="sr-Cyrl-RS"/>
        </w:rPr>
        <w:t xml:space="preserve">провођење поступка утврђивања потреба </w:t>
      </w:r>
      <w:r w:rsidRPr="00A021B7">
        <w:rPr>
          <w:rFonts w:ascii="Arial" w:hAnsi="Arial" w:cs="Arial"/>
          <w:sz w:val="20"/>
          <w:szCs w:val="20"/>
          <w:lang w:val="sr-Cyrl-RS"/>
        </w:rPr>
        <w:t xml:space="preserve">за стручним усавршавањем и идентификовање одговарајућих програма стручног усавршавања који ће одговарати потребама запослених. </w:t>
      </w:r>
      <w:r w:rsidR="13EC2ABF" w:rsidRPr="00A021B7">
        <w:rPr>
          <w:rFonts w:ascii="Arial" w:hAnsi="Arial" w:cs="Arial"/>
          <w:sz w:val="20"/>
          <w:szCs w:val="20"/>
          <w:lang w:val="sr-Cyrl-RS"/>
        </w:rPr>
        <w:t xml:space="preserve">Треба имати </w:t>
      </w:r>
      <w:r w:rsidRPr="00A021B7">
        <w:rPr>
          <w:rFonts w:ascii="Arial" w:hAnsi="Arial" w:cs="Arial"/>
          <w:sz w:val="20"/>
          <w:szCs w:val="20"/>
          <w:lang w:val="sr-Cyrl-RS"/>
        </w:rPr>
        <w:t xml:space="preserve">у виду контекст у коме функционишу ЈЛС, од законских ограничења запошљавања у циљу штедње и рационализације, до недостатка квалификованих кадрова, </w:t>
      </w:r>
      <w:r w:rsidR="3E858736" w:rsidRPr="00A021B7">
        <w:rPr>
          <w:rFonts w:ascii="Arial" w:hAnsi="Arial" w:cs="Arial"/>
          <w:sz w:val="20"/>
          <w:szCs w:val="20"/>
          <w:lang w:val="sr-Cyrl-RS"/>
        </w:rPr>
        <w:t>неодговарајуће стру</w:t>
      </w:r>
      <w:r w:rsidR="3BDC860A" w:rsidRPr="00A021B7">
        <w:rPr>
          <w:rFonts w:ascii="Arial" w:hAnsi="Arial" w:cs="Arial"/>
          <w:sz w:val="20"/>
          <w:szCs w:val="20"/>
          <w:lang w:val="sr-Cyrl-RS"/>
        </w:rPr>
        <w:t>к</w:t>
      </w:r>
      <w:r w:rsidR="3E858736" w:rsidRPr="00A021B7">
        <w:rPr>
          <w:rFonts w:ascii="Arial" w:hAnsi="Arial" w:cs="Arial"/>
          <w:sz w:val="20"/>
          <w:szCs w:val="20"/>
          <w:lang w:val="sr-Cyrl-RS"/>
        </w:rPr>
        <w:t xml:space="preserve">туре </w:t>
      </w:r>
      <w:r w:rsidRPr="00A021B7">
        <w:rPr>
          <w:rFonts w:ascii="Arial" w:hAnsi="Arial" w:cs="Arial"/>
          <w:sz w:val="20"/>
          <w:szCs w:val="20"/>
          <w:lang w:val="sr-Cyrl-RS"/>
        </w:rPr>
        <w:t xml:space="preserve">кадрова и осталих </w:t>
      </w:r>
      <w:r w:rsidR="3E858736" w:rsidRPr="00A021B7">
        <w:rPr>
          <w:rFonts w:ascii="Arial" w:hAnsi="Arial" w:cs="Arial"/>
          <w:sz w:val="20"/>
          <w:szCs w:val="20"/>
          <w:lang w:val="sr-Cyrl-RS"/>
        </w:rPr>
        <w:t xml:space="preserve">ограничавајућих </w:t>
      </w:r>
      <w:r w:rsidRPr="00A021B7">
        <w:rPr>
          <w:rFonts w:ascii="Arial" w:hAnsi="Arial" w:cs="Arial"/>
          <w:sz w:val="20"/>
          <w:szCs w:val="20"/>
          <w:lang w:val="sr-Cyrl-RS"/>
        </w:rPr>
        <w:t>услова</w:t>
      </w:r>
      <w:r w:rsidR="3E858736" w:rsidRPr="00A021B7">
        <w:rPr>
          <w:rFonts w:ascii="Arial" w:hAnsi="Arial" w:cs="Arial"/>
          <w:sz w:val="20"/>
          <w:szCs w:val="20"/>
          <w:lang w:val="sr-Cyrl-RS"/>
        </w:rPr>
        <w:t xml:space="preserve"> за организовање и рад</w:t>
      </w:r>
      <w:r w:rsidR="007D00EF">
        <w:rPr>
          <w:rFonts w:ascii="Arial" w:hAnsi="Arial" w:cs="Arial"/>
          <w:sz w:val="20"/>
          <w:szCs w:val="20"/>
          <w:lang w:val="sr-Cyrl-RS"/>
        </w:rPr>
        <w:t>.</w:t>
      </w:r>
      <w:r w:rsidRPr="00A021B7">
        <w:rPr>
          <w:rFonts w:ascii="Arial" w:hAnsi="Arial" w:cs="Arial"/>
          <w:sz w:val="20"/>
          <w:szCs w:val="20"/>
          <w:lang w:val="sr-Cyrl-RS"/>
        </w:rPr>
        <w:t xml:space="preserve"> </w:t>
      </w:r>
      <w:r w:rsidR="54FD0067" w:rsidRPr="00A021B7">
        <w:rPr>
          <w:rFonts w:ascii="Arial" w:hAnsi="Arial" w:cs="Arial"/>
          <w:sz w:val="20"/>
          <w:szCs w:val="20"/>
          <w:lang w:val="sr-Cyrl-RS"/>
        </w:rPr>
        <w:t xml:space="preserve">Број </w:t>
      </w:r>
      <w:r w:rsidRPr="00A021B7">
        <w:rPr>
          <w:rFonts w:ascii="Arial" w:hAnsi="Arial" w:cs="Arial"/>
          <w:sz w:val="20"/>
          <w:szCs w:val="20"/>
          <w:lang w:val="sr-Cyrl-RS"/>
        </w:rPr>
        <w:t xml:space="preserve">запослених </w:t>
      </w:r>
      <w:r w:rsidR="4F193B6D" w:rsidRPr="00A021B7">
        <w:rPr>
          <w:rFonts w:ascii="Arial" w:hAnsi="Arial" w:cs="Arial"/>
          <w:sz w:val="20"/>
          <w:szCs w:val="20"/>
          <w:lang w:val="sr-Cyrl-RS"/>
        </w:rPr>
        <w:t xml:space="preserve">у установама у ЈЛС </w:t>
      </w:r>
      <w:r w:rsidRPr="00A021B7">
        <w:rPr>
          <w:rFonts w:ascii="Arial" w:hAnsi="Arial" w:cs="Arial"/>
          <w:sz w:val="20"/>
          <w:szCs w:val="20"/>
          <w:lang w:val="sr-Cyrl-RS"/>
        </w:rPr>
        <w:t xml:space="preserve">на 1000 становника креће </w:t>
      </w:r>
      <w:r w:rsidR="4F193B6D" w:rsidRPr="00A021B7">
        <w:rPr>
          <w:rFonts w:ascii="Arial" w:hAnsi="Arial" w:cs="Arial"/>
          <w:sz w:val="20"/>
          <w:szCs w:val="20"/>
          <w:lang w:val="sr-Cyrl-RS"/>
        </w:rPr>
        <w:t xml:space="preserve">се </w:t>
      </w:r>
      <w:r w:rsidRPr="00A021B7">
        <w:rPr>
          <w:rFonts w:ascii="Arial" w:hAnsi="Arial" w:cs="Arial"/>
          <w:sz w:val="20"/>
          <w:szCs w:val="20"/>
          <w:lang w:val="sr-Cyrl-RS"/>
        </w:rPr>
        <w:t xml:space="preserve">од 2,5 до 7,3. Заједничко за све </w:t>
      </w:r>
      <w:r w:rsidR="478B5D81" w:rsidRPr="00A021B7">
        <w:rPr>
          <w:rFonts w:ascii="Arial" w:hAnsi="Arial" w:cs="Arial"/>
          <w:sz w:val="20"/>
          <w:szCs w:val="20"/>
          <w:lang w:val="sr-Cyrl-RS"/>
        </w:rPr>
        <w:t xml:space="preserve">ЈЛС </w:t>
      </w:r>
      <w:r w:rsidRPr="00A021B7">
        <w:rPr>
          <w:rFonts w:ascii="Arial" w:hAnsi="Arial" w:cs="Arial"/>
          <w:sz w:val="20"/>
          <w:szCs w:val="20"/>
          <w:lang w:val="sr-Cyrl-RS"/>
        </w:rPr>
        <w:t>у којима је спроведена функционална анализа је</w:t>
      </w:r>
      <w:r w:rsidR="007D00EF">
        <w:rPr>
          <w:rFonts w:ascii="Arial" w:hAnsi="Arial" w:cs="Arial"/>
          <w:sz w:val="20"/>
          <w:szCs w:val="20"/>
          <w:lang w:val="sr-Cyrl-RS"/>
        </w:rPr>
        <w:t>сте то</w:t>
      </w:r>
      <w:r w:rsidRPr="00A021B7">
        <w:rPr>
          <w:rFonts w:ascii="Arial" w:hAnsi="Arial" w:cs="Arial"/>
          <w:sz w:val="20"/>
          <w:szCs w:val="20"/>
          <w:lang w:val="sr-Cyrl-RS"/>
        </w:rPr>
        <w:t xml:space="preserve"> да највећи број чине запослени у предшколским установама. Највећи број ЈЛС, њих 13</w:t>
      </w:r>
      <w:r w:rsidR="68BE1154" w:rsidRPr="00A021B7">
        <w:rPr>
          <w:rFonts w:ascii="Arial" w:hAnsi="Arial" w:cs="Arial"/>
          <w:sz w:val="20"/>
          <w:szCs w:val="20"/>
          <w:lang w:val="sr-Cyrl-RS"/>
        </w:rPr>
        <w:t>,</w:t>
      </w:r>
      <w:r w:rsidRPr="00A021B7">
        <w:rPr>
          <w:rFonts w:ascii="Arial" w:hAnsi="Arial" w:cs="Arial"/>
          <w:sz w:val="20"/>
          <w:szCs w:val="20"/>
          <w:lang w:val="sr-Cyrl-RS"/>
        </w:rPr>
        <w:t xml:space="preserve"> има преко 60% запослених у предшколским установама у односу на укупан број запослених у установама. У већини установа које су биле предмет анализе, идентификоване су потребе за додатним кадровима како би</w:t>
      </w:r>
      <w:r w:rsidR="007D00EF">
        <w:rPr>
          <w:rFonts w:ascii="Arial" w:hAnsi="Arial" w:cs="Arial"/>
          <w:sz w:val="20"/>
          <w:szCs w:val="20"/>
          <w:lang w:val="sr-Cyrl-RS"/>
        </w:rPr>
        <w:t xml:space="preserve"> оне</w:t>
      </w:r>
      <w:r w:rsidRPr="00A021B7">
        <w:rPr>
          <w:rFonts w:ascii="Arial" w:hAnsi="Arial" w:cs="Arial"/>
          <w:sz w:val="20"/>
          <w:szCs w:val="20"/>
          <w:lang w:val="sr-Cyrl-RS"/>
        </w:rPr>
        <w:t xml:space="preserve"> несметано обављале основне функције и пружале </w:t>
      </w:r>
      <w:r w:rsidR="3169346E" w:rsidRPr="00A021B7">
        <w:rPr>
          <w:rFonts w:ascii="Arial" w:hAnsi="Arial" w:cs="Arial"/>
          <w:sz w:val="20"/>
          <w:szCs w:val="20"/>
          <w:lang w:val="sr-Cyrl-RS"/>
        </w:rPr>
        <w:t xml:space="preserve">услуге </w:t>
      </w:r>
      <w:r w:rsidRPr="00A021B7">
        <w:rPr>
          <w:rFonts w:ascii="Arial" w:hAnsi="Arial" w:cs="Arial"/>
          <w:sz w:val="20"/>
          <w:szCs w:val="20"/>
          <w:lang w:val="sr-Cyrl-RS"/>
        </w:rPr>
        <w:t>адекват</w:t>
      </w:r>
      <w:r w:rsidR="3169346E" w:rsidRPr="00A021B7">
        <w:rPr>
          <w:rFonts w:ascii="Arial" w:hAnsi="Arial" w:cs="Arial"/>
          <w:sz w:val="20"/>
          <w:szCs w:val="20"/>
          <w:lang w:val="sr-Cyrl-RS"/>
        </w:rPr>
        <w:t>ног</w:t>
      </w:r>
      <w:r w:rsidRPr="00A021B7">
        <w:rPr>
          <w:rFonts w:ascii="Arial" w:hAnsi="Arial" w:cs="Arial"/>
          <w:sz w:val="20"/>
          <w:szCs w:val="20"/>
          <w:lang w:val="sr-Cyrl-RS"/>
        </w:rPr>
        <w:t xml:space="preserve"> квалитет</w:t>
      </w:r>
      <w:r w:rsidR="3169346E" w:rsidRPr="00A021B7">
        <w:rPr>
          <w:rFonts w:ascii="Arial" w:hAnsi="Arial" w:cs="Arial"/>
          <w:sz w:val="20"/>
          <w:szCs w:val="20"/>
          <w:lang w:val="sr-Cyrl-RS"/>
        </w:rPr>
        <w:t>а</w:t>
      </w:r>
      <w:r w:rsidRPr="00A021B7">
        <w:rPr>
          <w:rFonts w:ascii="Arial" w:hAnsi="Arial" w:cs="Arial"/>
          <w:sz w:val="20"/>
          <w:szCs w:val="20"/>
          <w:lang w:val="sr-Cyrl-RS"/>
        </w:rPr>
        <w:t>. При томе је констатовано да поједине установе не поштују у потпуности материјалне прописе из своје надлежности којима су дати стандарди и нормативи за обављање одређених основних функција, услед рационализације и забране новог запошљавања.</w:t>
      </w:r>
      <w:r w:rsidR="00C75AD7" w:rsidRPr="00A021B7">
        <w:rPr>
          <w:rStyle w:val="FootnoteReference"/>
          <w:rFonts w:ascii="Arial" w:hAnsi="Arial" w:cs="Arial"/>
          <w:sz w:val="20"/>
          <w:szCs w:val="20"/>
          <w:lang w:val="sr-Cyrl-RS"/>
        </w:rPr>
        <w:footnoteReference w:id="20"/>
      </w:r>
    </w:p>
    <w:p w14:paraId="69643378" w14:textId="77777777" w:rsidR="00C75AD7" w:rsidRPr="00A021B7" w:rsidRDefault="00C75AD7" w:rsidP="0DD3B114">
      <w:pPr>
        <w:ind w:firstLine="720"/>
        <w:contextualSpacing/>
        <w:jc w:val="both"/>
        <w:rPr>
          <w:rFonts w:ascii="Arial" w:hAnsi="Arial" w:cs="Arial"/>
          <w:sz w:val="20"/>
          <w:szCs w:val="20"/>
          <w:lang w:val="sr-Cyrl-RS"/>
        </w:rPr>
      </w:pPr>
    </w:p>
    <w:p w14:paraId="441772FC" w14:textId="24661AFE" w:rsidR="0028484E"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Функционална анализа је показала да је у великом броју установа распон контроле </w:t>
      </w:r>
      <w:r w:rsidR="007D00EF" w:rsidRPr="0DD3B114">
        <w:rPr>
          <w:rFonts w:ascii="Arial" w:hAnsi="Arial" w:cs="Arial"/>
          <w:sz w:val="20"/>
          <w:szCs w:val="20"/>
          <w:lang w:val="sr-Cyrl-RS"/>
        </w:rPr>
        <w:t xml:space="preserve">знатно </w:t>
      </w:r>
      <w:r w:rsidRPr="0DD3B114">
        <w:rPr>
          <w:rFonts w:ascii="Arial" w:hAnsi="Arial" w:cs="Arial"/>
          <w:sz w:val="20"/>
          <w:szCs w:val="20"/>
          <w:lang w:val="sr-Cyrl-RS"/>
        </w:rPr>
        <w:t xml:space="preserve">већи од препорученог. Индикативна ситуација је у предшколским установама </w:t>
      </w:r>
      <w:r w:rsidR="007D00EF" w:rsidRPr="0DD3B114">
        <w:rPr>
          <w:rFonts w:ascii="Arial" w:hAnsi="Arial" w:cs="Arial"/>
          <w:sz w:val="20"/>
          <w:szCs w:val="20"/>
          <w:lang w:val="sr-Cyrl-RS"/>
        </w:rPr>
        <w:t xml:space="preserve">у </w:t>
      </w:r>
      <w:r w:rsidRPr="0DD3B114">
        <w:rPr>
          <w:rFonts w:ascii="Arial" w:hAnsi="Arial" w:cs="Arial"/>
          <w:sz w:val="20"/>
          <w:szCs w:val="20"/>
          <w:lang w:val="sr-Cyrl-RS"/>
        </w:rPr>
        <w:t>већин</w:t>
      </w:r>
      <w:r w:rsidR="007D00EF" w:rsidRPr="0DD3B114">
        <w:rPr>
          <w:rFonts w:ascii="Arial" w:hAnsi="Arial" w:cs="Arial"/>
          <w:sz w:val="20"/>
          <w:szCs w:val="20"/>
          <w:lang w:val="sr-Cyrl-RS"/>
        </w:rPr>
        <w:t>и</w:t>
      </w:r>
      <w:r w:rsidRPr="0DD3B114">
        <w:rPr>
          <w:rFonts w:ascii="Arial" w:hAnsi="Arial" w:cs="Arial"/>
          <w:sz w:val="20"/>
          <w:szCs w:val="20"/>
          <w:lang w:val="sr-Cyrl-RS"/>
        </w:rPr>
        <w:t xml:space="preserve"> ЈЛС, у којима руководиоци руководе радом великог броја запослених (од 20 до 162). Налази ове функционалне анализе намећу закључак да постоји потреба </w:t>
      </w:r>
      <w:r w:rsidR="007D00EF" w:rsidRPr="0DD3B114">
        <w:rPr>
          <w:rFonts w:ascii="Arial" w:hAnsi="Arial" w:cs="Arial"/>
          <w:sz w:val="20"/>
          <w:szCs w:val="20"/>
          <w:lang w:val="sr-Cyrl-RS"/>
        </w:rPr>
        <w:t xml:space="preserve">за </w:t>
      </w:r>
      <w:r w:rsidRPr="0DD3B114">
        <w:rPr>
          <w:rFonts w:ascii="Arial" w:hAnsi="Arial" w:cs="Arial"/>
          <w:sz w:val="20"/>
          <w:szCs w:val="20"/>
          <w:lang w:val="sr-Cyrl-RS"/>
        </w:rPr>
        <w:t>реорганизациј</w:t>
      </w:r>
      <w:r w:rsidR="007D00EF" w:rsidRPr="0DD3B114">
        <w:rPr>
          <w:rFonts w:ascii="Arial" w:hAnsi="Arial" w:cs="Arial"/>
          <w:sz w:val="20"/>
          <w:szCs w:val="20"/>
          <w:lang w:val="sr-Cyrl-RS"/>
        </w:rPr>
        <w:t>ом</w:t>
      </w:r>
      <w:r w:rsidRPr="0DD3B114">
        <w:rPr>
          <w:rFonts w:ascii="Arial" w:hAnsi="Arial" w:cs="Arial"/>
          <w:sz w:val="20"/>
          <w:szCs w:val="20"/>
          <w:lang w:val="sr-Cyrl-RS"/>
        </w:rPr>
        <w:t xml:space="preserve"> у установама, како до уситњавања организационих јединица у случајевима веома високог распона контроле, тако и до спајања мањих организационих јединица, односно укрупњавања како би се мали распон контроле повећао и приближио оптималном. Код мањих општина прихватљив је и нешто већи распон контроле, с обзиром на мали број запослених и неопходност повезивања у организационе јединице, које су логичке и сродне. За установе је посебно важно да унапреде квалитет постојећих услуга и размотре увођење нових по тржишном принципу. Иако ће то представљати додатне почетне трошкове за установе, </w:t>
      </w:r>
      <w:r w:rsidR="00F32962" w:rsidRPr="0DD3B114">
        <w:rPr>
          <w:rFonts w:ascii="Arial" w:hAnsi="Arial" w:cs="Arial"/>
          <w:sz w:val="20"/>
          <w:szCs w:val="20"/>
          <w:lang w:val="sr-Cyrl-RS"/>
        </w:rPr>
        <w:t xml:space="preserve">то може бити </w:t>
      </w:r>
      <w:r w:rsidRPr="0DD3B114">
        <w:rPr>
          <w:rFonts w:ascii="Arial" w:hAnsi="Arial" w:cs="Arial"/>
          <w:sz w:val="20"/>
          <w:szCs w:val="20"/>
          <w:lang w:val="sr-Cyrl-RS"/>
        </w:rPr>
        <w:t>извор нових прихода у наредном периоду.</w:t>
      </w:r>
      <w:r w:rsidR="00494E95" w:rsidRPr="0DD3B114">
        <w:rPr>
          <w:rFonts w:ascii="Arial" w:hAnsi="Arial" w:cs="Arial"/>
          <w:sz w:val="20"/>
          <w:szCs w:val="20"/>
          <w:lang w:val="sr-Cyrl-RS"/>
        </w:rPr>
        <w:t xml:space="preserve"> </w:t>
      </w:r>
      <w:r w:rsidR="006535EE" w:rsidRPr="0DD3B114">
        <w:rPr>
          <w:rFonts w:ascii="Arial" w:hAnsi="Arial" w:cs="Arial"/>
          <w:sz w:val="20"/>
          <w:szCs w:val="20"/>
          <w:lang w:val="sr-Cyrl-RS"/>
        </w:rPr>
        <w:t xml:space="preserve">Наравно, увођење нових услуга по тржишном принципу не сме се вршити на уштрб законом </w:t>
      </w:r>
      <w:r w:rsidR="007D00EF" w:rsidRPr="0DD3B114">
        <w:rPr>
          <w:rFonts w:ascii="Arial" w:hAnsi="Arial" w:cs="Arial"/>
          <w:sz w:val="20"/>
          <w:szCs w:val="20"/>
          <w:lang w:val="sr-Cyrl-RS"/>
        </w:rPr>
        <w:t>обезбеђених</w:t>
      </w:r>
      <w:r w:rsidR="006535EE" w:rsidRPr="0DD3B114">
        <w:rPr>
          <w:rFonts w:ascii="Arial" w:hAnsi="Arial" w:cs="Arial"/>
          <w:sz w:val="20"/>
          <w:szCs w:val="20"/>
          <w:lang w:val="sr-Cyrl-RS"/>
        </w:rPr>
        <w:t xml:space="preserve"> услуга корисницима, које се у целини или делом финансирају из буџета.</w:t>
      </w:r>
    </w:p>
    <w:p w14:paraId="735A84D7" w14:textId="77777777" w:rsidR="00D1486F" w:rsidRPr="00A021B7" w:rsidRDefault="00D1486F" w:rsidP="003E7BC9">
      <w:pPr>
        <w:jc w:val="both"/>
        <w:rPr>
          <w:rFonts w:ascii="Arial" w:hAnsi="Arial" w:cs="Arial"/>
          <w:bCs/>
          <w:sz w:val="20"/>
          <w:szCs w:val="20"/>
          <w:lang w:val="sr-Cyrl-RS"/>
        </w:rPr>
      </w:pPr>
    </w:p>
    <w:p w14:paraId="5605941D" w14:textId="77777777" w:rsidR="00CE205B" w:rsidRPr="00A021B7" w:rsidRDefault="00C75AD7" w:rsidP="004935B9">
      <w:pPr>
        <w:pStyle w:val="Heading3"/>
        <w:rPr>
          <w:noProof w:val="0"/>
          <w:lang w:val="sr-Cyrl-RS"/>
        </w:rPr>
      </w:pPr>
      <w:bookmarkStart w:id="38" w:name="_Toc52865773"/>
      <w:bookmarkStart w:id="39" w:name="_Toc52866184"/>
      <w:bookmarkStart w:id="40" w:name="_Toc56508434"/>
      <w:bookmarkStart w:id="41" w:name="_Toc60136070"/>
      <w:r w:rsidRPr="00A021B7">
        <w:rPr>
          <w:noProof w:val="0"/>
          <w:lang w:val="sr-Cyrl-RS"/>
        </w:rPr>
        <w:t xml:space="preserve">IV.3.3. Организација и рад јавних предузећа </w:t>
      </w:r>
      <w:r w:rsidR="007D2244" w:rsidRPr="00A021B7">
        <w:rPr>
          <w:noProof w:val="0"/>
          <w:lang w:val="sr-Cyrl-RS"/>
        </w:rPr>
        <w:t xml:space="preserve">које оснива </w:t>
      </w:r>
      <w:r w:rsidRPr="00A021B7">
        <w:rPr>
          <w:noProof w:val="0"/>
          <w:lang w:val="sr-Cyrl-RS"/>
        </w:rPr>
        <w:t>ЈЛС</w:t>
      </w:r>
      <w:bookmarkEnd w:id="38"/>
      <w:bookmarkEnd w:id="39"/>
      <w:bookmarkEnd w:id="40"/>
      <w:bookmarkEnd w:id="41"/>
    </w:p>
    <w:p w14:paraId="2F100ECD" w14:textId="77777777" w:rsidR="00C75AD7" w:rsidRPr="00A021B7" w:rsidRDefault="00C75AD7" w:rsidP="003E7BC9">
      <w:pPr>
        <w:contextualSpacing/>
        <w:jc w:val="both"/>
        <w:rPr>
          <w:rFonts w:ascii="Arial" w:hAnsi="Arial" w:cs="Arial"/>
          <w:sz w:val="20"/>
          <w:szCs w:val="20"/>
          <w:lang w:val="sr-Cyrl-RS"/>
        </w:rPr>
      </w:pPr>
    </w:p>
    <w:p w14:paraId="1614A864" w14:textId="740007B3" w:rsidR="00C75AD7" w:rsidRPr="00A021B7" w:rsidRDefault="32B86406" w:rsidP="0DD3B114">
      <w:pPr>
        <w:pStyle w:val="ListParagraph"/>
        <w:ind w:left="0" w:firstLine="720"/>
        <w:jc w:val="both"/>
        <w:rPr>
          <w:rFonts w:ascii="Arial" w:hAnsi="Arial" w:cs="Arial"/>
          <w:sz w:val="20"/>
          <w:szCs w:val="20"/>
          <w:lang w:val="sr-Cyrl-RS"/>
        </w:rPr>
      </w:pPr>
      <w:r w:rsidRPr="00A021B7">
        <w:rPr>
          <w:rFonts w:ascii="Arial" w:hAnsi="Arial" w:cs="Arial"/>
          <w:sz w:val="20"/>
          <w:szCs w:val="20"/>
          <w:lang w:val="sr-Cyrl-RS"/>
        </w:rPr>
        <w:t>Законом о јавним предузећима</w:t>
      </w:r>
      <w:r w:rsidR="36988700" w:rsidRPr="00A021B7">
        <w:rPr>
          <w:rFonts w:ascii="Arial" w:hAnsi="Arial" w:cs="Arial"/>
          <w:sz w:val="20"/>
          <w:szCs w:val="20"/>
          <w:lang w:val="sr-Cyrl-RS"/>
        </w:rPr>
        <w:t xml:space="preserve"> (ЗЈП)</w:t>
      </w:r>
      <w:r w:rsidRPr="00A021B7">
        <w:rPr>
          <w:rFonts w:ascii="Arial" w:hAnsi="Arial" w:cs="Arial"/>
          <w:sz w:val="20"/>
          <w:szCs w:val="20"/>
          <w:lang w:val="sr-Cyrl-RS"/>
        </w:rPr>
        <w:t xml:space="preserve"> уређен је правни положај јавних предузећа </w:t>
      </w:r>
      <w:r w:rsidR="484ACAA8" w:rsidRPr="00A021B7">
        <w:rPr>
          <w:rFonts w:ascii="Arial" w:hAnsi="Arial" w:cs="Arial"/>
          <w:sz w:val="20"/>
          <w:szCs w:val="20"/>
          <w:lang w:val="sr-Cyrl-RS"/>
        </w:rPr>
        <w:t xml:space="preserve">(ЈП) </w:t>
      </w:r>
      <w:r w:rsidRPr="00A021B7">
        <w:rPr>
          <w:rFonts w:ascii="Arial" w:hAnsi="Arial" w:cs="Arial"/>
          <w:sz w:val="20"/>
          <w:szCs w:val="20"/>
          <w:lang w:val="sr-Cyrl-RS"/>
        </w:rPr>
        <w:t xml:space="preserve">и других облика организовања који обављају делатност од општег интереса (оснивање, пословање, управљање, имовина и друга питања од значаја за њихов положај). На питања која нису уређена овим законом, односно законом којим су одређене делатности од општег интереса, а односе се на </w:t>
      </w:r>
      <w:r w:rsidR="484ACAA8" w:rsidRPr="00A021B7">
        <w:rPr>
          <w:rFonts w:ascii="Arial" w:hAnsi="Arial" w:cs="Arial"/>
          <w:sz w:val="20"/>
          <w:szCs w:val="20"/>
          <w:lang w:val="sr-Cyrl-RS"/>
        </w:rPr>
        <w:t>ЈП</w:t>
      </w:r>
      <w:r w:rsidRPr="00A021B7">
        <w:rPr>
          <w:rFonts w:ascii="Arial" w:hAnsi="Arial" w:cs="Arial"/>
          <w:sz w:val="20"/>
          <w:szCs w:val="20"/>
          <w:lang w:val="sr-Cyrl-RS"/>
        </w:rPr>
        <w:t xml:space="preserve">, сходно се примењују одредбе закона којим се уређује правни положај друштва са ограниченом одговорношћу. Делатности од општег интереса јесу делатности које су као такве одређене законом у областима утврђеним </w:t>
      </w:r>
      <w:r w:rsidR="36988700" w:rsidRPr="00A021B7">
        <w:rPr>
          <w:rFonts w:ascii="Arial" w:hAnsi="Arial" w:cs="Arial"/>
          <w:sz w:val="20"/>
          <w:szCs w:val="20"/>
          <w:lang w:val="sr-Cyrl-RS"/>
        </w:rPr>
        <w:t>ЗЈП</w:t>
      </w:r>
      <w:r w:rsidR="00C75AD7" w:rsidRPr="00A021B7">
        <w:rPr>
          <w:rStyle w:val="FootnoteReference"/>
          <w:rFonts w:ascii="Arial" w:hAnsi="Arial" w:cs="Arial"/>
          <w:sz w:val="20"/>
          <w:szCs w:val="20"/>
          <w:lang w:val="sr-Cyrl-RS"/>
        </w:rPr>
        <w:footnoteReference w:id="21"/>
      </w:r>
      <w:r w:rsidR="00D41D25">
        <w:rPr>
          <w:rFonts w:ascii="Arial" w:hAnsi="Arial" w:cs="Arial"/>
          <w:sz w:val="20"/>
          <w:szCs w:val="20"/>
          <w:lang w:val="sr-Cyrl-RS"/>
        </w:rPr>
        <w:t>,</w:t>
      </w:r>
      <w:r w:rsidRPr="00A021B7">
        <w:rPr>
          <w:rFonts w:ascii="Arial" w:hAnsi="Arial" w:cs="Arial"/>
          <w:sz w:val="20"/>
          <w:szCs w:val="20"/>
          <w:lang w:val="sr-Cyrl-RS"/>
        </w:rPr>
        <w:t xml:space="preserve"> као и комуналне делатности и друге делатности које су законом одређене као делатности од општег интереса.</w:t>
      </w:r>
    </w:p>
    <w:p w14:paraId="318CB69B" w14:textId="77777777" w:rsidR="00DE6619" w:rsidRPr="00A021B7" w:rsidRDefault="00DE6619" w:rsidP="0DD3B114">
      <w:pPr>
        <w:pStyle w:val="ListParagraph"/>
        <w:ind w:left="0" w:firstLine="720"/>
        <w:jc w:val="both"/>
        <w:rPr>
          <w:rFonts w:ascii="Arial" w:hAnsi="Arial" w:cs="Arial"/>
          <w:sz w:val="20"/>
          <w:szCs w:val="20"/>
          <w:lang w:val="sr-Cyrl-RS"/>
        </w:rPr>
      </w:pPr>
    </w:p>
    <w:p w14:paraId="7E462D93" w14:textId="27473FD4" w:rsidR="001B0822" w:rsidRPr="00A021B7" w:rsidRDefault="00C75AD7" w:rsidP="0DD3B114">
      <w:pPr>
        <w:ind w:firstLine="720"/>
        <w:jc w:val="both"/>
        <w:rPr>
          <w:rFonts w:ascii="Arial" w:hAnsi="Arial" w:cs="Arial"/>
          <w:color w:val="000000"/>
          <w:sz w:val="20"/>
          <w:szCs w:val="20"/>
          <w:lang w:val="sr-Cyrl-RS"/>
        </w:rPr>
      </w:pPr>
      <w:r w:rsidRPr="0DD3B114">
        <w:rPr>
          <w:rFonts w:ascii="Arial" w:hAnsi="Arial" w:cs="Arial"/>
          <w:sz w:val="20"/>
          <w:szCs w:val="20"/>
          <w:lang w:val="sr-Cyrl-RS"/>
        </w:rPr>
        <w:t>Као општепознате слабости ЈП у Србији</w:t>
      </w:r>
      <w:r w:rsidR="00B13302" w:rsidRPr="0DD3B114">
        <w:rPr>
          <w:rFonts w:ascii="Arial" w:hAnsi="Arial" w:cs="Arial"/>
          <w:sz w:val="20"/>
          <w:szCs w:val="20"/>
          <w:lang w:val="sr-Cyrl-RS"/>
        </w:rPr>
        <w:t xml:space="preserve">, барем у </w:t>
      </w:r>
      <w:r w:rsidR="00717911" w:rsidRPr="0DD3B114">
        <w:rPr>
          <w:rFonts w:ascii="Arial" w:hAnsi="Arial" w:cs="Arial"/>
          <w:sz w:val="20"/>
          <w:szCs w:val="20"/>
          <w:lang w:val="sr-Cyrl-RS"/>
        </w:rPr>
        <w:t xml:space="preserve">широј </w:t>
      </w:r>
      <w:r w:rsidR="00B13302" w:rsidRPr="0DD3B114">
        <w:rPr>
          <w:rFonts w:ascii="Arial" w:hAnsi="Arial" w:cs="Arial"/>
          <w:sz w:val="20"/>
          <w:szCs w:val="20"/>
          <w:lang w:val="sr-Cyrl-RS"/>
        </w:rPr>
        <w:t>јавности,</w:t>
      </w:r>
      <w:r w:rsidRPr="0DD3B114">
        <w:rPr>
          <w:rFonts w:ascii="Arial" w:hAnsi="Arial" w:cs="Arial"/>
          <w:sz w:val="20"/>
          <w:szCs w:val="20"/>
          <w:lang w:val="sr-Cyrl-RS"/>
        </w:rPr>
        <w:t xml:space="preserve"> најчешће</w:t>
      </w:r>
      <w:r w:rsidR="00B13302" w:rsidRPr="0DD3B114">
        <w:rPr>
          <w:rFonts w:ascii="Arial" w:hAnsi="Arial" w:cs="Arial"/>
          <w:sz w:val="20"/>
          <w:szCs w:val="20"/>
          <w:lang w:val="sr-Cyrl-RS"/>
        </w:rPr>
        <w:t xml:space="preserve"> се</w:t>
      </w:r>
      <w:r w:rsidRPr="0DD3B114">
        <w:rPr>
          <w:rFonts w:ascii="Arial" w:hAnsi="Arial" w:cs="Arial"/>
          <w:sz w:val="20"/>
          <w:szCs w:val="20"/>
          <w:lang w:val="sr-Cyrl-RS"/>
        </w:rPr>
        <w:t xml:space="preserve"> наводе презапосленост и политичко запошљавање,</w:t>
      </w:r>
      <w:r w:rsidR="719D6CCC" w:rsidRPr="0DD3B114">
        <w:rPr>
          <w:rFonts w:ascii="Arial" w:hAnsi="Arial" w:cs="Arial"/>
          <w:sz w:val="20"/>
          <w:szCs w:val="20"/>
          <w:lang w:val="sr-Cyrl-RS"/>
        </w:rPr>
        <w:t xml:space="preserve"> недостатак и застарелост неопходне опреме и механизације за обављање делатности</w:t>
      </w:r>
      <w:r w:rsidR="32BACA93" w:rsidRPr="0DD3B114">
        <w:rPr>
          <w:rFonts w:ascii="Arial" w:hAnsi="Arial" w:cs="Arial"/>
          <w:sz w:val="20"/>
          <w:szCs w:val="20"/>
          <w:lang w:val="sr-Cyrl-RS"/>
        </w:rPr>
        <w:t>, нагомилана дуговања</w:t>
      </w:r>
      <w:r w:rsidR="00CD66DB" w:rsidRPr="0DD3B114">
        <w:rPr>
          <w:rFonts w:ascii="Arial" w:hAnsi="Arial" w:cs="Arial"/>
          <w:sz w:val="20"/>
          <w:szCs w:val="20"/>
          <w:lang w:val="sr-Cyrl-RS"/>
        </w:rPr>
        <w:t>,</w:t>
      </w:r>
      <w:r w:rsidRPr="0DD3B114">
        <w:rPr>
          <w:rFonts w:ascii="Arial" w:hAnsi="Arial" w:cs="Arial"/>
          <w:sz w:val="20"/>
          <w:szCs w:val="20"/>
          <w:lang w:val="sr-Cyrl-RS"/>
        </w:rPr>
        <w:t xml:space="preserve"> као и нерационално трошење средстава и неефикасност. </w:t>
      </w:r>
      <w:r w:rsidR="00BB75B1" w:rsidRPr="0DD3B114">
        <w:rPr>
          <w:rFonts w:ascii="Arial" w:hAnsi="Arial" w:cs="Arial"/>
          <w:color w:val="000000" w:themeColor="text1"/>
          <w:sz w:val="20"/>
          <w:szCs w:val="20"/>
          <w:lang w:val="sr-Cyrl-RS"/>
        </w:rPr>
        <w:t xml:space="preserve">У једном делу ЈЛС проблеми се јављају у вези са књиговодственим </w:t>
      </w:r>
      <w:r w:rsidR="00BB75B1" w:rsidRPr="0DD3B114">
        <w:rPr>
          <w:rFonts w:ascii="Arial" w:hAnsi="Arial" w:cs="Arial"/>
          <w:color w:val="000000" w:themeColor="text1"/>
          <w:sz w:val="20"/>
          <w:szCs w:val="20"/>
          <w:lang w:val="sr-Cyrl-RS"/>
        </w:rPr>
        <w:lastRenderedPageBreak/>
        <w:t>евидентирањем непокретности у јавној својини кој</w:t>
      </w:r>
      <w:r w:rsidR="000221B9" w:rsidRPr="0DD3B114">
        <w:rPr>
          <w:rFonts w:ascii="Arial" w:hAnsi="Arial" w:cs="Arial"/>
          <w:color w:val="000000" w:themeColor="text1"/>
          <w:sz w:val="20"/>
          <w:szCs w:val="20"/>
          <w:lang w:val="sr-Cyrl-RS"/>
        </w:rPr>
        <w:t>е</w:t>
      </w:r>
      <w:r w:rsidR="00BB75B1" w:rsidRPr="0DD3B114">
        <w:rPr>
          <w:rFonts w:ascii="Arial" w:hAnsi="Arial" w:cs="Arial"/>
          <w:color w:val="000000" w:themeColor="text1"/>
          <w:sz w:val="20"/>
          <w:szCs w:val="20"/>
          <w:lang w:val="sr-Cyrl-RS"/>
        </w:rPr>
        <w:t xml:space="preserve"> користе локална </w:t>
      </w:r>
      <w:r w:rsidR="00CD66DB" w:rsidRPr="0DD3B114">
        <w:rPr>
          <w:rFonts w:ascii="Arial" w:hAnsi="Arial" w:cs="Arial"/>
          <w:color w:val="000000" w:themeColor="text1"/>
          <w:sz w:val="20"/>
          <w:szCs w:val="20"/>
          <w:lang w:val="sr-Cyrl-RS"/>
        </w:rPr>
        <w:t>ЈП</w:t>
      </w:r>
      <w:r w:rsidR="00BB75B1" w:rsidRPr="0DD3B114">
        <w:rPr>
          <w:rFonts w:ascii="Arial" w:hAnsi="Arial" w:cs="Arial"/>
          <w:color w:val="000000" w:themeColor="text1"/>
          <w:sz w:val="20"/>
          <w:szCs w:val="20"/>
          <w:lang w:val="sr-Cyrl-RS"/>
        </w:rPr>
        <w:t xml:space="preserve">. Коначно, </w:t>
      </w:r>
      <w:r w:rsidR="000221B9" w:rsidRPr="0DD3B114">
        <w:rPr>
          <w:rFonts w:ascii="Arial" w:hAnsi="Arial" w:cs="Arial"/>
          <w:color w:val="000000" w:themeColor="text1"/>
          <w:sz w:val="20"/>
          <w:szCs w:val="20"/>
          <w:lang w:val="sr-Cyrl-RS"/>
        </w:rPr>
        <w:t xml:space="preserve">у ЗЈП </w:t>
      </w:r>
      <w:r w:rsidR="001B0822" w:rsidRPr="0DD3B114">
        <w:rPr>
          <w:rFonts w:ascii="Arial" w:hAnsi="Arial" w:cs="Arial"/>
          <w:color w:val="000000" w:themeColor="text1"/>
          <w:sz w:val="20"/>
          <w:szCs w:val="20"/>
          <w:lang w:val="sr-Cyrl-RS"/>
        </w:rPr>
        <w:t>недовољно је уређен и препознат специфич</w:t>
      </w:r>
      <w:r w:rsidR="000221B9" w:rsidRPr="0DD3B114">
        <w:rPr>
          <w:rFonts w:ascii="Arial" w:hAnsi="Arial" w:cs="Arial"/>
          <w:color w:val="000000" w:themeColor="text1"/>
          <w:sz w:val="20"/>
          <w:szCs w:val="20"/>
          <w:lang w:val="sr-Cyrl-RS"/>
        </w:rPr>
        <w:t>а</w:t>
      </w:r>
      <w:r w:rsidR="001B0822" w:rsidRPr="0DD3B114">
        <w:rPr>
          <w:rFonts w:ascii="Arial" w:hAnsi="Arial" w:cs="Arial"/>
          <w:color w:val="000000" w:themeColor="text1"/>
          <w:sz w:val="20"/>
          <w:szCs w:val="20"/>
          <w:lang w:val="sr-Cyrl-RS"/>
        </w:rPr>
        <w:t xml:space="preserve">н положај регионалних </w:t>
      </w:r>
      <w:r w:rsidR="00CD66DB" w:rsidRPr="0DD3B114">
        <w:rPr>
          <w:rFonts w:ascii="Arial" w:hAnsi="Arial" w:cs="Arial"/>
          <w:color w:val="000000" w:themeColor="text1"/>
          <w:sz w:val="20"/>
          <w:szCs w:val="20"/>
          <w:lang w:val="sr-Cyrl-RS"/>
        </w:rPr>
        <w:t>ЈП</w:t>
      </w:r>
      <w:r w:rsidR="003018B6" w:rsidRPr="0DD3B114">
        <w:rPr>
          <w:rFonts w:ascii="Arial" w:hAnsi="Arial" w:cs="Arial"/>
          <w:color w:val="000000" w:themeColor="text1"/>
          <w:sz w:val="20"/>
          <w:szCs w:val="20"/>
          <w:lang w:val="sr-Cyrl-RS"/>
        </w:rPr>
        <w:t>,</w:t>
      </w:r>
      <w:r w:rsidR="001B0822" w:rsidRPr="0DD3B114">
        <w:rPr>
          <w:rFonts w:ascii="Arial" w:hAnsi="Arial" w:cs="Arial"/>
          <w:color w:val="000000" w:themeColor="text1"/>
          <w:sz w:val="20"/>
          <w:szCs w:val="20"/>
          <w:lang w:val="sr-Cyrl-RS"/>
        </w:rPr>
        <w:t xml:space="preserve"> због чега </w:t>
      </w:r>
      <w:r w:rsidR="000221B9" w:rsidRPr="0DD3B114">
        <w:rPr>
          <w:rFonts w:ascii="Arial" w:hAnsi="Arial" w:cs="Arial"/>
          <w:color w:val="000000" w:themeColor="text1"/>
          <w:sz w:val="20"/>
          <w:szCs w:val="20"/>
          <w:lang w:val="sr-Cyrl-RS"/>
        </w:rPr>
        <w:t>су</w:t>
      </w:r>
      <w:r w:rsidR="001B0822" w:rsidRPr="0DD3B114">
        <w:rPr>
          <w:rFonts w:ascii="Arial" w:hAnsi="Arial" w:cs="Arial"/>
          <w:color w:val="000000" w:themeColor="text1"/>
          <w:sz w:val="20"/>
          <w:szCs w:val="20"/>
          <w:lang w:val="sr-Cyrl-RS"/>
        </w:rPr>
        <w:t xml:space="preserve"> посебно отежан</w:t>
      </w:r>
      <w:r w:rsidR="000221B9" w:rsidRPr="0DD3B114">
        <w:rPr>
          <w:rFonts w:ascii="Arial" w:hAnsi="Arial" w:cs="Arial"/>
          <w:color w:val="000000" w:themeColor="text1"/>
          <w:sz w:val="20"/>
          <w:szCs w:val="20"/>
          <w:lang w:val="sr-Cyrl-RS"/>
        </w:rPr>
        <w:t>и</w:t>
      </w:r>
      <w:r w:rsidR="001B0822" w:rsidRPr="0DD3B114">
        <w:rPr>
          <w:rFonts w:ascii="Arial" w:hAnsi="Arial" w:cs="Arial"/>
          <w:color w:val="000000" w:themeColor="text1"/>
          <w:sz w:val="20"/>
          <w:szCs w:val="20"/>
          <w:lang w:val="sr-Cyrl-RS"/>
        </w:rPr>
        <w:t xml:space="preserve"> њихов рад и функционисање</w:t>
      </w:r>
      <w:r w:rsidR="00732F7D" w:rsidRPr="0DD3B114">
        <w:rPr>
          <w:rFonts w:ascii="Arial" w:hAnsi="Arial" w:cs="Arial"/>
          <w:color w:val="000000" w:themeColor="text1"/>
          <w:sz w:val="20"/>
          <w:szCs w:val="20"/>
          <w:lang w:val="sr-Cyrl-RS"/>
        </w:rPr>
        <w:t>.</w:t>
      </w:r>
    </w:p>
    <w:p w14:paraId="654F555D" w14:textId="77777777" w:rsidR="001B0822" w:rsidRPr="00A021B7" w:rsidRDefault="001B0822" w:rsidP="0DD3B114">
      <w:pPr>
        <w:ind w:firstLine="720"/>
        <w:contextualSpacing/>
        <w:jc w:val="both"/>
        <w:rPr>
          <w:rFonts w:ascii="Arial" w:hAnsi="Arial" w:cs="Arial"/>
          <w:lang w:val="sr-Cyrl-RS"/>
        </w:rPr>
      </w:pPr>
    </w:p>
    <w:p w14:paraId="2F8ABF75" w14:textId="00C87E50"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Настојање да се комунални стандард и квалитет комуналних услуга побољша</w:t>
      </w:r>
      <w:r w:rsidR="000221B9" w:rsidRPr="0DD3B114">
        <w:rPr>
          <w:rFonts w:ascii="Arial" w:hAnsi="Arial" w:cs="Arial"/>
          <w:sz w:val="20"/>
          <w:szCs w:val="20"/>
          <w:lang w:val="sr-Cyrl-RS"/>
        </w:rPr>
        <w:t>ју</w:t>
      </w:r>
      <w:r w:rsidR="00133374" w:rsidRPr="0DD3B114">
        <w:rPr>
          <w:rFonts w:ascii="Arial" w:hAnsi="Arial" w:cs="Arial"/>
          <w:sz w:val="20"/>
          <w:szCs w:val="20"/>
          <w:lang w:val="sr-Cyrl-RS"/>
        </w:rPr>
        <w:t>,</w:t>
      </w:r>
      <w:r w:rsidRPr="0DD3B114">
        <w:rPr>
          <w:rFonts w:ascii="Arial" w:hAnsi="Arial" w:cs="Arial"/>
          <w:sz w:val="20"/>
          <w:szCs w:val="20"/>
          <w:lang w:val="sr-Cyrl-RS"/>
        </w:rPr>
        <w:t xml:space="preserve"> отвара питање финансирања комуналних услуга. Када се разговара о функционисању и одрживости комуналних система и услуга, цене комуналних услуга су једно од питања које се не може заобићи, а </w:t>
      </w:r>
      <w:r w:rsidR="000221B9" w:rsidRPr="0DD3B114">
        <w:rPr>
          <w:rFonts w:ascii="Arial" w:hAnsi="Arial" w:cs="Arial"/>
          <w:sz w:val="20"/>
          <w:szCs w:val="20"/>
          <w:lang w:val="sr-Cyrl-RS"/>
        </w:rPr>
        <w:t xml:space="preserve">ценовна </w:t>
      </w:r>
      <w:r w:rsidRPr="0DD3B114">
        <w:rPr>
          <w:rFonts w:ascii="Arial" w:hAnsi="Arial" w:cs="Arial"/>
          <w:sz w:val="20"/>
          <w:szCs w:val="20"/>
          <w:lang w:val="sr-Cyrl-RS"/>
        </w:rPr>
        <w:t>политика мора да се води на стратешки одржив начин. Систем финансирања комуналних делатности у Србији није до краја заокружен и успостављен на стабилним основама.</w:t>
      </w:r>
      <w:r w:rsidR="00231657" w:rsidRPr="0DD3B114">
        <w:rPr>
          <w:rFonts w:ascii="Arial" w:hAnsi="Arial" w:cs="Arial"/>
          <w:sz w:val="20"/>
          <w:szCs w:val="20"/>
          <w:lang w:val="sr-Cyrl-RS"/>
        </w:rPr>
        <w:t xml:space="preserve"> То </w:t>
      </w:r>
      <w:r w:rsidR="000221B9" w:rsidRPr="0DD3B114">
        <w:rPr>
          <w:rFonts w:ascii="Arial" w:hAnsi="Arial" w:cs="Arial"/>
          <w:sz w:val="20"/>
          <w:szCs w:val="20"/>
          <w:lang w:val="sr-Cyrl-RS"/>
        </w:rPr>
        <w:t>као</w:t>
      </w:r>
      <w:r w:rsidR="00231657" w:rsidRPr="0DD3B114">
        <w:rPr>
          <w:rFonts w:ascii="Arial" w:hAnsi="Arial" w:cs="Arial"/>
          <w:sz w:val="20"/>
          <w:szCs w:val="20"/>
          <w:lang w:val="sr-Cyrl-RS"/>
        </w:rPr>
        <w:t xml:space="preserve"> последицу има отворено питање дугорочно</w:t>
      </w:r>
      <w:r w:rsidR="00BD27F7" w:rsidRPr="0DD3B114">
        <w:rPr>
          <w:rFonts w:ascii="Arial" w:hAnsi="Arial" w:cs="Arial"/>
          <w:sz w:val="20"/>
          <w:szCs w:val="20"/>
          <w:lang w:val="sr-Cyrl-RS"/>
        </w:rPr>
        <w:t>г</w:t>
      </w:r>
      <w:r w:rsidR="00231657" w:rsidRPr="0DD3B114">
        <w:rPr>
          <w:rFonts w:ascii="Arial" w:hAnsi="Arial" w:cs="Arial"/>
          <w:sz w:val="20"/>
          <w:szCs w:val="20"/>
          <w:lang w:val="sr-Cyrl-RS"/>
        </w:rPr>
        <w:t xml:space="preserve"> од</w:t>
      </w:r>
      <w:r w:rsidR="00CB6803" w:rsidRPr="0DD3B114">
        <w:rPr>
          <w:rFonts w:ascii="Arial" w:hAnsi="Arial" w:cs="Arial"/>
          <w:sz w:val="20"/>
          <w:szCs w:val="20"/>
          <w:lang w:val="sr-Cyrl-RS"/>
        </w:rPr>
        <w:t>р</w:t>
      </w:r>
      <w:r w:rsidR="00231657" w:rsidRPr="0DD3B114">
        <w:rPr>
          <w:rFonts w:ascii="Arial" w:hAnsi="Arial" w:cs="Arial"/>
          <w:sz w:val="20"/>
          <w:szCs w:val="20"/>
          <w:lang w:val="sr-Cyrl-RS"/>
        </w:rPr>
        <w:t>живо</w:t>
      </w:r>
      <w:r w:rsidR="00BD27F7" w:rsidRPr="0DD3B114">
        <w:rPr>
          <w:rFonts w:ascii="Arial" w:hAnsi="Arial" w:cs="Arial"/>
          <w:sz w:val="20"/>
          <w:szCs w:val="20"/>
          <w:lang w:val="sr-Cyrl-RS"/>
        </w:rPr>
        <w:t>г</w:t>
      </w:r>
      <w:r w:rsidR="00231657" w:rsidRPr="0DD3B114">
        <w:rPr>
          <w:rFonts w:ascii="Arial" w:hAnsi="Arial" w:cs="Arial"/>
          <w:sz w:val="20"/>
          <w:szCs w:val="20"/>
          <w:lang w:val="sr-Cyrl-RS"/>
        </w:rPr>
        <w:t xml:space="preserve"> пословањ</w:t>
      </w:r>
      <w:r w:rsidR="00BD27F7" w:rsidRPr="0DD3B114">
        <w:rPr>
          <w:rFonts w:ascii="Arial" w:hAnsi="Arial" w:cs="Arial"/>
          <w:sz w:val="20"/>
          <w:szCs w:val="20"/>
          <w:lang w:val="sr-Cyrl-RS"/>
        </w:rPr>
        <w:t>а</w:t>
      </w:r>
      <w:r w:rsidR="00231657" w:rsidRPr="0DD3B114">
        <w:rPr>
          <w:rFonts w:ascii="Arial" w:hAnsi="Arial" w:cs="Arial"/>
          <w:sz w:val="20"/>
          <w:szCs w:val="20"/>
          <w:lang w:val="sr-Cyrl-RS"/>
        </w:rPr>
        <w:t xml:space="preserve"> комуналних предузећа на економским основама</w:t>
      </w:r>
      <w:r w:rsidR="00BD27F7" w:rsidRPr="0DD3B114">
        <w:rPr>
          <w:rFonts w:ascii="Arial" w:hAnsi="Arial" w:cs="Arial"/>
          <w:sz w:val="20"/>
          <w:szCs w:val="20"/>
          <w:lang w:val="sr-Cyrl-RS"/>
        </w:rPr>
        <w:t xml:space="preserve">. </w:t>
      </w:r>
      <w:r w:rsidR="00DA527B" w:rsidRPr="0DD3B114">
        <w:rPr>
          <w:rFonts w:ascii="Arial" w:hAnsi="Arial" w:cs="Arial"/>
          <w:sz w:val="20"/>
          <w:szCs w:val="20"/>
          <w:lang w:val="sr-Cyrl-RS"/>
        </w:rPr>
        <w:t>Чини се да</w:t>
      </w:r>
      <w:r w:rsidR="00BD27F7" w:rsidRPr="0DD3B114">
        <w:rPr>
          <w:rFonts w:ascii="Arial" w:hAnsi="Arial" w:cs="Arial"/>
          <w:sz w:val="20"/>
          <w:szCs w:val="20"/>
          <w:lang w:val="sr-Cyrl-RS"/>
        </w:rPr>
        <w:t xml:space="preserve"> </w:t>
      </w:r>
      <w:r w:rsidR="00DA527B" w:rsidRPr="0DD3B114">
        <w:rPr>
          <w:rFonts w:ascii="Arial" w:hAnsi="Arial" w:cs="Arial"/>
          <w:sz w:val="20"/>
          <w:szCs w:val="20"/>
          <w:lang w:val="sr-Cyrl-RS"/>
        </w:rPr>
        <w:t xml:space="preserve">без разматрања и </w:t>
      </w:r>
      <w:r w:rsidR="00682386" w:rsidRPr="0DD3B114">
        <w:rPr>
          <w:rFonts w:ascii="Arial" w:hAnsi="Arial" w:cs="Arial"/>
          <w:sz w:val="20"/>
          <w:szCs w:val="20"/>
          <w:lang w:val="sr-Cyrl-RS"/>
        </w:rPr>
        <w:t xml:space="preserve">спровођења </w:t>
      </w:r>
      <w:r w:rsidR="00DA527B" w:rsidRPr="0DD3B114">
        <w:rPr>
          <w:rFonts w:ascii="Arial" w:hAnsi="Arial" w:cs="Arial"/>
          <w:sz w:val="20"/>
          <w:szCs w:val="20"/>
          <w:lang w:val="sr-Cyrl-RS"/>
        </w:rPr>
        <w:t>реформи</w:t>
      </w:r>
      <w:r w:rsidR="00682386" w:rsidRPr="0DD3B114">
        <w:rPr>
          <w:rFonts w:ascii="Arial" w:hAnsi="Arial" w:cs="Arial"/>
          <w:sz w:val="20"/>
          <w:szCs w:val="20"/>
          <w:lang w:val="sr-Cyrl-RS"/>
        </w:rPr>
        <w:t xml:space="preserve"> у овој области,</w:t>
      </w:r>
      <w:r w:rsidR="00DA527B" w:rsidRPr="0DD3B114">
        <w:rPr>
          <w:rFonts w:ascii="Arial" w:hAnsi="Arial" w:cs="Arial"/>
          <w:sz w:val="20"/>
          <w:szCs w:val="20"/>
          <w:lang w:val="sr-Cyrl-RS"/>
        </w:rPr>
        <w:t xml:space="preserve"> </w:t>
      </w:r>
      <w:r w:rsidR="00BD27F7" w:rsidRPr="0DD3B114">
        <w:rPr>
          <w:rFonts w:ascii="Arial" w:hAnsi="Arial" w:cs="Arial"/>
          <w:sz w:val="20"/>
          <w:szCs w:val="20"/>
          <w:lang w:val="sr-Cyrl-RS"/>
        </w:rPr>
        <w:t xml:space="preserve">дугорочно посматрано, </w:t>
      </w:r>
      <w:r w:rsidR="006F3F76" w:rsidRPr="0DD3B114">
        <w:rPr>
          <w:rFonts w:ascii="Arial" w:hAnsi="Arial" w:cs="Arial"/>
          <w:sz w:val="20"/>
          <w:szCs w:val="20"/>
          <w:lang w:val="sr-Cyrl-RS"/>
        </w:rPr>
        <w:t xml:space="preserve">овакав </w:t>
      </w:r>
      <w:r w:rsidR="00BD27F7" w:rsidRPr="0DD3B114">
        <w:rPr>
          <w:rFonts w:ascii="Arial" w:hAnsi="Arial" w:cs="Arial"/>
          <w:sz w:val="20"/>
          <w:szCs w:val="20"/>
          <w:lang w:val="sr-Cyrl-RS"/>
        </w:rPr>
        <w:t>систем није одржив</w:t>
      </w:r>
      <w:r w:rsidR="00DC755C" w:rsidRPr="0DD3B114">
        <w:rPr>
          <w:rFonts w:ascii="Arial" w:hAnsi="Arial" w:cs="Arial"/>
          <w:sz w:val="20"/>
          <w:szCs w:val="20"/>
          <w:lang w:val="sr-Cyrl-RS"/>
        </w:rPr>
        <w:t>, посебно не</w:t>
      </w:r>
      <w:r w:rsidR="00682386" w:rsidRPr="0DD3B114">
        <w:rPr>
          <w:rFonts w:ascii="Arial" w:hAnsi="Arial" w:cs="Arial"/>
          <w:sz w:val="20"/>
          <w:szCs w:val="20"/>
          <w:lang w:val="sr-Cyrl-RS"/>
        </w:rPr>
        <w:t xml:space="preserve"> без финансијске подрш</w:t>
      </w:r>
      <w:r w:rsidR="00DB3A77" w:rsidRPr="0DD3B114">
        <w:rPr>
          <w:rFonts w:ascii="Arial" w:hAnsi="Arial" w:cs="Arial"/>
          <w:sz w:val="20"/>
          <w:szCs w:val="20"/>
          <w:lang w:val="sr-Cyrl-RS"/>
        </w:rPr>
        <w:t>ке (</w:t>
      </w:r>
      <w:r w:rsidR="00682386" w:rsidRPr="0DD3B114">
        <w:rPr>
          <w:rFonts w:ascii="Arial" w:hAnsi="Arial" w:cs="Arial"/>
          <w:sz w:val="20"/>
          <w:szCs w:val="20"/>
          <w:lang w:val="sr-Cyrl-RS"/>
        </w:rPr>
        <w:t>субвенција</w:t>
      </w:r>
      <w:r w:rsidR="00DB3A77" w:rsidRPr="0DD3B114">
        <w:rPr>
          <w:rFonts w:ascii="Arial" w:hAnsi="Arial" w:cs="Arial"/>
          <w:sz w:val="20"/>
          <w:szCs w:val="20"/>
          <w:lang w:val="sr-Cyrl-RS"/>
        </w:rPr>
        <w:t>)</w:t>
      </w:r>
      <w:r w:rsidR="00682386" w:rsidRPr="0DD3B114">
        <w:rPr>
          <w:rFonts w:ascii="Arial" w:hAnsi="Arial" w:cs="Arial"/>
          <w:sz w:val="20"/>
          <w:szCs w:val="20"/>
          <w:lang w:val="sr-Cyrl-RS"/>
        </w:rPr>
        <w:t xml:space="preserve"> од стране локалне самоуправе</w:t>
      </w:r>
      <w:r w:rsidR="00DB3A77" w:rsidRPr="0DD3B114">
        <w:rPr>
          <w:rFonts w:ascii="Arial" w:hAnsi="Arial" w:cs="Arial"/>
          <w:sz w:val="20"/>
          <w:szCs w:val="20"/>
          <w:lang w:val="sr-Cyrl-RS"/>
        </w:rPr>
        <w:t xml:space="preserve"> (што </w:t>
      </w:r>
      <w:r w:rsidR="008B1302" w:rsidRPr="0DD3B114">
        <w:rPr>
          <w:rFonts w:ascii="Arial" w:hAnsi="Arial" w:cs="Arial"/>
          <w:sz w:val="20"/>
          <w:szCs w:val="20"/>
          <w:lang w:val="sr-Cyrl-RS"/>
        </w:rPr>
        <w:t xml:space="preserve">вероватно </w:t>
      </w:r>
      <w:r w:rsidR="00DB3A77" w:rsidRPr="0DD3B114">
        <w:rPr>
          <w:rFonts w:ascii="Arial" w:hAnsi="Arial" w:cs="Arial"/>
          <w:sz w:val="20"/>
          <w:szCs w:val="20"/>
          <w:lang w:val="sr-Cyrl-RS"/>
        </w:rPr>
        <w:t xml:space="preserve">има оправдања у појединим </w:t>
      </w:r>
      <w:r w:rsidR="008B1302" w:rsidRPr="0DD3B114">
        <w:rPr>
          <w:rFonts w:ascii="Arial" w:hAnsi="Arial" w:cs="Arial"/>
          <w:sz w:val="20"/>
          <w:szCs w:val="20"/>
          <w:lang w:val="sr-Cyrl-RS"/>
        </w:rPr>
        <w:t>комуналним делатностима</w:t>
      </w:r>
      <w:r w:rsidR="000221B9" w:rsidRPr="0DD3B114">
        <w:rPr>
          <w:rFonts w:ascii="Arial" w:hAnsi="Arial" w:cs="Arial"/>
          <w:sz w:val="20"/>
          <w:szCs w:val="20"/>
          <w:lang w:val="sr-Cyrl-RS"/>
        </w:rPr>
        <w:t>,</w:t>
      </w:r>
      <w:r w:rsidR="008B1302" w:rsidRPr="0DD3B114">
        <w:rPr>
          <w:rFonts w:ascii="Arial" w:hAnsi="Arial" w:cs="Arial"/>
          <w:sz w:val="20"/>
          <w:szCs w:val="20"/>
          <w:lang w:val="sr-Cyrl-RS"/>
        </w:rPr>
        <w:t xml:space="preserve"> али не и као континуирана мера подршке комуналним предузећи</w:t>
      </w:r>
      <w:r w:rsidR="00DC755C" w:rsidRPr="0DD3B114">
        <w:rPr>
          <w:rFonts w:ascii="Arial" w:hAnsi="Arial" w:cs="Arial"/>
          <w:sz w:val="20"/>
          <w:szCs w:val="20"/>
          <w:lang w:val="sr-Cyrl-RS"/>
        </w:rPr>
        <w:t>м</w:t>
      </w:r>
      <w:r w:rsidR="008B1302" w:rsidRPr="0DD3B114">
        <w:rPr>
          <w:rFonts w:ascii="Arial" w:hAnsi="Arial" w:cs="Arial"/>
          <w:sz w:val="20"/>
          <w:szCs w:val="20"/>
          <w:lang w:val="sr-Cyrl-RS"/>
        </w:rPr>
        <w:t>а)</w:t>
      </w:r>
      <w:r w:rsidR="00BD27F7" w:rsidRPr="0DD3B114">
        <w:rPr>
          <w:rFonts w:ascii="Arial" w:hAnsi="Arial" w:cs="Arial"/>
          <w:sz w:val="20"/>
          <w:szCs w:val="20"/>
          <w:lang w:val="sr-Cyrl-RS"/>
        </w:rPr>
        <w:t xml:space="preserve">. Управо зато је у наредном периоду </w:t>
      </w:r>
      <w:r w:rsidR="00231657" w:rsidRPr="0DD3B114">
        <w:rPr>
          <w:rFonts w:ascii="Arial" w:hAnsi="Arial" w:cs="Arial"/>
          <w:sz w:val="20"/>
          <w:szCs w:val="20"/>
          <w:lang w:val="sr-Cyrl-RS"/>
        </w:rPr>
        <w:t xml:space="preserve">потребно урадити </w:t>
      </w:r>
      <w:r w:rsidR="00DC755C" w:rsidRPr="0DD3B114">
        <w:rPr>
          <w:rFonts w:ascii="Arial" w:hAnsi="Arial" w:cs="Arial"/>
          <w:sz w:val="20"/>
          <w:szCs w:val="20"/>
          <w:lang w:val="sr-Cyrl-RS"/>
        </w:rPr>
        <w:t xml:space="preserve">озбиљну </w:t>
      </w:r>
      <w:r w:rsidR="00231657" w:rsidRPr="0DD3B114">
        <w:rPr>
          <w:rFonts w:ascii="Arial" w:hAnsi="Arial" w:cs="Arial"/>
          <w:sz w:val="20"/>
          <w:szCs w:val="20"/>
          <w:lang w:val="sr-Cyrl-RS"/>
        </w:rPr>
        <w:t xml:space="preserve">анализу и дефинисати мере за </w:t>
      </w:r>
      <w:r w:rsidR="000221B9" w:rsidRPr="0DD3B114">
        <w:rPr>
          <w:rFonts w:ascii="Arial" w:hAnsi="Arial" w:cs="Arial"/>
          <w:sz w:val="20"/>
          <w:szCs w:val="20"/>
          <w:lang w:val="sr-Cyrl-RS"/>
        </w:rPr>
        <w:t>успостављање</w:t>
      </w:r>
      <w:r w:rsidR="00231657" w:rsidRPr="0DD3B114">
        <w:rPr>
          <w:rFonts w:ascii="Arial" w:hAnsi="Arial" w:cs="Arial"/>
          <w:sz w:val="20"/>
          <w:szCs w:val="20"/>
          <w:lang w:val="sr-Cyrl-RS"/>
        </w:rPr>
        <w:t xml:space="preserve"> од</w:t>
      </w:r>
      <w:r w:rsidR="00C67666" w:rsidRPr="0DD3B114">
        <w:rPr>
          <w:rFonts w:ascii="Arial" w:hAnsi="Arial" w:cs="Arial"/>
          <w:sz w:val="20"/>
          <w:szCs w:val="20"/>
          <w:lang w:val="sr-Cyrl-RS"/>
        </w:rPr>
        <w:t>р</w:t>
      </w:r>
      <w:r w:rsidR="00231657" w:rsidRPr="0DD3B114">
        <w:rPr>
          <w:rFonts w:ascii="Arial" w:hAnsi="Arial" w:cs="Arial"/>
          <w:sz w:val="20"/>
          <w:szCs w:val="20"/>
          <w:lang w:val="sr-Cyrl-RS"/>
        </w:rPr>
        <w:t>живих комуналних система.</w:t>
      </w:r>
    </w:p>
    <w:p w14:paraId="78DFA9D7" w14:textId="77777777" w:rsidR="00C75AD7" w:rsidRPr="00A021B7" w:rsidRDefault="00C75AD7" w:rsidP="0DD3B114">
      <w:pPr>
        <w:ind w:firstLine="720"/>
        <w:contextualSpacing/>
        <w:jc w:val="both"/>
        <w:rPr>
          <w:rFonts w:ascii="Arial" w:hAnsi="Arial" w:cs="Arial"/>
          <w:sz w:val="20"/>
          <w:szCs w:val="20"/>
          <w:lang w:val="sr-Cyrl-RS"/>
        </w:rPr>
      </w:pPr>
    </w:p>
    <w:p w14:paraId="3783A21B" w14:textId="0507DDC3"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Слабости се очитавају у више сегмената, поред нивоа цена комуналних услуга, то су</w:t>
      </w:r>
      <w:r w:rsidR="000175EF" w:rsidRPr="0DD3B114">
        <w:rPr>
          <w:rFonts w:ascii="Arial" w:hAnsi="Arial" w:cs="Arial"/>
          <w:sz w:val="20"/>
          <w:szCs w:val="20"/>
          <w:lang w:val="sr-Cyrl-RS"/>
        </w:rPr>
        <w:t xml:space="preserve"> тарифна политика</w:t>
      </w:r>
      <w:r w:rsidRPr="0DD3B114">
        <w:rPr>
          <w:rFonts w:ascii="Arial" w:hAnsi="Arial" w:cs="Arial"/>
          <w:sz w:val="20"/>
          <w:szCs w:val="20"/>
          <w:lang w:val="sr-Cyrl-RS"/>
        </w:rPr>
        <w:t>, степен наплате, инвестиције,</w:t>
      </w:r>
      <w:r w:rsidR="668C1444" w:rsidRPr="0DD3B114">
        <w:rPr>
          <w:rFonts w:ascii="Arial" w:hAnsi="Arial" w:cs="Arial"/>
          <w:sz w:val="20"/>
          <w:szCs w:val="20"/>
          <w:lang w:val="sr-Cyrl-RS"/>
        </w:rPr>
        <w:t xml:space="preserve"> контрола квалитета обављања делатности,</w:t>
      </w:r>
      <w:r w:rsidRPr="0DD3B114">
        <w:rPr>
          <w:rFonts w:ascii="Arial" w:hAnsi="Arial" w:cs="Arial"/>
          <w:sz w:val="20"/>
          <w:szCs w:val="20"/>
          <w:lang w:val="sr-Cyrl-RS"/>
        </w:rPr>
        <w:t xml:space="preserve"> нерешена имовинска питања. </w:t>
      </w:r>
      <w:r w:rsidR="004E7CB7" w:rsidRPr="0DD3B114">
        <w:rPr>
          <w:rFonts w:ascii="Arial" w:hAnsi="Arial" w:cs="Arial"/>
          <w:sz w:val="20"/>
          <w:szCs w:val="20"/>
          <w:lang w:val="sr-Cyrl-RS"/>
        </w:rPr>
        <w:t>Ако се то и</w:t>
      </w:r>
      <w:r w:rsidRPr="0DD3B114">
        <w:rPr>
          <w:rFonts w:ascii="Arial" w:hAnsi="Arial" w:cs="Arial"/>
          <w:sz w:val="20"/>
          <w:szCs w:val="20"/>
          <w:lang w:val="sr-Cyrl-RS"/>
        </w:rPr>
        <w:t xml:space="preserve">ма у виду, побољшање укупног система финансирања </w:t>
      </w:r>
      <w:r w:rsidR="00EE4594" w:rsidRPr="0DD3B114">
        <w:rPr>
          <w:rFonts w:ascii="Arial" w:hAnsi="Arial" w:cs="Arial"/>
          <w:sz w:val="20"/>
          <w:szCs w:val="20"/>
          <w:lang w:val="sr-Cyrl-RS"/>
        </w:rPr>
        <w:t xml:space="preserve">представља </w:t>
      </w:r>
      <w:r w:rsidRPr="0DD3B114">
        <w:rPr>
          <w:rFonts w:ascii="Arial" w:hAnsi="Arial" w:cs="Arial"/>
          <w:sz w:val="20"/>
          <w:szCs w:val="20"/>
          <w:lang w:val="sr-Cyrl-RS"/>
        </w:rPr>
        <w:t>незаобилазно питање без ког неће бити могућ</w:t>
      </w:r>
      <w:r w:rsidR="004E7CB7" w:rsidRPr="0DD3B114">
        <w:rPr>
          <w:rFonts w:ascii="Arial" w:hAnsi="Arial" w:cs="Arial"/>
          <w:sz w:val="20"/>
          <w:szCs w:val="20"/>
          <w:lang w:val="sr-Cyrl-RS"/>
        </w:rPr>
        <w:t>и</w:t>
      </w:r>
      <w:r w:rsidRPr="0DD3B114">
        <w:rPr>
          <w:rFonts w:ascii="Arial" w:hAnsi="Arial" w:cs="Arial"/>
          <w:sz w:val="20"/>
          <w:szCs w:val="20"/>
          <w:lang w:val="sr-Cyrl-RS"/>
        </w:rPr>
        <w:t xml:space="preserve"> озбиљнији напредак и побољшање квалитета комуналних услуга, баш као ни достизање стандарда</w:t>
      </w:r>
      <w:r w:rsidR="006E179D" w:rsidRPr="0DD3B114">
        <w:rPr>
          <w:rFonts w:ascii="Arial" w:hAnsi="Arial" w:cs="Arial"/>
          <w:sz w:val="20"/>
          <w:szCs w:val="20"/>
          <w:lang w:val="sr-Cyrl-RS"/>
        </w:rPr>
        <w:t xml:space="preserve"> ЕУ</w:t>
      </w:r>
      <w:r w:rsidRPr="0DD3B114">
        <w:rPr>
          <w:rFonts w:ascii="Arial" w:hAnsi="Arial" w:cs="Arial"/>
          <w:sz w:val="20"/>
          <w:szCs w:val="20"/>
          <w:lang w:val="sr-Cyrl-RS"/>
        </w:rPr>
        <w:t>. На нивоу свих наших</w:t>
      </w:r>
      <w:r w:rsidR="005950E7" w:rsidRPr="0DD3B114">
        <w:rPr>
          <w:rFonts w:ascii="Arial" w:hAnsi="Arial" w:cs="Arial"/>
          <w:sz w:val="20"/>
          <w:szCs w:val="20"/>
          <w:lang w:val="sr-Cyrl-RS"/>
        </w:rPr>
        <w:t xml:space="preserve"> ЈЛС</w:t>
      </w:r>
      <w:r w:rsidRPr="0DD3B114">
        <w:rPr>
          <w:rFonts w:ascii="Arial" w:hAnsi="Arial" w:cs="Arial"/>
          <w:sz w:val="20"/>
          <w:szCs w:val="20"/>
          <w:lang w:val="sr-Cyrl-RS"/>
        </w:rPr>
        <w:t xml:space="preserve"> тренутно је активно више од 500 локалних јавних предузећа. Више од половине (око 350) </w:t>
      </w:r>
      <w:r w:rsidR="004E7CB7" w:rsidRPr="0DD3B114">
        <w:rPr>
          <w:rFonts w:ascii="Arial" w:hAnsi="Arial" w:cs="Arial"/>
          <w:sz w:val="20"/>
          <w:szCs w:val="20"/>
          <w:lang w:val="sr-Cyrl-RS"/>
        </w:rPr>
        <w:t>је</w:t>
      </w:r>
      <w:r w:rsidRPr="0DD3B114">
        <w:rPr>
          <w:rFonts w:ascii="Arial" w:hAnsi="Arial" w:cs="Arial"/>
          <w:sz w:val="20"/>
          <w:szCs w:val="20"/>
          <w:lang w:val="sr-Cyrl-RS"/>
        </w:rPr>
        <w:t>су предузећа која обављају једну или више комуналних делатности, док су делатности преосталих јавних предузећа шаренолике (области туризма, културе, спорта и сл</w:t>
      </w:r>
      <w:r w:rsidR="004E7CB7" w:rsidRPr="0DD3B114">
        <w:rPr>
          <w:rFonts w:ascii="Arial" w:hAnsi="Arial" w:cs="Arial"/>
          <w:sz w:val="20"/>
          <w:szCs w:val="20"/>
          <w:lang w:val="sr-Cyrl-RS"/>
        </w:rPr>
        <w:t>.</w:t>
      </w:r>
      <w:r w:rsidRPr="0DD3B114">
        <w:rPr>
          <w:rFonts w:ascii="Arial" w:hAnsi="Arial" w:cs="Arial"/>
          <w:sz w:val="20"/>
          <w:szCs w:val="20"/>
          <w:lang w:val="sr-Cyrl-RS"/>
        </w:rPr>
        <w:t xml:space="preserve">). Ова предузећа запошљавају </w:t>
      </w:r>
      <w:r w:rsidR="00516190" w:rsidRPr="0DD3B114">
        <w:rPr>
          <w:rFonts w:ascii="Arial" w:hAnsi="Arial" w:cs="Arial"/>
          <w:sz w:val="20"/>
          <w:szCs w:val="20"/>
          <w:lang w:val="sr-Cyrl-RS"/>
        </w:rPr>
        <w:t>око</w:t>
      </w:r>
      <w:r w:rsidR="004F67BE" w:rsidRPr="0DD3B114">
        <w:rPr>
          <w:rFonts w:ascii="Arial" w:hAnsi="Arial" w:cs="Arial"/>
          <w:sz w:val="20"/>
          <w:szCs w:val="20"/>
          <w:lang w:val="sr-Cyrl-RS"/>
        </w:rPr>
        <w:t xml:space="preserve"> </w:t>
      </w:r>
      <w:r w:rsidRPr="0DD3B114">
        <w:rPr>
          <w:rFonts w:ascii="Arial" w:hAnsi="Arial" w:cs="Arial"/>
          <w:sz w:val="20"/>
          <w:szCs w:val="20"/>
          <w:lang w:val="sr-Cyrl-RS"/>
        </w:rPr>
        <w:t>5</w:t>
      </w:r>
      <w:r w:rsidR="00CF0EF2" w:rsidRPr="0DD3B114">
        <w:rPr>
          <w:rFonts w:ascii="Arial" w:hAnsi="Arial" w:cs="Arial"/>
          <w:sz w:val="20"/>
          <w:szCs w:val="20"/>
          <w:lang w:val="sr-Cyrl-RS"/>
        </w:rPr>
        <w:t>2</w:t>
      </w:r>
      <w:r w:rsidRPr="0DD3B114">
        <w:rPr>
          <w:rFonts w:ascii="Arial" w:hAnsi="Arial" w:cs="Arial"/>
          <w:sz w:val="20"/>
          <w:szCs w:val="20"/>
          <w:lang w:val="sr-Cyrl-RS"/>
        </w:rPr>
        <w:t xml:space="preserve"> </w:t>
      </w:r>
      <w:r w:rsidR="004E7CB7" w:rsidRPr="0DD3B114">
        <w:rPr>
          <w:rFonts w:ascii="Arial" w:hAnsi="Arial" w:cs="Arial"/>
          <w:sz w:val="20"/>
          <w:szCs w:val="20"/>
          <w:lang w:val="sr-Cyrl-RS"/>
        </w:rPr>
        <w:t>хиљаде</w:t>
      </w:r>
      <w:r w:rsidRPr="0DD3B114">
        <w:rPr>
          <w:rFonts w:ascii="Arial" w:hAnsi="Arial" w:cs="Arial"/>
          <w:sz w:val="20"/>
          <w:szCs w:val="20"/>
          <w:lang w:val="sr-Cyrl-RS"/>
        </w:rPr>
        <w:t xml:space="preserve"> људи</w:t>
      </w:r>
      <w:r w:rsidR="006F1B37" w:rsidRPr="0DD3B114">
        <w:rPr>
          <w:rFonts w:ascii="Arial" w:hAnsi="Arial" w:cs="Arial"/>
          <w:sz w:val="20"/>
          <w:szCs w:val="20"/>
          <w:lang w:val="sr-Cyrl-RS"/>
        </w:rPr>
        <w:t xml:space="preserve"> на неодређено</w:t>
      </w:r>
      <w:r w:rsidRPr="0DD3B114">
        <w:rPr>
          <w:rFonts w:ascii="Arial" w:hAnsi="Arial" w:cs="Arial"/>
          <w:sz w:val="20"/>
          <w:szCs w:val="20"/>
          <w:lang w:val="sr-Cyrl-RS"/>
        </w:rPr>
        <w:t xml:space="preserve">, што је у односу на укупан број запослених у јавном сектору (сви корисници јавних средстава) учешће од око </w:t>
      </w:r>
      <w:r w:rsidR="00CF0EF2" w:rsidRPr="0DD3B114">
        <w:rPr>
          <w:rFonts w:ascii="Arial" w:hAnsi="Arial" w:cs="Arial"/>
          <w:sz w:val="20"/>
          <w:szCs w:val="20"/>
          <w:lang w:val="sr-Cyrl-RS"/>
        </w:rPr>
        <w:t>8,5%</w:t>
      </w:r>
      <w:r w:rsidRPr="0DD3B114">
        <w:rPr>
          <w:rFonts w:ascii="Arial" w:hAnsi="Arial" w:cs="Arial"/>
          <w:sz w:val="20"/>
          <w:szCs w:val="20"/>
          <w:lang w:val="sr-Cyrl-RS"/>
        </w:rPr>
        <w:t xml:space="preserve">. Укупно гледано, ова предузећа </w:t>
      </w:r>
      <w:r w:rsidR="00262DB4" w:rsidRPr="0DD3B114">
        <w:rPr>
          <w:rFonts w:ascii="Arial" w:hAnsi="Arial" w:cs="Arial"/>
          <w:sz w:val="20"/>
          <w:szCs w:val="20"/>
          <w:lang w:val="sr-Cyrl-RS"/>
        </w:rPr>
        <w:t>најчешће</w:t>
      </w:r>
      <w:r w:rsidRPr="0DD3B114">
        <w:rPr>
          <w:rFonts w:ascii="Arial" w:hAnsi="Arial" w:cs="Arial"/>
          <w:sz w:val="20"/>
          <w:szCs w:val="20"/>
          <w:lang w:val="sr-Cyrl-RS"/>
        </w:rPr>
        <w:t xml:space="preserve"> нису </w:t>
      </w:r>
      <w:r w:rsidR="65289861" w:rsidRPr="0DD3B114">
        <w:rPr>
          <w:rFonts w:ascii="Arial" w:hAnsi="Arial" w:cs="Arial"/>
          <w:sz w:val="20"/>
          <w:szCs w:val="20"/>
          <w:lang w:val="sr-Cyrl-RS"/>
        </w:rPr>
        <w:t>инвестицион</w:t>
      </w:r>
      <w:r w:rsidR="16B09C8B" w:rsidRPr="0DD3B114">
        <w:rPr>
          <w:rFonts w:ascii="Arial" w:hAnsi="Arial" w:cs="Arial"/>
          <w:sz w:val="20"/>
          <w:szCs w:val="20"/>
          <w:lang w:val="sr-Cyrl-RS"/>
        </w:rPr>
        <w:t>о</w:t>
      </w:r>
      <w:r w:rsidRPr="0DD3B114">
        <w:rPr>
          <w:rFonts w:ascii="Arial" w:hAnsi="Arial" w:cs="Arial"/>
          <w:sz w:val="20"/>
          <w:szCs w:val="20"/>
          <w:lang w:val="sr-Cyrl-RS"/>
        </w:rPr>
        <w:t xml:space="preserve"> способна</w:t>
      </w:r>
      <w:r w:rsidR="00473B82" w:rsidRPr="0DD3B114">
        <w:rPr>
          <w:rFonts w:ascii="Arial" w:hAnsi="Arial" w:cs="Arial"/>
          <w:sz w:val="20"/>
          <w:szCs w:val="20"/>
          <w:lang w:val="sr-Cyrl-RS"/>
        </w:rPr>
        <w:t>,</w:t>
      </w:r>
      <w:r w:rsidRPr="0DD3B114">
        <w:rPr>
          <w:rFonts w:ascii="Arial" w:hAnsi="Arial" w:cs="Arial"/>
          <w:sz w:val="20"/>
          <w:szCs w:val="20"/>
          <w:lang w:val="sr-Cyrl-RS"/>
        </w:rPr>
        <w:t xml:space="preserve"> тако да се веће инвестиције добрим делом финансирају </w:t>
      </w:r>
      <w:r w:rsidR="00C205C1" w:rsidRPr="0DD3B114">
        <w:rPr>
          <w:rFonts w:ascii="Arial" w:hAnsi="Arial" w:cs="Arial"/>
          <w:sz w:val="20"/>
          <w:szCs w:val="20"/>
          <w:lang w:val="sr-Cyrl-RS"/>
        </w:rPr>
        <w:t xml:space="preserve">капиталним </w:t>
      </w:r>
      <w:r w:rsidRPr="0DD3B114">
        <w:rPr>
          <w:rFonts w:ascii="Arial" w:hAnsi="Arial" w:cs="Arial"/>
          <w:sz w:val="20"/>
          <w:szCs w:val="20"/>
          <w:lang w:val="sr-Cyrl-RS"/>
        </w:rPr>
        <w:t>субвенција</w:t>
      </w:r>
      <w:r w:rsidR="00C205C1" w:rsidRPr="0DD3B114">
        <w:rPr>
          <w:rFonts w:ascii="Arial" w:hAnsi="Arial" w:cs="Arial"/>
          <w:sz w:val="20"/>
          <w:szCs w:val="20"/>
          <w:lang w:val="sr-Cyrl-RS"/>
        </w:rPr>
        <w:t>ма</w:t>
      </w:r>
      <w:r w:rsidRPr="0DD3B114">
        <w:rPr>
          <w:rFonts w:ascii="Arial" w:hAnsi="Arial" w:cs="Arial"/>
          <w:sz w:val="20"/>
          <w:szCs w:val="20"/>
          <w:lang w:val="sr-Cyrl-RS"/>
        </w:rPr>
        <w:t xml:space="preserve"> из локалних буџета. Један мањи број предузећа није у стању да из прихода покрива све трошкове</w:t>
      </w:r>
      <w:r w:rsidR="004E7CB7" w:rsidRPr="0DD3B114">
        <w:rPr>
          <w:rFonts w:ascii="Arial" w:hAnsi="Arial" w:cs="Arial"/>
          <w:sz w:val="20"/>
          <w:szCs w:val="20"/>
          <w:lang w:val="sr-Cyrl-RS"/>
        </w:rPr>
        <w:t>,</w:t>
      </w:r>
      <w:r w:rsidR="00FC034B" w:rsidRPr="0DD3B114">
        <w:rPr>
          <w:rFonts w:ascii="Arial" w:hAnsi="Arial" w:cs="Arial"/>
          <w:sz w:val="20"/>
          <w:szCs w:val="20"/>
          <w:lang w:val="sr-Cyrl-RS"/>
        </w:rPr>
        <w:t xml:space="preserve"> </w:t>
      </w:r>
      <w:r w:rsidRPr="0DD3B114">
        <w:rPr>
          <w:rFonts w:ascii="Arial" w:hAnsi="Arial" w:cs="Arial"/>
          <w:sz w:val="20"/>
          <w:szCs w:val="20"/>
          <w:lang w:val="sr-Cyrl-RS"/>
        </w:rPr>
        <w:t>а овај недостатак средстава се покрива из</w:t>
      </w:r>
      <w:r w:rsidR="00CF0EF2" w:rsidRPr="0DD3B114">
        <w:rPr>
          <w:rFonts w:ascii="Arial" w:hAnsi="Arial" w:cs="Arial"/>
          <w:sz w:val="20"/>
          <w:szCs w:val="20"/>
          <w:lang w:val="sr-Cyrl-RS"/>
        </w:rPr>
        <w:t>,</w:t>
      </w:r>
      <w:r w:rsidRPr="0DD3B114">
        <w:rPr>
          <w:rFonts w:ascii="Arial" w:hAnsi="Arial" w:cs="Arial"/>
          <w:sz w:val="20"/>
          <w:szCs w:val="20"/>
          <w:lang w:val="sr-Cyrl-RS"/>
        </w:rPr>
        <w:t xml:space="preserve"> за јавне финансије непожељних</w:t>
      </w:r>
      <w:r w:rsidR="003B0305" w:rsidRPr="0DD3B114">
        <w:rPr>
          <w:rFonts w:ascii="Arial" w:hAnsi="Arial" w:cs="Arial"/>
          <w:sz w:val="20"/>
          <w:szCs w:val="20"/>
          <w:lang w:val="sr-Cyrl-RS"/>
        </w:rPr>
        <w:t>,</w:t>
      </w:r>
      <w:r w:rsidRPr="0DD3B114">
        <w:rPr>
          <w:rFonts w:ascii="Arial" w:hAnsi="Arial" w:cs="Arial"/>
          <w:sz w:val="20"/>
          <w:szCs w:val="20"/>
          <w:lang w:val="sr-Cyrl-RS"/>
        </w:rPr>
        <w:t xml:space="preserve"> буџетских субвенција</w:t>
      </w:r>
      <w:r w:rsidR="00FC034B" w:rsidRPr="0DD3B114">
        <w:rPr>
          <w:rFonts w:ascii="Arial" w:hAnsi="Arial" w:cs="Arial"/>
          <w:sz w:val="20"/>
          <w:szCs w:val="20"/>
          <w:lang w:val="sr-Cyrl-RS"/>
        </w:rPr>
        <w:t xml:space="preserve"> (посебан проблем јесте покривање текућих трошкова рада предузећа)</w:t>
      </w:r>
      <w:r w:rsidRPr="0DD3B114">
        <w:rPr>
          <w:rFonts w:ascii="Arial" w:hAnsi="Arial" w:cs="Arial"/>
          <w:sz w:val="20"/>
          <w:szCs w:val="20"/>
          <w:lang w:val="sr-Cyrl-RS"/>
        </w:rPr>
        <w:t>.</w:t>
      </w:r>
    </w:p>
    <w:p w14:paraId="4FEEA92B" w14:textId="77777777" w:rsidR="00C75AD7" w:rsidRPr="00A021B7" w:rsidRDefault="00C75AD7" w:rsidP="0DD3B114">
      <w:pPr>
        <w:ind w:firstLine="720"/>
        <w:contextualSpacing/>
        <w:jc w:val="both"/>
        <w:rPr>
          <w:rFonts w:ascii="Arial" w:hAnsi="Arial" w:cs="Arial"/>
          <w:sz w:val="20"/>
          <w:szCs w:val="20"/>
          <w:lang w:val="sr-Cyrl-RS"/>
        </w:rPr>
      </w:pPr>
    </w:p>
    <w:p w14:paraId="11DCBBC7" w14:textId="0D122590" w:rsidR="00C75AD7" w:rsidRPr="00A021B7" w:rsidRDefault="7D847D11" w:rsidP="0DD3B114">
      <w:pPr>
        <w:ind w:firstLine="720"/>
        <w:contextualSpacing/>
        <w:jc w:val="both"/>
        <w:rPr>
          <w:rFonts w:ascii="Arial" w:hAnsi="Arial" w:cs="Arial"/>
          <w:sz w:val="20"/>
          <w:szCs w:val="20"/>
          <w:lang w:val="sr-Cyrl-RS"/>
        </w:rPr>
      </w:pPr>
      <w:r w:rsidRPr="00A021B7">
        <w:rPr>
          <w:rFonts w:ascii="Arial" w:hAnsi="Arial" w:cs="Arial"/>
          <w:sz w:val="20"/>
          <w:szCs w:val="20"/>
          <w:lang w:val="sr-Cyrl-RS"/>
        </w:rPr>
        <w:t xml:space="preserve">ЈЛС </w:t>
      </w:r>
      <w:r w:rsidR="191D3CAB" w:rsidRPr="00A021B7">
        <w:rPr>
          <w:rFonts w:ascii="Arial" w:hAnsi="Arial" w:cs="Arial"/>
          <w:sz w:val="20"/>
          <w:szCs w:val="20"/>
          <w:lang w:val="sr-Cyrl-RS"/>
        </w:rPr>
        <w:t xml:space="preserve">треба да </w:t>
      </w:r>
      <w:r w:rsidR="32B86406" w:rsidRPr="00A021B7">
        <w:rPr>
          <w:rFonts w:ascii="Arial" w:hAnsi="Arial" w:cs="Arial"/>
          <w:sz w:val="20"/>
          <w:szCs w:val="20"/>
          <w:lang w:val="sr-Cyrl-RS"/>
        </w:rPr>
        <w:t xml:space="preserve">имају пун увид у пословање предузећа која су основала, а контролу врше </w:t>
      </w:r>
      <w:r w:rsidR="3F59D634" w:rsidRPr="00A021B7">
        <w:rPr>
          <w:rFonts w:ascii="Arial" w:hAnsi="Arial" w:cs="Arial"/>
          <w:sz w:val="20"/>
          <w:szCs w:val="20"/>
          <w:lang w:val="sr-Cyrl-RS"/>
        </w:rPr>
        <w:t xml:space="preserve">како </w:t>
      </w:r>
      <w:r w:rsidR="32B86406" w:rsidRPr="00A021B7">
        <w:rPr>
          <w:rFonts w:ascii="Arial" w:hAnsi="Arial" w:cs="Arial"/>
          <w:sz w:val="20"/>
          <w:szCs w:val="20"/>
          <w:lang w:val="sr-Cyrl-RS"/>
        </w:rPr>
        <w:t>преко својих представника у органима управљањ</w:t>
      </w:r>
      <w:r w:rsidR="1141AB64" w:rsidRPr="00A021B7">
        <w:rPr>
          <w:rFonts w:ascii="Arial" w:hAnsi="Arial" w:cs="Arial"/>
          <w:sz w:val="20"/>
          <w:szCs w:val="20"/>
          <w:lang w:val="sr-Cyrl-RS"/>
        </w:rPr>
        <w:t>а</w:t>
      </w:r>
      <w:r w:rsidR="32B86406" w:rsidRPr="00A021B7">
        <w:rPr>
          <w:rFonts w:ascii="Arial" w:hAnsi="Arial" w:cs="Arial"/>
          <w:sz w:val="20"/>
          <w:szCs w:val="20"/>
          <w:lang w:val="sr-Cyrl-RS"/>
        </w:rPr>
        <w:t xml:space="preserve"> (</w:t>
      </w:r>
      <w:r w:rsidR="49C7114C" w:rsidRPr="00A021B7">
        <w:rPr>
          <w:rFonts w:ascii="Arial" w:hAnsi="Arial" w:cs="Arial"/>
          <w:sz w:val="20"/>
          <w:szCs w:val="20"/>
          <w:lang w:val="sr-Cyrl-RS"/>
        </w:rPr>
        <w:t xml:space="preserve">надзорни </w:t>
      </w:r>
      <w:r w:rsidR="32B86406" w:rsidRPr="00A021B7">
        <w:rPr>
          <w:rFonts w:ascii="Arial" w:hAnsi="Arial" w:cs="Arial"/>
          <w:sz w:val="20"/>
          <w:szCs w:val="20"/>
          <w:lang w:val="sr-Cyrl-RS"/>
        </w:rPr>
        <w:t>одбор)</w:t>
      </w:r>
      <w:r w:rsidR="004E7CB7">
        <w:rPr>
          <w:rFonts w:ascii="Arial" w:hAnsi="Arial" w:cs="Arial"/>
          <w:sz w:val="20"/>
          <w:szCs w:val="20"/>
          <w:lang w:val="sr-Cyrl-RS"/>
        </w:rPr>
        <w:t>,</w:t>
      </w:r>
      <w:r w:rsidR="32B86406" w:rsidRPr="00A021B7">
        <w:rPr>
          <w:rFonts w:ascii="Arial" w:hAnsi="Arial" w:cs="Arial"/>
          <w:sz w:val="20"/>
          <w:szCs w:val="20"/>
          <w:lang w:val="sr-Cyrl-RS"/>
        </w:rPr>
        <w:t xml:space="preserve"> </w:t>
      </w:r>
      <w:r w:rsidR="3F59D634" w:rsidRPr="00A021B7">
        <w:rPr>
          <w:rFonts w:ascii="Arial" w:hAnsi="Arial" w:cs="Arial"/>
          <w:sz w:val="20"/>
          <w:szCs w:val="20"/>
          <w:lang w:val="sr-Cyrl-RS"/>
        </w:rPr>
        <w:t xml:space="preserve">тако и кроз </w:t>
      </w:r>
      <w:r w:rsidR="32B86406" w:rsidRPr="00A021B7">
        <w:rPr>
          <w:rFonts w:ascii="Arial" w:hAnsi="Arial" w:cs="Arial"/>
          <w:sz w:val="20"/>
          <w:szCs w:val="20"/>
          <w:lang w:val="sr-Cyrl-RS"/>
        </w:rPr>
        <w:t>одлучивањ</w:t>
      </w:r>
      <w:r w:rsidR="3F59D634" w:rsidRPr="00A021B7">
        <w:rPr>
          <w:rFonts w:ascii="Arial" w:hAnsi="Arial" w:cs="Arial"/>
          <w:sz w:val="20"/>
          <w:szCs w:val="20"/>
          <w:lang w:val="sr-Cyrl-RS"/>
        </w:rPr>
        <w:t>е</w:t>
      </w:r>
      <w:r w:rsidR="32B86406" w:rsidRPr="00A021B7">
        <w:rPr>
          <w:rFonts w:ascii="Arial" w:hAnsi="Arial" w:cs="Arial"/>
          <w:sz w:val="20"/>
          <w:szCs w:val="20"/>
          <w:lang w:val="sr-Cyrl-RS"/>
        </w:rPr>
        <w:t xml:space="preserve"> о свим важнијим питањима из делокруга ЈП (статус, планови, цене, именовање директора</w:t>
      </w:r>
      <w:r w:rsidR="38049522" w:rsidRPr="00A021B7">
        <w:rPr>
          <w:rFonts w:ascii="Arial" w:hAnsi="Arial" w:cs="Arial"/>
          <w:sz w:val="20"/>
          <w:szCs w:val="20"/>
          <w:lang w:val="sr-Cyrl-RS"/>
        </w:rPr>
        <w:t>…</w:t>
      </w:r>
      <w:r w:rsidR="32B86406" w:rsidRPr="00A021B7">
        <w:rPr>
          <w:rFonts w:ascii="Arial" w:hAnsi="Arial" w:cs="Arial"/>
          <w:sz w:val="20"/>
          <w:szCs w:val="20"/>
          <w:lang w:val="sr-Cyrl-RS"/>
        </w:rPr>
        <w:t xml:space="preserve">). Мада </w:t>
      </w:r>
      <w:r w:rsidR="359B01A3" w:rsidRPr="00A021B7">
        <w:rPr>
          <w:rFonts w:ascii="Arial" w:hAnsi="Arial" w:cs="Arial"/>
          <w:sz w:val="20"/>
          <w:szCs w:val="20"/>
          <w:lang w:val="sr-Cyrl-RS"/>
        </w:rPr>
        <w:t xml:space="preserve">ЗЈП </w:t>
      </w:r>
      <w:r w:rsidR="32B86406" w:rsidRPr="00A021B7">
        <w:rPr>
          <w:rFonts w:ascii="Arial" w:hAnsi="Arial" w:cs="Arial"/>
          <w:sz w:val="20"/>
          <w:szCs w:val="20"/>
          <w:lang w:val="sr-Cyrl-RS"/>
        </w:rPr>
        <w:t>инсистира на планирању, може се рећи да је текуће и перспективно планирање у локалним ЈП још увек неразвијено</w:t>
      </w:r>
      <w:r w:rsidR="00146372" w:rsidRPr="00A021B7">
        <w:rPr>
          <w:rStyle w:val="FootnoteReference"/>
          <w:rFonts w:ascii="Arial" w:hAnsi="Arial" w:cs="Arial"/>
          <w:sz w:val="20"/>
          <w:szCs w:val="20"/>
          <w:lang w:val="sr-Cyrl-RS"/>
        </w:rPr>
        <w:footnoteReference w:id="22"/>
      </w:r>
      <w:r w:rsidR="32B86406" w:rsidRPr="00A021B7">
        <w:rPr>
          <w:rFonts w:ascii="Arial" w:hAnsi="Arial" w:cs="Arial"/>
          <w:sz w:val="20"/>
          <w:szCs w:val="20"/>
          <w:lang w:val="sr-Cyrl-RS"/>
        </w:rPr>
        <w:t>.</w:t>
      </w:r>
    </w:p>
    <w:p w14:paraId="5C1C7D02" w14:textId="77777777" w:rsidR="00C75AD7" w:rsidRPr="00A021B7" w:rsidRDefault="00C75AD7" w:rsidP="0DD3B114">
      <w:pPr>
        <w:ind w:firstLine="720"/>
        <w:contextualSpacing/>
        <w:jc w:val="both"/>
        <w:rPr>
          <w:rFonts w:ascii="Arial" w:hAnsi="Arial" w:cs="Arial"/>
          <w:sz w:val="20"/>
          <w:szCs w:val="20"/>
          <w:lang w:val="sr-Cyrl-RS"/>
        </w:rPr>
      </w:pPr>
    </w:p>
    <w:p w14:paraId="4BF4AD03" w14:textId="0B247627"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 xml:space="preserve">Коначно, утисак је да се финансирање комуналних делатности врши несистематично, од случаја до случаја, а најчешће </w:t>
      </w:r>
      <w:r w:rsidR="004E7CB7" w:rsidRPr="0DD3B114">
        <w:rPr>
          <w:rFonts w:ascii="Arial" w:hAnsi="Arial" w:cs="Arial"/>
          <w:sz w:val="20"/>
          <w:szCs w:val="20"/>
          <w:lang w:val="sr-Cyrl-RS"/>
        </w:rPr>
        <w:t xml:space="preserve">је </w:t>
      </w:r>
      <w:r w:rsidRPr="0DD3B114">
        <w:rPr>
          <w:rFonts w:ascii="Arial" w:hAnsi="Arial" w:cs="Arial"/>
          <w:sz w:val="20"/>
          <w:szCs w:val="20"/>
          <w:lang w:val="sr-Cyrl-RS"/>
        </w:rPr>
        <w:t xml:space="preserve">усклађено само са економском снагом </w:t>
      </w:r>
      <w:r w:rsidR="00EB38E2" w:rsidRPr="0DD3B114">
        <w:rPr>
          <w:rFonts w:ascii="Arial" w:hAnsi="Arial" w:cs="Arial"/>
          <w:sz w:val="20"/>
          <w:szCs w:val="20"/>
          <w:lang w:val="sr-Cyrl-RS"/>
        </w:rPr>
        <w:t xml:space="preserve">ЈЛС </w:t>
      </w:r>
      <w:r w:rsidRPr="0DD3B114">
        <w:rPr>
          <w:rFonts w:ascii="Arial" w:hAnsi="Arial" w:cs="Arial"/>
          <w:sz w:val="20"/>
          <w:szCs w:val="20"/>
          <w:lang w:val="sr-Cyrl-RS"/>
        </w:rPr>
        <w:t xml:space="preserve">и њеним способностима да обезбеди недостајућа средства за нормално функционисање комуналних делатности и евентуално за развој система. Како се велики број </w:t>
      </w:r>
      <w:r w:rsidR="007C3BF0" w:rsidRPr="0DD3B114">
        <w:rPr>
          <w:rFonts w:ascii="Arial" w:hAnsi="Arial" w:cs="Arial"/>
          <w:sz w:val="20"/>
          <w:szCs w:val="20"/>
          <w:lang w:val="sr-Cyrl-RS"/>
        </w:rPr>
        <w:t xml:space="preserve">ЈЛС </w:t>
      </w:r>
      <w:r w:rsidRPr="0DD3B114">
        <w:rPr>
          <w:rFonts w:ascii="Arial" w:hAnsi="Arial" w:cs="Arial"/>
          <w:sz w:val="20"/>
          <w:szCs w:val="20"/>
          <w:lang w:val="sr-Cyrl-RS"/>
        </w:rPr>
        <w:t>убраја у групу неразвијених или девастираних општина, то су њихови буџети пренапрегнути, а оне</w:t>
      </w:r>
      <w:r w:rsidR="00AA6982" w:rsidRPr="0DD3B114">
        <w:rPr>
          <w:rFonts w:ascii="Arial" w:hAnsi="Arial" w:cs="Arial"/>
          <w:sz w:val="20"/>
          <w:szCs w:val="20"/>
          <w:lang w:val="sr-Cyrl-RS"/>
        </w:rPr>
        <w:t>,</w:t>
      </w:r>
      <w:r w:rsidRPr="0DD3B114">
        <w:rPr>
          <w:rFonts w:ascii="Arial" w:hAnsi="Arial" w:cs="Arial"/>
          <w:sz w:val="20"/>
          <w:szCs w:val="20"/>
          <w:lang w:val="sr-Cyrl-RS"/>
        </w:rPr>
        <w:t xml:space="preserve"> поред проблема са извршавањем основних функција, немају снаге</w:t>
      </w:r>
      <w:r w:rsidR="004E7CB7" w:rsidRPr="0DD3B114">
        <w:rPr>
          <w:rFonts w:ascii="Arial" w:hAnsi="Arial" w:cs="Arial"/>
          <w:sz w:val="20"/>
          <w:szCs w:val="20"/>
          <w:lang w:val="sr-Cyrl-RS"/>
        </w:rPr>
        <w:t xml:space="preserve"> за</w:t>
      </w:r>
      <w:r w:rsidRPr="0DD3B114">
        <w:rPr>
          <w:rFonts w:ascii="Arial" w:hAnsi="Arial" w:cs="Arial"/>
          <w:sz w:val="20"/>
          <w:szCs w:val="20"/>
          <w:lang w:val="sr-Cyrl-RS"/>
        </w:rPr>
        <w:t xml:space="preserve"> развој система комуналних делатности. Управо због веома </w:t>
      </w:r>
      <w:r w:rsidR="004E7CB7" w:rsidRPr="0DD3B114">
        <w:rPr>
          <w:rFonts w:ascii="Arial" w:hAnsi="Arial" w:cs="Arial"/>
          <w:sz w:val="20"/>
          <w:szCs w:val="20"/>
          <w:lang w:val="sr-Cyrl-RS"/>
        </w:rPr>
        <w:t xml:space="preserve">великих </w:t>
      </w:r>
      <w:r w:rsidRPr="0DD3B114">
        <w:rPr>
          <w:rFonts w:ascii="Arial" w:hAnsi="Arial" w:cs="Arial"/>
          <w:sz w:val="20"/>
          <w:szCs w:val="20"/>
          <w:lang w:val="sr-Cyrl-RS"/>
        </w:rPr>
        <w:t>разлика у степену развијености ЈЛС потребно је донети системска решењ</w:t>
      </w:r>
      <w:r w:rsidR="004E7CB7" w:rsidRPr="0DD3B114">
        <w:rPr>
          <w:rFonts w:ascii="Arial" w:hAnsi="Arial" w:cs="Arial"/>
          <w:sz w:val="20"/>
          <w:szCs w:val="20"/>
          <w:lang w:val="sr-Cyrl-RS"/>
        </w:rPr>
        <w:t>а</w:t>
      </w:r>
      <w:r w:rsidRPr="0DD3B114">
        <w:rPr>
          <w:rFonts w:ascii="Arial" w:hAnsi="Arial" w:cs="Arial"/>
          <w:sz w:val="20"/>
          <w:szCs w:val="20"/>
          <w:lang w:val="sr-Cyrl-RS"/>
        </w:rPr>
        <w:t xml:space="preserve"> која би укључила</w:t>
      </w:r>
      <w:r w:rsidR="00EE4594" w:rsidRPr="0DD3B114">
        <w:rPr>
          <w:rFonts w:ascii="Arial" w:hAnsi="Arial" w:cs="Arial"/>
          <w:sz w:val="20"/>
          <w:szCs w:val="20"/>
          <w:lang w:val="sr-Cyrl-RS"/>
        </w:rPr>
        <w:t xml:space="preserve"> начин</w:t>
      </w:r>
      <w:r w:rsidRPr="0DD3B114">
        <w:rPr>
          <w:rFonts w:ascii="Arial" w:hAnsi="Arial" w:cs="Arial"/>
          <w:sz w:val="20"/>
          <w:szCs w:val="20"/>
          <w:lang w:val="sr-Cyrl-RS"/>
        </w:rPr>
        <w:t xml:space="preserve"> финансирања комуналних делатности, али и реформу комуналног система, како у погледу </w:t>
      </w:r>
      <w:r w:rsidR="00EE4594" w:rsidRPr="0DD3B114">
        <w:rPr>
          <w:rFonts w:ascii="Arial" w:hAnsi="Arial" w:cs="Arial"/>
          <w:sz w:val="20"/>
          <w:szCs w:val="20"/>
          <w:lang w:val="sr-Cyrl-RS"/>
        </w:rPr>
        <w:t>ефикасности</w:t>
      </w:r>
      <w:r w:rsidRPr="0DD3B114">
        <w:rPr>
          <w:rFonts w:ascii="Arial" w:hAnsi="Arial" w:cs="Arial"/>
          <w:sz w:val="20"/>
          <w:szCs w:val="20"/>
          <w:lang w:val="sr-Cyrl-RS"/>
        </w:rPr>
        <w:t>, тако и у смислу регионалног повезивања и заједничког пружања услуга</w:t>
      </w:r>
      <w:r w:rsidR="004E7CB7" w:rsidRPr="0DD3B114">
        <w:rPr>
          <w:rFonts w:ascii="Arial" w:hAnsi="Arial" w:cs="Arial"/>
          <w:sz w:val="20"/>
          <w:szCs w:val="20"/>
          <w:lang w:val="sr-Cyrl-RS"/>
        </w:rPr>
        <w:t>,</w:t>
      </w:r>
      <w:r w:rsidR="00CF0EF2" w:rsidRPr="0DD3B114">
        <w:rPr>
          <w:rFonts w:ascii="Arial" w:hAnsi="Arial" w:cs="Arial"/>
          <w:sz w:val="20"/>
          <w:szCs w:val="20"/>
          <w:lang w:val="sr-Cyrl-RS"/>
        </w:rPr>
        <w:t xml:space="preserve"> односно развијања јавно-приватних партнерстава.</w:t>
      </w:r>
      <w:r w:rsidR="00FA7138" w:rsidRPr="0DD3B114">
        <w:rPr>
          <w:rFonts w:ascii="Arial" w:hAnsi="Arial" w:cs="Arial"/>
          <w:sz w:val="20"/>
          <w:szCs w:val="20"/>
          <w:lang w:val="sr-Cyrl-RS"/>
        </w:rPr>
        <w:t xml:space="preserve"> </w:t>
      </w:r>
      <w:r w:rsidR="61F9212B" w:rsidRPr="0DD3B114">
        <w:rPr>
          <w:rFonts w:ascii="Arial" w:hAnsi="Arial" w:cs="Arial"/>
          <w:sz w:val="20"/>
          <w:szCs w:val="20"/>
          <w:lang w:val="sr-Cyrl-RS"/>
        </w:rPr>
        <w:t xml:space="preserve">Једно од решења </w:t>
      </w:r>
      <w:r w:rsidR="00524772" w:rsidRPr="0DD3B114">
        <w:rPr>
          <w:rFonts w:ascii="Arial" w:hAnsi="Arial" w:cs="Arial"/>
          <w:sz w:val="20"/>
          <w:szCs w:val="20"/>
          <w:lang w:val="sr-Cyrl-RS"/>
        </w:rPr>
        <w:t xml:space="preserve">за превазилажење проблема </w:t>
      </w:r>
      <w:r w:rsidR="61F9212B" w:rsidRPr="0DD3B114">
        <w:rPr>
          <w:rFonts w:ascii="Arial" w:hAnsi="Arial" w:cs="Arial"/>
          <w:sz w:val="20"/>
          <w:szCs w:val="20"/>
          <w:lang w:val="sr-Cyrl-RS"/>
        </w:rPr>
        <w:t>недостат</w:t>
      </w:r>
      <w:r w:rsidR="00524772" w:rsidRPr="0DD3B114">
        <w:rPr>
          <w:rFonts w:ascii="Arial" w:hAnsi="Arial" w:cs="Arial"/>
          <w:sz w:val="20"/>
          <w:szCs w:val="20"/>
          <w:lang w:val="sr-Cyrl-RS"/>
        </w:rPr>
        <w:t>ка</w:t>
      </w:r>
      <w:r w:rsidR="61F9212B" w:rsidRPr="0DD3B114">
        <w:rPr>
          <w:rFonts w:ascii="Arial" w:hAnsi="Arial" w:cs="Arial"/>
          <w:sz w:val="20"/>
          <w:szCs w:val="20"/>
          <w:lang w:val="sr-Cyrl-RS"/>
        </w:rPr>
        <w:t xml:space="preserve"> фина</w:t>
      </w:r>
      <w:r w:rsidR="71DD1D03" w:rsidRPr="0DD3B114">
        <w:rPr>
          <w:rFonts w:ascii="Arial" w:hAnsi="Arial" w:cs="Arial"/>
          <w:sz w:val="20"/>
          <w:szCs w:val="20"/>
          <w:lang w:val="sr-Cyrl-RS"/>
        </w:rPr>
        <w:t>нс</w:t>
      </w:r>
      <w:r w:rsidR="61F9212B" w:rsidRPr="0DD3B114">
        <w:rPr>
          <w:rFonts w:ascii="Arial" w:hAnsi="Arial" w:cs="Arial"/>
          <w:sz w:val="20"/>
          <w:szCs w:val="20"/>
          <w:lang w:val="sr-Cyrl-RS"/>
        </w:rPr>
        <w:t>ијских сре</w:t>
      </w:r>
      <w:r w:rsidR="03938764" w:rsidRPr="0DD3B114">
        <w:rPr>
          <w:rFonts w:ascii="Arial" w:hAnsi="Arial" w:cs="Arial"/>
          <w:sz w:val="20"/>
          <w:szCs w:val="20"/>
          <w:lang w:val="sr-Cyrl-RS"/>
        </w:rPr>
        <w:t>д</w:t>
      </w:r>
      <w:r w:rsidR="61F9212B" w:rsidRPr="0DD3B114">
        <w:rPr>
          <w:rFonts w:ascii="Arial" w:hAnsi="Arial" w:cs="Arial"/>
          <w:sz w:val="20"/>
          <w:szCs w:val="20"/>
          <w:lang w:val="sr-Cyrl-RS"/>
        </w:rPr>
        <w:t>става за адекватно и квалитетно обављање комуналних делатнос</w:t>
      </w:r>
      <w:r w:rsidR="1509247A" w:rsidRPr="0DD3B114">
        <w:rPr>
          <w:rFonts w:ascii="Arial" w:hAnsi="Arial" w:cs="Arial"/>
          <w:sz w:val="20"/>
          <w:szCs w:val="20"/>
          <w:lang w:val="sr-Cyrl-RS"/>
        </w:rPr>
        <w:t>т</w:t>
      </w:r>
      <w:r w:rsidR="61F9212B" w:rsidRPr="0DD3B114">
        <w:rPr>
          <w:rFonts w:ascii="Arial" w:hAnsi="Arial" w:cs="Arial"/>
          <w:sz w:val="20"/>
          <w:szCs w:val="20"/>
          <w:lang w:val="sr-Cyrl-RS"/>
        </w:rPr>
        <w:t>и</w:t>
      </w:r>
      <w:r w:rsidR="00FA7138" w:rsidRPr="0DD3B114">
        <w:rPr>
          <w:rFonts w:ascii="Arial" w:hAnsi="Arial" w:cs="Arial"/>
          <w:sz w:val="20"/>
          <w:szCs w:val="20"/>
          <w:lang w:val="sr-Cyrl-RS"/>
        </w:rPr>
        <w:t xml:space="preserve"> (које претпоставља претходну анализу сваке појединачне ситуације)</w:t>
      </w:r>
      <w:r w:rsidR="61F9212B" w:rsidRPr="0DD3B114">
        <w:rPr>
          <w:rFonts w:ascii="Arial" w:hAnsi="Arial" w:cs="Arial"/>
          <w:sz w:val="20"/>
          <w:szCs w:val="20"/>
          <w:lang w:val="sr-Cyrl-RS"/>
        </w:rPr>
        <w:t xml:space="preserve"> свакако</w:t>
      </w:r>
      <w:r w:rsidR="004E7CB7" w:rsidRPr="0DD3B114">
        <w:rPr>
          <w:rFonts w:ascii="Arial" w:hAnsi="Arial" w:cs="Arial"/>
          <w:sz w:val="20"/>
          <w:szCs w:val="20"/>
          <w:lang w:val="sr-Cyrl-RS"/>
        </w:rPr>
        <w:t xml:space="preserve"> је</w:t>
      </w:r>
      <w:r w:rsidR="61F9212B" w:rsidRPr="0DD3B114">
        <w:rPr>
          <w:rFonts w:ascii="Arial" w:hAnsi="Arial" w:cs="Arial"/>
          <w:sz w:val="20"/>
          <w:szCs w:val="20"/>
          <w:lang w:val="sr-Cyrl-RS"/>
        </w:rPr>
        <w:t xml:space="preserve"> и </w:t>
      </w:r>
      <w:r w:rsidR="2C161181" w:rsidRPr="0DD3B114">
        <w:rPr>
          <w:rFonts w:ascii="Arial" w:hAnsi="Arial" w:cs="Arial"/>
          <w:sz w:val="20"/>
          <w:szCs w:val="20"/>
          <w:lang w:val="sr-Cyrl-RS"/>
        </w:rPr>
        <w:t>модел</w:t>
      </w:r>
      <w:r w:rsidR="61F9212B" w:rsidRPr="0DD3B114">
        <w:rPr>
          <w:rFonts w:ascii="Arial" w:hAnsi="Arial" w:cs="Arial"/>
          <w:sz w:val="20"/>
          <w:szCs w:val="20"/>
          <w:lang w:val="sr-Cyrl-RS"/>
        </w:rPr>
        <w:t xml:space="preserve"> јавно</w:t>
      </w:r>
      <w:r w:rsidR="5AD0C72A" w:rsidRPr="0DD3B114">
        <w:rPr>
          <w:rFonts w:ascii="Arial" w:hAnsi="Arial" w:cs="Arial"/>
          <w:sz w:val="20"/>
          <w:szCs w:val="20"/>
          <w:lang w:val="sr-Cyrl-RS"/>
        </w:rPr>
        <w:t>-приватних партнерстава и концесија</w:t>
      </w:r>
      <w:r w:rsidR="00C32F44" w:rsidRPr="0DD3B114">
        <w:rPr>
          <w:rFonts w:ascii="Arial" w:hAnsi="Arial" w:cs="Arial"/>
          <w:sz w:val="20"/>
          <w:szCs w:val="20"/>
          <w:lang w:val="sr-Cyrl-RS"/>
        </w:rPr>
        <w:t>,</w:t>
      </w:r>
      <w:r w:rsidR="5AD0C72A" w:rsidRPr="0DD3B114">
        <w:rPr>
          <w:rFonts w:ascii="Arial" w:hAnsi="Arial" w:cs="Arial"/>
          <w:sz w:val="20"/>
          <w:szCs w:val="20"/>
          <w:lang w:val="sr-Cyrl-RS"/>
        </w:rPr>
        <w:t xml:space="preserve"> који је за сад</w:t>
      </w:r>
      <w:r w:rsidR="00C32F44" w:rsidRPr="0DD3B114">
        <w:rPr>
          <w:rFonts w:ascii="Arial" w:hAnsi="Arial" w:cs="Arial"/>
          <w:sz w:val="20"/>
          <w:szCs w:val="20"/>
          <w:lang w:val="sr-Cyrl-RS"/>
        </w:rPr>
        <w:t>а</w:t>
      </w:r>
      <w:r w:rsidR="5AD0C72A" w:rsidRPr="0DD3B114">
        <w:rPr>
          <w:rFonts w:ascii="Arial" w:hAnsi="Arial" w:cs="Arial"/>
          <w:sz w:val="20"/>
          <w:szCs w:val="20"/>
          <w:lang w:val="sr-Cyrl-RS"/>
        </w:rPr>
        <w:t xml:space="preserve"> веома стидљиво</w:t>
      </w:r>
      <w:r w:rsidR="00C32F44" w:rsidRPr="0DD3B114">
        <w:rPr>
          <w:rFonts w:ascii="Arial" w:hAnsi="Arial" w:cs="Arial"/>
          <w:sz w:val="20"/>
          <w:szCs w:val="20"/>
          <w:lang w:val="sr-Cyrl-RS"/>
        </w:rPr>
        <w:t xml:space="preserve"> и</w:t>
      </w:r>
      <w:r w:rsidR="00EE4594" w:rsidRPr="0DD3B114">
        <w:rPr>
          <w:rFonts w:ascii="Arial" w:hAnsi="Arial" w:cs="Arial"/>
          <w:sz w:val="20"/>
          <w:szCs w:val="20"/>
          <w:lang w:val="sr-Cyrl-RS"/>
        </w:rPr>
        <w:t xml:space="preserve"> скромно примењен</w:t>
      </w:r>
      <w:r w:rsidR="5AD0C72A" w:rsidRPr="0DD3B114">
        <w:rPr>
          <w:rFonts w:ascii="Arial" w:hAnsi="Arial" w:cs="Arial"/>
          <w:sz w:val="20"/>
          <w:szCs w:val="20"/>
          <w:lang w:val="sr-Cyrl-RS"/>
        </w:rPr>
        <w:t xml:space="preserve"> у појединим ЈЛС</w:t>
      </w:r>
      <w:r w:rsidR="003F1E18" w:rsidRPr="0DD3B114">
        <w:rPr>
          <w:rFonts w:ascii="Arial" w:hAnsi="Arial" w:cs="Arial"/>
          <w:sz w:val="20"/>
          <w:szCs w:val="20"/>
          <w:lang w:val="sr-Cyrl-RS"/>
        </w:rPr>
        <w:t>,</w:t>
      </w:r>
      <w:r w:rsidR="5AD0C72A" w:rsidRPr="0DD3B114">
        <w:rPr>
          <w:rFonts w:ascii="Arial" w:hAnsi="Arial" w:cs="Arial"/>
          <w:sz w:val="20"/>
          <w:szCs w:val="20"/>
          <w:lang w:val="sr-Cyrl-RS"/>
        </w:rPr>
        <w:t xml:space="preserve"> али </w:t>
      </w:r>
      <w:r w:rsidR="006535EE" w:rsidRPr="0DD3B114">
        <w:rPr>
          <w:rFonts w:ascii="Arial" w:hAnsi="Arial" w:cs="Arial"/>
          <w:sz w:val="20"/>
          <w:szCs w:val="20"/>
          <w:lang w:val="sr-Cyrl-RS"/>
        </w:rPr>
        <w:t xml:space="preserve">би требало да </w:t>
      </w:r>
      <w:r w:rsidR="5AD0C72A" w:rsidRPr="0DD3B114">
        <w:rPr>
          <w:rFonts w:ascii="Arial" w:hAnsi="Arial" w:cs="Arial"/>
          <w:sz w:val="20"/>
          <w:szCs w:val="20"/>
          <w:lang w:val="sr-Cyrl-RS"/>
        </w:rPr>
        <w:t>има озби</w:t>
      </w:r>
      <w:r w:rsidR="00D33E94" w:rsidRPr="0DD3B114">
        <w:rPr>
          <w:rFonts w:ascii="Arial" w:hAnsi="Arial" w:cs="Arial"/>
          <w:sz w:val="20"/>
          <w:szCs w:val="20"/>
          <w:lang w:val="sr-Cyrl-RS"/>
        </w:rPr>
        <w:t xml:space="preserve">љан потенцијал </w:t>
      </w:r>
      <w:r w:rsidR="5AD0C72A" w:rsidRPr="0DD3B114">
        <w:rPr>
          <w:rFonts w:ascii="Arial" w:hAnsi="Arial" w:cs="Arial"/>
          <w:sz w:val="20"/>
          <w:szCs w:val="20"/>
          <w:lang w:val="sr-Cyrl-RS"/>
        </w:rPr>
        <w:t>раста</w:t>
      </w:r>
      <w:r w:rsidR="4BEEBF4A" w:rsidRPr="0DD3B114">
        <w:rPr>
          <w:rFonts w:ascii="Arial" w:hAnsi="Arial" w:cs="Arial"/>
          <w:sz w:val="20"/>
          <w:szCs w:val="20"/>
          <w:lang w:val="sr-Cyrl-RS"/>
        </w:rPr>
        <w:t>. У протеклих десетак година од када је овај концепт присутан код нас, имамо ситуацију да се број припре</w:t>
      </w:r>
      <w:r w:rsidR="76F5F2A0" w:rsidRPr="0DD3B114">
        <w:rPr>
          <w:rFonts w:ascii="Arial" w:hAnsi="Arial" w:cs="Arial"/>
          <w:sz w:val="20"/>
          <w:szCs w:val="20"/>
          <w:lang w:val="sr-Cyrl-RS"/>
        </w:rPr>
        <w:t>мљених пројекта сваке године удвостручује, што је значајно подржано и обавезом ЈЛ</w:t>
      </w:r>
      <w:r w:rsidR="281211FD" w:rsidRPr="0DD3B114">
        <w:rPr>
          <w:rFonts w:ascii="Arial" w:hAnsi="Arial" w:cs="Arial"/>
          <w:sz w:val="20"/>
          <w:szCs w:val="20"/>
          <w:lang w:val="sr-Cyrl-RS"/>
        </w:rPr>
        <w:t>С</w:t>
      </w:r>
      <w:r w:rsidR="004D5004" w:rsidRPr="0DD3B114">
        <w:rPr>
          <w:rFonts w:ascii="Arial" w:hAnsi="Arial" w:cs="Arial"/>
          <w:sz w:val="20"/>
          <w:szCs w:val="20"/>
          <w:lang w:val="sr-Cyrl-RS"/>
        </w:rPr>
        <w:t xml:space="preserve"> </w:t>
      </w:r>
      <w:r w:rsidR="76F5F2A0" w:rsidRPr="0DD3B114">
        <w:rPr>
          <w:rFonts w:ascii="Arial" w:hAnsi="Arial" w:cs="Arial"/>
          <w:sz w:val="20"/>
          <w:szCs w:val="20"/>
          <w:lang w:val="sr-Cyrl-RS"/>
        </w:rPr>
        <w:t xml:space="preserve">да </w:t>
      </w:r>
      <w:r w:rsidR="00C32F44" w:rsidRPr="0DD3B114">
        <w:rPr>
          <w:rFonts w:ascii="Arial" w:hAnsi="Arial" w:cs="Arial"/>
          <w:sz w:val="20"/>
          <w:szCs w:val="20"/>
          <w:lang w:val="sr-Cyrl-RS"/>
        </w:rPr>
        <w:t xml:space="preserve">се </w:t>
      </w:r>
      <w:r w:rsidR="76F5F2A0" w:rsidRPr="0DD3B114">
        <w:rPr>
          <w:rFonts w:ascii="Arial" w:hAnsi="Arial" w:cs="Arial"/>
          <w:sz w:val="20"/>
          <w:szCs w:val="20"/>
          <w:lang w:val="sr-Cyrl-RS"/>
        </w:rPr>
        <w:t>свако поверавање комуналних усл</w:t>
      </w:r>
      <w:r w:rsidR="083B0963" w:rsidRPr="0DD3B114">
        <w:rPr>
          <w:rFonts w:ascii="Arial" w:hAnsi="Arial" w:cs="Arial"/>
          <w:sz w:val="20"/>
          <w:szCs w:val="20"/>
          <w:lang w:val="sr-Cyrl-RS"/>
        </w:rPr>
        <w:t xml:space="preserve">уга ради кроз </w:t>
      </w:r>
      <w:r w:rsidR="00542F30" w:rsidRPr="0DD3B114">
        <w:rPr>
          <w:rFonts w:ascii="Arial" w:hAnsi="Arial" w:cs="Arial"/>
          <w:sz w:val="20"/>
          <w:szCs w:val="20"/>
          <w:lang w:val="sr-Cyrl-RS"/>
        </w:rPr>
        <w:t xml:space="preserve">јавно-приватно </w:t>
      </w:r>
      <w:r w:rsidR="00AB5C59" w:rsidRPr="0DD3B114">
        <w:rPr>
          <w:rFonts w:ascii="Arial" w:hAnsi="Arial" w:cs="Arial"/>
          <w:sz w:val="20"/>
          <w:szCs w:val="20"/>
          <w:lang w:val="sr-Cyrl-RS"/>
        </w:rPr>
        <w:t>партнерство</w:t>
      </w:r>
      <w:r w:rsidR="00542F30" w:rsidRPr="0DD3B114">
        <w:rPr>
          <w:rFonts w:ascii="Arial" w:hAnsi="Arial" w:cs="Arial"/>
          <w:sz w:val="20"/>
          <w:szCs w:val="20"/>
          <w:lang w:val="sr-Cyrl-RS"/>
        </w:rPr>
        <w:t xml:space="preserve"> (</w:t>
      </w:r>
      <w:r w:rsidR="083B0963" w:rsidRPr="0DD3B114">
        <w:rPr>
          <w:rFonts w:ascii="Arial" w:hAnsi="Arial" w:cs="Arial"/>
          <w:sz w:val="20"/>
          <w:szCs w:val="20"/>
          <w:lang w:val="sr-Cyrl-RS"/>
        </w:rPr>
        <w:t>ЈПП</w:t>
      </w:r>
      <w:r w:rsidR="00542F30" w:rsidRPr="0DD3B114">
        <w:rPr>
          <w:rFonts w:ascii="Arial" w:hAnsi="Arial" w:cs="Arial"/>
          <w:sz w:val="20"/>
          <w:szCs w:val="20"/>
          <w:lang w:val="sr-Cyrl-RS"/>
        </w:rPr>
        <w:t>)</w:t>
      </w:r>
      <w:r w:rsidR="083B0963" w:rsidRPr="0DD3B114">
        <w:rPr>
          <w:rFonts w:ascii="Arial" w:hAnsi="Arial" w:cs="Arial"/>
          <w:sz w:val="20"/>
          <w:szCs w:val="20"/>
          <w:lang w:val="sr-Cyrl-RS"/>
        </w:rPr>
        <w:t xml:space="preserve">. Уз системску подршку </w:t>
      </w:r>
      <w:r w:rsidR="00D373EB" w:rsidRPr="0DD3B114">
        <w:rPr>
          <w:rFonts w:ascii="Arial" w:hAnsi="Arial" w:cs="Arial"/>
          <w:sz w:val="20"/>
          <w:szCs w:val="20"/>
          <w:lang w:val="sr-Cyrl-RS"/>
        </w:rPr>
        <w:t>ЈЛС</w:t>
      </w:r>
      <w:r w:rsidR="56B8E6A9" w:rsidRPr="0DD3B114">
        <w:rPr>
          <w:rFonts w:ascii="Arial" w:hAnsi="Arial" w:cs="Arial"/>
          <w:sz w:val="20"/>
          <w:szCs w:val="20"/>
          <w:lang w:val="sr-Cyrl-RS"/>
        </w:rPr>
        <w:t xml:space="preserve">, </w:t>
      </w:r>
      <w:r w:rsidR="083B0963" w:rsidRPr="0DD3B114">
        <w:rPr>
          <w:rFonts w:ascii="Arial" w:hAnsi="Arial" w:cs="Arial"/>
          <w:sz w:val="20"/>
          <w:szCs w:val="20"/>
          <w:lang w:val="sr-Cyrl-RS"/>
        </w:rPr>
        <w:t>овај концепт</w:t>
      </w:r>
      <w:r w:rsidR="3E2973F4" w:rsidRPr="0DD3B114">
        <w:rPr>
          <w:rFonts w:ascii="Arial" w:hAnsi="Arial" w:cs="Arial"/>
          <w:sz w:val="20"/>
          <w:szCs w:val="20"/>
          <w:lang w:val="sr-Cyrl-RS"/>
        </w:rPr>
        <w:t xml:space="preserve"> би могао да буде један од начина за </w:t>
      </w:r>
      <w:r w:rsidR="3E2973F4" w:rsidRPr="0DD3B114">
        <w:rPr>
          <w:rFonts w:ascii="Arial" w:hAnsi="Arial" w:cs="Arial"/>
          <w:sz w:val="20"/>
          <w:szCs w:val="20"/>
          <w:lang w:val="sr-Cyrl-RS"/>
        </w:rPr>
        <w:lastRenderedPageBreak/>
        <w:t xml:space="preserve">превазилажење </w:t>
      </w:r>
      <w:r w:rsidR="00A3685B" w:rsidRPr="0DD3B114">
        <w:rPr>
          <w:rFonts w:ascii="Arial" w:hAnsi="Arial" w:cs="Arial"/>
          <w:sz w:val="20"/>
          <w:szCs w:val="20"/>
          <w:lang w:val="sr-Cyrl-RS"/>
        </w:rPr>
        <w:t>дела изазова у</w:t>
      </w:r>
      <w:r w:rsidR="3E2973F4" w:rsidRPr="0DD3B114">
        <w:rPr>
          <w:rFonts w:ascii="Arial" w:hAnsi="Arial" w:cs="Arial"/>
          <w:sz w:val="20"/>
          <w:szCs w:val="20"/>
          <w:lang w:val="sr-Cyrl-RS"/>
        </w:rPr>
        <w:t xml:space="preserve"> области комуналних делатности.</w:t>
      </w:r>
      <w:r w:rsidR="00750C51" w:rsidRPr="0DD3B114">
        <w:rPr>
          <w:rFonts w:ascii="Arial" w:hAnsi="Arial" w:cs="Arial"/>
          <w:sz w:val="20"/>
          <w:szCs w:val="20"/>
          <w:lang w:val="sr-Cyrl-RS"/>
        </w:rPr>
        <w:t xml:space="preserve"> </w:t>
      </w:r>
      <w:r w:rsidR="00404E65" w:rsidRPr="0DD3B114">
        <w:rPr>
          <w:rFonts w:ascii="Arial" w:hAnsi="Arial" w:cs="Arial"/>
          <w:sz w:val="20"/>
          <w:szCs w:val="20"/>
          <w:lang w:val="sr-Cyrl-RS"/>
        </w:rPr>
        <w:t xml:space="preserve">Поред ЈПП </w:t>
      </w:r>
      <w:r w:rsidR="007259CE" w:rsidRPr="0DD3B114">
        <w:rPr>
          <w:rFonts w:ascii="Arial" w:hAnsi="Arial" w:cs="Arial"/>
          <w:sz w:val="20"/>
          <w:szCs w:val="20"/>
          <w:lang w:val="sr-Cyrl-RS"/>
        </w:rPr>
        <w:t xml:space="preserve">и концесија, у даљем </w:t>
      </w:r>
      <w:r w:rsidR="00BE08B8" w:rsidRPr="0DD3B114">
        <w:rPr>
          <w:rFonts w:ascii="Arial" w:hAnsi="Arial" w:cs="Arial"/>
          <w:sz w:val="20"/>
          <w:szCs w:val="20"/>
          <w:lang w:val="sr-Cyrl-RS"/>
        </w:rPr>
        <w:t xml:space="preserve">разматрању решења </w:t>
      </w:r>
      <w:r w:rsidR="00750C51" w:rsidRPr="0DD3B114">
        <w:rPr>
          <w:rFonts w:ascii="Arial" w:hAnsi="Arial" w:cs="Arial"/>
          <w:sz w:val="20"/>
          <w:szCs w:val="20"/>
          <w:lang w:val="sr-Cyrl-RS"/>
        </w:rPr>
        <w:t xml:space="preserve">у вези са унапређењем комуналних </w:t>
      </w:r>
      <w:r w:rsidR="00B502FA" w:rsidRPr="0DD3B114">
        <w:rPr>
          <w:rFonts w:ascii="Arial" w:hAnsi="Arial" w:cs="Arial"/>
          <w:sz w:val="20"/>
          <w:szCs w:val="20"/>
          <w:lang w:val="sr-Cyrl-RS"/>
        </w:rPr>
        <w:t xml:space="preserve">услуга, треба имати у виду и друге </w:t>
      </w:r>
      <w:r w:rsidR="006A68C5" w:rsidRPr="0DD3B114">
        <w:rPr>
          <w:rFonts w:ascii="Arial" w:hAnsi="Arial" w:cs="Arial"/>
          <w:sz w:val="20"/>
          <w:szCs w:val="20"/>
          <w:lang w:val="sr-Cyrl-RS"/>
        </w:rPr>
        <w:t xml:space="preserve">могуће </w:t>
      </w:r>
      <w:r w:rsidR="00B502FA" w:rsidRPr="0DD3B114">
        <w:rPr>
          <w:rFonts w:ascii="Arial" w:hAnsi="Arial" w:cs="Arial"/>
          <w:sz w:val="20"/>
          <w:szCs w:val="20"/>
          <w:lang w:val="sr-Cyrl-RS"/>
        </w:rPr>
        <w:t>моделе</w:t>
      </w:r>
      <w:r w:rsidR="00C32F44" w:rsidRPr="0DD3B114">
        <w:rPr>
          <w:rFonts w:ascii="Arial" w:hAnsi="Arial" w:cs="Arial"/>
          <w:sz w:val="20"/>
          <w:szCs w:val="20"/>
          <w:lang w:val="sr-Cyrl-RS"/>
        </w:rPr>
        <w:t>,</w:t>
      </w:r>
      <w:r w:rsidR="00B502FA" w:rsidRPr="0DD3B114">
        <w:rPr>
          <w:rFonts w:ascii="Arial" w:hAnsi="Arial" w:cs="Arial"/>
          <w:sz w:val="20"/>
          <w:szCs w:val="20"/>
          <w:lang w:val="sr-Cyrl-RS"/>
        </w:rPr>
        <w:t xml:space="preserve"> као</w:t>
      </w:r>
      <w:r w:rsidR="006A68C5" w:rsidRPr="0DD3B114">
        <w:rPr>
          <w:rFonts w:ascii="Arial" w:hAnsi="Arial" w:cs="Arial"/>
          <w:sz w:val="20"/>
          <w:szCs w:val="20"/>
          <w:lang w:val="sr-Cyrl-RS"/>
        </w:rPr>
        <w:t xml:space="preserve"> што</w:t>
      </w:r>
      <w:r w:rsidR="00B502FA" w:rsidRPr="0DD3B114">
        <w:rPr>
          <w:rFonts w:ascii="Arial" w:hAnsi="Arial" w:cs="Arial"/>
          <w:sz w:val="20"/>
          <w:szCs w:val="20"/>
          <w:lang w:val="sr-Cyrl-RS"/>
        </w:rPr>
        <w:t xml:space="preserve"> </w:t>
      </w:r>
      <w:r w:rsidR="006A20A3" w:rsidRPr="0DD3B114">
        <w:rPr>
          <w:rFonts w:ascii="Arial" w:hAnsi="Arial" w:cs="Arial"/>
          <w:sz w:val="20"/>
          <w:szCs w:val="20"/>
          <w:lang w:val="sr-Cyrl-RS"/>
        </w:rPr>
        <w:t xml:space="preserve">је </w:t>
      </w:r>
      <w:r w:rsidR="00CB69FF" w:rsidRPr="0DD3B114">
        <w:rPr>
          <w:rFonts w:ascii="Arial" w:hAnsi="Arial" w:cs="Arial"/>
          <w:sz w:val="20"/>
          <w:szCs w:val="20"/>
          <w:lang w:val="sr-Cyrl-RS"/>
        </w:rPr>
        <w:t>укључивање приватног сектора</w:t>
      </w:r>
      <w:r w:rsidR="002657F4" w:rsidRPr="0DD3B114">
        <w:rPr>
          <w:rFonts w:ascii="Arial" w:hAnsi="Arial" w:cs="Arial"/>
          <w:sz w:val="20"/>
          <w:szCs w:val="20"/>
          <w:lang w:val="sr-Cyrl-RS"/>
        </w:rPr>
        <w:t xml:space="preserve"> у</w:t>
      </w:r>
      <w:r w:rsidR="00CB69FF" w:rsidRPr="0DD3B114">
        <w:rPr>
          <w:rFonts w:ascii="Arial" w:hAnsi="Arial" w:cs="Arial"/>
          <w:sz w:val="20"/>
          <w:szCs w:val="20"/>
          <w:lang w:val="sr-Cyrl-RS"/>
        </w:rPr>
        <w:t xml:space="preserve"> оперативно руковођење </w:t>
      </w:r>
      <w:r w:rsidR="002657F4" w:rsidRPr="0DD3B114">
        <w:rPr>
          <w:rFonts w:ascii="Arial" w:hAnsi="Arial" w:cs="Arial"/>
          <w:sz w:val="20"/>
          <w:szCs w:val="20"/>
          <w:lang w:val="sr-Cyrl-RS"/>
        </w:rPr>
        <w:t>јавн</w:t>
      </w:r>
      <w:r w:rsidR="00C32F44" w:rsidRPr="0DD3B114">
        <w:rPr>
          <w:rFonts w:ascii="Arial" w:hAnsi="Arial" w:cs="Arial"/>
          <w:sz w:val="20"/>
          <w:szCs w:val="20"/>
          <w:lang w:val="sr-Cyrl-RS"/>
        </w:rPr>
        <w:t>им</w:t>
      </w:r>
      <w:r w:rsidR="002657F4" w:rsidRPr="0DD3B114">
        <w:rPr>
          <w:rFonts w:ascii="Arial" w:hAnsi="Arial" w:cs="Arial"/>
          <w:sz w:val="20"/>
          <w:szCs w:val="20"/>
          <w:lang w:val="sr-Cyrl-RS"/>
        </w:rPr>
        <w:t xml:space="preserve"> комуналним предузећима</w:t>
      </w:r>
      <w:r w:rsidR="00607382" w:rsidRPr="0DD3B114">
        <w:rPr>
          <w:rFonts w:ascii="Arial" w:hAnsi="Arial" w:cs="Arial"/>
          <w:sz w:val="20"/>
          <w:szCs w:val="20"/>
          <w:lang w:val="sr-Cyrl-RS"/>
        </w:rPr>
        <w:t>,</w:t>
      </w:r>
      <w:r w:rsidR="002657F4" w:rsidRPr="0DD3B114">
        <w:rPr>
          <w:rFonts w:ascii="Arial" w:hAnsi="Arial" w:cs="Arial"/>
          <w:sz w:val="20"/>
          <w:szCs w:val="20"/>
          <w:lang w:val="sr-Cyrl-RS"/>
        </w:rPr>
        <w:t xml:space="preserve"> која </w:t>
      </w:r>
      <w:r w:rsidR="00607382" w:rsidRPr="0DD3B114">
        <w:rPr>
          <w:rFonts w:ascii="Arial" w:hAnsi="Arial" w:cs="Arial"/>
          <w:sz w:val="20"/>
          <w:szCs w:val="20"/>
          <w:lang w:val="sr-Cyrl-RS"/>
        </w:rPr>
        <w:t xml:space="preserve">би и даље била задужена за </w:t>
      </w:r>
      <w:r w:rsidR="00F4035C" w:rsidRPr="0DD3B114">
        <w:rPr>
          <w:rFonts w:ascii="Arial" w:hAnsi="Arial" w:cs="Arial"/>
          <w:sz w:val="20"/>
          <w:szCs w:val="20"/>
          <w:lang w:val="sr-Cyrl-RS"/>
        </w:rPr>
        <w:t xml:space="preserve">пружање </w:t>
      </w:r>
      <w:r w:rsidR="002657F4" w:rsidRPr="0DD3B114">
        <w:rPr>
          <w:rFonts w:ascii="Arial" w:hAnsi="Arial" w:cs="Arial"/>
          <w:sz w:val="20"/>
          <w:szCs w:val="20"/>
          <w:lang w:val="sr-Cyrl-RS"/>
        </w:rPr>
        <w:t>комуналн</w:t>
      </w:r>
      <w:r w:rsidR="00607382" w:rsidRPr="0DD3B114">
        <w:rPr>
          <w:rFonts w:ascii="Arial" w:hAnsi="Arial" w:cs="Arial"/>
          <w:sz w:val="20"/>
          <w:szCs w:val="20"/>
          <w:lang w:val="sr-Cyrl-RS"/>
        </w:rPr>
        <w:t>их</w:t>
      </w:r>
      <w:r w:rsidR="002657F4" w:rsidRPr="0DD3B114">
        <w:rPr>
          <w:rFonts w:ascii="Arial" w:hAnsi="Arial" w:cs="Arial"/>
          <w:sz w:val="20"/>
          <w:szCs w:val="20"/>
          <w:lang w:val="sr-Cyrl-RS"/>
        </w:rPr>
        <w:t xml:space="preserve"> услуг</w:t>
      </w:r>
      <w:r w:rsidR="00607382" w:rsidRPr="0DD3B114">
        <w:rPr>
          <w:rFonts w:ascii="Arial" w:hAnsi="Arial" w:cs="Arial"/>
          <w:sz w:val="20"/>
          <w:szCs w:val="20"/>
          <w:lang w:val="sr-Cyrl-RS"/>
        </w:rPr>
        <w:t>а</w:t>
      </w:r>
      <w:r w:rsidR="002657F4" w:rsidRPr="0DD3B114">
        <w:rPr>
          <w:rFonts w:ascii="Arial" w:hAnsi="Arial" w:cs="Arial"/>
          <w:sz w:val="20"/>
          <w:szCs w:val="20"/>
          <w:lang w:val="sr-Cyrl-RS"/>
        </w:rPr>
        <w:t xml:space="preserve"> (нпр. кроз уговоре о управљању)</w:t>
      </w:r>
      <w:r w:rsidR="00C32F44" w:rsidRPr="0DD3B114">
        <w:rPr>
          <w:rFonts w:ascii="Arial" w:hAnsi="Arial" w:cs="Arial"/>
          <w:sz w:val="20"/>
          <w:szCs w:val="20"/>
          <w:lang w:val="sr-Cyrl-RS"/>
        </w:rPr>
        <w:t>,</w:t>
      </w:r>
      <w:r w:rsidR="006A20A3" w:rsidRPr="0DD3B114">
        <w:rPr>
          <w:rFonts w:ascii="Arial" w:hAnsi="Arial" w:cs="Arial"/>
          <w:sz w:val="20"/>
          <w:szCs w:val="20"/>
          <w:lang w:val="sr-Cyrl-RS"/>
        </w:rPr>
        <w:t xml:space="preserve"> односно потенцијална приватизација </w:t>
      </w:r>
      <w:r w:rsidR="006A68C5" w:rsidRPr="0DD3B114">
        <w:rPr>
          <w:rFonts w:ascii="Arial" w:hAnsi="Arial" w:cs="Arial"/>
          <w:sz w:val="20"/>
          <w:szCs w:val="20"/>
          <w:lang w:val="sr-Cyrl-RS"/>
        </w:rPr>
        <w:t xml:space="preserve">у сектору </w:t>
      </w:r>
      <w:r w:rsidR="006A20A3" w:rsidRPr="0DD3B114">
        <w:rPr>
          <w:rFonts w:ascii="Arial" w:hAnsi="Arial" w:cs="Arial"/>
          <w:sz w:val="20"/>
          <w:szCs w:val="20"/>
          <w:lang w:val="sr-Cyrl-RS"/>
        </w:rPr>
        <w:t>комуналних услуга (</w:t>
      </w:r>
      <w:r w:rsidR="00C85B52" w:rsidRPr="0DD3B114">
        <w:rPr>
          <w:rFonts w:ascii="Arial" w:hAnsi="Arial" w:cs="Arial"/>
          <w:sz w:val="20"/>
          <w:szCs w:val="20"/>
          <w:lang w:val="sr-Cyrl-RS"/>
        </w:rPr>
        <w:t>што би се могло односити првенствено на активности које прате основну комуналну услугу</w:t>
      </w:r>
      <w:r w:rsidR="00DD1F2D" w:rsidRPr="0DD3B114">
        <w:rPr>
          <w:rFonts w:ascii="Arial" w:hAnsi="Arial" w:cs="Arial"/>
          <w:sz w:val="20"/>
          <w:szCs w:val="20"/>
          <w:lang w:val="sr-Cyrl-RS"/>
        </w:rPr>
        <w:t>, односно свакако не на природне или техничке монополе)</w:t>
      </w:r>
      <w:r w:rsidR="00C32F44" w:rsidRPr="0DD3B114">
        <w:rPr>
          <w:rFonts w:ascii="Arial" w:hAnsi="Arial" w:cs="Arial"/>
          <w:sz w:val="20"/>
          <w:szCs w:val="20"/>
          <w:lang w:val="sr-Cyrl-RS"/>
        </w:rPr>
        <w:t>.</w:t>
      </w:r>
    </w:p>
    <w:p w14:paraId="11E5C9D4" w14:textId="77777777" w:rsidR="00D1486F" w:rsidRPr="00A021B7" w:rsidRDefault="00D1486F" w:rsidP="0DD3B114">
      <w:pPr>
        <w:ind w:firstLine="720"/>
        <w:contextualSpacing/>
        <w:jc w:val="both"/>
        <w:rPr>
          <w:rFonts w:ascii="Arial" w:hAnsi="Arial" w:cs="Arial"/>
          <w:sz w:val="20"/>
          <w:szCs w:val="20"/>
          <w:lang w:val="sr-Cyrl-RS"/>
        </w:rPr>
      </w:pPr>
    </w:p>
    <w:p w14:paraId="431EE1C1" w14:textId="77777777" w:rsidR="00CE205B" w:rsidRPr="00A021B7" w:rsidRDefault="00C75AD7" w:rsidP="004935B9">
      <w:pPr>
        <w:pStyle w:val="Heading3"/>
        <w:rPr>
          <w:noProof w:val="0"/>
          <w:lang w:val="sr-Cyrl-RS"/>
        </w:rPr>
      </w:pPr>
      <w:bookmarkStart w:id="42" w:name="_Toc52865774"/>
      <w:bookmarkStart w:id="43" w:name="_Toc52866185"/>
      <w:bookmarkStart w:id="44" w:name="_Toc56508435"/>
      <w:bookmarkStart w:id="45" w:name="_Toc60136071"/>
      <w:r w:rsidRPr="00A021B7">
        <w:rPr>
          <w:noProof w:val="0"/>
          <w:lang w:val="sr-Cyrl-RS"/>
        </w:rPr>
        <w:t>IV.3.4 Изазови типологије организационих облика у ЈЛС</w:t>
      </w:r>
      <w:bookmarkEnd w:id="42"/>
      <w:bookmarkEnd w:id="43"/>
      <w:bookmarkEnd w:id="44"/>
      <w:bookmarkEnd w:id="45"/>
    </w:p>
    <w:p w14:paraId="12C7711F" w14:textId="77777777" w:rsidR="00C75AD7" w:rsidRPr="00A021B7" w:rsidRDefault="00C75AD7" w:rsidP="003E7BC9">
      <w:pPr>
        <w:contextualSpacing/>
        <w:jc w:val="both"/>
        <w:rPr>
          <w:rFonts w:ascii="Arial" w:hAnsi="Arial" w:cs="Arial"/>
          <w:sz w:val="20"/>
          <w:szCs w:val="20"/>
          <w:lang w:val="sr-Cyrl-RS"/>
        </w:rPr>
      </w:pPr>
    </w:p>
    <w:p w14:paraId="084B7B19" w14:textId="061FD590" w:rsidR="005950E7" w:rsidRPr="00A021B7" w:rsidRDefault="00C75AD7" w:rsidP="0DD3B114">
      <w:pPr>
        <w:ind w:firstLine="720"/>
        <w:jc w:val="both"/>
        <w:rPr>
          <w:rFonts w:ascii="Arial" w:hAnsi="Arial" w:cs="Arial"/>
          <w:sz w:val="20"/>
          <w:szCs w:val="20"/>
          <w:lang w:val="sr-Cyrl-RS"/>
        </w:rPr>
      </w:pPr>
      <w:r w:rsidRPr="0DD3B114">
        <w:rPr>
          <w:rFonts w:ascii="Arial" w:hAnsi="Arial" w:cs="Arial"/>
          <w:sz w:val="20"/>
          <w:szCs w:val="20"/>
          <w:lang w:val="sr-Cyrl-RS"/>
        </w:rPr>
        <w:t>Организациони облици који нису законом утврђени као обавеза ЈЛС</w:t>
      </w:r>
      <w:r w:rsidR="00073C32" w:rsidRPr="0DD3B114">
        <w:rPr>
          <w:rFonts w:ascii="Arial" w:hAnsi="Arial" w:cs="Arial"/>
          <w:sz w:val="20"/>
          <w:szCs w:val="20"/>
          <w:lang w:val="sr-Cyrl-RS"/>
        </w:rPr>
        <w:t>,</w:t>
      </w:r>
      <w:r w:rsidRPr="0DD3B114">
        <w:rPr>
          <w:rFonts w:ascii="Arial" w:hAnsi="Arial" w:cs="Arial"/>
          <w:sz w:val="20"/>
          <w:szCs w:val="20"/>
          <w:lang w:val="sr-Cyrl-RS"/>
        </w:rPr>
        <w:t xml:space="preserve"> а који постоје у систему локалне самоуправе, представљају најпре последицу историјског наслеђа, политичких интереса или </w:t>
      </w:r>
      <w:r w:rsidR="001B13E4" w:rsidRPr="0DD3B114">
        <w:rPr>
          <w:rFonts w:ascii="Arial" w:hAnsi="Arial" w:cs="Arial"/>
          <w:sz w:val="20"/>
          <w:szCs w:val="20"/>
          <w:lang w:val="sr-Cyrl-RS"/>
        </w:rPr>
        <w:t>„</w:t>
      </w:r>
      <w:r w:rsidRPr="0DD3B114">
        <w:rPr>
          <w:rFonts w:ascii="Arial" w:hAnsi="Arial" w:cs="Arial"/>
          <w:sz w:val="20"/>
          <w:szCs w:val="20"/>
          <w:lang w:val="sr-Cyrl-RS"/>
        </w:rPr>
        <w:t xml:space="preserve">сналажења” ЈЛС у датом контексту и најчешће нису резултат стручних анализа или стратешког планирања. </w:t>
      </w:r>
      <w:r w:rsidR="005950E7" w:rsidRPr="0DD3B114">
        <w:rPr>
          <w:rFonts w:ascii="Arial" w:hAnsi="Arial" w:cs="Arial"/>
          <w:sz w:val="20"/>
          <w:szCs w:val="20"/>
          <w:lang w:val="sr-Cyrl-RS"/>
        </w:rPr>
        <w:t>Део проблема потиче свакако и од неадекватних или недовољно дефинисаних законских решења. Посеб</w:t>
      </w:r>
      <w:r w:rsidR="006F63EC" w:rsidRPr="0DD3B114">
        <w:rPr>
          <w:rFonts w:ascii="Arial" w:hAnsi="Arial" w:cs="Arial"/>
          <w:sz w:val="20"/>
          <w:szCs w:val="20"/>
          <w:lang w:val="sr-Cyrl-RS"/>
        </w:rPr>
        <w:t>а</w:t>
      </w:r>
      <w:r w:rsidR="005950E7" w:rsidRPr="0DD3B114">
        <w:rPr>
          <w:rFonts w:ascii="Arial" w:hAnsi="Arial" w:cs="Arial"/>
          <w:sz w:val="20"/>
          <w:szCs w:val="20"/>
          <w:lang w:val="sr-Cyrl-RS"/>
        </w:rPr>
        <w:t>н случај представљају тела различитог назива чије оснивање предвиђају одређени закони</w:t>
      </w:r>
      <w:r w:rsidR="00C32F44" w:rsidRPr="0DD3B114">
        <w:rPr>
          <w:rFonts w:ascii="Arial" w:hAnsi="Arial" w:cs="Arial"/>
          <w:sz w:val="20"/>
          <w:szCs w:val="20"/>
          <w:lang w:val="sr-Cyrl-RS"/>
        </w:rPr>
        <w:t>,</w:t>
      </w:r>
      <w:r w:rsidR="005950E7" w:rsidRPr="0DD3B114">
        <w:rPr>
          <w:rFonts w:ascii="Arial" w:hAnsi="Arial" w:cs="Arial"/>
          <w:sz w:val="20"/>
          <w:szCs w:val="20"/>
          <w:lang w:val="sr-Cyrl-RS"/>
        </w:rPr>
        <w:t xml:space="preserve"> тј. различити савети и тела другог назива која се оснивају у више различитих области и то на основу закона (савет за младе</w:t>
      </w:r>
      <w:r w:rsidR="00340F00" w:rsidRPr="0DD3B114">
        <w:rPr>
          <w:rFonts w:ascii="Arial" w:hAnsi="Arial" w:cs="Arial"/>
          <w:sz w:val="20"/>
          <w:szCs w:val="20"/>
          <w:lang w:val="sr-Cyrl-RS"/>
        </w:rPr>
        <w:t>, савет за здравље,</w:t>
      </w:r>
      <w:r w:rsidR="0096201C" w:rsidRPr="0DD3B114">
        <w:rPr>
          <w:rFonts w:ascii="Arial" w:hAnsi="Arial" w:cs="Arial"/>
          <w:sz w:val="20"/>
          <w:szCs w:val="20"/>
          <w:lang w:val="sr-Cyrl-RS"/>
        </w:rPr>
        <w:t xml:space="preserve"> </w:t>
      </w:r>
      <w:r w:rsidR="005950E7" w:rsidRPr="0DD3B114">
        <w:rPr>
          <w:rFonts w:ascii="Arial" w:hAnsi="Arial" w:cs="Arial"/>
          <w:sz w:val="20"/>
          <w:szCs w:val="20"/>
          <w:lang w:val="sr-Cyrl-RS"/>
        </w:rPr>
        <w:t>савез за локалну безбедност, комисија за планове, радно тело за равноправност) и у једном случају на основу етичког кодекса за локалне функционере. Неке ЈЛС су их основале као скупштинска радна тела, неке друге као радна тела општинског већа или председника</w:t>
      </w:r>
      <w:r w:rsidR="00C32F44" w:rsidRPr="0DD3B114">
        <w:rPr>
          <w:rFonts w:ascii="Arial" w:hAnsi="Arial" w:cs="Arial"/>
          <w:sz w:val="20"/>
          <w:szCs w:val="20"/>
          <w:lang w:val="sr-Cyrl-RS"/>
        </w:rPr>
        <w:t xml:space="preserve"> општине / градоначелника</w:t>
      </w:r>
      <w:r w:rsidR="005950E7" w:rsidRPr="0DD3B114">
        <w:rPr>
          <w:rFonts w:ascii="Arial" w:hAnsi="Arial" w:cs="Arial"/>
          <w:sz w:val="20"/>
          <w:szCs w:val="20"/>
          <w:lang w:val="sr-Cyrl-RS"/>
        </w:rPr>
        <w:t>, а нек</w:t>
      </w:r>
      <w:r w:rsidR="00BF5D7B" w:rsidRPr="0DD3B114">
        <w:rPr>
          <w:rFonts w:ascii="Arial" w:hAnsi="Arial" w:cs="Arial"/>
          <w:sz w:val="20"/>
          <w:szCs w:val="20"/>
          <w:lang w:val="sr-Cyrl-RS"/>
        </w:rPr>
        <w:t>е</w:t>
      </w:r>
      <w:r w:rsidR="005950E7" w:rsidRPr="0DD3B114">
        <w:rPr>
          <w:rFonts w:ascii="Arial" w:hAnsi="Arial" w:cs="Arial"/>
          <w:sz w:val="20"/>
          <w:szCs w:val="20"/>
          <w:lang w:val="sr-Cyrl-RS"/>
        </w:rPr>
        <w:t xml:space="preserve"> су примениле посебне моделе. У питању су, међутим, нарочита тела која по карактеристикама одговарају телима типа савета за међунационалне односе, али која су суштински различита од радних тела скупштине. На то указују њихова улога и нарочити састав, који су различити од састава и улоге скупштинских радних тела.</w:t>
      </w:r>
    </w:p>
    <w:p w14:paraId="52BE1079" w14:textId="77777777" w:rsidR="009A19D4" w:rsidRPr="00A021B7" w:rsidRDefault="009A19D4" w:rsidP="0DD3B114">
      <w:pPr>
        <w:ind w:firstLine="720"/>
        <w:jc w:val="both"/>
        <w:rPr>
          <w:rFonts w:ascii="Arial" w:hAnsi="Arial" w:cs="Arial"/>
          <w:lang w:val="sr-Cyrl-RS"/>
        </w:rPr>
      </w:pPr>
    </w:p>
    <w:p w14:paraId="608ADA1B" w14:textId="0AFF1EBF"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У пракси постоји неколико стотина организационих облика регистрованих у свим ЈЛС</w:t>
      </w:r>
      <w:r w:rsidR="00C32F44" w:rsidRPr="0DD3B114">
        <w:rPr>
          <w:rFonts w:ascii="Arial" w:hAnsi="Arial" w:cs="Arial"/>
          <w:sz w:val="20"/>
          <w:szCs w:val="20"/>
          <w:lang w:val="sr-Cyrl-RS"/>
        </w:rPr>
        <w:t>,</w:t>
      </w:r>
      <w:r w:rsidRPr="0DD3B114">
        <w:rPr>
          <w:rFonts w:ascii="Arial" w:hAnsi="Arial" w:cs="Arial"/>
          <w:sz w:val="20"/>
          <w:szCs w:val="20"/>
          <w:lang w:val="sr-Cyrl-RS"/>
        </w:rPr>
        <w:t xml:space="preserve"> различитих назива</w:t>
      </w:r>
      <w:r w:rsidR="00392A73" w:rsidRPr="0DD3B114">
        <w:rPr>
          <w:rFonts w:ascii="Arial" w:hAnsi="Arial" w:cs="Arial"/>
          <w:sz w:val="20"/>
          <w:szCs w:val="20"/>
          <w:lang w:val="sr-Cyrl-RS"/>
        </w:rPr>
        <w:t>,</w:t>
      </w:r>
      <w:r w:rsidRPr="0DD3B114">
        <w:rPr>
          <w:rFonts w:ascii="Arial" w:hAnsi="Arial" w:cs="Arial"/>
          <w:sz w:val="20"/>
          <w:szCs w:val="20"/>
          <w:lang w:val="sr-Cyrl-RS"/>
        </w:rPr>
        <w:t xml:space="preserve"> </w:t>
      </w:r>
      <w:r w:rsidR="00C32F44" w:rsidRPr="0DD3B114">
        <w:rPr>
          <w:rFonts w:ascii="Arial" w:hAnsi="Arial" w:cs="Arial"/>
          <w:sz w:val="20"/>
          <w:szCs w:val="20"/>
          <w:lang w:val="sr-Cyrl-RS"/>
        </w:rPr>
        <w:t>из чега</w:t>
      </w:r>
      <w:r w:rsidRPr="0DD3B114">
        <w:rPr>
          <w:rFonts w:ascii="Arial" w:hAnsi="Arial" w:cs="Arial"/>
          <w:sz w:val="20"/>
          <w:szCs w:val="20"/>
          <w:lang w:val="sr-Cyrl-RS"/>
        </w:rPr>
        <w:t xml:space="preserve"> произлазе бројна питања која се односе на утврђивање </w:t>
      </w:r>
      <w:r w:rsidR="00CF0EF2" w:rsidRPr="0DD3B114">
        <w:rPr>
          <w:rFonts w:ascii="Arial" w:hAnsi="Arial" w:cs="Arial"/>
          <w:sz w:val="20"/>
          <w:szCs w:val="20"/>
          <w:lang w:val="sr-Cyrl-RS"/>
        </w:rPr>
        <w:t xml:space="preserve">њиховог </w:t>
      </w:r>
      <w:r w:rsidRPr="0DD3B114">
        <w:rPr>
          <w:rFonts w:ascii="Arial" w:hAnsi="Arial" w:cs="Arial"/>
          <w:sz w:val="20"/>
          <w:szCs w:val="20"/>
          <w:lang w:val="sr-Cyrl-RS"/>
        </w:rPr>
        <w:t>правног положаја, руковођењ</w:t>
      </w:r>
      <w:r w:rsidR="00C32F44" w:rsidRPr="0DD3B114">
        <w:rPr>
          <w:rFonts w:ascii="Arial" w:hAnsi="Arial" w:cs="Arial"/>
          <w:sz w:val="20"/>
          <w:szCs w:val="20"/>
          <w:lang w:val="sr-Cyrl-RS"/>
        </w:rPr>
        <w:t>е</w:t>
      </w:r>
      <w:r w:rsidRPr="0DD3B114">
        <w:rPr>
          <w:rFonts w:ascii="Arial" w:hAnsi="Arial" w:cs="Arial"/>
          <w:sz w:val="20"/>
          <w:szCs w:val="20"/>
          <w:lang w:val="sr-Cyrl-RS"/>
        </w:rPr>
        <w:t xml:space="preserve"> и запошљавањ</w:t>
      </w:r>
      <w:r w:rsidR="00C32F44" w:rsidRPr="0DD3B114">
        <w:rPr>
          <w:rFonts w:ascii="Arial" w:hAnsi="Arial" w:cs="Arial"/>
          <w:sz w:val="20"/>
          <w:szCs w:val="20"/>
          <w:lang w:val="sr-Cyrl-RS"/>
        </w:rPr>
        <w:t>е</w:t>
      </w:r>
      <w:r w:rsidRPr="0DD3B114">
        <w:rPr>
          <w:rFonts w:ascii="Arial" w:hAnsi="Arial" w:cs="Arial"/>
          <w:sz w:val="20"/>
          <w:szCs w:val="20"/>
          <w:lang w:val="sr-Cyrl-RS"/>
        </w:rPr>
        <w:t>, финансирањ</w:t>
      </w:r>
      <w:r w:rsidR="00C32F44" w:rsidRPr="0DD3B114">
        <w:rPr>
          <w:rFonts w:ascii="Arial" w:hAnsi="Arial" w:cs="Arial"/>
          <w:sz w:val="20"/>
          <w:szCs w:val="20"/>
          <w:lang w:val="sr-Cyrl-RS"/>
        </w:rPr>
        <w:t>е</w:t>
      </w:r>
      <w:r w:rsidRPr="0DD3B114">
        <w:rPr>
          <w:rFonts w:ascii="Arial" w:hAnsi="Arial" w:cs="Arial"/>
          <w:sz w:val="20"/>
          <w:szCs w:val="20"/>
          <w:lang w:val="sr-Cyrl-RS"/>
        </w:rPr>
        <w:t xml:space="preserve"> </w:t>
      </w:r>
      <w:r w:rsidR="00401F0B" w:rsidRPr="0DD3B114">
        <w:rPr>
          <w:rFonts w:ascii="Arial" w:hAnsi="Arial" w:cs="Arial"/>
          <w:sz w:val="20"/>
          <w:szCs w:val="20"/>
          <w:lang w:val="sr-Cyrl-RS"/>
        </w:rPr>
        <w:t xml:space="preserve">и </w:t>
      </w:r>
      <w:r w:rsidRPr="0DD3B114">
        <w:rPr>
          <w:rFonts w:ascii="Arial" w:hAnsi="Arial" w:cs="Arial"/>
          <w:sz w:val="20"/>
          <w:szCs w:val="20"/>
          <w:lang w:val="sr-Cyrl-RS"/>
        </w:rPr>
        <w:t>однос</w:t>
      </w:r>
      <w:r w:rsidR="00C32F44" w:rsidRPr="0DD3B114">
        <w:rPr>
          <w:rFonts w:ascii="Arial" w:hAnsi="Arial" w:cs="Arial"/>
          <w:sz w:val="20"/>
          <w:szCs w:val="20"/>
          <w:lang w:val="sr-Cyrl-RS"/>
        </w:rPr>
        <w:t>е</w:t>
      </w:r>
      <w:r w:rsidRPr="0DD3B114">
        <w:rPr>
          <w:rFonts w:ascii="Arial" w:hAnsi="Arial" w:cs="Arial"/>
          <w:sz w:val="20"/>
          <w:szCs w:val="20"/>
          <w:lang w:val="sr-Cyrl-RS"/>
        </w:rPr>
        <w:t xml:space="preserve"> са органима управе</w:t>
      </w:r>
      <w:r w:rsidR="00E23412" w:rsidRPr="0DD3B114">
        <w:rPr>
          <w:rFonts w:ascii="Arial" w:hAnsi="Arial" w:cs="Arial"/>
          <w:sz w:val="20"/>
          <w:szCs w:val="20"/>
          <w:lang w:val="sr-Cyrl-RS"/>
        </w:rPr>
        <w:t>,</w:t>
      </w:r>
      <w:r w:rsidRPr="0DD3B114">
        <w:rPr>
          <w:rFonts w:ascii="Arial" w:hAnsi="Arial" w:cs="Arial"/>
          <w:sz w:val="20"/>
          <w:szCs w:val="20"/>
          <w:lang w:val="sr-Cyrl-RS"/>
        </w:rPr>
        <w:t xml:space="preserve"> а сва заједно упућују на потребу </w:t>
      </w:r>
      <w:r w:rsidR="00C32F44" w:rsidRPr="0DD3B114">
        <w:rPr>
          <w:rFonts w:ascii="Arial" w:hAnsi="Arial" w:cs="Arial"/>
          <w:sz w:val="20"/>
          <w:szCs w:val="20"/>
          <w:lang w:val="sr-Cyrl-RS"/>
        </w:rPr>
        <w:t xml:space="preserve">за </w:t>
      </w:r>
      <w:r w:rsidRPr="0DD3B114">
        <w:rPr>
          <w:rFonts w:ascii="Arial" w:hAnsi="Arial" w:cs="Arial"/>
          <w:sz w:val="20"/>
          <w:szCs w:val="20"/>
          <w:lang w:val="sr-Cyrl-RS"/>
        </w:rPr>
        <w:t>законск</w:t>
      </w:r>
      <w:r w:rsidR="00C32F44" w:rsidRPr="0DD3B114">
        <w:rPr>
          <w:rFonts w:ascii="Arial" w:hAnsi="Arial" w:cs="Arial"/>
          <w:sz w:val="20"/>
          <w:szCs w:val="20"/>
          <w:lang w:val="sr-Cyrl-RS"/>
        </w:rPr>
        <w:t>им</w:t>
      </w:r>
      <w:r w:rsidRPr="0DD3B114">
        <w:rPr>
          <w:rFonts w:ascii="Arial" w:hAnsi="Arial" w:cs="Arial"/>
          <w:sz w:val="20"/>
          <w:szCs w:val="20"/>
          <w:lang w:val="sr-Cyrl-RS"/>
        </w:rPr>
        <w:t xml:space="preserve"> уређивањ</w:t>
      </w:r>
      <w:r w:rsidR="00C32F44" w:rsidRPr="0DD3B114">
        <w:rPr>
          <w:rFonts w:ascii="Arial" w:hAnsi="Arial" w:cs="Arial"/>
          <w:sz w:val="20"/>
          <w:szCs w:val="20"/>
          <w:lang w:val="sr-Cyrl-RS"/>
        </w:rPr>
        <w:t>ем</w:t>
      </w:r>
      <w:r w:rsidRPr="0DD3B114">
        <w:rPr>
          <w:rFonts w:ascii="Arial" w:hAnsi="Arial" w:cs="Arial"/>
          <w:sz w:val="20"/>
          <w:szCs w:val="20"/>
          <w:lang w:val="sr-Cyrl-RS"/>
        </w:rPr>
        <w:t xml:space="preserve"> организационих форми према природи послова које обављају.</w:t>
      </w:r>
    </w:p>
    <w:p w14:paraId="49DE2A14" w14:textId="77777777" w:rsidR="00A03DE9" w:rsidRPr="00A021B7" w:rsidRDefault="00A03DE9" w:rsidP="0DD3B114">
      <w:pPr>
        <w:ind w:firstLine="720"/>
        <w:contextualSpacing/>
        <w:jc w:val="both"/>
        <w:rPr>
          <w:rFonts w:ascii="Arial" w:hAnsi="Arial" w:cs="Arial"/>
          <w:sz w:val="20"/>
          <w:szCs w:val="20"/>
          <w:lang w:val="sr-Cyrl-RS"/>
        </w:rPr>
      </w:pPr>
    </w:p>
    <w:p w14:paraId="6B012D29" w14:textId="77777777" w:rsidR="00A03DE9" w:rsidRPr="00A021B7" w:rsidRDefault="00A03DE9" w:rsidP="003E7BC9">
      <w:pPr>
        <w:contextualSpacing/>
        <w:jc w:val="both"/>
        <w:rPr>
          <w:rFonts w:ascii="Arial" w:hAnsi="Arial" w:cs="Arial"/>
          <w:sz w:val="20"/>
          <w:szCs w:val="20"/>
          <w:lang w:val="sr-Cyrl-RS"/>
        </w:rPr>
      </w:pPr>
      <w:r w:rsidRPr="0DD3B114">
        <w:rPr>
          <w:rFonts w:ascii="Arial" w:hAnsi="Arial" w:cs="Arial"/>
          <w:i/>
          <w:iCs/>
          <w:sz w:val="20"/>
          <w:szCs w:val="20"/>
          <w:lang w:val="sr-Cyrl-RS"/>
        </w:rPr>
        <w:t>Табела 1:</w:t>
      </w:r>
      <w:r w:rsidRPr="0DD3B114">
        <w:rPr>
          <w:rFonts w:ascii="Arial" w:hAnsi="Arial" w:cs="Arial"/>
          <w:sz w:val="20"/>
          <w:szCs w:val="20"/>
          <w:lang w:val="sr-Cyrl-RS"/>
        </w:rPr>
        <w:t xml:space="preserve"> </w:t>
      </w:r>
      <w:r w:rsidRPr="0DD3B114">
        <w:rPr>
          <w:rFonts w:ascii="Arial" w:hAnsi="Arial" w:cs="Arial"/>
          <w:i/>
          <w:iCs/>
          <w:sz w:val="20"/>
          <w:szCs w:val="20"/>
          <w:lang w:val="sr-Cyrl-RS"/>
        </w:rPr>
        <w:t>Неки од примера типичних назива организационих облика у локалној самоуправи</w:t>
      </w:r>
    </w:p>
    <w:p w14:paraId="272E6D51" w14:textId="77777777" w:rsidR="006F03D1" w:rsidRPr="00A021B7" w:rsidRDefault="006F03D1" w:rsidP="003E7BC9">
      <w:pPr>
        <w:contextualSpacing/>
        <w:jc w:val="both"/>
        <w:rPr>
          <w:rFonts w:ascii="Arial" w:hAnsi="Arial" w:cs="Arial"/>
          <w:sz w:val="20"/>
          <w:szCs w:val="20"/>
          <w:lang w:val="sr-Cyrl-RS"/>
        </w:rPr>
      </w:pPr>
    </w:p>
    <w:tbl>
      <w:tblPr>
        <w:tblStyle w:val="TableGrid"/>
        <w:tblW w:w="9010" w:type="dxa"/>
        <w:tblLook w:val="04A0" w:firstRow="1" w:lastRow="0" w:firstColumn="1" w:lastColumn="0" w:noHBand="0" w:noVBand="1"/>
      </w:tblPr>
      <w:tblGrid>
        <w:gridCol w:w="1320"/>
        <w:gridCol w:w="7690"/>
      </w:tblGrid>
      <w:tr w:rsidR="00C75AD7" w:rsidRPr="00A021B7" w14:paraId="12B47690" w14:textId="77777777" w:rsidTr="0DD3B114">
        <w:tc>
          <w:tcPr>
            <w:tcW w:w="1320" w:type="dxa"/>
          </w:tcPr>
          <w:p w14:paraId="3B2473CC" w14:textId="77777777" w:rsidR="00C75AD7" w:rsidRPr="00A021B7" w:rsidRDefault="00C75AD7" w:rsidP="003E7BC9">
            <w:pPr>
              <w:jc w:val="both"/>
              <w:rPr>
                <w:rFonts w:ascii="Arial" w:hAnsi="Arial" w:cs="Arial"/>
                <w:sz w:val="20"/>
                <w:szCs w:val="20"/>
                <w:lang w:val="sr-Cyrl-RS"/>
              </w:rPr>
            </w:pPr>
            <w:r w:rsidRPr="00A021B7">
              <w:rPr>
                <w:rFonts w:ascii="Arial" w:hAnsi="Arial" w:cs="Arial"/>
                <w:sz w:val="20"/>
                <w:szCs w:val="20"/>
                <w:lang w:val="sr-Cyrl-RS"/>
              </w:rPr>
              <w:t>Агенције и јавне агенције</w:t>
            </w:r>
          </w:p>
        </w:tc>
        <w:tc>
          <w:tcPr>
            <w:tcW w:w="7690" w:type="dxa"/>
          </w:tcPr>
          <w:p w14:paraId="007B3BDE" w14:textId="73EE7569" w:rsidR="00C75AD7" w:rsidRPr="00A021B7" w:rsidRDefault="00C75AD7" w:rsidP="003E7BC9">
            <w:pPr>
              <w:jc w:val="both"/>
              <w:rPr>
                <w:rFonts w:ascii="Arial" w:hAnsi="Arial" w:cs="Arial"/>
                <w:sz w:val="20"/>
                <w:szCs w:val="20"/>
                <w:lang w:val="sr-Cyrl-RS"/>
              </w:rPr>
            </w:pPr>
            <w:r w:rsidRPr="0DD3B114">
              <w:rPr>
                <w:rFonts w:ascii="Arial" w:hAnsi="Arial" w:cs="Arial"/>
                <w:sz w:val="20"/>
                <w:szCs w:val="20"/>
                <w:lang w:val="sr-Cyrl-RS"/>
              </w:rPr>
              <w:t xml:space="preserve">за економски развој; за енергетику; за европске интеграције и сарадњу са удружењима; за имовину; за инвестиције и становање; за </w:t>
            </w:r>
            <w:r w:rsidR="00CF0EF2" w:rsidRPr="0DD3B114">
              <w:rPr>
                <w:rFonts w:ascii="Arial" w:hAnsi="Arial" w:cs="Arial"/>
                <w:sz w:val="20"/>
                <w:szCs w:val="20"/>
                <w:lang w:val="sr-Cyrl-RS"/>
              </w:rPr>
              <w:t>ИТ</w:t>
            </w:r>
            <w:r w:rsidRPr="0DD3B114">
              <w:rPr>
                <w:rFonts w:ascii="Arial" w:hAnsi="Arial" w:cs="Arial"/>
                <w:sz w:val="20"/>
                <w:szCs w:val="20"/>
                <w:lang w:val="sr-Cyrl-RS"/>
              </w:rPr>
              <w:t xml:space="preserve">, </w:t>
            </w:r>
            <w:r w:rsidR="00CF0EF2" w:rsidRPr="0DD3B114">
              <w:rPr>
                <w:rFonts w:ascii="Arial" w:hAnsi="Arial" w:cs="Arial"/>
                <w:sz w:val="20"/>
                <w:szCs w:val="20"/>
                <w:lang w:val="sr-Cyrl-RS"/>
              </w:rPr>
              <w:t>ГИС</w:t>
            </w:r>
            <w:r w:rsidRPr="0DD3B114">
              <w:rPr>
                <w:rFonts w:ascii="Arial" w:hAnsi="Arial" w:cs="Arial"/>
                <w:sz w:val="20"/>
                <w:szCs w:val="20"/>
                <w:lang w:val="sr-Cyrl-RS"/>
              </w:rPr>
              <w:t xml:space="preserve"> и комуникације; за јавне набавке; за мала и средња предузећа и регистрована</w:t>
            </w:r>
            <w:r w:rsidR="004D5004" w:rsidRPr="0DD3B114">
              <w:rPr>
                <w:rFonts w:ascii="Arial" w:hAnsi="Arial" w:cs="Arial"/>
                <w:sz w:val="20"/>
                <w:szCs w:val="20"/>
                <w:lang w:val="sr-Cyrl-RS"/>
              </w:rPr>
              <w:t xml:space="preserve"> </w:t>
            </w:r>
            <w:r w:rsidRPr="0DD3B114">
              <w:rPr>
                <w:rFonts w:ascii="Arial" w:hAnsi="Arial" w:cs="Arial"/>
                <w:sz w:val="20"/>
                <w:szCs w:val="20"/>
                <w:lang w:val="sr-Cyrl-RS"/>
              </w:rPr>
              <w:t>пољопривредна домаћинства; за пословни просто</w:t>
            </w:r>
            <w:r w:rsidR="00CF0EF2" w:rsidRPr="0DD3B114">
              <w:rPr>
                <w:rFonts w:ascii="Arial" w:hAnsi="Arial" w:cs="Arial"/>
                <w:sz w:val="20"/>
                <w:szCs w:val="20"/>
                <w:lang w:val="sr-Cyrl-RS"/>
              </w:rPr>
              <w:t>р</w:t>
            </w:r>
            <w:r w:rsidRPr="0DD3B114">
              <w:rPr>
                <w:rFonts w:ascii="Arial" w:hAnsi="Arial" w:cs="Arial"/>
                <w:sz w:val="20"/>
                <w:szCs w:val="20"/>
                <w:lang w:val="sr-Cyrl-RS"/>
              </w:rPr>
              <w:t>; за локални економски развој; за пољопривреду и малу привреду општине; за зоохигијену</w:t>
            </w:r>
          </w:p>
        </w:tc>
      </w:tr>
      <w:tr w:rsidR="00C75AD7" w:rsidRPr="00A021B7" w14:paraId="4CC60525" w14:textId="77777777" w:rsidTr="0DD3B114">
        <w:tc>
          <w:tcPr>
            <w:tcW w:w="1320" w:type="dxa"/>
          </w:tcPr>
          <w:p w14:paraId="30352DA8" w14:textId="0A992046" w:rsidR="00C75AD7" w:rsidRPr="00A021B7" w:rsidRDefault="00C75AD7" w:rsidP="003E7BC9">
            <w:pPr>
              <w:jc w:val="both"/>
              <w:rPr>
                <w:rFonts w:ascii="Arial" w:hAnsi="Arial" w:cs="Arial"/>
                <w:sz w:val="20"/>
                <w:szCs w:val="20"/>
                <w:lang w:val="sr-Cyrl-RS"/>
              </w:rPr>
            </w:pPr>
            <w:r w:rsidRPr="0DD3B114">
              <w:rPr>
                <w:rFonts w:ascii="Arial" w:hAnsi="Arial" w:cs="Arial"/>
                <w:sz w:val="20"/>
                <w:szCs w:val="20"/>
                <w:lang w:val="sr-Cyrl-RS"/>
              </w:rPr>
              <w:t>Центри</w:t>
            </w:r>
          </w:p>
        </w:tc>
        <w:tc>
          <w:tcPr>
            <w:tcW w:w="7690" w:type="dxa"/>
          </w:tcPr>
          <w:p w14:paraId="032565FB" w14:textId="29E6545E" w:rsidR="00C75AD7" w:rsidRPr="00A021B7" w:rsidRDefault="00C75AD7" w:rsidP="003E7BC9">
            <w:pPr>
              <w:jc w:val="both"/>
              <w:rPr>
                <w:rFonts w:ascii="Arial" w:hAnsi="Arial" w:cs="Arial"/>
                <w:sz w:val="20"/>
                <w:szCs w:val="20"/>
                <w:lang w:val="sr-Cyrl-RS"/>
              </w:rPr>
            </w:pPr>
            <w:r w:rsidRPr="0DD3B114">
              <w:rPr>
                <w:rFonts w:ascii="Arial" w:hAnsi="Arial" w:cs="Arial"/>
                <w:sz w:val="20"/>
                <w:szCs w:val="20"/>
                <w:lang w:val="sr-Cyrl-RS"/>
              </w:rPr>
              <w:t>за социјално предузетништво; дечијих летовалишта и опоравилишта; за културне делатности и библиотекарство; за културу; за културу и образовање; за културу и уметност; за културу, образовање и информисање; за ликовно образовање; за особе са инвалидитетом; за пружање услуга социјалне заштите; за развој и локалну економију; за развој интегрисаног универзитета; за развој локалних услуга социјалне заштите; за спорт и физичку културу; за стручно усавршавање; за обуку у професионалним и радним вештинама; едукативни центар; културни центар; образовно</w:t>
            </w:r>
            <w:r w:rsidR="00C32F44" w:rsidRPr="0DD3B114">
              <w:rPr>
                <w:rFonts w:ascii="Arial" w:hAnsi="Arial" w:cs="Arial"/>
                <w:sz w:val="20"/>
                <w:szCs w:val="20"/>
                <w:lang w:val="sr-Cyrl-RS"/>
              </w:rPr>
              <w:t>-</w:t>
            </w:r>
            <w:r w:rsidRPr="0DD3B114">
              <w:rPr>
                <w:rFonts w:ascii="Arial" w:hAnsi="Arial" w:cs="Arial"/>
                <w:sz w:val="20"/>
                <w:szCs w:val="20"/>
                <w:lang w:val="sr-Cyrl-RS"/>
              </w:rPr>
              <w:t>културни центар; музички центар; дечији културни центар; регионални центар за развој малих и средњих предузећа и предузетништва; регионални центар за стручно усавршавање; спортски центар</w:t>
            </w:r>
          </w:p>
        </w:tc>
      </w:tr>
      <w:tr w:rsidR="00C75AD7" w:rsidRPr="00A021B7" w14:paraId="2E6FE5B1" w14:textId="77777777" w:rsidTr="0DD3B114">
        <w:tc>
          <w:tcPr>
            <w:tcW w:w="1320" w:type="dxa"/>
          </w:tcPr>
          <w:p w14:paraId="63C02C0E" w14:textId="77777777" w:rsidR="00C75AD7" w:rsidRPr="00A021B7" w:rsidRDefault="00C75AD7" w:rsidP="003E7BC9">
            <w:pPr>
              <w:jc w:val="both"/>
              <w:rPr>
                <w:rFonts w:ascii="Arial" w:hAnsi="Arial" w:cs="Arial"/>
                <w:sz w:val="20"/>
                <w:szCs w:val="20"/>
                <w:lang w:val="sr-Cyrl-RS"/>
              </w:rPr>
            </w:pPr>
            <w:r w:rsidRPr="00A021B7">
              <w:rPr>
                <w:rFonts w:ascii="Arial" w:hAnsi="Arial" w:cs="Arial"/>
                <w:sz w:val="20"/>
                <w:szCs w:val="20"/>
                <w:lang w:val="sr-Cyrl-RS"/>
              </w:rPr>
              <w:t>Фондови и фондације</w:t>
            </w:r>
          </w:p>
        </w:tc>
        <w:tc>
          <w:tcPr>
            <w:tcW w:w="7690" w:type="dxa"/>
          </w:tcPr>
          <w:p w14:paraId="5E66F272" w14:textId="19CC1230" w:rsidR="00C75AD7" w:rsidRPr="00A021B7" w:rsidRDefault="00C75AD7" w:rsidP="003E7BC9">
            <w:pPr>
              <w:jc w:val="both"/>
              <w:rPr>
                <w:rFonts w:ascii="Arial" w:hAnsi="Arial" w:cs="Arial"/>
                <w:sz w:val="20"/>
                <w:szCs w:val="20"/>
                <w:lang w:val="sr-Cyrl-RS"/>
              </w:rPr>
            </w:pPr>
            <w:r w:rsidRPr="0DD3B114">
              <w:rPr>
                <w:rFonts w:ascii="Arial" w:hAnsi="Arial" w:cs="Arial"/>
                <w:sz w:val="20"/>
                <w:szCs w:val="20"/>
                <w:lang w:val="sr-Cyrl-RS"/>
              </w:rPr>
              <w:t xml:space="preserve">културе и физичке културе; противпожарне заштите; солидарне стамбене изградње; солидарности; за безбедност саобраћаја на путевима; за грађевинско земљиште; за грађевинско земљиште, путеве и изградњу; за хуманитарне, културне, образовне, научне и спортске циљеве; за изградњу станова солидарности; за локалне и некатегорисане путеве; за образовање; за подстицање образовања и усавршавање младих талената; за помоћ при лечењу стерилитета и вештачкој оплодњи; за помоћ при лечењу тешко оболеле деце и омладине; за помоћ школама; за развој општине; за развој пољопривреде; за развој сточарства; за солидарну стамбену изградњу; за стамбену изградњу и за уређење грађевинског земљишта; за стипендирање </w:t>
            </w:r>
            <w:r w:rsidRPr="0DD3B114">
              <w:rPr>
                <w:rFonts w:ascii="Arial" w:hAnsi="Arial" w:cs="Arial"/>
                <w:sz w:val="20"/>
                <w:szCs w:val="20"/>
                <w:lang w:val="sr-Cyrl-RS"/>
              </w:rPr>
              <w:lastRenderedPageBreak/>
              <w:t>дефицитарних кадрова; за стипендирање и помоћ најбољим студентима и ученицима; за заштиту животне средине; за здравствену заштиту</w:t>
            </w:r>
          </w:p>
        </w:tc>
      </w:tr>
      <w:tr w:rsidR="00C75AD7" w:rsidRPr="00A021B7" w14:paraId="60264387" w14:textId="77777777" w:rsidTr="0DD3B114">
        <w:tc>
          <w:tcPr>
            <w:tcW w:w="1320" w:type="dxa"/>
          </w:tcPr>
          <w:p w14:paraId="15CB8ED2" w14:textId="77777777" w:rsidR="00C75AD7" w:rsidRPr="00A021B7" w:rsidRDefault="00C75AD7" w:rsidP="003E7BC9">
            <w:pPr>
              <w:jc w:val="both"/>
              <w:rPr>
                <w:rFonts w:ascii="Arial" w:hAnsi="Arial" w:cs="Arial"/>
                <w:sz w:val="20"/>
                <w:szCs w:val="20"/>
                <w:lang w:val="sr-Cyrl-RS"/>
              </w:rPr>
            </w:pPr>
            <w:r w:rsidRPr="00A021B7">
              <w:rPr>
                <w:rFonts w:ascii="Arial" w:hAnsi="Arial" w:cs="Arial"/>
                <w:sz w:val="20"/>
                <w:szCs w:val="20"/>
                <w:lang w:val="sr-Cyrl-RS"/>
              </w:rPr>
              <w:lastRenderedPageBreak/>
              <w:t>Јавне установе и установе</w:t>
            </w:r>
          </w:p>
        </w:tc>
        <w:tc>
          <w:tcPr>
            <w:tcW w:w="7690" w:type="dxa"/>
          </w:tcPr>
          <w:p w14:paraId="3D32C7C2" w14:textId="432C3805" w:rsidR="00C75AD7" w:rsidRPr="00A021B7" w:rsidRDefault="00C32F44" w:rsidP="003E7BC9">
            <w:pPr>
              <w:jc w:val="both"/>
              <w:rPr>
                <w:rFonts w:ascii="Arial" w:hAnsi="Arial" w:cs="Arial"/>
                <w:sz w:val="20"/>
                <w:szCs w:val="20"/>
                <w:lang w:val="sr-Cyrl-RS"/>
              </w:rPr>
            </w:pPr>
            <w:r w:rsidRPr="0DD3B114">
              <w:rPr>
                <w:rFonts w:ascii="Arial" w:hAnsi="Arial" w:cs="Arial"/>
                <w:sz w:val="20"/>
                <w:szCs w:val="20"/>
                <w:lang w:val="sr-Cyrl-RS"/>
              </w:rPr>
              <w:t>б</w:t>
            </w:r>
            <w:r w:rsidR="00C75AD7" w:rsidRPr="0DD3B114">
              <w:rPr>
                <w:rFonts w:ascii="Arial" w:hAnsi="Arial" w:cs="Arial"/>
                <w:sz w:val="20"/>
                <w:szCs w:val="20"/>
                <w:lang w:val="sr-Cyrl-RS"/>
              </w:rPr>
              <w:t>иблиотека; народни музеј; дирекција за омладину и спорт; канцеларија за младе; народни универзитет; спортска организација општине; спортски центар; туристичка организација; предшколска установа; културна установа; ветеринарска установа; установа за предшколско васпитање и образовање</w:t>
            </w:r>
          </w:p>
        </w:tc>
      </w:tr>
      <w:tr w:rsidR="00C75AD7" w:rsidRPr="00A021B7" w14:paraId="0F7DA93D" w14:textId="77777777" w:rsidTr="0DD3B114">
        <w:tc>
          <w:tcPr>
            <w:tcW w:w="1320" w:type="dxa"/>
          </w:tcPr>
          <w:p w14:paraId="36F97B05" w14:textId="77777777" w:rsidR="00C75AD7" w:rsidRPr="00A021B7" w:rsidRDefault="00C75AD7" w:rsidP="003E7BC9">
            <w:pPr>
              <w:jc w:val="both"/>
              <w:rPr>
                <w:rFonts w:ascii="Arial" w:hAnsi="Arial" w:cs="Arial"/>
                <w:sz w:val="20"/>
                <w:szCs w:val="20"/>
                <w:lang w:val="sr-Cyrl-RS"/>
              </w:rPr>
            </w:pPr>
            <w:r w:rsidRPr="00A021B7">
              <w:rPr>
                <w:rFonts w:ascii="Arial" w:hAnsi="Arial" w:cs="Arial"/>
                <w:sz w:val="20"/>
                <w:szCs w:val="20"/>
                <w:lang w:val="sr-Cyrl-RS"/>
              </w:rPr>
              <w:t>Јавна предузећа</w:t>
            </w:r>
          </w:p>
        </w:tc>
        <w:tc>
          <w:tcPr>
            <w:tcW w:w="7690" w:type="dxa"/>
          </w:tcPr>
          <w:p w14:paraId="1BF134A7" w14:textId="6AD820AA" w:rsidR="00C75AD7" w:rsidRPr="00A021B7" w:rsidRDefault="00C75AD7" w:rsidP="003E7BC9">
            <w:pPr>
              <w:jc w:val="both"/>
              <w:rPr>
                <w:rFonts w:ascii="Arial" w:hAnsi="Arial" w:cs="Arial"/>
                <w:sz w:val="20"/>
                <w:szCs w:val="20"/>
                <w:lang w:val="sr-Cyrl-RS"/>
              </w:rPr>
            </w:pPr>
            <w:r w:rsidRPr="0DD3B114">
              <w:rPr>
                <w:rFonts w:ascii="Arial" w:hAnsi="Arial" w:cs="Arial"/>
                <w:sz w:val="20"/>
                <w:szCs w:val="20"/>
                <w:lang w:val="sr-Cyrl-RS"/>
              </w:rPr>
              <w:t>за услуге и одржавање; аутотранспортно предузеће; енергетско предузеће; саобраћајно предузеће; чистоћа; паркинг сервис; пијаце; водовод; зеленило; чистоћа и зеленило; градска топлана; за производњу и дистрибуцију топлотне енергије; стамбено предузеће; градска аутобуска станица; градски информативни центар; комунално</w:t>
            </w:r>
            <w:r w:rsidR="00C32F44" w:rsidRPr="0DD3B114">
              <w:rPr>
                <w:rFonts w:ascii="Arial" w:hAnsi="Arial" w:cs="Arial"/>
                <w:sz w:val="20"/>
                <w:szCs w:val="20"/>
                <w:lang w:val="sr-Cyrl-RS"/>
              </w:rPr>
              <w:t>-</w:t>
            </w:r>
            <w:r w:rsidRPr="0DD3B114">
              <w:rPr>
                <w:rFonts w:ascii="Arial" w:hAnsi="Arial" w:cs="Arial"/>
                <w:sz w:val="20"/>
                <w:szCs w:val="20"/>
                <w:lang w:val="sr-Cyrl-RS"/>
              </w:rPr>
              <w:t>стамбене</w:t>
            </w:r>
            <w:r w:rsidR="00C32F44" w:rsidRPr="0DD3B114">
              <w:rPr>
                <w:rFonts w:ascii="Arial" w:hAnsi="Arial" w:cs="Arial"/>
                <w:sz w:val="20"/>
                <w:szCs w:val="20"/>
                <w:lang w:val="sr-Cyrl-RS"/>
              </w:rPr>
              <w:t xml:space="preserve"> и</w:t>
            </w:r>
            <w:r w:rsidRPr="0DD3B114">
              <w:rPr>
                <w:rFonts w:ascii="Arial" w:hAnsi="Arial" w:cs="Arial"/>
                <w:sz w:val="20"/>
                <w:szCs w:val="20"/>
                <w:lang w:val="sr-Cyrl-RS"/>
              </w:rPr>
              <w:t xml:space="preserve"> грађевинске делатности; културно-спортски центар; општинска стамбена агенција;</w:t>
            </w:r>
            <w:r w:rsidR="004D5004" w:rsidRPr="0DD3B114">
              <w:rPr>
                <w:rFonts w:ascii="Arial" w:hAnsi="Arial" w:cs="Arial"/>
                <w:sz w:val="20"/>
                <w:szCs w:val="20"/>
                <w:lang w:val="sr-Cyrl-RS"/>
              </w:rPr>
              <w:t xml:space="preserve"> </w:t>
            </w:r>
            <w:r w:rsidRPr="0DD3B114">
              <w:rPr>
                <w:rFonts w:ascii="Arial" w:hAnsi="Arial" w:cs="Arial"/>
                <w:sz w:val="20"/>
                <w:szCs w:val="20"/>
                <w:lang w:val="sr-Cyrl-RS"/>
              </w:rPr>
              <w:t>за дистрибуцију природног гаса; за газдовање заштитним шумама; за грађевинско земљиште и путеве; за комуналне и стамбене послове; за комуналну делатност и путну инфраструктуру; за културу и спорт; за обављање послова из области туризма и заштите животне средине општине; за одржавање и коришћење спортских објеката; за превоз путника и транспорт робе; за приказивање филмова и организовање манифестација од значаја за град; за путеве општине; за рекреацију; за скупљање и одлагање отпада и одржавање депонија; за стамбене услуге; за туризам</w:t>
            </w:r>
          </w:p>
        </w:tc>
      </w:tr>
      <w:tr w:rsidR="00C75AD7" w:rsidRPr="00A021B7" w14:paraId="43CB9855" w14:textId="77777777" w:rsidTr="0DD3B114">
        <w:tc>
          <w:tcPr>
            <w:tcW w:w="1320" w:type="dxa"/>
          </w:tcPr>
          <w:p w14:paraId="62D22FF9" w14:textId="77777777" w:rsidR="00C75AD7" w:rsidRPr="00A021B7" w:rsidRDefault="00C75AD7" w:rsidP="003E7BC9">
            <w:pPr>
              <w:jc w:val="both"/>
              <w:rPr>
                <w:rFonts w:ascii="Arial" w:hAnsi="Arial" w:cs="Arial"/>
                <w:sz w:val="20"/>
                <w:szCs w:val="20"/>
                <w:lang w:val="sr-Cyrl-RS"/>
              </w:rPr>
            </w:pPr>
            <w:r w:rsidRPr="00A021B7">
              <w:rPr>
                <w:rFonts w:ascii="Arial" w:hAnsi="Arial" w:cs="Arial"/>
                <w:sz w:val="20"/>
                <w:szCs w:val="20"/>
                <w:lang w:val="sr-Cyrl-RS"/>
              </w:rPr>
              <w:t>Заводи</w:t>
            </w:r>
          </w:p>
        </w:tc>
        <w:tc>
          <w:tcPr>
            <w:tcW w:w="7690" w:type="dxa"/>
          </w:tcPr>
          <w:p w14:paraId="348740BE" w14:textId="67653DFF" w:rsidR="00C75AD7" w:rsidRPr="00A021B7" w:rsidRDefault="00C75AD7" w:rsidP="003E7BC9">
            <w:pPr>
              <w:jc w:val="both"/>
              <w:rPr>
                <w:rFonts w:ascii="Arial" w:hAnsi="Arial" w:cs="Arial"/>
                <w:sz w:val="20"/>
                <w:szCs w:val="20"/>
                <w:lang w:val="sr-Cyrl-RS"/>
              </w:rPr>
            </w:pPr>
            <w:r w:rsidRPr="0DD3B114">
              <w:rPr>
                <w:rFonts w:ascii="Arial" w:hAnsi="Arial" w:cs="Arial"/>
                <w:sz w:val="20"/>
                <w:szCs w:val="20"/>
                <w:lang w:val="sr-Cyrl-RS"/>
              </w:rPr>
              <w:t>за урбанистичко планирање и пројектовање; за водопривреду д</w:t>
            </w:r>
            <w:r w:rsidR="1FE8CCB2" w:rsidRPr="0DD3B114">
              <w:rPr>
                <w:rFonts w:ascii="Arial" w:hAnsi="Arial" w:cs="Arial"/>
                <w:sz w:val="20"/>
                <w:szCs w:val="20"/>
                <w:lang w:val="sr-Cyrl-RS"/>
              </w:rPr>
              <w:t>.</w:t>
            </w:r>
            <w:r w:rsidRPr="0DD3B114">
              <w:rPr>
                <w:rFonts w:ascii="Arial" w:hAnsi="Arial" w:cs="Arial"/>
                <w:sz w:val="20"/>
                <w:szCs w:val="20"/>
                <w:lang w:val="sr-Cyrl-RS"/>
              </w:rPr>
              <w:t>о</w:t>
            </w:r>
            <w:r w:rsidR="6997E80A" w:rsidRPr="0DD3B114">
              <w:rPr>
                <w:rFonts w:ascii="Arial" w:hAnsi="Arial" w:cs="Arial"/>
                <w:sz w:val="20"/>
                <w:szCs w:val="20"/>
                <w:lang w:val="sr-Cyrl-RS"/>
              </w:rPr>
              <w:t>.</w:t>
            </w:r>
            <w:r w:rsidRPr="0DD3B114">
              <w:rPr>
                <w:rFonts w:ascii="Arial" w:hAnsi="Arial" w:cs="Arial"/>
                <w:sz w:val="20"/>
                <w:szCs w:val="20"/>
                <w:lang w:val="sr-Cyrl-RS"/>
              </w:rPr>
              <w:t>о</w:t>
            </w:r>
            <w:r w:rsidR="5664397F" w:rsidRPr="0DD3B114">
              <w:rPr>
                <w:rFonts w:ascii="Arial" w:hAnsi="Arial" w:cs="Arial"/>
                <w:sz w:val="20"/>
                <w:szCs w:val="20"/>
                <w:lang w:val="sr-Cyrl-RS"/>
              </w:rPr>
              <w:t>.</w:t>
            </w:r>
            <w:r w:rsidRPr="0DD3B114">
              <w:rPr>
                <w:rFonts w:ascii="Arial" w:hAnsi="Arial" w:cs="Arial"/>
                <w:sz w:val="20"/>
                <w:szCs w:val="20"/>
                <w:lang w:val="sr-Cyrl-RS"/>
              </w:rPr>
              <w:t>; за заштиту споменика културе; за изградњу; урбанистички завод; регионални завод за заштиту споменика културе</w:t>
            </w:r>
          </w:p>
        </w:tc>
      </w:tr>
      <w:tr w:rsidR="00C75AD7" w:rsidRPr="00A021B7" w14:paraId="0CCDA0DF" w14:textId="77777777" w:rsidTr="0DD3B114">
        <w:trPr>
          <w:trHeight w:val="1619"/>
        </w:trPr>
        <w:tc>
          <w:tcPr>
            <w:tcW w:w="1320" w:type="dxa"/>
          </w:tcPr>
          <w:p w14:paraId="749FD083" w14:textId="77777777" w:rsidR="00C75AD7" w:rsidRPr="00A021B7" w:rsidRDefault="00C75AD7" w:rsidP="003E7BC9">
            <w:pPr>
              <w:jc w:val="both"/>
              <w:rPr>
                <w:rFonts w:ascii="Arial" w:hAnsi="Arial" w:cs="Arial"/>
                <w:sz w:val="20"/>
                <w:szCs w:val="20"/>
                <w:lang w:val="sr-Cyrl-RS"/>
              </w:rPr>
            </w:pPr>
            <w:r w:rsidRPr="00A021B7">
              <w:rPr>
                <w:rFonts w:ascii="Arial" w:hAnsi="Arial" w:cs="Arial"/>
                <w:sz w:val="20"/>
                <w:szCs w:val="20"/>
                <w:lang w:val="sr-Cyrl-RS"/>
              </w:rPr>
              <w:t>Други облици</w:t>
            </w:r>
          </w:p>
        </w:tc>
        <w:tc>
          <w:tcPr>
            <w:tcW w:w="7690" w:type="dxa"/>
          </w:tcPr>
          <w:p w14:paraId="320F376A" w14:textId="18566956" w:rsidR="00C75AD7" w:rsidRPr="00A021B7" w:rsidRDefault="00C75AD7" w:rsidP="003E7BC9">
            <w:pPr>
              <w:jc w:val="both"/>
              <w:rPr>
                <w:rFonts w:ascii="Arial" w:hAnsi="Arial" w:cs="Arial"/>
                <w:sz w:val="20"/>
                <w:szCs w:val="20"/>
                <w:lang w:val="sr-Cyrl-RS"/>
              </w:rPr>
            </w:pPr>
            <w:r w:rsidRPr="0DD3B114">
              <w:rPr>
                <w:rFonts w:ascii="Arial" w:hAnsi="Arial" w:cs="Arial"/>
                <w:sz w:val="20"/>
                <w:szCs w:val="20"/>
                <w:lang w:val="sr-Cyrl-RS"/>
              </w:rPr>
              <w:t>канцеларија за младе; канцеларија за локални економски развој; инкубатор центар за развој предузетништва; сервис за волонтере; галерија савремене ликовне уметности; институт за низијско шумарство и животну средину; дечије одмаралиште; друштво за водопривреду; регионални центар за професионални развој запослених у образовању; туристичка организација; дом културе; дом омладине; пословни простор; спортска хала; спортски објекти д</w:t>
            </w:r>
            <w:r w:rsidR="45FBE242" w:rsidRPr="0DD3B114">
              <w:rPr>
                <w:rFonts w:ascii="Arial" w:hAnsi="Arial" w:cs="Arial"/>
                <w:sz w:val="20"/>
                <w:szCs w:val="20"/>
                <w:lang w:val="sr-Cyrl-RS"/>
              </w:rPr>
              <w:t>.</w:t>
            </w:r>
            <w:r w:rsidRPr="0DD3B114">
              <w:rPr>
                <w:rFonts w:ascii="Arial" w:hAnsi="Arial" w:cs="Arial"/>
                <w:sz w:val="20"/>
                <w:szCs w:val="20"/>
                <w:lang w:val="sr-Cyrl-RS"/>
              </w:rPr>
              <w:t>о</w:t>
            </w:r>
            <w:r w:rsidR="39423699" w:rsidRPr="0DD3B114">
              <w:rPr>
                <w:rFonts w:ascii="Arial" w:hAnsi="Arial" w:cs="Arial"/>
                <w:sz w:val="20"/>
                <w:szCs w:val="20"/>
                <w:lang w:val="sr-Cyrl-RS"/>
              </w:rPr>
              <w:t>.</w:t>
            </w:r>
            <w:r w:rsidRPr="0DD3B114">
              <w:rPr>
                <w:rFonts w:ascii="Arial" w:hAnsi="Arial" w:cs="Arial"/>
                <w:sz w:val="20"/>
                <w:szCs w:val="20"/>
                <w:lang w:val="sr-Cyrl-RS"/>
              </w:rPr>
              <w:t>о</w:t>
            </w:r>
            <w:r w:rsidR="165222E0" w:rsidRPr="0DD3B114">
              <w:rPr>
                <w:rFonts w:ascii="Arial" w:hAnsi="Arial" w:cs="Arial"/>
                <w:sz w:val="20"/>
                <w:szCs w:val="20"/>
                <w:lang w:val="sr-Cyrl-RS"/>
              </w:rPr>
              <w:t>.</w:t>
            </w:r>
            <w:r w:rsidRPr="0DD3B114">
              <w:rPr>
                <w:rFonts w:ascii="Arial" w:hAnsi="Arial" w:cs="Arial"/>
                <w:sz w:val="20"/>
                <w:szCs w:val="20"/>
                <w:lang w:val="sr-Cyrl-RS"/>
              </w:rPr>
              <w:t>; регионална развојна агенција; месна заједница; историјски архив итд.</w:t>
            </w:r>
          </w:p>
        </w:tc>
      </w:tr>
    </w:tbl>
    <w:p w14:paraId="47A149CD" w14:textId="77777777" w:rsidR="00C75AD7" w:rsidRPr="00A021B7" w:rsidRDefault="00C75AD7" w:rsidP="003E7BC9">
      <w:pPr>
        <w:jc w:val="both"/>
        <w:rPr>
          <w:rFonts w:ascii="Arial" w:hAnsi="Arial" w:cs="Arial"/>
          <w:sz w:val="20"/>
          <w:szCs w:val="20"/>
          <w:lang w:val="sr-Cyrl-RS"/>
        </w:rPr>
      </w:pPr>
    </w:p>
    <w:p w14:paraId="11991F8F" w14:textId="7428FA2E" w:rsidR="00C75AD7" w:rsidRPr="00A021B7" w:rsidRDefault="00C75AD7"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За разлику од републичког нивоа власти</w:t>
      </w:r>
      <w:r w:rsidR="009D6641" w:rsidRPr="0DD3B114">
        <w:rPr>
          <w:rFonts w:ascii="Arial" w:hAnsi="Arial" w:cs="Arial"/>
          <w:sz w:val="20"/>
          <w:szCs w:val="20"/>
          <w:lang w:val="sr-Cyrl-RS"/>
        </w:rPr>
        <w:t>,</w:t>
      </w:r>
      <w:r w:rsidRPr="0DD3B114">
        <w:rPr>
          <w:rFonts w:ascii="Arial" w:hAnsi="Arial" w:cs="Arial"/>
          <w:sz w:val="20"/>
          <w:szCs w:val="20"/>
          <w:lang w:val="sr-Cyrl-RS"/>
        </w:rPr>
        <w:t xml:space="preserve"> ЗЛС није предвидео различите типове организационих облика који могу обављати управне послове, односно вршити јавна овлашћења. Једина регулатива у овом погледу јесте чл</w:t>
      </w:r>
      <w:r w:rsidR="00EE4594" w:rsidRPr="0DD3B114">
        <w:rPr>
          <w:rFonts w:ascii="Arial" w:hAnsi="Arial" w:cs="Arial"/>
          <w:sz w:val="20"/>
          <w:szCs w:val="20"/>
          <w:lang w:val="sr-Cyrl-RS"/>
        </w:rPr>
        <w:t>ан</w:t>
      </w:r>
      <w:r w:rsidRPr="0DD3B114">
        <w:rPr>
          <w:rFonts w:ascii="Arial" w:hAnsi="Arial" w:cs="Arial"/>
          <w:sz w:val="20"/>
          <w:szCs w:val="20"/>
          <w:lang w:val="sr-Cyrl-RS"/>
        </w:rPr>
        <w:t xml:space="preserve"> 20</w:t>
      </w:r>
      <w:r w:rsidR="00C32F44" w:rsidRPr="0DD3B114">
        <w:rPr>
          <w:rFonts w:ascii="Arial" w:hAnsi="Arial" w:cs="Arial"/>
          <w:sz w:val="20"/>
          <w:szCs w:val="20"/>
          <w:lang w:val="sr-Cyrl-RS"/>
        </w:rPr>
        <w:t>,</w:t>
      </w:r>
      <w:r w:rsidRPr="0DD3B114">
        <w:rPr>
          <w:rFonts w:ascii="Arial" w:hAnsi="Arial" w:cs="Arial"/>
          <w:sz w:val="20"/>
          <w:szCs w:val="20"/>
          <w:lang w:val="sr-Cyrl-RS"/>
        </w:rPr>
        <w:t xml:space="preserve"> који дефинише да </w:t>
      </w:r>
      <w:r w:rsidR="00261323" w:rsidRPr="0DD3B114">
        <w:rPr>
          <w:rFonts w:ascii="Arial" w:hAnsi="Arial" w:cs="Arial"/>
          <w:sz w:val="20"/>
          <w:szCs w:val="20"/>
          <w:lang w:val="sr-Cyrl-RS"/>
        </w:rPr>
        <w:t>„</w:t>
      </w:r>
      <w:r w:rsidRPr="0DD3B114">
        <w:rPr>
          <w:rFonts w:ascii="Arial" w:hAnsi="Arial" w:cs="Arial"/>
          <w:sz w:val="20"/>
          <w:szCs w:val="20"/>
          <w:lang w:val="sr-Cyrl-RS"/>
        </w:rPr>
        <w:t>општина, преко својих органа, у складу са уставом и законом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r w:rsidR="0074037A" w:rsidRPr="0DD3B114">
        <w:rPr>
          <w:rFonts w:ascii="Arial" w:hAnsi="Arial" w:cs="Arial"/>
          <w:sz w:val="20"/>
          <w:szCs w:val="20"/>
          <w:lang w:val="sr-Cyrl-RS"/>
        </w:rPr>
        <w:t>”</w:t>
      </w:r>
      <w:r w:rsidRPr="0DD3B114">
        <w:rPr>
          <w:rFonts w:ascii="Arial" w:hAnsi="Arial" w:cs="Arial"/>
          <w:sz w:val="20"/>
          <w:szCs w:val="20"/>
          <w:lang w:val="sr-Cyrl-RS"/>
        </w:rPr>
        <w:t xml:space="preserve"> </w:t>
      </w:r>
      <w:r w:rsidR="00C322E0" w:rsidRPr="0DD3B114">
        <w:rPr>
          <w:rFonts w:ascii="Arial" w:hAnsi="Arial" w:cs="Arial"/>
          <w:sz w:val="20"/>
          <w:szCs w:val="20"/>
          <w:lang w:val="sr-Cyrl-RS"/>
        </w:rPr>
        <w:t xml:space="preserve">С обзиром </w:t>
      </w:r>
      <w:r w:rsidR="00C32F44" w:rsidRPr="0DD3B114">
        <w:rPr>
          <w:rFonts w:ascii="Arial" w:hAnsi="Arial" w:cs="Arial"/>
          <w:sz w:val="20"/>
          <w:szCs w:val="20"/>
          <w:lang w:val="sr-Cyrl-RS"/>
        </w:rPr>
        <w:t xml:space="preserve">на то </w:t>
      </w:r>
      <w:r w:rsidRPr="0DD3B114">
        <w:rPr>
          <w:rFonts w:ascii="Arial" w:hAnsi="Arial" w:cs="Arial"/>
          <w:sz w:val="20"/>
          <w:szCs w:val="20"/>
          <w:lang w:val="sr-Cyrl-RS"/>
        </w:rPr>
        <w:t xml:space="preserve">да значајан број закона (посебни закони, секторско законодавство) предвиђа могућност оснивања </w:t>
      </w:r>
      <w:r w:rsidR="00C4085E" w:rsidRPr="0DD3B114">
        <w:rPr>
          <w:rFonts w:ascii="Arial" w:hAnsi="Arial" w:cs="Arial"/>
          <w:sz w:val="20"/>
          <w:szCs w:val="20"/>
          <w:lang w:val="sr-Cyrl-RS"/>
        </w:rPr>
        <w:t>„</w:t>
      </w:r>
      <w:r w:rsidRPr="0DD3B114">
        <w:rPr>
          <w:rFonts w:ascii="Arial" w:hAnsi="Arial" w:cs="Arial"/>
          <w:sz w:val="20"/>
          <w:szCs w:val="20"/>
          <w:lang w:val="sr-Cyrl-RS"/>
        </w:rPr>
        <w:t>организација</w:t>
      </w:r>
      <w:r w:rsidR="0074037A" w:rsidRPr="0DD3B114">
        <w:rPr>
          <w:rFonts w:ascii="Arial" w:hAnsi="Arial" w:cs="Arial"/>
          <w:sz w:val="20"/>
          <w:szCs w:val="20"/>
          <w:lang w:val="sr-Cyrl-RS"/>
        </w:rPr>
        <w:t>”</w:t>
      </w:r>
      <w:r w:rsidRPr="0DD3B114">
        <w:rPr>
          <w:rFonts w:ascii="Arial" w:hAnsi="Arial" w:cs="Arial"/>
          <w:sz w:val="20"/>
          <w:szCs w:val="20"/>
          <w:lang w:val="sr-Cyrl-RS"/>
        </w:rPr>
        <w:t xml:space="preserve"> за обављање појединих управних или других послова, </w:t>
      </w:r>
      <w:r w:rsidR="00C32F44" w:rsidRPr="0DD3B114">
        <w:rPr>
          <w:rFonts w:ascii="Arial" w:hAnsi="Arial" w:cs="Arial"/>
          <w:sz w:val="20"/>
          <w:szCs w:val="20"/>
          <w:lang w:val="sr-Cyrl-RS"/>
        </w:rPr>
        <w:t>а</w:t>
      </w:r>
      <w:r w:rsidRPr="0DD3B114">
        <w:rPr>
          <w:rFonts w:ascii="Arial" w:hAnsi="Arial" w:cs="Arial"/>
          <w:sz w:val="20"/>
          <w:szCs w:val="20"/>
          <w:lang w:val="sr-Cyrl-RS"/>
        </w:rPr>
        <w:t xml:space="preserve"> којима се фактички поверавају одређена јавна овлашћења, постоји потреба</w:t>
      </w:r>
      <w:r w:rsidR="00C32F44" w:rsidRPr="0DD3B114">
        <w:rPr>
          <w:rFonts w:ascii="Arial" w:hAnsi="Arial" w:cs="Arial"/>
          <w:sz w:val="20"/>
          <w:szCs w:val="20"/>
          <w:lang w:val="sr-Cyrl-RS"/>
        </w:rPr>
        <w:t xml:space="preserve"> да се</w:t>
      </w:r>
      <w:r w:rsidRPr="0DD3B114">
        <w:rPr>
          <w:rFonts w:ascii="Arial" w:hAnsi="Arial" w:cs="Arial"/>
          <w:sz w:val="20"/>
          <w:szCs w:val="20"/>
          <w:lang w:val="sr-Cyrl-RS"/>
        </w:rPr>
        <w:t xml:space="preserve"> јасније разграниче типов</w:t>
      </w:r>
      <w:r w:rsidR="00C32F44" w:rsidRPr="0DD3B114">
        <w:rPr>
          <w:rFonts w:ascii="Arial" w:hAnsi="Arial" w:cs="Arial"/>
          <w:sz w:val="20"/>
          <w:szCs w:val="20"/>
          <w:lang w:val="sr-Cyrl-RS"/>
        </w:rPr>
        <w:t>и</w:t>
      </w:r>
      <w:r w:rsidRPr="0DD3B114">
        <w:rPr>
          <w:rFonts w:ascii="Arial" w:hAnsi="Arial" w:cs="Arial"/>
          <w:sz w:val="20"/>
          <w:szCs w:val="20"/>
          <w:lang w:val="sr-Cyrl-RS"/>
        </w:rPr>
        <w:t xml:space="preserve"> организација који се могу формирати за обављање појединих послова.</w:t>
      </w:r>
    </w:p>
    <w:p w14:paraId="3A5C5B82" w14:textId="77777777" w:rsidR="00C75AD7" w:rsidRPr="00A021B7" w:rsidRDefault="00C75AD7" w:rsidP="0DD3B114">
      <w:pPr>
        <w:ind w:firstLine="720"/>
        <w:contextualSpacing/>
        <w:jc w:val="both"/>
        <w:rPr>
          <w:rFonts w:ascii="Arial" w:hAnsi="Arial" w:cs="Arial"/>
          <w:sz w:val="20"/>
          <w:szCs w:val="20"/>
          <w:lang w:val="sr-Cyrl-RS"/>
        </w:rPr>
      </w:pPr>
    </w:p>
    <w:p w14:paraId="042F6AAA" w14:textId="1D8358B4" w:rsidR="00C75AD7" w:rsidRPr="00A021B7" w:rsidRDefault="32B86406" w:rsidP="0DD3B114">
      <w:pPr>
        <w:pStyle w:val="FootnoteText"/>
        <w:ind w:firstLine="720"/>
        <w:contextualSpacing/>
        <w:jc w:val="both"/>
        <w:rPr>
          <w:rFonts w:ascii="Arial" w:hAnsi="Arial" w:cs="Arial"/>
          <w:lang w:val="sr-Cyrl-RS"/>
        </w:rPr>
      </w:pPr>
      <w:r w:rsidRPr="0DD3B114">
        <w:rPr>
          <w:rFonts w:ascii="Arial" w:hAnsi="Arial" w:cs="Arial"/>
          <w:lang w:val="sr-Cyrl-RS"/>
        </w:rPr>
        <w:t>Један број организационих облика по свом називу указуј</w:t>
      </w:r>
      <w:r w:rsidR="00C32F44" w:rsidRPr="0DD3B114">
        <w:rPr>
          <w:rFonts w:ascii="Arial" w:hAnsi="Arial" w:cs="Arial"/>
          <w:lang w:val="sr-Cyrl-RS"/>
        </w:rPr>
        <w:t>е</w:t>
      </w:r>
      <w:r w:rsidRPr="0DD3B114">
        <w:rPr>
          <w:rFonts w:ascii="Arial" w:hAnsi="Arial" w:cs="Arial"/>
          <w:lang w:val="sr-Cyrl-RS"/>
        </w:rPr>
        <w:t xml:space="preserve"> на организационе форме које не могу да постоје, у складу са законом. На пример, бројне су агенције (неке по називу су и јавне агенције) за обављање послова за које </w:t>
      </w:r>
      <w:r w:rsidR="3BB28A14" w:rsidRPr="0DD3B114">
        <w:rPr>
          <w:rFonts w:ascii="Arial" w:hAnsi="Arial" w:cs="Arial"/>
          <w:lang w:val="sr-Cyrl-RS"/>
        </w:rPr>
        <w:t xml:space="preserve">по закону </w:t>
      </w:r>
      <w:r w:rsidRPr="0DD3B114">
        <w:rPr>
          <w:rFonts w:ascii="Arial" w:hAnsi="Arial" w:cs="Arial"/>
          <w:lang w:val="sr-Cyrl-RS"/>
        </w:rPr>
        <w:t>није могуће да буду образоване. Ови називи упућују на облик регулисан Законом о јавним агенцијама</w:t>
      </w:r>
      <w:r w:rsidR="511CFD11" w:rsidRPr="0DD3B114">
        <w:rPr>
          <w:rFonts w:ascii="Arial" w:hAnsi="Arial" w:cs="Arial"/>
          <w:sz w:val="16"/>
          <w:szCs w:val="16"/>
          <w:lang w:val="sr-Cyrl-RS"/>
        </w:rPr>
        <w:t xml:space="preserve"> </w:t>
      </w:r>
      <w:r w:rsidR="511CFD11" w:rsidRPr="0DD3B114">
        <w:rPr>
          <w:rFonts w:ascii="Arial" w:hAnsi="Arial" w:cs="Arial"/>
          <w:lang w:val="sr-Cyrl-RS"/>
        </w:rPr>
        <w:t>(„Службени гласник РС”, бр. 18/05, 81/05 – испр. и 47/18)</w:t>
      </w:r>
      <w:r w:rsidR="31814012" w:rsidRPr="0DD3B114">
        <w:rPr>
          <w:rFonts w:ascii="Arial" w:hAnsi="Arial" w:cs="Arial"/>
          <w:lang w:val="sr-Cyrl-RS"/>
        </w:rPr>
        <w:t>,</w:t>
      </w:r>
      <w:r w:rsidRPr="0DD3B114">
        <w:rPr>
          <w:rFonts w:ascii="Arial" w:hAnsi="Arial" w:cs="Arial"/>
          <w:lang w:val="sr-Cyrl-RS"/>
        </w:rPr>
        <w:t xml:space="preserve"> али ти организациони облици често не испуњавају основни услов за оснивање агенције, да се посебним законом пропише могућност оснивања јавне агенције за обављање развојног, стручног или регулаторног посла од општег интереса. Једино је Закон о социјалном становању (</w:t>
      </w:r>
      <w:r w:rsidR="61D903A2" w:rsidRPr="0DD3B114">
        <w:rPr>
          <w:rFonts w:ascii="Arial" w:hAnsi="Arial" w:cs="Arial"/>
          <w:lang w:val="sr-Cyrl-RS"/>
        </w:rPr>
        <w:t>„</w:t>
      </w:r>
      <w:r w:rsidRPr="0DD3B114">
        <w:rPr>
          <w:rFonts w:ascii="Arial" w:hAnsi="Arial" w:cs="Arial"/>
          <w:lang w:val="sr-Cyrl-RS"/>
        </w:rPr>
        <w:t>Сл</w:t>
      </w:r>
      <w:r w:rsidR="6E098FF9" w:rsidRPr="0DD3B114">
        <w:rPr>
          <w:rFonts w:ascii="Arial" w:hAnsi="Arial" w:cs="Arial"/>
          <w:lang w:val="sr-Cyrl-RS"/>
        </w:rPr>
        <w:t>у</w:t>
      </w:r>
      <w:r w:rsidR="4145FA9F" w:rsidRPr="0DD3B114">
        <w:rPr>
          <w:rFonts w:ascii="Arial" w:hAnsi="Arial" w:cs="Arial"/>
          <w:lang w:val="sr-Cyrl-RS"/>
        </w:rPr>
        <w:t>жбени</w:t>
      </w:r>
      <w:r w:rsidRPr="0DD3B114">
        <w:rPr>
          <w:rFonts w:ascii="Arial" w:hAnsi="Arial" w:cs="Arial"/>
          <w:lang w:val="sr-Cyrl-RS"/>
        </w:rPr>
        <w:t xml:space="preserve"> гласник РС</w:t>
      </w:r>
      <w:r w:rsidR="4145FA9F" w:rsidRPr="0DD3B114">
        <w:rPr>
          <w:rFonts w:ascii="Arial" w:hAnsi="Arial" w:cs="Arial"/>
          <w:lang w:val="sr-Cyrl-RS"/>
        </w:rPr>
        <w:t>”</w:t>
      </w:r>
      <w:r w:rsidRPr="0DD3B114">
        <w:rPr>
          <w:rFonts w:ascii="Arial" w:hAnsi="Arial" w:cs="Arial"/>
          <w:lang w:val="sr-Cyrl-RS"/>
        </w:rPr>
        <w:t>, бр</w:t>
      </w:r>
      <w:r w:rsidR="4145FA9F" w:rsidRPr="0DD3B114">
        <w:rPr>
          <w:rFonts w:ascii="Arial" w:hAnsi="Arial" w:cs="Arial"/>
          <w:lang w:val="sr-Cyrl-RS"/>
        </w:rPr>
        <w:t>ој</w:t>
      </w:r>
      <w:r w:rsidRPr="0DD3B114">
        <w:rPr>
          <w:rFonts w:ascii="Arial" w:hAnsi="Arial" w:cs="Arial"/>
          <w:lang w:val="sr-Cyrl-RS"/>
        </w:rPr>
        <w:t xml:space="preserve"> 72/09) утврдио овлашћење </w:t>
      </w:r>
      <w:r w:rsidR="017472B7" w:rsidRPr="0DD3B114">
        <w:rPr>
          <w:rFonts w:ascii="Arial" w:hAnsi="Arial" w:cs="Arial"/>
          <w:lang w:val="sr-Cyrl-RS"/>
        </w:rPr>
        <w:t xml:space="preserve">ЈЛС </w:t>
      </w:r>
      <w:r w:rsidRPr="0DD3B114">
        <w:rPr>
          <w:rFonts w:ascii="Arial" w:hAnsi="Arial" w:cs="Arial"/>
          <w:lang w:val="sr-Cyrl-RS"/>
        </w:rPr>
        <w:t>за оснивање непрофитн</w:t>
      </w:r>
      <w:r w:rsidR="002816A3" w:rsidRPr="0DD3B114">
        <w:rPr>
          <w:rFonts w:ascii="Arial" w:hAnsi="Arial" w:cs="Arial"/>
          <w:lang w:val="sr-Cyrl-RS"/>
        </w:rPr>
        <w:t>их</w:t>
      </w:r>
      <w:r w:rsidRPr="0DD3B114">
        <w:rPr>
          <w:rFonts w:ascii="Arial" w:hAnsi="Arial" w:cs="Arial"/>
          <w:lang w:val="sr-Cyrl-RS"/>
        </w:rPr>
        <w:t xml:space="preserve"> стамбен</w:t>
      </w:r>
      <w:r w:rsidR="002816A3" w:rsidRPr="0DD3B114">
        <w:rPr>
          <w:rFonts w:ascii="Arial" w:hAnsi="Arial" w:cs="Arial"/>
          <w:lang w:val="sr-Cyrl-RS"/>
        </w:rPr>
        <w:t>их</w:t>
      </w:r>
      <w:r w:rsidRPr="0DD3B114">
        <w:rPr>
          <w:rFonts w:ascii="Arial" w:hAnsi="Arial" w:cs="Arial"/>
          <w:lang w:val="sr-Cyrl-RS"/>
        </w:rPr>
        <w:t xml:space="preserve"> организациј</w:t>
      </w:r>
      <w:r w:rsidR="002816A3" w:rsidRPr="0DD3B114">
        <w:rPr>
          <w:rFonts w:ascii="Arial" w:hAnsi="Arial" w:cs="Arial"/>
          <w:lang w:val="sr-Cyrl-RS"/>
        </w:rPr>
        <w:t>а</w:t>
      </w:r>
      <w:r w:rsidR="721DD75F" w:rsidRPr="0DD3B114">
        <w:rPr>
          <w:rFonts w:ascii="Arial" w:hAnsi="Arial" w:cs="Arial"/>
          <w:lang w:val="sr-Cyrl-RS"/>
        </w:rPr>
        <w:t>,</w:t>
      </w:r>
      <w:r w:rsidR="512CDFFD" w:rsidRPr="0DD3B114">
        <w:rPr>
          <w:rFonts w:ascii="Arial" w:hAnsi="Arial" w:cs="Arial"/>
          <w:lang w:val="sr-Cyrl-RS"/>
        </w:rPr>
        <w:t xml:space="preserve"> </w:t>
      </w:r>
      <w:r w:rsidRPr="0DD3B114">
        <w:rPr>
          <w:rFonts w:ascii="Arial" w:hAnsi="Arial" w:cs="Arial"/>
          <w:lang w:val="sr-Cyrl-RS"/>
        </w:rPr>
        <w:t xml:space="preserve">ако </w:t>
      </w:r>
      <w:r w:rsidR="002816A3" w:rsidRPr="0DD3B114">
        <w:rPr>
          <w:rFonts w:ascii="Arial" w:hAnsi="Arial" w:cs="Arial"/>
          <w:lang w:val="sr-Cyrl-RS"/>
        </w:rPr>
        <w:t>су</w:t>
      </w:r>
      <w:r w:rsidR="00C32F44" w:rsidRPr="0DD3B114">
        <w:rPr>
          <w:rFonts w:ascii="Arial" w:hAnsi="Arial" w:cs="Arial"/>
          <w:lang w:val="sr-Cyrl-RS"/>
        </w:rPr>
        <w:t xml:space="preserve"> он</w:t>
      </w:r>
      <w:r w:rsidR="002816A3" w:rsidRPr="0DD3B114">
        <w:rPr>
          <w:rFonts w:ascii="Arial" w:hAnsi="Arial" w:cs="Arial"/>
          <w:lang w:val="sr-Cyrl-RS"/>
        </w:rPr>
        <w:t>е</w:t>
      </w:r>
      <w:r w:rsidRPr="0DD3B114">
        <w:rPr>
          <w:rFonts w:ascii="Arial" w:hAnsi="Arial" w:cs="Arial"/>
          <w:lang w:val="sr-Cyrl-RS"/>
        </w:rPr>
        <w:t xml:space="preserve"> уписан</w:t>
      </w:r>
      <w:r w:rsidR="002816A3" w:rsidRPr="0DD3B114">
        <w:rPr>
          <w:rFonts w:ascii="Arial" w:hAnsi="Arial" w:cs="Arial"/>
          <w:lang w:val="sr-Cyrl-RS"/>
        </w:rPr>
        <w:t>е</w:t>
      </w:r>
      <w:r w:rsidRPr="0DD3B114">
        <w:rPr>
          <w:rFonts w:ascii="Arial" w:hAnsi="Arial" w:cs="Arial"/>
          <w:lang w:val="sr-Cyrl-RS"/>
        </w:rPr>
        <w:t xml:space="preserve"> у посебан регистар непрофитних стамбених организација</w:t>
      </w:r>
      <w:r w:rsidR="00C32F44" w:rsidRPr="0DD3B114">
        <w:rPr>
          <w:rFonts w:ascii="Arial" w:hAnsi="Arial" w:cs="Arial"/>
          <w:lang w:val="sr-Cyrl-RS"/>
        </w:rPr>
        <w:t>,</w:t>
      </w:r>
      <w:r w:rsidRPr="0DD3B114">
        <w:rPr>
          <w:rFonts w:ascii="Arial" w:hAnsi="Arial" w:cs="Arial"/>
          <w:lang w:val="sr-Cyrl-RS"/>
        </w:rPr>
        <w:t xml:space="preserve"> кој</w:t>
      </w:r>
      <w:r w:rsidR="00C32F44" w:rsidRPr="0DD3B114">
        <w:rPr>
          <w:rFonts w:ascii="Arial" w:hAnsi="Arial" w:cs="Arial"/>
          <w:lang w:val="sr-Cyrl-RS"/>
        </w:rPr>
        <w:t>и</w:t>
      </w:r>
      <w:r w:rsidRPr="0DD3B114">
        <w:rPr>
          <w:rFonts w:ascii="Arial" w:hAnsi="Arial" w:cs="Arial"/>
          <w:lang w:val="sr-Cyrl-RS"/>
        </w:rPr>
        <w:t xml:space="preserve"> води министарство надлежно за стамбене послове</w:t>
      </w:r>
      <w:r w:rsidR="00C32F44" w:rsidRPr="0DD3B114">
        <w:rPr>
          <w:rFonts w:ascii="Arial" w:hAnsi="Arial" w:cs="Arial"/>
          <w:lang w:val="sr-Cyrl-RS"/>
        </w:rPr>
        <w:t>,</w:t>
      </w:r>
      <w:r w:rsidRPr="0DD3B114">
        <w:rPr>
          <w:rFonts w:ascii="Arial" w:hAnsi="Arial" w:cs="Arial"/>
          <w:lang w:val="sr-Cyrl-RS"/>
        </w:rPr>
        <w:t xml:space="preserve"> </w:t>
      </w:r>
      <w:r w:rsidR="002816A3" w:rsidRPr="0DD3B114">
        <w:rPr>
          <w:rFonts w:ascii="Arial" w:hAnsi="Arial" w:cs="Arial"/>
          <w:lang w:val="sr-Cyrl-RS"/>
        </w:rPr>
        <w:t xml:space="preserve">а </w:t>
      </w:r>
      <w:r w:rsidRPr="0DD3B114">
        <w:rPr>
          <w:rFonts w:ascii="Arial" w:hAnsi="Arial" w:cs="Arial"/>
          <w:lang w:val="sr-Cyrl-RS"/>
        </w:rPr>
        <w:t>кој</w:t>
      </w:r>
      <w:r w:rsidR="002816A3" w:rsidRPr="0DD3B114">
        <w:rPr>
          <w:rFonts w:ascii="Arial" w:hAnsi="Arial" w:cs="Arial"/>
          <w:lang w:val="sr-Cyrl-RS"/>
        </w:rPr>
        <w:t>е</w:t>
      </w:r>
      <w:r w:rsidRPr="0DD3B114">
        <w:rPr>
          <w:rFonts w:ascii="Arial" w:hAnsi="Arial" w:cs="Arial"/>
          <w:lang w:val="sr-Cyrl-RS"/>
        </w:rPr>
        <w:t xml:space="preserve"> могу бити стамбене агенције, стамбене задруге и други организациони облици. Упркос свему томе, велики број ЈЛС је основао разне агенције у правној форми друштва са ограниченом одговорношћу</w:t>
      </w:r>
      <w:r w:rsidR="028E3494" w:rsidRPr="0DD3B114">
        <w:rPr>
          <w:rFonts w:ascii="Arial" w:hAnsi="Arial" w:cs="Arial"/>
          <w:lang w:val="sr-Cyrl-RS"/>
        </w:rPr>
        <w:t>,</w:t>
      </w:r>
      <w:r w:rsidRPr="0DD3B114">
        <w:rPr>
          <w:rFonts w:ascii="Arial" w:hAnsi="Arial" w:cs="Arial"/>
          <w:lang w:val="sr-Cyrl-RS"/>
        </w:rPr>
        <w:t xml:space="preserve"> које су обављале разне управне послове</w:t>
      </w:r>
      <w:r w:rsidR="74BBBF64" w:rsidRPr="0DD3B114">
        <w:rPr>
          <w:rFonts w:ascii="Arial" w:hAnsi="Arial" w:cs="Arial"/>
          <w:lang w:val="sr-Cyrl-RS"/>
        </w:rPr>
        <w:t>,</w:t>
      </w:r>
      <w:r w:rsidRPr="0DD3B114">
        <w:rPr>
          <w:rFonts w:ascii="Arial" w:hAnsi="Arial" w:cs="Arial"/>
          <w:lang w:val="sr-Cyrl-RS"/>
        </w:rPr>
        <w:t xml:space="preserve"> што свакако није адекватан начин за обављање управних послова или</w:t>
      </w:r>
      <w:r w:rsidR="002816A3" w:rsidRPr="0DD3B114">
        <w:rPr>
          <w:rFonts w:ascii="Arial" w:hAnsi="Arial" w:cs="Arial"/>
          <w:lang w:val="sr-Cyrl-RS"/>
        </w:rPr>
        <w:t xml:space="preserve"> вршење</w:t>
      </w:r>
      <w:r w:rsidRPr="0DD3B114">
        <w:rPr>
          <w:rFonts w:ascii="Arial" w:hAnsi="Arial" w:cs="Arial"/>
          <w:lang w:val="sr-Cyrl-RS"/>
        </w:rPr>
        <w:t xml:space="preserve"> јавних овлашћења.</w:t>
      </w:r>
    </w:p>
    <w:p w14:paraId="2A1BA678" w14:textId="77777777" w:rsidR="00C75AD7" w:rsidRPr="00A021B7" w:rsidRDefault="00C75AD7" w:rsidP="0DD3B114">
      <w:pPr>
        <w:ind w:firstLine="720"/>
        <w:contextualSpacing/>
        <w:jc w:val="both"/>
        <w:rPr>
          <w:rFonts w:ascii="Arial" w:hAnsi="Arial" w:cs="Arial"/>
          <w:sz w:val="20"/>
          <w:szCs w:val="20"/>
          <w:lang w:val="sr-Cyrl-RS"/>
        </w:rPr>
      </w:pPr>
    </w:p>
    <w:p w14:paraId="01CE119B" w14:textId="67727505" w:rsidR="00C75AD7" w:rsidRPr="00A021B7" w:rsidRDefault="32B86406"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 xml:space="preserve">Одређени број организационих облика </w:t>
      </w:r>
      <w:r w:rsidR="002816A3" w:rsidRPr="0DD3B114">
        <w:rPr>
          <w:rFonts w:ascii="Arial" w:hAnsi="Arial" w:cs="Arial"/>
          <w:sz w:val="20"/>
          <w:szCs w:val="20"/>
          <w:lang w:val="sr-Cyrl-RS"/>
        </w:rPr>
        <w:t>представљају</w:t>
      </w:r>
      <w:r w:rsidRPr="0DD3B114">
        <w:rPr>
          <w:rFonts w:ascii="Arial" w:hAnsi="Arial" w:cs="Arial"/>
          <w:sz w:val="20"/>
          <w:szCs w:val="20"/>
          <w:lang w:val="sr-Cyrl-RS"/>
        </w:rPr>
        <w:t xml:space="preserve"> установе </w:t>
      </w:r>
      <w:r w:rsidR="002816A3" w:rsidRPr="0DD3B114">
        <w:rPr>
          <w:rFonts w:ascii="Arial" w:hAnsi="Arial" w:cs="Arial"/>
          <w:sz w:val="20"/>
          <w:szCs w:val="20"/>
          <w:lang w:val="sr-Cyrl-RS"/>
        </w:rPr>
        <w:t xml:space="preserve">образоване </w:t>
      </w:r>
      <w:r w:rsidRPr="0DD3B114">
        <w:rPr>
          <w:rFonts w:ascii="Arial" w:hAnsi="Arial" w:cs="Arial"/>
          <w:sz w:val="20"/>
          <w:szCs w:val="20"/>
          <w:lang w:val="sr-Cyrl-RS"/>
        </w:rPr>
        <w:t>за обављање делатности јавних служби, у складу са законом. Међутим</w:t>
      </w:r>
      <w:r w:rsidR="3CF9784A" w:rsidRPr="0DD3B114">
        <w:rPr>
          <w:rFonts w:ascii="Arial" w:hAnsi="Arial" w:cs="Arial"/>
          <w:sz w:val="20"/>
          <w:szCs w:val="20"/>
          <w:lang w:val="sr-Cyrl-RS"/>
        </w:rPr>
        <w:t>,</w:t>
      </w:r>
      <w:r w:rsidRPr="0DD3B114">
        <w:rPr>
          <w:rFonts w:ascii="Arial" w:hAnsi="Arial" w:cs="Arial"/>
          <w:sz w:val="20"/>
          <w:szCs w:val="20"/>
          <w:lang w:val="sr-Cyrl-RS"/>
        </w:rPr>
        <w:t xml:space="preserve"> када се погледају називи ових установа у којима су наведене области</w:t>
      </w:r>
      <w:r w:rsidR="002816A3" w:rsidRPr="0DD3B114">
        <w:rPr>
          <w:rFonts w:ascii="Arial" w:hAnsi="Arial" w:cs="Arial"/>
          <w:sz w:val="20"/>
          <w:szCs w:val="20"/>
          <w:lang w:val="sr-Cyrl-RS"/>
        </w:rPr>
        <w:t xml:space="preserve"> делатности</w:t>
      </w:r>
      <w:r w:rsidRPr="0DD3B114">
        <w:rPr>
          <w:rFonts w:ascii="Arial" w:hAnsi="Arial" w:cs="Arial"/>
          <w:sz w:val="20"/>
          <w:szCs w:val="20"/>
          <w:lang w:val="sr-Cyrl-RS"/>
        </w:rPr>
        <w:t xml:space="preserve"> за које су образован</w:t>
      </w:r>
      <w:r w:rsidR="002816A3" w:rsidRPr="0DD3B114">
        <w:rPr>
          <w:rFonts w:ascii="Arial" w:hAnsi="Arial" w:cs="Arial"/>
          <w:sz w:val="20"/>
          <w:szCs w:val="20"/>
          <w:lang w:val="sr-Cyrl-RS"/>
        </w:rPr>
        <w:t>е</w:t>
      </w:r>
      <w:r w:rsidRPr="0DD3B114">
        <w:rPr>
          <w:rFonts w:ascii="Arial" w:hAnsi="Arial" w:cs="Arial"/>
          <w:sz w:val="20"/>
          <w:szCs w:val="20"/>
          <w:lang w:val="sr-Cyrl-RS"/>
        </w:rPr>
        <w:t>, постоје значајне разлике. Бројне установе носе назив „</w:t>
      </w:r>
      <w:r w:rsidR="26D4F692" w:rsidRPr="0DD3B114">
        <w:rPr>
          <w:rFonts w:ascii="Arial" w:hAnsi="Arial" w:cs="Arial"/>
          <w:sz w:val="20"/>
          <w:szCs w:val="20"/>
          <w:lang w:val="sr-Cyrl-RS"/>
        </w:rPr>
        <w:t>центар</w:t>
      </w:r>
      <w:r w:rsidR="503E649E" w:rsidRPr="0DD3B114">
        <w:rPr>
          <w:rFonts w:ascii="Arial" w:hAnsi="Arial" w:cs="Arial"/>
          <w:sz w:val="20"/>
          <w:szCs w:val="20"/>
          <w:lang w:val="sr-Cyrl-RS"/>
        </w:rPr>
        <w:t>”</w:t>
      </w:r>
      <w:r w:rsidR="26D4F692" w:rsidRPr="0DD3B114">
        <w:rPr>
          <w:rFonts w:ascii="Arial" w:hAnsi="Arial" w:cs="Arial"/>
          <w:sz w:val="20"/>
          <w:szCs w:val="20"/>
          <w:lang w:val="sr-Cyrl-RS"/>
        </w:rPr>
        <w:t>,</w:t>
      </w:r>
      <w:r w:rsidRPr="0DD3B114">
        <w:rPr>
          <w:rFonts w:ascii="Arial" w:hAnsi="Arial" w:cs="Arial"/>
          <w:sz w:val="20"/>
          <w:szCs w:val="20"/>
          <w:lang w:val="sr-Cyrl-RS"/>
        </w:rPr>
        <w:t xml:space="preserve"> што упућује на организациону форму која пружа </w:t>
      </w:r>
      <w:r w:rsidRPr="0DD3B114">
        <w:rPr>
          <w:rFonts w:ascii="Arial" w:hAnsi="Arial" w:cs="Arial"/>
          <w:sz w:val="20"/>
          <w:szCs w:val="20"/>
          <w:lang w:val="sr-Cyrl-RS"/>
        </w:rPr>
        <w:lastRenderedPageBreak/>
        <w:t>већи број различитих услуга у одређеној области. Највећи број „</w:t>
      </w:r>
      <w:r w:rsidR="26D4F692" w:rsidRPr="0DD3B114">
        <w:rPr>
          <w:rFonts w:ascii="Arial" w:hAnsi="Arial" w:cs="Arial"/>
          <w:sz w:val="20"/>
          <w:szCs w:val="20"/>
          <w:lang w:val="sr-Cyrl-RS"/>
        </w:rPr>
        <w:t>центара</w:t>
      </w:r>
      <w:r w:rsidR="503E649E" w:rsidRPr="0DD3B114">
        <w:rPr>
          <w:rFonts w:ascii="Arial" w:hAnsi="Arial" w:cs="Arial"/>
          <w:sz w:val="20"/>
          <w:szCs w:val="20"/>
          <w:lang w:val="sr-Cyrl-RS"/>
        </w:rPr>
        <w:t>”</w:t>
      </w:r>
      <w:r w:rsidRPr="0DD3B114">
        <w:rPr>
          <w:rFonts w:ascii="Arial" w:hAnsi="Arial" w:cs="Arial"/>
          <w:sz w:val="20"/>
          <w:szCs w:val="20"/>
          <w:lang w:val="sr-Cyrl-RS"/>
        </w:rPr>
        <w:t xml:space="preserve"> се односи на делатности културе, уметности, образовања, спорта, информисања</w:t>
      </w:r>
      <w:r w:rsidR="13C8E141" w:rsidRPr="0DD3B114">
        <w:rPr>
          <w:rFonts w:ascii="Arial" w:hAnsi="Arial" w:cs="Arial"/>
          <w:sz w:val="20"/>
          <w:szCs w:val="20"/>
          <w:lang w:val="sr-Cyrl-RS"/>
        </w:rPr>
        <w:t>,</w:t>
      </w:r>
      <w:r w:rsidRPr="0DD3B114">
        <w:rPr>
          <w:rFonts w:ascii="Arial" w:hAnsi="Arial" w:cs="Arial"/>
          <w:sz w:val="20"/>
          <w:szCs w:val="20"/>
          <w:lang w:val="sr-Cyrl-RS"/>
        </w:rPr>
        <w:t xml:space="preserve"> али и </w:t>
      </w:r>
      <w:r w:rsidR="13C8E141" w:rsidRPr="0DD3B114">
        <w:rPr>
          <w:rFonts w:ascii="Arial" w:hAnsi="Arial" w:cs="Arial"/>
          <w:sz w:val="20"/>
          <w:szCs w:val="20"/>
          <w:lang w:val="sr-Cyrl-RS"/>
        </w:rPr>
        <w:t xml:space="preserve">на </w:t>
      </w:r>
      <w:r w:rsidRPr="0DD3B114">
        <w:rPr>
          <w:rFonts w:ascii="Arial" w:hAnsi="Arial" w:cs="Arial"/>
          <w:sz w:val="20"/>
          <w:szCs w:val="20"/>
          <w:lang w:val="sr-Cyrl-RS"/>
        </w:rPr>
        <w:t>економски развој и локалну економију, развој локалних услуга социјалне заштите, стручно усавршавање,</w:t>
      </w:r>
      <w:r w:rsidR="002816A3" w:rsidRPr="0DD3B114">
        <w:rPr>
          <w:rFonts w:ascii="Arial" w:hAnsi="Arial" w:cs="Arial"/>
          <w:sz w:val="20"/>
          <w:szCs w:val="20"/>
          <w:lang w:val="sr-Cyrl-RS"/>
        </w:rPr>
        <w:t xml:space="preserve"> неки су</w:t>
      </w:r>
      <w:r w:rsidRPr="0DD3B114">
        <w:rPr>
          <w:rFonts w:ascii="Arial" w:hAnsi="Arial" w:cs="Arial"/>
          <w:sz w:val="20"/>
          <w:szCs w:val="20"/>
          <w:lang w:val="sr-Cyrl-RS"/>
        </w:rPr>
        <w:t xml:space="preserve"> </w:t>
      </w:r>
      <w:r w:rsidR="7A4FCEF4" w:rsidRPr="0DD3B114">
        <w:rPr>
          <w:rFonts w:ascii="Arial" w:hAnsi="Arial" w:cs="Arial"/>
          <w:sz w:val="20"/>
          <w:szCs w:val="20"/>
          <w:lang w:val="sr-Cyrl-RS"/>
        </w:rPr>
        <w:t xml:space="preserve">пословни </w:t>
      </w:r>
      <w:r w:rsidRPr="0DD3B114">
        <w:rPr>
          <w:rFonts w:ascii="Arial" w:hAnsi="Arial" w:cs="Arial"/>
          <w:sz w:val="20"/>
          <w:szCs w:val="20"/>
          <w:lang w:val="sr-Cyrl-RS"/>
        </w:rPr>
        <w:t>иновативни центр</w:t>
      </w:r>
      <w:r w:rsidR="002816A3" w:rsidRPr="0DD3B114">
        <w:rPr>
          <w:rFonts w:ascii="Arial" w:hAnsi="Arial" w:cs="Arial"/>
          <w:sz w:val="20"/>
          <w:szCs w:val="20"/>
          <w:lang w:val="sr-Cyrl-RS"/>
        </w:rPr>
        <w:t>и</w:t>
      </w:r>
      <w:r w:rsidRPr="0DD3B114">
        <w:rPr>
          <w:rFonts w:ascii="Arial" w:hAnsi="Arial" w:cs="Arial"/>
          <w:sz w:val="20"/>
          <w:szCs w:val="20"/>
          <w:lang w:val="sr-Cyrl-RS"/>
        </w:rPr>
        <w:t xml:space="preserve"> и др. Иако деле назив „</w:t>
      </w:r>
      <w:r w:rsidR="0D4232B3" w:rsidRPr="0DD3B114">
        <w:rPr>
          <w:rFonts w:ascii="Arial" w:hAnsi="Arial" w:cs="Arial"/>
          <w:sz w:val="20"/>
          <w:szCs w:val="20"/>
          <w:lang w:val="sr-Cyrl-RS"/>
        </w:rPr>
        <w:t>центар</w:t>
      </w:r>
      <w:r w:rsidR="503E649E" w:rsidRPr="0DD3B114">
        <w:rPr>
          <w:rFonts w:ascii="Arial" w:hAnsi="Arial" w:cs="Arial"/>
          <w:sz w:val="20"/>
          <w:szCs w:val="20"/>
          <w:lang w:val="sr-Cyrl-RS"/>
        </w:rPr>
        <w:t>”</w:t>
      </w:r>
      <w:r w:rsidR="0D4232B3" w:rsidRPr="0DD3B114">
        <w:rPr>
          <w:rFonts w:ascii="Arial" w:hAnsi="Arial" w:cs="Arial"/>
          <w:sz w:val="20"/>
          <w:szCs w:val="20"/>
          <w:lang w:val="sr-Cyrl-RS"/>
        </w:rPr>
        <w:t>,</w:t>
      </w:r>
      <w:r w:rsidRPr="0DD3B114">
        <w:rPr>
          <w:rFonts w:ascii="Arial" w:hAnsi="Arial" w:cs="Arial"/>
          <w:sz w:val="20"/>
          <w:szCs w:val="20"/>
          <w:lang w:val="sr-Cyrl-RS"/>
        </w:rPr>
        <w:t xml:space="preserve"> уобичајен за делатности установа, постоји један број „</w:t>
      </w:r>
      <w:r w:rsidR="0D4232B3" w:rsidRPr="0DD3B114">
        <w:rPr>
          <w:rFonts w:ascii="Arial" w:hAnsi="Arial" w:cs="Arial"/>
          <w:sz w:val="20"/>
          <w:szCs w:val="20"/>
          <w:lang w:val="sr-Cyrl-RS"/>
        </w:rPr>
        <w:t>центара</w:t>
      </w:r>
      <w:r w:rsidR="503E649E" w:rsidRPr="0DD3B114">
        <w:rPr>
          <w:rFonts w:ascii="Arial" w:hAnsi="Arial" w:cs="Arial"/>
          <w:sz w:val="20"/>
          <w:szCs w:val="20"/>
          <w:lang w:val="sr-Cyrl-RS"/>
        </w:rPr>
        <w:t>”</w:t>
      </w:r>
      <w:r w:rsidRPr="0DD3B114">
        <w:rPr>
          <w:rFonts w:ascii="Arial" w:hAnsi="Arial" w:cs="Arial"/>
          <w:sz w:val="20"/>
          <w:szCs w:val="20"/>
          <w:lang w:val="sr-Cyrl-RS"/>
        </w:rPr>
        <w:t xml:space="preserve"> образовани</w:t>
      </w:r>
      <w:r w:rsidR="0D4232B3" w:rsidRPr="0DD3B114">
        <w:rPr>
          <w:rFonts w:ascii="Arial" w:hAnsi="Arial" w:cs="Arial"/>
          <w:sz w:val="20"/>
          <w:szCs w:val="20"/>
          <w:lang w:val="sr-Cyrl-RS"/>
        </w:rPr>
        <w:t>х</w:t>
      </w:r>
      <w:r w:rsidRPr="0DD3B114">
        <w:rPr>
          <w:rFonts w:ascii="Arial" w:hAnsi="Arial" w:cs="Arial"/>
          <w:sz w:val="20"/>
          <w:szCs w:val="20"/>
          <w:lang w:val="sr-Cyrl-RS"/>
        </w:rPr>
        <w:t xml:space="preserve"> за послове локалног економског развоја, подстицаја </w:t>
      </w:r>
      <w:r w:rsidR="5590BE73" w:rsidRPr="0DD3B114">
        <w:rPr>
          <w:rFonts w:ascii="Arial" w:hAnsi="Arial" w:cs="Arial"/>
          <w:sz w:val="20"/>
          <w:szCs w:val="20"/>
          <w:lang w:val="sr-Cyrl-RS"/>
        </w:rPr>
        <w:t>привреди</w:t>
      </w:r>
      <w:r w:rsidRPr="0DD3B114">
        <w:rPr>
          <w:rFonts w:ascii="Arial" w:hAnsi="Arial" w:cs="Arial"/>
          <w:sz w:val="20"/>
          <w:szCs w:val="20"/>
          <w:lang w:val="sr-Cyrl-RS"/>
        </w:rPr>
        <w:t>, предузетништво, волонтере и друго</w:t>
      </w:r>
      <w:r w:rsidR="784ECD33" w:rsidRPr="0DD3B114">
        <w:rPr>
          <w:rFonts w:ascii="Arial" w:hAnsi="Arial" w:cs="Arial"/>
          <w:sz w:val="20"/>
          <w:szCs w:val="20"/>
          <w:lang w:val="sr-Cyrl-RS"/>
        </w:rPr>
        <w:t>,</w:t>
      </w:r>
      <w:r w:rsidRPr="0DD3B114">
        <w:rPr>
          <w:rFonts w:ascii="Arial" w:hAnsi="Arial" w:cs="Arial"/>
          <w:sz w:val="20"/>
          <w:szCs w:val="20"/>
          <w:lang w:val="sr-Cyrl-RS"/>
        </w:rPr>
        <w:t xml:space="preserve"> што отвара питање њиховог правног положаја и природе послова које обављају.</w:t>
      </w:r>
      <w:r w:rsidR="512CDFFD" w:rsidRPr="0DD3B114">
        <w:rPr>
          <w:rFonts w:ascii="Arial" w:hAnsi="Arial" w:cs="Arial"/>
          <w:sz w:val="20"/>
          <w:szCs w:val="20"/>
          <w:lang w:val="sr-Cyrl-RS"/>
        </w:rPr>
        <w:t xml:space="preserve"> </w:t>
      </w:r>
      <w:r w:rsidRPr="0DD3B114">
        <w:rPr>
          <w:rFonts w:ascii="Arial" w:hAnsi="Arial" w:cs="Arial"/>
          <w:sz w:val="20"/>
          <w:szCs w:val="20"/>
          <w:lang w:val="sr-Cyrl-RS"/>
        </w:rPr>
        <w:t>Закон о улагањима</w:t>
      </w:r>
      <w:r w:rsidR="5A91C2C0" w:rsidRPr="0DD3B114">
        <w:rPr>
          <w:rFonts w:ascii="Arial" w:hAnsi="Arial" w:cs="Arial"/>
          <w:sz w:val="20"/>
          <w:szCs w:val="20"/>
          <w:lang w:val="sr-Cyrl-RS"/>
        </w:rPr>
        <w:t xml:space="preserve"> („Службени гласник РС”, бр. 89/15 и 95/18)</w:t>
      </w:r>
      <w:r w:rsidRPr="0DD3B114">
        <w:rPr>
          <w:rFonts w:ascii="Arial" w:hAnsi="Arial" w:cs="Arial"/>
          <w:sz w:val="20"/>
          <w:szCs w:val="20"/>
          <w:lang w:val="sr-Cyrl-RS"/>
        </w:rPr>
        <w:t xml:space="preserve"> прописао је да послове локалног економског развоја и подршку улагањима обавља канцеларија за локални економски развој, или орган управе или носилац јавних овлашћења или правно лице </w:t>
      </w:r>
      <w:r w:rsidR="6DC222E5" w:rsidRPr="0DD3B114">
        <w:rPr>
          <w:rFonts w:ascii="Arial" w:hAnsi="Arial" w:cs="Arial"/>
          <w:sz w:val="20"/>
          <w:szCs w:val="20"/>
          <w:lang w:val="sr-Cyrl-RS"/>
        </w:rPr>
        <w:t xml:space="preserve">које </w:t>
      </w:r>
      <w:r w:rsidR="4A9A46B6" w:rsidRPr="0DD3B114">
        <w:rPr>
          <w:rFonts w:ascii="Arial" w:hAnsi="Arial" w:cs="Arial"/>
          <w:sz w:val="20"/>
          <w:szCs w:val="20"/>
          <w:lang w:val="sr-Cyrl-RS"/>
        </w:rPr>
        <w:t>оснива</w:t>
      </w:r>
      <w:r w:rsidR="6DC222E5" w:rsidRPr="0DD3B114">
        <w:rPr>
          <w:rFonts w:ascii="Arial" w:hAnsi="Arial" w:cs="Arial"/>
          <w:sz w:val="20"/>
          <w:szCs w:val="20"/>
          <w:lang w:val="sr-Cyrl-RS"/>
        </w:rPr>
        <w:t xml:space="preserve"> ЈЛС</w:t>
      </w:r>
      <w:r w:rsidR="4A9A46B6" w:rsidRPr="0DD3B114">
        <w:rPr>
          <w:rFonts w:ascii="Arial" w:hAnsi="Arial" w:cs="Arial"/>
          <w:sz w:val="20"/>
          <w:szCs w:val="20"/>
          <w:lang w:val="sr-Cyrl-RS"/>
        </w:rPr>
        <w:t xml:space="preserve"> </w:t>
      </w:r>
      <w:r w:rsidRPr="0DD3B114">
        <w:rPr>
          <w:rFonts w:ascii="Arial" w:hAnsi="Arial" w:cs="Arial"/>
          <w:sz w:val="20"/>
          <w:szCs w:val="20"/>
          <w:lang w:val="sr-Cyrl-RS"/>
        </w:rPr>
        <w:t>или физичко лице из реда запослених или именованих лица, или комора, асоцијација или удружење. Самим тим, „</w:t>
      </w:r>
      <w:r w:rsidR="25B6CE7C" w:rsidRPr="0DD3B114">
        <w:rPr>
          <w:rFonts w:ascii="Arial" w:hAnsi="Arial" w:cs="Arial"/>
          <w:sz w:val="20"/>
          <w:szCs w:val="20"/>
          <w:lang w:val="sr-Cyrl-RS"/>
        </w:rPr>
        <w:t>центри</w:t>
      </w:r>
      <w:r w:rsidR="002816A3" w:rsidRPr="0DD3B114">
        <w:rPr>
          <w:rFonts w:ascii="Arial" w:hAnsi="Arial" w:cs="Arial"/>
          <w:sz w:val="20"/>
          <w:szCs w:val="20"/>
        </w:rPr>
        <w:t>”</w:t>
      </w:r>
      <w:r w:rsidRPr="0DD3B114">
        <w:rPr>
          <w:rFonts w:ascii="Arial" w:hAnsi="Arial" w:cs="Arial"/>
          <w:sz w:val="20"/>
          <w:szCs w:val="20"/>
          <w:lang w:val="sr-Cyrl-RS"/>
        </w:rPr>
        <w:t xml:space="preserve"> за обављање ових послова не могу бити установе. Најчешће су канцеларије за локални економски развој образоване као посебне унутрашње организационе јединице у органу </w:t>
      </w:r>
      <w:r w:rsidR="1A52A27F" w:rsidRPr="0DD3B114">
        <w:rPr>
          <w:rFonts w:ascii="Arial" w:hAnsi="Arial" w:cs="Arial"/>
          <w:sz w:val="20"/>
          <w:szCs w:val="20"/>
          <w:lang w:val="sr-Cyrl-RS"/>
        </w:rPr>
        <w:t xml:space="preserve">локалне </w:t>
      </w:r>
      <w:r w:rsidRPr="0DD3B114">
        <w:rPr>
          <w:rFonts w:ascii="Arial" w:hAnsi="Arial" w:cs="Arial"/>
          <w:sz w:val="20"/>
          <w:szCs w:val="20"/>
          <w:lang w:val="sr-Cyrl-RS"/>
        </w:rPr>
        <w:t xml:space="preserve">управе. У вези са постојањем </w:t>
      </w:r>
      <w:r w:rsidR="25B6CE7C" w:rsidRPr="0DD3B114">
        <w:rPr>
          <w:rFonts w:ascii="Arial" w:hAnsi="Arial" w:cs="Arial"/>
          <w:sz w:val="20"/>
          <w:szCs w:val="20"/>
          <w:lang w:val="sr-Cyrl-RS"/>
        </w:rPr>
        <w:t>„центара</w:t>
      </w:r>
      <w:r w:rsidR="503E649E" w:rsidRPr="0DD3B114">
        <w:rPr>
          <w:rFonts w:ascii="Arial" w:hAnsi="Arial" w:cs="Arial"/>
          <w:sz w:val="20"/>
          <w:szCs w:val="20"/>
          <w:lang w:val="sr-Cyrl-RS"/>
        </w:rPr>
        <w:t>”</w:t>
      </w:r>
      <w:r w:rsidRPr="0DD3B114">
        <w:rPr>
          <w:rFonts w:ascii="Arial" w:hAnsi="Arial" w:cs="Arial"/>
          <w:sz w:val="20"/>
          <w:szCs w:val="20"/>
          <w:lang w:val="sr-Cyrl-RS"/>
        </w:rPr>
        <w:t xml:space="preserve"> отвара се и низ други питања</w:t>
      </w:r>
      <w:r w:rsidR="1A52A27F" w:rsidRPr="0DD3B114">
        <w:rPr>
          <w:rFonts w:ascii="Arial" w:hAnsi="Arial" w:cs="Arial"/>
          <w:sz w:val="20"/>
          <w:szCs w:val="20"/>
          <w:lang w:val="sr-Cyrl-RS"/>
        </w:rPr>
        <w:t>,</w:t>
      </w:r>
      <w:r w:rsidRPr="0DD3B114">
        <w:rPr>
          <w:rFonts w:ascii="Arial" w:hAnsi="Arial" w:cs="Arial"/>
          <w:sz w:val="20"/>
          <w:szCs w:val="20"/>
          <w:lang w:val="sr-Cyrl-RS"/>
        </w:rPr>
        <w:t xml:space="preserve"> као што су</w:t>
      </w:r>
      <w:r w:rsidR="002816A3" w:rsidRPr="0DD3B114">
        <w:rPr>
          <w:rFonts w:ascii="Arial" w:hAnsi="Arial" w:cs="Arial"/>
          <w:sz w:val="20"/>
          <w:szCs w:val="20"/>
          <w:lang w:val="sr-Cyrl-RS"/>
        </w:rPr>
        <w:t xml:space="preserve"> следећа</w:t>
      </w:r>
      <w:r w:rsidRPr="0DD3B114">
        <w:rPr>
          <w:rFonts w:ascii="Arial" w:hAnsi="Arial" w:cs="Arial"/>
          <w:sz w:val="20"/>
          <w:szCs w:val="20"/>
          <w:lang w:val="sr-Cyrl-RS"/>
        </w:rPr>
        <w:t xml:space="preserve">: </w:t>
      </w:r>
      <w:r w:rsidR="24C8EBF1" w:rsidRPr="0DD3B114">
        <w:rPr>
          <w:rFonts w:ascii="Arial" w:hAnsi="Arial" w:cs="Arial"/>
          <w:sz w:val="20"/>
          <w:szCs w:val="20"/>
          <w:lang w:val="sr-Cyrl-RS"/>
        </w:rPr>
        <w:t>(</w:t>
      </w:r>
      <w:r w:rsidRPr="0DD3B114">
        <w:rPr>
          <w:rFonts w:ascii="Arial" w:hAnsi="Arial" w:cs="Arial"/>
          <w:sz w:val="20"/>
          <w:szCs w:val="20"/>
          <w:lang w:val="sr-Cyrl-RS"/>
        </w:rPr>
        <w:t>1) тамо где они јесу неспорно установе</w:t>
      </w:r>
      <w:r w:rsidR="3ABE50D1" w:rsidRPr="0DD3B114">
        <w:rPr>
          <w:rFonts w:ascii="Arial" w:hAnsi="Arial" w:cs="Arial"/>
          <w:sz w:val="20"/>
          <w:szCs w:val="20"/>
          <w:lang w:val="sr-Cyrl-RS"/>
        </w:rPr>
        <w:t>,</w:t>
      </w:r>
      <w:r w:rsidRPr="0DD3B114">
        <w:rPr>
          <w:rFonts w:ascii="Arial" w:hAnsi="Arial" w:cs="Arial"/>
          <w:sz w:val="20"/>
          <w:szCs w:val="20"/>
          <w:lang w:val="sr-Cyrl-RS"/>
        </w:rPr>
        <w:t xml:space="preserve"> потребно је сагледати у свакој ЈЛС да ли постоје све делатности установа које су законом предвиђене или су оне које недостају организоване поверавање</w:t>
      </w:r>
      <w:r w:rsidR="12637273" w:rsidRPr="0DD3B114">
        <w:rPr>
          <w:rFonts w:ascii="Arial" w:hAnsi="Arial" w:cs="Arial"/>
          <w:sz w:val="20"/>
          <w:szCs w:val="20"/>
          <w:lang w:val="sr-Cyrl-RS"/>
        </w:rPr>
        <w:t>м</w:t>
      </w:r>
      <w:r w:rsidRPr="0DD3B114">
        <w:rPr>
          <w:rFonts w:ascii="Arial" w:hAnsi="Arial" w:cs="Arial"/>
          <w:sz w:val="20"/>
          <w:szCs w:val="20"/>
          <w:lang w:val="sr-Cyrl-RS"/>
        </w:rPr>
        <w:t xml:space="preserve"> послова другим правним или физичким лицима; </w:t>
      </w:r>
      <w:r w:rsidR="24C8EBF1" w:rsidRPr="0DD3B114">
        <w:rPr>
          <w:rFonts w:ascii="Arial" w:hAnsi="Arial" w:cs="Arial"/>
          <w:sz w:val="20"/>
          <w:szCs w:val="20"/>
          <w:lang w:val="sr-Cyrl-RS"/>
        </w:rPr>
        <w:t>(</w:t>
      </w:r>
      <w:r w:rsidRPr="0DD3B114">
        <w:rPr>
          <w:rFonts w:ascii="Arial" w:hAnsi="Arial" w:cs="Arial"/>
          <w:sz w:val="20"/>
          <w:szCs w:val="20"/>
          <w:lang w:val="sr-Cyrl-RS"/>
        </w:rPr>
        <w:t>2) у погледу рационалности организовања обављања делатности установа треба сагледати неопходност пракс</w:t>
      </w:r>
      <w:r w:rsidR="3FAB0A03" w:rsidRPr="0DD3B114">
        <w:rPr>
          <w:rFonts w:ascii="Arial" w:hAnsi="Arial" w:cs="Arial"/>
          <w:sz w:val="20"/>
          <w:szCs w:val="20"/>
          <w:lang w:val="sr-Cyrl-RS"/>
        </w:rPr>
        <w:t>е</w:t>
      </w:r>
      <w:r w:rsidRPr="0DD3B114">
        <w:rPr>
          <w:rFonts w:ascii="Arial" w:hAnsi="Arial" w:cs="Arial"/>
          <w:sz w:val="20"/>
          <w:szCs w:val="20"/>
          <w:lang w:val="sr-Cyrl-RS"/>
        </w:rPr>
        <w:t xml:space="preserve"> њиховог паралелног организовања и на регионалном и на локалном нивоу; </w:t>
      </w:r>
      <w:r w:rsidR="24C8EBF1" w:rsidRPr="0DD3B114">
        <w:rPr>
          <w:rFonts w:ascii="Arial" w:hAnsi="Arial" w:cs="Arial"/>
          <w:sz w:val="20"/>
          <w:szCs w:val="20"/>
          <w:lang w:val="sr-Cyrl-RS"/>
        </w:rPr>
        <w:t>(</w:t>
      </w:r>
      <w:r w:rsidRPr="0DD3B114">
        <w:rPr>
          <w:rFonts w:ascii="Arial" w:hAnsi="Arial" w:cs="Arial"/>
          <w:sz w:val="20"/>
          <w:szCs w:val="20"/>
          <w:lang w:val="sr-Cyrl-RS"/>
        </w:rPr>
        <w:t xml:space="preserve">3) треба сагледати потребу </w:t>
      </w:r>
      <w:r w:rsidR="002816A3" w:rsidRPr="0DD3B114">
        <w:rPr>
          <w:rFonts w:ascii="Arial" w:hAnsi="Arial" w:cs="Arial"/>
          <w:sz w:val="20"/>
          <w:szCs w:val="20"/>
          <w:lang w:val="sr-Cyrl-RS"/>
        </w:rPr>
        <w:t xml:space="preserve">за </w:t>
      </w:r>
      <w:r w:rsidRPr="0DD3B114">
        <w:rPr>
          <w:rFonts w:ascii="Arial" w:hAnsi="Arial" w:cs="Arial"/>
          <w:sz w:val="20"/>
          <w:szCs w:val="20"/>
          <w:lang w:val="sr-Cyrl-RS"/>
        </w:rPr>
        <w:t>постојањ</w:t>
      </w:r>
      <w:r w:rsidR="002816A3" w:rsidRPr="0DD3B114">
        <w:rPr>
          <w:rFonts w:ascii="Arial" w:hAnsi="Arial" w:cs="Arial"/>
          <w:sz w:val="20"/>
          <w:szCs w:val="20"/>
          <w:lang w:val="sr-Cyrl-RS"/>
        </w:rPr>
        <w:t>ем</w:t>
      </w:r>
      <w:r w:rsidRPr="0DD3B114">
        <w:rPr>
          <w:rFonts w:ascii="Arial" w:hAnsi="Arial" w:cs="Arial"/>
          <w:sz w:val="20"/>
          <w:szCs w:val="20"/>
          <w:lang w:val="sr-Cyrl-RS"/>
        </w:rPr>
        <w:t xml:space="preserve"> и установе и предузећа, нарочито у области спорта, без решења које би било линеарно за све ЈЛС.</w:t>
      </w:r>
    </w:p>
    <w:p w14:paraId="598609C6" w14:textId="77777777" w:rsidR="00C75AD7" w:rsidRPr="00A021B7" w:rsidRDefault="00C75AD7" w:rsidP="0DD3B114">
      <w:pPr>
        <w:ind w:firstLine="720"/>
        <w:contextualSpacing/>
        <w:jc w:val="both"/>
        <w:rPr>
          <w:rFonts w:ascii="Arial" w:hAnsi="Arial" w:cs="Arial"/>
          <w:sz w:val="20"/>
          <w:szCs w:val="20"/>
          <w:lang w:val="sr-Cyrl-RS"/>
        </w:rPr>
      </w:pPr>
    </w:p>
    <w:p w14:paraId="0631E00E" w14:textId="22135BE8" w:rsidR="00C75AD7" w:rsidRPr="00A021B7" w:rsidRDefault="32B86406" w:rsidP="0DD3B114">
      <w:pPr>
        <w:ind w:firstLine="720"/>
        <w:contextualSpacing/>
        <w:jc w:val="both"/>
        <w:rPr>
          <w:rFonts w:ascii="Arial" w:hAnsi="Arial" w:cs="Arial"/>
          <w:sz w:val="20"/>
          <w:szCs w:val="20"/>
          <w:lang w:val="sr-Cyrl-RS"/>
        </w:rPr>
      </w:pPr>
      <w:r w:rsidRPr="00A021B7">
        <w:rPr>
          <w:rFonts w:ascii="Arial" w:hAnsi="Arial" w:cs="Arial"/>
          <w:sz w:val="20"/>
          <w:szCs w:val="20"/>
          <w:lang w:val="sr-Cyrl-RS"/>
        </w:rPr>
        <w:t xml:space="preserve">Заводи које је основала ЈЛС су организационе форме где се најочигледније препознаје недостатак прописа о организационим облицима на локалном нивоу. </w:t>
      </w:r>
      <w:r w:rsidR="5F7EECFA" w:rsidRPr="00A021B7">
        <w:rPr>
          <w:rFonts w:ascii="Arial" w:hAnsi="Arial" w:cs="Arial"/>
          <w:sz w:val="20"/>
          <w:szCs w:val="20"/>
          <w:lang w:val="sr-Cyrl-RS"/>
        </w:rPr>
        <w:t xml:space="preserve">Поређења </w:t>
      </w:r>
      <w:r w:rsidRPr="00A021B7">
        <w:rPr>
          <w:rFonts w:ascii="Arial" w:hAnsi="Arial" w:cs="Arial"/>
          <w:sz w:val="20"/>
          <w:szCs w:val="20"/>
          <w:lang w:val="sr-Cyrl-RS"/>
        </w:rPr>
        <w:t xml:space="preserve">ради, такав недостатак не постоји на републичком нивоу. Ова </w:t>
      </w:r>
      <w:r w:rsidRPr="00A021B7">
        <w:rPr>
          <w:rFonts w:ascii="Arial" w:hAnsi="Arial" w:cs="Arial"/>
          <w:color w:val="000000" w:themeColor="text1"/>
          <w:sz w:val="20"/>
          <w:szCs w:val="20"/>
          <w:lang w:val="sr-Cyrl-RS"/>
        </w:rPr>
        <w:t>чињеница произлази из регулативе која постоји за организовање државне управе која је прописана Законом о државној управи</w:t>
      </w:r>
      <w:r w:rsidR="7F4FC145" w:rsidRPr="00A021B7">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w:t>
      </w:r>
      <w:r w:rsidRPr="00A021B7">
        <w:rPr>
          <w:rFonts w:ascii="Arial" w:hAnsi="Arial" w:cs="Arial"/>
          <w:sz w:val="20"/>
          <w:szCs w:val="20"/>
          <w:lang w:val="sr-Cyrl-RS"/>
        </w:rPr>
        <w:t>којим је утврђено да је могуће законом оснивати посебне организације које могу бити заводи (и секретаријати) за стручне и с њима повезане извршне послове чија природа захтева већу самосталност од оне коју има орган у саставу</w:t>
      </w:r>
      <w:r w:rsidR="514574D5" w:rsidRPr="00A021B7">
        <w:rPr>
          <w:rFonts w:ascii="Arial" w:hAnsi="Arial" w:cs="Arial"/>
          <w:sz w:val="20"/>
          <w:szCs w:val="20"/>
          <w:lang w:val="sr-Cyrl-RS"/>
        </w:rPr>
        <w:t>,</w:t>
      </w:r>
      <w:r w:rsidRPr="00A021B7">
        <w:rPr>
          <w:rFonts w:ascii="Arial" w:hAnsi="Arial" w:cs="Arial"/>
          <w:sz w:val="20"/>
          <w:szCs w:val="20"/>
          <w:lang w:val="sr-Cyrl-RS"/>
        </w:rPr>
        <w:t xml:space="preserve"> а да се заводи оснивају за стручне послове који изискују примену посебних метода и сазнања и с њима повезане извршне послове.</w:t>
      </w:r>
      <w:r w:rsidR="00C75AD7" w:rsidRPr="00A021B7">
        <w:rPr>
          <w:rStyle w:val="FootnoteReference"/>
          <w:rFonts w:ascii="Arial" w:hAnsi="Arial" w:cs="Arial"/>
          <w:sz w:val="20"/>
          <w:szCs w:val="20"/>
          <w:lang w:val="sr-Cyrl-RS"/>
        </w:rPr>
        <w:footnoteReference w:id="23"/>
      </w:r>
      <w:r w:rsidRPr="00A021B7">
        <w:rPr>
          <w:rFonts w:ascii="Arial" w:hAnsi="Arial" w:cs="Arial"/>
          <w:sz w:val="20"/>
          <w:szCs w:val="20"/>
          <w:lang w:val="sr-Cyrl-RS"/>
        </w:rPr>
        <w:t xml:space="preserve"> Облик организовања </w:t>
      </w:r>
      <w:r w:rsidR="282804D2" w:rsidRPr="00A021B7">
        <w:rPr>
          <w:rFonts w:ascii="Arial" w:hAnsi="Arial" w:cs="Arial"/>
          <w:sz w:val="20"/>
          <w:szCs w:val="20"/>
          <w:lang w:val="sr-Cyrl-RS"/>
        </w:rPr>
        <w:t xml:space="preserve">пословних </w:t>
      </w:r>
      <w:r w:rsidRPr="00A021B7">
        <w:rPr>
          <w:rFonts w:ascii="Arial" w:hAnsi="Arial" w:cs="Arial"/>
          <w:sz w:val="20"/>
          <w:szCs w:val="20"/>
          <w:lang w:val="sr-Cyrl-RS"/>
        </w:rPr>
        <w:t xml:space="preserve">инкубатора, </w:t>
      </w:r>
      <w:r w:rsidR="282804D2" w:rsidRPr="00A021B7">
        <w:rPr>
          <w:rFonts w:ascii="Arial" w:hAnsi="Arial" w:cs="Arial"/>
          <w:sz w:val="20"/>
          <w:szCs w:val="20"/>
          <w:lang w:val="sr-Cyrl-RS"/>
        </w:rPr>
        <w:t xml:space="preserve">пословних </w:t>
      </w:r>
      <w:r w:rsidRPr="00A021B7">
        <w:rPr>
          <w:rFonts w:ascii="Arial" w:hAnsi="Arial" w:cs="Arial"/>
          <w:sz w:val="20"/>
          <w:szCs w:val="20"/>
          <w:lang w:val="sr-Cyrl-RS"/>
        </w:rPr>
        <w:t>иновационих центара, инкубатор</w:t>
      </w:r>
      <w:r w:rsidR="16341666" w:rsidRPr="00A021B7">
        <w:rPr>
          <w:rFonts w:ascii="Arial" w:hAnsi="Arial" w:cs="Arial"/>
          <w:sz w:val="20"/>
          <w:szCs w:val="20"/>
          <w:lang w:val="sr-Cyrl-RS"/>
        </w:rPr>
        <w:t>а</w:t>
      </w:r>
      <w:r w:rsidRPr="00A021B7">
        <w:rPr>
          <w:rFonts w:ascii="Arial" w:hAnsi="Arial" w:cs="Arial"/>
          <w:sz w:val="20"/>
          <w:szCs w:val="20"/>
          <w:lang w:val="sr-Cyrl-RS"/>
        </w:rPr>
        <w:t xml:space="preserve"> за развој предузетништва или иновационог центра за пољопривреду, најчешће је друштво за ограниченом одговорношћу, што отвара питање да ли </w:t>
      </w:r>
      <w:r w:rsidR="002816A3">
        <w:rPr>
          <w:rFonts w:ascii="Arial" w:hAnsi="Arial" w:cs="Arial"/>
          <w:sz w:val="20"/>
          <w:szCs w:val="20"/>
          <w:lang w:val="sr-Cyrl-RS"/>
        </w:rPr>
        <w:t xml:space="preserve">је </w:t>
      </w:r>
      <w:r w:rsidRPr="00A021B7">
        <w:rPr>
          <w:rFonts w:ascii="Arial" w:hAnsi="Arial" w:cs="Arial"/>
          <w:sz w:val="20"/>
          <w:szCs w:val="20"/>
          <w:lang w:val="sr-Cyrl-RS"/>
        </w:rPr>
        <w:t xml:space="preserve">природа подстицаја или помоћи </w:t>
      </w:r>
      <w:r w:rsidR="002816A3">
        <w:rPr>
          <w:rFonts w:ascii="Arial" w:hAnsi="Arial" w:cs="Arial"/>
          <w:sz w:val="20"/>
          <w:szCs w:val="20"/>
          <w:lang w:val="sr-Cyrl-RS"/>
        </w:rPr>
        <w:t xml:space="preserve">за </w:t>
      </w:r>
      <w:r w:rsidRPr="00A021B7">
        <w:rPr>
          <w:rFonts w:ascii="Arial" w:hAnsi="Arial" w:cs="Arial"/>
          <w:sz w:val="20"/>
          <w:szCs w:val="20"/>
          <w:lang w:val="sr-Cyrl-RS"/>
        </w:rPr>
        <w:t>привредн</w:t>
      </w:r>
      <w:r w:rsidR="002816A3">
        <w:rPr>
          <w:rFonts w:ascii="Arial" w:hAnsi="Arial" w:cs="Arial"/>
          <w:sz w:val="20"/>
          <w:szCs w:val="20"/>
          <w:lang w:val="sr-Cyrl-RS"/>
        </w:rPr>
        <w:t>и</w:t>
      </w:r>
      <w:r w:rsidRPr="00A021B7">
        <w:rPr>
          <w:rFonts w:ascii="Arial" w:hAnsi="Arial" w:cs="Arial"/>
          <w:sz w:val="20"/>
          <w:szCs w:val="20"/>
          <w:lang w:val="sr-Cyrl-RS"/>
        </w:rPr>
        <w:t xml:space="preserve"> развој које пружа </w:t>
      </w:r>
      <w:r w:rsidR="70F4D295" w:rsidRPr="00A021B7">
        <w:rPr>
          <w:rFonts w:ascii="Arial" w:hAnsi="Arial" w:cs="Arial"/>
          <w:sz w:val="20"/>
          <w:szCs w:val="20"/>
          <w:lang w:val="sr-Cyrl-RS"/>
        </w:rPr>
        <w:t>JЛС</w:t>
      </w:r>
      <w:r w:rsidRPr="00A021B7">
        <w:rPr>
          <w:rFonts w:ascii="Arial" w:hAnsi="Arial" w:cs="Arial"/>
          <w:sz w:val="20"/>
          <w:szCs w:val="20"/>
          <w:lang w:val="sr-Cyrl-RS"/>
        </w:rPr>
        <w:t xml:space="preserve"> по својој природи привредна делатност да би била организована у форми предузећа – друштва са ограниченом одговорношћу</w:t>
      </w:r>
      <w:r w:rsidR="002816A3">
        <w:rPr>
          <w:rFonts w:ascii="Arial" w:hAnsi="Arial" w:cs="Arial"/>
          <w:sz w:val="20"/>
          <w:szCs w:val="20"/>
          <w:lang w:val="sr-Cyrl-RS"/>
        </w:rPr>
        <w:t xml:space="preserve"> (</w:t>
      </w:r>
      <w:r w:rsidR="002816A3" w:rsidRPr="0DD3B114">
        <w:rPr>
          <w:rFonts w:ascii="Arial" w:hAnsi="Arial" w:cs="Arial"/>
          <w:sz w:val="20"/>
          <w:szCs w:val="20"/>
          <w:lang w:val="sr-Cyrl-RS"/>
        </w:rPr>
        <w:t>д.о.о</w:t>
      </w:r>
      <w:r w:rsidR="002816A3" w:rsidRPr="00A021B7">
        <w:rPr>
          <w:rFonts w:ascii="Arial" w:hAnsi="Arial" w:cs="Arial"/>
          <w:sz w:val="20"/>
          <w:szCs w:val="20"/>
          <w:lang w:val="sr-Cyrl-RS"/>
        </w:rPr>
        <w:t>.</w:t>
      </w:r>
      <w:r w:rsidR="002816A3">
        <w:rPr>
          <w:rFonts w:ascii="Arial" w:hAnsi="Arial" w:cs="Arial"/>
          <w:sz w:val="20"/>
          <w:szCs w:val="20"/>
          <w:lang w:val="sr-Cyrl-RS"/>
        </w:rPr>
        <w:t>)</w:t>
      </w:r>
      <w:r w:rsidRPr="00A021B7">
        <w:rPr>
          <w:rFonts w:ascii="Arial" w:hAnsi="Arial" w:cs="Arial"/>
          <w:sz w:val="20"/>
          <w:szCs w:val="20"/>
          <w:lang w:val="sr-Cyrl-RS"/>
        </w:rPr>
        <w:t xml:space="preserve">. </w:t>
      </w:r>
      <w:r w:rsidR="70F4D295" w:rsidRPr="00A021B7">
        <w:rPr>
          <w:rFonts w:ascii="Arial" w:hAnsi="Arial" w:cs="Arial"/>
          <w:sz w:val="20"/>
          <w:szCs w:val="20"/>
          <w:lang w:val="sr-Cyrl-RS"/>
        </w:rPr>
        <w:t>Са друге стране</w:t>
      </w:r>
      <w:r w:rsidR="0353976C" w:rsidRPr="00A021B7">
        <w:rPr>
          <w:rFonts w:ascii="Arial" w:hAnsi="Arial" w:cs="Arial"/>
          <w:sz w:val="20"/>
          <w:szCs w:val="20"/>
          <w:lang w:val="sr-Cyrl-RS"/>
        </w:rPr>
        <w:t>,</w:t>
      </w:r>
      <w:r w:rsidR="70F4D295" w:rsidRPr="00A021B7">
        <w:rPr>
          <w:rFonts w:ascii="Arial" w:hAnsi="Arial" w:cs="Arial"/>
          <w:sz w:val="20"/>
          <w:szCs w:val="20"/>
          <w:lang w:val="sr-Cyrl-RS"/>
        </w:rPr>
        <w:t xml:space="preserve"> ј</w:t>
      </w:r>
      <w:r w:rsidR="5CA042C0" w:rsidRPr="00A021B7">
        <w:rPr>
          <w:rFonts w:ascii="Arial" w:hAnsi="Arial" w:cs="Arial"/>
          <w:sz w:val="20"/>
          <w:szCs w:val="20"/>
          <w:lang w:val="sr-Cyrl-RS"/>
        </w:rPr>
        <w:t>ед</w:t>
      </w:r>
      <w:r w:rsidR="70F4D295" w:rsidRPr="00A021B7">
        <w:rPr>
          <w:rFonts w:ascii="Arial" w:hAnsi="Arial" w:cs="Arial"/>
          <w:sz w:val="20"/>
          <w:szCs w:val="20"/>
          <w:lang w:val="sr-Cyrl-RS"/>
        </w:rPr>
        <w:t>а</w:t>
      </w:r>
      <w:r w:rsidR="5CA042C0" w:rsidRPr="00A021B7">
        <w:rPr>
          <w:rFonts w:ascii="Arial" w:hAnsi="Arial" w:cs="Arial"/>
          <w:sz w:val="20"/>
          <w:szCs w:val="20"/>
          <w:lang w:val="sr-Cyrl-RS"/>
        </w:rPr>
        <w:t>н од разлога за оснивање оваквих организација у форми д.о.о. л</w:t>
      </w:r>
      <w:r w:rsidR="784008A6" w:rsidRPr="00A021B7">
        <w:rPr>
          <w:rFonts w:ascii="Arial" w:hAnsi="Arial" w:cs="Arial"/>
          <w:sz w:val="20"/>
          <w:szCs w:val="20"/>
          <w:lang w:val="sr-Cyrl-RS"/>
        </w:rPr>
        <w:t>е</w:t>
      </w:r>
      <w:r w:rsidR="5CA042C0" w:rsidRPr="00A021B7">
        <w:rPr>
          <w:rFonts w:ascii="Arial" w:hAnsi="Arial" w:cs="Arial"/>
          <w:sz w:val="20"/>
          <w:szCs w:val="20"/>
          <w:lang w:val="sr-Cyrl-RS"/>
        </w:rPr>
        <w:t xml:space="preserve">жи </w:t>
      </w:r>
      <w:r w:rsidR="07C5CEF9" w:rsidRPr="00A021B7">
        <w:rPr>
          <w:rFonts w:ascii="Arial" w:hAnsi="Arial" w:cs="Arial"/>
          <w:sz w:val="20"/>
          <w:szCs w:val="20"/>
          <w:lang w:val="sr-Cyrl-RS"/>
        </w:rPr>
        <w:t xml:space="preserve">и </w:t>
      </w:r>
      <w:r w:rsidR="5CA042C0" w:rsidRPr="00A021B7">
        <w:rPr>
          <w:rFonts w:ascii="Arial" w:hAnsi="Arial" w:cs="Arial"/>
          <w:sz w:val="20"/>
          <w:szCs w:val="20"/>
          <w:lang w:val="sr-Cyrl-RS"/>
        </w:rPr>
        <w:t xml:space="preserve">у чињеници </w:t>
      </w:r>
      <w:r w:rsidR="5B760B6F" w:rsidRPr="00A021B7">
        <w:rPr>
          <w:rFonts w:ascii="Arial" w:hAnsi="Arial" w:cs="Arial"/>
          <w:sz w:val="20"/>
          <w:szCs w:val="20"/>
          <w:lang w:val="sr-Cyrl-RS"/>
        </w:rPr>
        <w:t xml:space="preserve">да </w:t>
      </w:r>
      <w:r w:rsidR="335329B9" w:rsidRPr="00A021B7">
        <w:rPr>
          <w:rFonts w:ascii="Arial" w:hAnsi="Arial" w:cs="Arial"/>
          <w:sz w:val="20"/>
          <w:szCs w:val="20"/>
          <w:lang w:val="sr-Cyrl-RS"/>
        </w:rPr>
        <w:t xml:space="preserve">су </w:t>
      </w:r>
      <w:r w:rsidR="5B760B6F" w:rsidRPr="00A021B7">
        <w:rPr>
          <w:rFonts w:ascii="Arial" w:hAnsi="Arial" w:cs="Arial"/>
          <w:sz w:val="20"/>
          <w:szCs w:val="20"/>
          <w:lang w:val="sr-Cyrl-RS"/>
        </w:rPr>
        <w:t>врло често</w:t>
      </w:r>
      <w:r w:rsidR="3213271C" w:rsidRPr="00A021B7">
        <w:rPr>
          <w:rFonts w:ascii="Arial" w:hAnsi="Arial" w:cs="Arial"/>
          <w:sz w:val="20"/>
          <w:szCs w:val="20"/>
          <w:lang w:val="sr-Cyrl-RS"/>
        </w:rPr>
        <w:t>,</w:t>
      </w:r>
      <w:r w:rsidR="5B760B6F" w:rsidRPr="00A021B7">
        <w:rPr>
          <w:rFonts w:ascii="Arial" w:hAnsi="Arial" w:cs="Arial"/>
          <w:sz w:val="20"/>
          <w:szCs w:val="20"/>
          <w:lang w:val="sr-Cyrl-RS"/>
        </w:rPr>
        <w:t xml:space="preserve"> поред ЈЛ</w:t>
      </w:r>
      <w:r w:rsidR="507BF73C" w:rsidRPr="00A021B7">
        <w:rPr>
          <w:rFonts w:ascii="Arial" w:hAnsi="Arial" w:cs="Arial"/>
          <w:sz w:val="20"/>
          <w:szCs w:val="20"/>
          <w:lang w:val="sr-Cyrl-RS"/>
        </w:rPr>
        <w:t>С</w:t>
      </w:r>
      <w:r w:rsidR="5B760B6F" w:rsidRPr="00A021B7">
        <w:rPr>
          <w:rFonts w:ascii="Arial" w:hAnsi="Arial" w:cs="Arial"/>
          <w:sz w:val="20"/>
          <w:szCs w:val="20"/>
          <w:lang w:val="sr-Cyrl-RS"/>
        </w:rPr>
        <w:t>, оснивачи и друге организације регионалног или локалног карактера</w:t>
      </w:r>
      <w:r w:rsidR="7A968B6A" w:rsidRPr="00A021B7">
        <w:rPr>
          <w:rFonts w:ascii="Arial" w:hAnsi="Arial" w:cs="Arial"/>
          <w:sz w:val="20"/>
          <w:szCs w:val="20"/>
          <w:lang w:val="sr-Cyrl-RS"/>
        </w:rPr>
        <w:t xml:space="preserve"> (</w:t>
      </w:r>
      <w:r w:rsidR="53888DB0" w:rsidRPr="00A021B7">
        <w:rPr>
          <w:rFonts w:ascii="Arial" w:hAnsi="Arial" w:cs="Arial"/>
          <w:sz w:val="20"/>
          <w:szCs w:val="20"/>
          <w:lang w:val="sr-Cyrl-RS"/>
        </w:rPr>
        <w:t xml:space="preserve">регионалне </w:t>
      </w:r>
      <w:r w:rsidR="7A968B6A" w:rsidRPr="00A021B7">
        <w:rPr>
          <w:rFonts w:ascii="Arial" w:hAnsi="Arial" w:cs="Arial"/>
          <w:sz w:val="20"/>
          <w:szCs w:val="20"/>
          <w:lang w:val="sr-Cyrl-RS"/>
        </w:rPr>
        <w:t xml:space="preserve">развојне агенције, </w:t>
      </w:r>
      <w:r w:rsidR="5CFB640D" w:rsidRPr="00A021B7">
        <w:rPr>
          <w:rFonts w:ascii="Arial" w:hAnsi="Arial" w:cs="Arial"/>
          <w:sz w:val="20"/>
          <w:szCs w:val="20"/>
          <w:lang w:val="sr-Cyrl-RS"/>
        </w:rPr>
        <w:t>удруже</w:t>
      </w:r>
      <w:r w:rsidR="44FD28ED" w:rsidRPr="00A021B7">
        <w:rPr>
          <w:rFonts w:ascii="Arial" w:hAnsi="Arial" w:cs="Arial"/>
          <w:sz w:val="20"/>
          <w:szCs w:val="20"/>
          <w:lang w:val="sr-Cyrl-RS"/>
        </w:rPr>
        <w:t>њ</w:t>
      </w:r>
      <w:r w:rsidR="5CFB640D" w:rsidRPr="00A021B7">
        <w:rPr>
          <w:rFonts w:ascii="Arial" w:hAnsi="Arial" w:cs="Arial"/>
          <w:sz w:val="20"/>
          <w:szCs w:val="20"/>
          <w:lang w:val="sr-Cyrl-RS"/>
        </w:rPr>
        <w:t>а</w:t>
      </w:r>
      <w:r w:rsidR="7A968B6A" w:rsidRPr="00A021B7">
        <w:rPr>
          <w:rFonts w:ascii="Arial" w:hAnsi="Arial" w:cs="Arial"/>
          <w:sz w:val="20"/>
          <w:szCs w:val="20"/>
          <w:lang w:val="sr-Cyrl-RS"/>
        </w:rPr>
        <w:t xml:space="preserve"> предузетника итд.).</w:t>
      </w:r>
      <w:r w:rsidR="740251EF" w:rsidRPr="00A021B7">
        <w:rPr>
          <w:rFonts w:ascii="Arial" w:hAnsi="Arial" w:cs="Arial"/>
          <w:sz w:val="20"/>
          <w:szCs w:val="20"/>
          <w:lang w:val="sr-Cyrl-RS"/>
        </w:rPr>
        <w:t xml:space="preserve"> </w:t>
      </w:r>
      <w:r w:rsidRPr="00A021B7">
        <w:rPr>
          <w:rFonts w:ascii="Arial" w:hAnsi="Arial" w:cs="Arial"/>
          <w:sz w:val="20"/>
          <w:szCs w:val="20"/>
          <w:lang w:val="sr-Cyrl-RS"/>
        </w:rPr>
        <w:t>Коначно,</w:t>
      </w:r>
      <w:r w:rsidR="512CDFFD" w:rsidRPr="00A021B7">
        <w:rPr>
          <w:rFonts w:ascii="Arial" w:hAnsi="Arial" w:cs="Arial"/>
          <w:sz w:val="20"/>
          <w:szCs w:val="20"/>
          <w:lang w:val="sr-Cyrl-RS"/>
        </w:rPr>
        <w:t xml:space="preserve"> </w:t>
      </w:r>
      <w:r w:rsidRPr="00A021B7">
        <w:rPr>
          <w:rFonts w:ascii="Arial" w:hAnsi="Arial" w:cs="Arial"/>
          <w:sz w:val="20"/>
          <w:szCs w:val="20"/>
          <w:lang w:val="sr-Cyrl-RS"/>
        </w:rPr>
        <w:t>ту су и локални фондови</w:t>
      </w:r>
      <w:r w:rsidR="002816A3">
        <w:rPr>
          <w:rFonts w:ascii="Arial" w:hAnsi="Arial" w:cs="Arial"/>
          <w:sz w:val="20"/>
          <w:szCs w:val="20"/>
          <w:lang w:val="sr-Cyrl-RS"/>
        </w:rPr>
        <w:t>,</w:t>
      </w:r>
      <w:r w:rsidRPr="00A021B7">
        <w:rPr>
          <w:rFonts w:ascii="Arial" w:hAnsi="Arial" w:cs="Arial"/>
          <w:sz w:val="20"/>
          <w:szCs w:val="20"/>
          <w:lang w:val="sr-Cyrl-RS"/>
        </w:rPr>
        <w:t xml:space="preserve"> који</w:t>
      </w:r>
      <w:r w:rsidR="1D612DF9" w:rsidRPr="00A021B7">
        <w:rPr>
          <w:rFonts w:ascii="Arial" w:hAnsi="Arial" w:cs="Arial"/>
          <w:sz w:val="20"/>
          <w:szCs w:val="20"/>
          <w:lang w:val="sr-Cyrl-RS"/>
        </w:rPr>
        <w:t>,</w:t>
      </w:r>
      <w:r w:rsidRPr="00A021B7">
        <w:rPr>
          <w:rFonts w:ascii="Arial" w:hAnsi="Arial" w:cs="Arial"/>
          <w:sz w:val="20"/>
          <w:szCs w:val="20"/>
          <w:lang w:val="sr-Cyrl-RS"/>
        </w:rPr>
        <w:t xml:space="preserve"> иако бројни по наменама због којих постоје, нису организациони облици који имају руководећу структуру нити своје запослене</w:t>
      </w:r>
      <w:r w:rsidR="0A943DDC" w:rsidRPr="00A021B7">
        <w:rPr>
          <w:rFonts w:ascii="Arial" w:hAnsi="Arial" w:cs="Arial"/>
          <w:sz w:val="20"/>
          <w:szCs w:val="20"/>
          <w:lang w:val="sr-Cyrl-RS"/>
        </w:rPr>
        <w:t>,</w:t>
      </w:r>
      <w:r w:rsidRPr="00A021B7">
        <w:rPr>
          <w:rFonts w:ascii="Arial" w:hAnsi="Arial" w:cs="Arial"/>
          <w:sz w:val="20"/>
          <w:szCs w:val="20"/>
          <w:lang w:val="sr-Cyrl-RS"/>
        </w:rPr>
        <w:t xml:space="preserve"> али се овај термин користи за различите организационе облике који се оснивају у локалној самоуправи.</w:t>
      </w:r>
      <w:r w:rsidR="00C75AD7" w:rsidRPr="00A021B7">
        <w:rPr>
          <w:rStyle w:val="FootnoteReference"/>
          <w:rFonts w:ascii="Arial" w:hAnsi="Arial" w:cs="Arial"/>
          <w:sz w:val="20"/>
          <w:szCs w:val="20"/>
          <w:lang w:val="sr-Cyrl-RS"/>
        </w:rPr>
        <w:footnoteReference w:id="24"/>
      </w:r>
    </w:p>
    <w:p w14:paraId="426D2B83" w14:textId="77777777" w:rsidR="00C75AD7" w:rsidRPr="00A021B7" w:rsidRDefault="00C75AD7" w:rsidP="0DD3B114">
      <w:pPr>
        <w:ind w:firstLine="720"/>
        <w:contextualSpacing/>
        <w:jc w:val="both"/>
        <w:rPr>
          <w:rFonts w:ascii="Arial" w:hAnsi="Arial" w:cs="Arial"/>
          <w:sz w:val="20"/>
          <w:szCs w:val="20"/>
          <w:lang w:val="sr-Cyrl-RS"/>
        </w:rPr>
      </w:pPr>
    </w:p>
    <w:p w14:paraId="712B23CB" w14:textId="43C25748" w:rsidR="00C75AD7" w:rsidRPr="00A021B7" w:rsidRDefault="002816A3" w:rsidP="0DD3B114">
      <w:pPr>
        <w:ind w:firstLine="720"/>
        <w:contextualSpacing/>
        <w:jc w:val="both"/>
        <w:rPr>
          <w:rFonts w:ascii="Arial" w:hAnsi="Arial" w:cs="Arial"/>
          <w:sz w:val="20"/>
          <w:szCs w:val="20"/>
          <w:lang w:val="sr-Cyrl-RS"/>
        </w:rPr>
      </w:pPr>
      <w:r w:rsidRPr="0DD3B114">
        <w:rPr>
          <w:rFonts w:ascii="Arial" w:hAnsi="Arial" w:cs="Arial"/>
          <w:sz w:val="20"/>
          <w:szCs w:val="20"/>
          <w:lang w:val="sr-Cyrl-RS"/>
        </w:rPr>
        <w:t>Ако се и</w:t>
      </w:r>
      <w:r w:rsidR="00C75AD7" w:rsidRPr="0DD3B114">
        <w:rPr>
          <w:rFonts w:ascii="Arial" w:hAnsi="Arial" w:cs="Arial"/>
          <w:sz w:val="20"/>
          <w:szCs w:val="20"/>
          <w:lang w:val="sr-Cyrl-RS"/>
        </w:rPr>
        <w:t>ма у виду ситуациј</w:t>
      </w:r>
      <w:r w:rsidRPr="0DD3B114">
        <w:rPr>
          <w:rFonts w:ascii="Arial" w:hAnsi="Arial" w:cs="Arial"/>
          <w:sz w:val="20"/>
          <w:szCs w:val="20"/>
          <w:lang w:val="sr-Cyrl-RS"/>
        </w:rPr>
        <w:t>а</w:t>
      </w:r>
      <w:r w:rsidR="00C75AD7" w:rsidRPr="0DD3B114">
        <w:rPr>
          <w:rFonts w:ascii="Arial" w:hAnsi="Arial" w:cs="Arial"/>
          <w:sz w:val="20"/>
          <w:szCs w:val="20"/>
          <w:lang w:val="sr-Cyrl-RS"/>
        </w:rPr>
        <w:t xml:space="preserve"> у пракси, основни закључак је да</w:t>
      </w:r>
      <w:r w:rsidR="00527701" w:rsidRPr="0DD3B114">
        <w:rPr>
          <w:rFonts w:ascii="Arial" w:hAnsi="Arial" w:cs="Arial"/>
          <w:sz w:val="20"/>
          <w:szCs w:val="20"/>
          <w:lang w:val="sr-Cyrl-RS"/>
        </w:rPr>
        <w:t>,</w:t>
      </w:r>
      <w:r w:rsidR="00C75AD7" w:rsidRPr="0DD3B114">
        <w:rPr>
          <w:rFonts w:ascii="Arial" w:hAnsi="Arial" w:cs="Arial"/>
          <w:sz w:val="20"/>
          <w:szCs w:val="20"/>
          <w:lang w:val="sr-Cyrl-RS"/>
        </w:rPr>
        <w:t xml:space="preserve"> са једне стране, стање у мањим и </w:t>
      </w:r>
      <w:r w:rsidR="00B373F4" w:rsidRPr="0DD3B114">
        <w:rPr>
          <w:rFonts w:ascii="Arial" w:hAnsi="Arial" w:cs="Arial"/>
          <w:sz w:val="20"/>
          <w:szCs w:val="20"/>
          <w:lang w:val="sr-Cyrl-RS"/>
        </w:rPr>
        <w:t>мање развијеним</w:t>
      </w:r>
      <w:r w:rsidR="00C75AD7" w:rsidRPr="0DD3B114">
        <w:rPr>
          <w:rFonts w:ascii="Arial" w:hAnsi="Arial" w:cs="Arial"/>
          <w:sz w:val="20"/>
          <w:szCs w:val="20"/>
          <w:lang w:val="sr-Cyrl-RS"/>
        </w:rPr>
        <w:t xml:space="preserve"> ЈЛС указује</w:t>
      </w:r>
      <w:r w:rsidRPr="0DD3B114">
        <w:rPr>
          <w:rFonts w:ascii="Arial" w:hAnsi="Arial" w:cs="Arial"/>
          <w:sz w:val="20"/>
          <w:szCs w:val="20"/>
          <w:lang w:val="sr-Cyrl-RS"/>
        </w:rPr>
        <w:t xml:space="preserve"> на то</w:t>
      </w:r>
      <w:r w:rsidR="00C75AD7" w:rsidRPr="0DD3B114">
        <w:rPr>
          <w:rFonts w:ascii="Arial" w:hAnsi="Arial" w:cs="Arial"/>
          <w:sz w:val="20"/>
          <w:szCs w:val="20"/>
          <w:lang w:val="sr-Cyrl-RS"/>
        </w:rPr>
        <w:t xml:space="preserve"> да не постоје сви законом предвиђени облици организовања, као последица стања да се не обављају или не постоје сви послови</w:t>
      </w:r>
      <w:r w:rsidR="00181B5F" w:rsidRPr="0DD3B114">
        <w:rPr>
          <w:rFonts w:ascii="Arial" w:hAnsi="Arial" w:cs="Arial"/>
          <w:sz w:val="20"/>
          <w:szCs w:val="20"/>
          <w:lang w:val="sr-Cyrl-RS"/>
        </w:rPr>
        <w:t xml:space="preserve"> у</w:t>
      </w:r>
      <w:r w:rsidR="00C75AD7" w:rsidRPr="0DD3B114">
        <w:rPr>
          <w:rFonts w:ascii="Arial" w:hAnsi="Arial" w:cs="Arial"/>
          <w:sz w:val="20"/>
          <w:szCs w:val="20"/>
          <w:lang w:val="sr-Cyrl-RS"/>
        </w:rPr>
        <w:t xml:space="preserve"> </w:t>
      </w:r>
      <w:r w:rsidR="00181B5F" w:rsidRPr="0DD3B114">
        <w:rPr>
          <w:rFonts w:ascii="Arial" w:hAnsi="Arial" w:cs="Arial"/>
          <w:sz w:val="20"/>
          <w:szCs w:val="20"/>
          <w:lang w:val="sr-Cyrl-RS"/>
        </w:rPr>
        <w:t>Ј</w:t>
      </w:r>
      <w:r w:rsidR="00C75AD7" w:rsidRPr="0DD3B114">
        <w:rPr>
          <w:rFonts w:ascii="Arial" w:hAnsi="Arial" w:cs="Arial"/>
          <w:sz w:val="20"/>
          <w:szCs w:val="20"/>
          <w:lang w:val="sr-Cyrl-RS"/>
        </w:rPr>
        <w:t xml:space="preserve">ЛС или </w:t>
      </w:r>
      <w:r w:rsidR="00181B5F" w:rsidRPr="0DD3B114">
        <w:rPr>
          <w:rFonts w:ascii="Arial" w:hAnsi="Arial" w:cs="Arial"/>
          <w:sz w:val="20"/>
          <w:szCs w:val="20"/>
          <w:lang w:val="sr-Cyrl-RS"/>
        </w:rPr>
        <w:t xml:space="preserve">се </w:t>
      </w:r>
      <w:r w:rsidR="00C75AD7" w:rsidRPr="0DD3B114">
        <w:rPr>
          <w:rFonts w:ascii="Arial" w:hAnsi="Arial" w:cs="Arial"/>
          <w:sz w:val="20"/>
          <w:szCs w:val="20"/>
          <w:lang w:val="sr-Cyrl-RS"/>
        </w:rPr>
        <w:t>обављају спорадично</w:t>
      </w:r>
      <w:r w:rsidR="008D6847" w:rsidRPr="0DD3B114">
        <w:rPr>
          <w:rFonts w:ascii="Arial" w:hAnsi="Arial" w:cs="Arial"/>
          <w:sz w:val="20"/>
          <w:szCs w:val="20"/>
          <w:lang w:val="sr-Cyrl-RS"/>
        </w:rPr>
        <w:t>,</w:t>
      </w:r>
      <w:r w:rsidR="00C75AD7" w:rsidRPr="0DD3B114">
        <w:rPr>
          <w:rFonts w:ascii="Arial" w:hAnsi="Arial" w:cs="Arial"/>
          <w:sz w:val="20"/>
          <w:szCs w:val="20"/>
          <w:lang w:val="sr-Cyrl-RS"/>
        </w:rPr>
        <w:t xml:space="preserve"> без организационе поставке. Са друге стране, у систему локалне самоуправе присутни су примери настајања организационих облика који се на вештачки начин креирају како би се задовољили политички и кадровски захтеви и </w:t>
      </w:r>
      <w:r w:rsidRPr="0DD3B114">
        <w:rPr>
          <w:rFonts w:ascii="Arial" w:hAnsi="Arial" w:cs="Arial"/>
          <w:sz w:val="20"/>
          <w:szCs w:val="20"/>
          <w:lang w:val="sr-Cyrl-RS"/>
        </w:rPr>
        <w:t xml:space="preserve">који </w:t>
      </w:r>
      <w:r w:rsidR="00C75AD7" w:rsidRPr="0DD3B114">
        <w:rPr>
          <w:rFonts w:ascii="Arial" w:hAnsi="Arial" w:cs="Arial"/>
          <w:sz w:val="20"/>
          <w:szCs w:val="20"/>
          <w:lang w:val="sr-Cyrl-RS"/>
        </w:rPr>
        <w:t xml:space="preserve">представљају вештачко изузимање послова стандардних и законом уређених организационих облика да би се креирали нови, који нису законом регулисани. Најчешћи примери се односе на нове организационе </w:t>
      </w:r>
      <w:r w:rsidR="00BF5D7B" w:rsidRPr="0DD3B114">
        <w:rPr>
          <w:rFonts w:ascii="Arial" w:hAnsi="Arial" w:cs="Arial"/>
          <w:sz w:val="20"/>
          <w:szCs w:val="20"/>
          <w:lang w:val="sr-Cyrl-RS"/>
        </w:rPr>
        <w:t xml:space="preserve">(парауправне) </w:t>
      </w:r>
      <w:r w:rsidR="00C75AD7" w:rsidRPr="0DD3B114">
        <w:rPr>
          <w:rFonts w:ascii="Arial" w:hAnsi="Arial" w:cs="Arial"/>
          <w:sz w:val="20"/>
          <w:szCs w:val="20"/>
          <w:lang w:val="sr-Cyrl-RS"/>
        </w:rPr>
        <w:t>форме за обављање послова управе. Организациони облици који нису законом регулисани отварају низ питања: да ли се, без законског основа, успостављају руководеће структуре (у положају функционера)</w:t>
      </w:r>
      <w:r w:rsidRPr="0DD3B114">
        <w:rPr>
          <w:rFonts w:ascii="Arial" w:hAnsi="Arial" w:cs="Arial"/>
          <w:sz w:val="20"/>
          <w:szCs w:val="20"/>
          <w:lang w:val="sr-Cyrl-RS"/>
        </w:rPr>
        <w:t>?</w:t>
      </w:r>
      <w:r w:rsidR="00C75AD7" w:rsidRPr="0DD3B114">
        <w:rPr>
          <w:rFonts w:ascii="Arial" w:hAnsi="Arial" w:cs="Arial"/>
          <w:sz w:val="20"/>
          <w:szCs w:val="20"/>
          <w:lang w:val="sr-Cyrl-RS"/>
        </w:rPr>
        <w:t xml:space="preserve">, какав је однос за органом </w:t>
      </w:r>
      <w:r w:rsidR="00503E9D" w:rsidRPr="0DD3B114">
        <w:rPr>
          <w:rFonts w:ascii="Arial" w:hAnsi="Arial" w:cs="Arial"/>
          <w:sz w:val="20"/>
          <w:szCs w:val="20"/>
          <w:lang w:val="sr-Cyrl-RS"/>
        </w:rPr>
        <w:t xml:space="preserve">ЈЛС </w:t>
      </w:r>
      <w:r w:rsidR="00C75AD7" w:rsidRPr="0DD3B114">
        <w:rPr>
          <w:rFonts w:ascii="Arial" w:hAnsi="Arial" w:cs="Arial"/>
          <w:sz w:val="20"/>
          <w:szCs w:val="20"/>
          <w:lang w:val="sr-Cyrl-RS"/>
        </w:rPr>
        <w:t>који је претходно обављао ове послове</w:t>
      </w:r>
      <w:r w:rsidRPr="0DD3B114">
        <w:rPr>
          <w:rFonts w:ascii="Arial" w:hAnsi="Arial" w:cs="Arial"/>
          <w:sz w:val="20"/>
          <w:szCs w:val="20"/>
          <w:lang w:val="sr-Cyrl-RS"/>
        </w:rPr>
        <w:t>?</w:t>
      </w:r>
      <w:r w:rsidR="00C75AD7" w:rsidRPr="0DD3B114">
        <w:rPr>
          <w:rFonts w:ascii="Arial" w:hAnsi="Arial" w:cs="Arial"/>
          <w:sz w:val="20"/>
          <w:szCs w:val="20"/>
          <w:lang w:val="sr-Cyrl-RS"/>
        </w:rPr>
        <w:t>, да ли се увећавају трошкови обављања послова</w:t>
      </w:r>
      <w:r w:rsidRPr="0DD3B114">
        <w:rPr>
          <w:rFonts w:ascii="Arial" w:hAnsi="Arial" w:cs="Arial"/>
          <w:sz w:val="20"/>
          <w:szCs w:val="20"/>
          <w:lang w:val="sr-Cyrl-RS"/>
        </w:rPr>
        <w:t>?</w:t>
      </w:r>
      <w:r w:rsidR="00C75AD7" w:rsidRPr="0DD3B114">
        <w:rPr>
          <w:rFonts w:ascii="Arial" w:hAnsi="Arial" w:cs="Arial"/>
          <w:sz w:val="20"/>
          <w:szCs w:val="20"/>
          <w:lang w:val="sr-Cyrl-RS"/>
        </w:rPr>
        <w:t xml:space="preserve">, да ли се издвајају кадрови који </w:t>
      </w:r>
      <w:r w:rsidR="00C75AD7" w:rsidRPr="0DD3B114">
        <w:rPr>
          <w:rFonts w:ascii="Arial" w:hAnsi="Arial" w:cs="Arial"/>
          <w:sz w:val="20"/>
          <w:szCs w:val="20"/>
          <w:lang w:val="sr-Cyrl-RS"/>
        </w:rPr>
        <w:lastRenderedPageBreak/>
        <w:t>би могли да обављају и друге послове управе</w:t>
      </w:r>
      <w:r w:rsidR="00ED1F3C" w:rsidRPr="0DD3B114">
        <w:rPr>
          <w:rFonts w:ascii="Arial" w:hAnsi="Arial" w:cs="Arial"/>
          <w:sz w:val="20"/>
          <w:szCs w:val="20"/>
          <w:lang w:val="sr-Cyrl-RS"/>
        </w:rPr>
        <w:t>?</w:t>
      </w:r>
      <w:r w:rsidR="00C75AD7" w:rsidRPr="0DD3B114">
        <w:rPr>
          <w:rFonts w:ascii="Arial" w:hAnsi="Arial" w:cs="Arial"/>
          <w:sz w:val="20"/>
          <w:szCs w:val="20"/>
          <w:lang w:val="sr-Cyrl-RS"/>
        </w:rPr>
        <w:t xml:space="preserve"> и</w:t>
      </w:r>
      <w:r w:rsidR="00494417" w:rsidRPr="0DD3B114">
        <w:rPr>
          <w:rFonts w:ascii="Arial" w:hAnsi="Arial" w:cs="Arial"/>
          <w:sz w:val="20"/>
          <w:szCs w:val="20"/>
          <w:lang w:val="sr-Cyrl-RS"/>
        </w:rPr>
        <w:t>,</w:t>
      </w:r>
      <w:r w:rsidR="00C75AD7" w:rsidRPr="0DD3B114">
        <w:rPr>
          <w:rFonts w:ascii="Arial" w:hAnsi="Arial" w:cs="Arial"/>
          <w:sz w:val="20"/>
          <w:szCs w:val="20"/>
          <w:lang w:val="sr-Cyrl-RS"/>
        </w:rPr>
        <w:t xml:space="preserve"> на крају, да ли су оваквим решењима грађани добили бољу и квалитетнију услугу?</w:t>
      </w:r>
    </w:p>
    <w:p w14:paraId="1F090F78" w14:textId="77777777" w:rsidR="00C75AD7" w:rsidRPr="00A021B7" w:rsidRDefault="00C75AD7" w:rsidP="0DD3B114">
      <w:pPr>
        <w:ind w:firstLine="720"/>
        <w:contextualSpacing/>
        <w:jc w:val="both"/>
        <w:rPr>
          <w:rFonts w:ascii="Arial" w:hAnsi="Arial" w:cs="Arial"/>
          <w:sz w:val="20"/>
          <w:szCs w:val="20"/>
          <w:lang w:val="sr-Cyrl-RS"/>
        </w:rPr>
      </w:pPr>
    </w:p>
    <w:p w14:paraId="39A337A6" w14:textId="4B7E2D1D" w:rsidR="00C75AD7" w:rsidRPr="00A021B7" w:rsidRDefault="22CFA5BF" w:rsidP="0DD3B114">
      <w:pPr>
        <w:ind w:firstLine="720"/>
        <w:contextualSpacing/>
        <w:jc w:val="both"/>
        <w:rPr>
          <w:rFonts w:ascii="Arial" w:hAnsi="Arial" w:cs="Arial"/>
          <w:sz w:val="20"/>
          <w:szCs w:val="20"/>
          <w:lang w:val="sr-Cyrl-RS"/>
        </w:rPr>
      </w:pPr>
      <w:r w:rsidRPr="00A021B7">
        <w:rPr>
          <w:rFonts w:ascii="Arial" w:hAnsi="Arial" w:cs="Arial"/>
          <w:sz w:val="20"/>
          <w:szCs w:val="20"/>
          <w:lang w:val="sr-Cyrl-RS"/>
        </w:rPr>
        <w:t>Н</w:t>
      </w:r>
      <w:r w:rsidR="32B86406" w:rsidRPr="00A021B7">
        <w:rPr>
          <w:rFonts w:ascii="Arial" w:hAnsi="Arial" w:cs="Arial"/>
          <w:sz w:val="20"/>
          <w:szCs w:val="20"/>
          <w:lang w:val="sr-Cyrl-RS"/>
        </w:rPr>
        <w:t xml:space="preserve">епостојање јасне и конзистентне типологије организационих облика отвара дилеме приликом одлучивања </w:t>
      </w:r>
      <w:r w:rsidR="00ED1F3C">
        <w:rPr>
          <w:rFonts w:ascii="Arial" w:hAnsi="Arial" w:cs="Arial"/>
          <w:sz w:val="20"/>
          <w:szCs w:val="20"/>
          <w:lang w:val="sr-Cyrl-RS"/>
        </w:rPr>
        <w:t xml:space="preserve">о томе </w:t>
      </w:r>
      <w:r w:rsidR="32B86406" w:rsidRPr="00A021B7">
        <w:rPr>
          <w:rFonts w:ascii="Arial" w:hAnsi="Arial" w:cs="Arial"/>
          <w:sz w:val="20"/>
          <w:szCs w:val="20"/>
          <w:lang w:val="sr-Cyrl-RS"/>
        </w:rPr>
        <w:t xml:space="preserve">који од типова организационих форми треба користити и у којим случајевима да би се изабрала најделотворнија, најефикаснија и најекономичнија форма у конкретном случају. </w:t>
      </w:r>
      <w:r w:rsidR="00ED1F3C">
        <w:rPr>
          <w:rFonts w:ascii="Arial" w:hAnsi="Arial" w:cs="Arial"/>
          <w:sz w:val="20"/>
          <w:szCs w:val="20"/>
          <w:lang w:val="sr-Cyrl-RS"/>
        </w:rPr>
        <w:t>Требало би да з</w:t>
      </w:r>
      <w:r w:rsidR="32B86406" w:rsidRPr="00A021B7">
        <w:rPr>
          <w:rFonts w:ascii="Arial" w:hAnsi="Arial" w:cs="Arial"/>
          <w:sz w:val="20"/>
          <w:szCs w:val="20"/>
          <w:lang w:val="sr-Cyrl-RS"/>
        </w:rPr>
        <w:t>аконско уређивање овог питања</w:t>
      </w:r>
      <w:r w:rsidR="00C75AD7" w:rsidRPr="00A021B7">
        <w:rPr>
          <w:rStyle w:val="FootnoteReference"/>
          <w:rFonts w:ascii="Arial" w:hAnsi="Arial" w:cs="Arial"/>
          <w:sz w:val="20"/>
          <w:szCs w:val="20"/>
          <w:lang w:val="sr-Cyrl-RS"/>
        </w:rPr>
        <w:footnoteReference w:id="25"/>
      </w:r>
      <w:r w:rsidR="32B86406" w:rsidRPr="00A021B7">
        <w:rPr>
          <w:rFonts w:ascii="Arial" w:hAnsi="Arial" w:cs="Arial"/>
          <w:sz w:val="20"/>
          <w:szCs w:val="20"/>
          <w:lang w:val="sr-Cyrl-RS"/>
        </w:rPr>
        <w:t xml:space="preserve"> да пружи одговор и на нека друга актуелна питања</w:t>
      </w:r>
      <w:r w:rsidR="00ED1F3C" w:rsidRPr="0DD3B114">
        <w:rPr>
          <w:rFonts w:ascii="Arial" w:hAnsi="Arial" w:cs="Arial"/>
          <w:sz w:val="20"/>
          <w:szCs w:val="20"/>
          <w:lang w:val="sr-Cyrl-RS"/>
        </w:rPr>
        <w:t xml:space="preserve">, као што </w:t>
      </w:r>
      <w:r w:rsidR="713D42ED">
        <w:rPr>
          <w:rFonts w:ascii="Arial" w:hAnsi="Arial" w:cs="Arial"/>
          <w:sz w:val="20"/>
          <w:szCs w:val="20"/>
          <w:lang w:val="sr-Cyrl-RS"/>
        </w:rPr>
        <w:t>je</w:t>
      </w:r>
      <w:r w:rsidR="00ED1F3C">
        <w:rPr>
          <w:rFonts w:ascii="Arial" w:hAnsi="Arial" w:cs="Arial"/>
          <w:sz w:val="20"/>
          <w:szCs w:val="20"/>
          <w:lang w:val="sr-Cyrl-RS"/>
        </w:rPr>
        <w:t xml:space="preserve"> питање</w:t>
      </w:r>
      <w:r w:rsidR="32B86406" w:rsidRPr="00A021B7">
        <w:rPr>
          <w:rFonts w:ascii="Arial" w:hAnsi="Arial" w:cs="Arial"/>
          <w:sz w:val="20"/>
          <w:szCs w:val="20"/>
          <w:lang w:val="sr-Cyrl-RS"/>
        </w:rPr>
        <w:t xml:space="preserve"> да ли организациони облици имају статус правног лица, </w:t>
      </w:r>
      <w:r w:rsidR="00ED1F3C">
        <w:rPr>
          <w:rFonts w:ascii="Arial" w:hAnsi="Arial" w:cs="Arial"/>
          <w:sz w:val="20"/>
          <w:szCs w:val="20"/>
          <w:lang w:val="sr-Cyrl-RS"/>
        </w:rPr>
        <w:t xml:space="preserve">питање </w:t>
      </w:r>
      <w:r w:rsidR="32B86406" w:rsidRPr="00A021B7">
        <w:rPr>
          <w:rFonts w:ascii="Arial" w:hAnsi="Arial" w:cs="Arial"/>
          <w:sz w:val="20"/>
          <w:szCs w:val="20"/>
          <w:lang w:val="sr-Cyrl-RS"/>
        </w:rPr>
        <w:t>финансирањ</w:t>
      </w:r>
      <w:r w:rsidR="00ED1F3C">
        <w:rPr>
          <w:rFonts w:ascii="Arial" w:hAnsi="Arial" w:cs="Arial"/>
          <w:sz w:val="20"/>
          <w:szCs w:val="20"/>
          <w:lang w:val="sr-Cyrl-RS"/>
        </w:rPr>
        <w:t>а</w:t>
      </w:r>
      <w:r w:rsidR="32B86406" w:rsidRPr="00A021B7">
        <w:rPr>
          <w:rFonts w:ascii="Arial" w:hAnsi="Arial" w:cs="Arial"/>
          <w:sz w:val="20"/>
          <w:szCs w:val="20"/>
          <w:lang w:val="sr-Cyrl-RS"/>
        </w:rPr>
        <w:t xml:space="preserve">, </w:t>
      </w:r>
      <w:r w:rsidR="00ED1F3C">
        <w:rPr>
          <w:rFonts w:ascii="Arial" w:hAnsi="Arial" w:cs="Arial"/>
          <w:sz w:val="20"/>
          <w:szCs w:val="20"/>
          <w:lang w:val="sr-Cyrl-RS"/>
        </w:rPr>
        <w:t xml:space="preserve">питање </w:t>
      </w:r>
      <w:r w:rsidR="32B86406" w:rsidRPr="00A021B7">
        <w:rPr>
          <w:rFonts w:ascii="Arial" w:hAnsi="Arial" w:cs="Arial"/>
          <w:sz w:val="20"/>
          <w:szCs w:val="20"/>
          <w:lang w:val="sr-Cyrl-RS"/>
        </w:rPr>
        <w:t>однос</w:t>
      </w:r>
      <w:r w:rsidR="00ED1F3C">
        <w:rPr>
          <w:rFonts w:ascii="Arial" w:hAnsi="Arial" w:cs="Arial"/>
          <w:sz w:val="20"/>
          <w:szCs w:val="20"/>
          <w:lang w:val="sr-Cyrl-RS"/>
        </w:rPr>
        <w:t>а</w:t>
      </w:r>
      <w:r w:rsidR="32B86406" w:rsidRPr="00A021B7">
        <w:rPr>
          <w:rFonts w:ascii="Arial" w:hAnsi="Arial" w:cs="Arial"/>
          <w:sz w:val="20"/>
          <w:szCs w:val="20"/>
          <w:lang w:val="sr-Cyrl-RS"/>
        </w:rPr>
        <w:t xml:space="preserve"> са другим организационим облицима</w:t>
      </w:r>
      <w:r w:rsidR="4DFAFBB3" w:rsidRPr="00A021B7">
        <w:rPr>
          <w:rFonts w:ascii="Arial" w:hAnsi="Arial" w:cs="Arial"/>
          <w:sz w:val="20"/>
          <w:szCs w:val="20"/>
          <w:lang w:val="sr-Cyrl-RS"/>
        </w:rPr>
        <w:t>,</w:t>
      </w:r>
      <w:r w:rsidR="32B86406" w:rsidRPr="00A021B7">
        <w:rPr>
          <w:rFonts w:ascii="Arial" w:hAnsi="Arial" w:cs="Arial"/>
          <w:sz w:val="20"/>
          <w:szCs w:val="20"/>
          <w:lang w:val="sr-Cyrl-RS"/>
        </w:rPr>
        <w:t xml:space="preserve"> а нарочито</w:t>
      </w:r>
      <w:r w:rsidR="00ED1F3C">
        <w:rPr>
          <w:rFonts w:ascii="Arial" w:hAnsi="Arial" w:cs="Arial"/>
          <w:sz w:val="20"/>
          <w:szCs w:val="20"/>
          <w:lang w:val="sr-Cyrl-RS"/>
        </w:rPr>
        <w:t xml:space="preserve"> питања</w:t>
      </w:r>
      <w:r w:rsidR="32B86406" w:rsidRPr="00A021B7">
        <w:rPr>
          <w:rFonts w:ascii="Arial" w:hAnsi="Arial" w:cs="Arial"/>
          <w:sz w:val="20"/>
          <w:szCs w:val="20"/>
          <w:lang w:val="sr-Cyrl-RS"/>
        </w:rPr>
        <w:t xml:space="preserve"> овлашћења за вршење надзора у раду, услов</w:t>
      </w:r>
      <w:r w:rsidR="00ED1F3C">
        <w:rPr>
          <w:rFonts w:ascii="Arial" w:hAnsi="Arial" w:cs="Arial"/>
          <w:sz w:val="20"/>
          <w:szCs w:val="20"/>
          <w:lang w:val="sr-Cyrl-RS"/>
        </w:rPr>
        <w:t>а</w:t>
      </w:r>
      <w:r w:rsidR="32B86406" w:rsidRPr="00A021B7">
        <w:rPr>
          <w:rFonts w:ascii="Arial" w:hAnsi="Arial" w:cs="Arial"/>
          <w:sz w:val="20"/>
          <w:szCs w:val="20"/>
          <w:lang w:val="sr-Cyrl-RS"/>
        </w:rPr>
        <w:t xml:space="preserve"> и положај</w:t>
      </w:r>
      <w:r w:rsidR="00ED1F3C">
        <w:rPr>
          <w:rFonts w:ascii="Arial" w:hAnsi="Arial" w:cs="Arial"/>
          <w:sz w:val="20"/>
          <w:szCs w:val="20"/>
          <w:lang w:val="sr-Cyrl-RS"/>
        </w:rPr>
        <w:t>а</w:t>
      </w:r>
      <w:r w:rsidR="32B86406" w:rsidRPr="00A021B7">
        <w:rPr>
          <w:rFonts w:ascii="Arial" w:hAnsi="Arial" w:cs="Arial"/>
          <w:sz w:val="20"/>
          <w:szCs w:val="20"/>
          <w:lang w:val="sr-Cyrl-RS"/>
        </w:rPr>
        <w:t xml:space="preserve"> руководилаца итд. Посебна питања се отварају код најмањих ЈЛС</w:t>
      </w:r>
      <w:r w:rsidR="70424A5E" w:rsidRPr="00A021B7">
        <w:rPr>
          <w:rFonts w:ascii="Arial" w:hAnsi="Arial" w:cs="Arial"/>
          <w:sz w:val="20"/>
          <w:szCs w:val="20"/>
          <w:lang w:val="sr-Cyrl-RS"/>
        </w:rPr>
        <w:t>,</w:t>
      </w:r>
      <w:r w:rsidR="32B86406" w:rsidRPr="00A021B7">
        <w:rPr>
          <w:rFonts w:ascii="Arial" w:hAnsi="Arial" w:cs="Arial"/>
          <w:sz w:val="20"/>
          <w:szCs w:val="20"/>
          <w:lang w:val="sr-Cyrl-RS"/>
        </w:rPr>
        <w:t xml:space="preserve"> које имају само неке од организационих облика (нпр. јавно комунално предузеће и туристичку организацију, уз евентуално и предшколску установу и библиотеку). У ситуацијама такве једноставне структуре организационих облика произлази питање да ли ЈЛС може да обави и да ли извршава све надлежности утврђене законом</w:t>
      </w:r>
      <w:r w:rsidR="438C7E37" w:rsidRPr="00A021B7">
        <w:rPr>
          <w:rFonts w:ascii="Arial" w:hAnsi="Arial" w:cs="Arial"/>
          <w:sz w:val="20"/>
          <w:szCs w:val="20"/>
          <w:lang w:val="sr-Cyrl-RS"/>
        </w:rPr>
        <w:t>,</w:t>
      </w:r>
      <w:r w:rsidR="32B86406" w:rsidRPr="00A021B7">
        <w:rPr>
          <w:rFonts w:ascii="Arial" w:hAnsi="Arial" w:cs="Arial"/>
          <w:sz w:val="20"/>
          <w:szCs w:val="20"/>
          <w:lang w:val="sr-Cyrl-RS"/>
        </w:rPr>
        <w:t xml:space="preserve"> односно да ли пружа све услуге грађанима. Између осталог</w:t>
      </w:r>
      <w:r w:rsidR="00ED1F3C">
        <w:rPr>
          <w:rFonts w:ascii="Arial" w:hAnsi="Arial" w:cs="Arial"/>
          <w:sz w:val="20"/>
          <w:szCs w:val="20"/>
          <w:lang w:val="sr-Cyrl-RS"/>
        </w:rPr>
        <w:t>,</w:t>
      </w:r>
      <w:r w:rsidR="32B86406" w:rsidRPr="00A021B7">
        <w:rPr>
          <w:rFonts w:ascii="Arial" w:hAnsi="Arial" w:cs="Arial"/>
          <w:sz w:val="20"/>
          <w:szCs w:val="20"/>
          <w:lang w:val="sr-Cyrl-RS"/>
        </w:rPr>
        <w:t xml:space="preserve"> и зато би пре доношења прописа који уређује организационе облике у ЈЛС требало имати одговоре и на питање да ли постоје алтернативе </w:t>
      </w:r>
      <w:r w:rsidR="00ED1F3C">
        <w:rPr>
          <w:rFonts w:ascii="Arial" w:hAnsi="Arial" w:cs="Arial"/>
          <w:sz w:val="20"/>
          <w:szCs w:val="20"/>
          <w:lang w:val="sr-Cyrl-RS"/>
        </w:rPr>
        <w:t xml:space="preserve">за </w:t>
      </w:r>
      <w:r w:rsidR="32B86406" w:rsidRPr="00A021B7">
        <w:rPr>
          <w:rFonts w:ascii="Arial" w:hAnsi="Arial" w:cs="Arial"/>
          <w:sz w:val="20"/>
          <w:szCs w:val="20"/>
          <w:lang w:val="sr-Cyrl-RS"/>
        </w:rPr>
        <w:t>постојећ</w:t>
      </w:r>
      <w:r w:rsidR="00ED1F3C">
        <w:rPr>
          <w:rFonts w:ascii="Arial" w:hAnsi="Arial" w:cs="Arial"/>
          <w:sz w:val="20"/>
          <w:szCs w:val="20"/>
          <w:lang w:val="sr-Cyrl-RS"/>
        </w:rPr>
        <w:t>е</w:t>
      </w:r>
      <w:r w:rsidR="32B86406" w:rsidRPr="00A021B7">
        <w:rPr>
          <w:rFonts w:ascii="Arial" w:hAnsi="Arial" w:cs="Arial"/>
          <w:sz w:val="20"/>
          <w:szCs w:val="20"/>
          <w:lang w:val="sr-Cyrl-RS"/>
        </w:rPr>
        <w:t xml:space="preserve"> организацион</w:t>
      </w:r>
      <w:r w:rsidR="00ED1F3C">
        <w:rPr>
          <w:rFonts w:ascii="Arial" w:hAnsi="Arial" w:cs="Arial"/>
          <w:sz w:val="20"/>
          <w:szCs w:val="20"/>
          <w:lang w:val="sr-Cyrl-RS"/>
        </w:rPr>
        <w:t>е</w:t>
      </w:r>
      <w:r w:rsidR="32B86406" w:rsidRPr="00A021B7">
        <w:rPr>
          <w:rFonts w:ascii="Arial" w:hAnsi="Arial" w:cs="Arial"/>
          <w:sz w:val="20"/>
          <w:szCs w:val="20"/>
          <w:lang w:val="sr-Cyrl-RS"/>
        </w:rPr>
        <w:t xml:space="preserve"> обли</w:t>
      </w:r>
      <w:r w:rsidR="00ED1F3C">
        <w:rPr>
          <w:rFonts w:ascii="Arial" w:hAnsi="Arial" w:cs="Arial"/>
          <w:sz w:val="20"/>
          <w:szCs w:val="20"/>
          <w:lang w:val="sr-Cyrl-RS"/>
        </w:rPr>
        <w:t>ке</w:t>
      </w:r>
      <w:r w:rsidR="470B0900" w:rsidRPr="00A021B7">
        <w:rPr>
          <w:rFonts w:ascii="Arial" w:hAnsi="Arial" w:cs="Arial"/>
          <w:sz w:val="20"/>
          <w:szCs w:val="20"/>
          <w:lang w:val="sr-Cyrl-RS"/>
        </w:rPr>
        <w:t>,</w:t>
      </w:r>
      <w:r w:rsidR="32B86406" w:rsidRPr="00A021B7">
        <w:rPr>
          <w:rFonts w:ascii="Arial" w:hAnsi="Arial" w:cs="Arial"/>
          <w:sz w:val="20"/>
          <w:szCs w:val="20"/>
          <w:lang w:val="sr-Cyrl-RS"/>
        </w:rPr>
        <w:t xml:space="preserve"> а пре свега </w:t>
      </w:r>
      <w:r w:rsidR="00ED1F3C">
        <w:rPr>
          <w:rFonts w:ascii="Arial" w:hAnsi="Arial" w:cs="Arial"/>
          <w:sz w:val="20"/>
          <w:szCs w:val="20"/>
          <w:lang w:val="sr-Cyrl-RS"/>
        </w:rPr>
        <w:t xml:space="preserve">алтернатива у виду </w:t>
      </w:r>
      <w:r w:rsidR="32B86406" w:rsidRPr="00A021B7">
        <w:rPr>
          <w:rFonts w:ascii="Arial" w:hAnsi="Arial" w:cs="Arial"/>
          <w:sz w:val="20"/>
          <w:szCs w:val="20"/>
          <w:lang w:val="sr-Cyrl-RS"/>
        </w:rPr>
        <w:t>обављањ</w:t>
      </w:r>
      <w:r w:rsidR="00ED1F3C">
        <w:rPr>
          <w:rFonts w:ascii="Arial" w:hAnsi="Arial" w:cs="Arial"/>
          <w:sz w:val="20"/>
          <w:szCs w:val="20"/>
          <w:lang w:val="sr-Cyrl-RS"/>
        </w:rPr>
        <w:t>а</w:t>
      </w:r>
      <w:r w:rsidR="32B86406" w:rsidRPr="00A021B7">
        <w:rPr>
          <w:rFonts w:ascii="Arial" w:hAnsi="Arial" w:cs="Arial"/>
          <w:sz w:val="20"/>
          <w:szCs w:val="20"/>
          <w:lang w:val="sr-Cyrl-RS"/>
        </w:rPr>
        <w:t xml:space="preserve"> ових послова у органу управе или у оквиру постојећих установа или предузећа.</w:t>
      </w:r>
    </w:p>
    <w:p w14:paraId="459AB8F7" w14:textId="77777777" w:rsidR="007C401C" w:rsidRPr="00A021B7" w:rsidRDefault="007C401C" w:rsidP="003E7BC9">
      <w:pPr>
        <w:jc w:val="both"/>
        <w:rPr>
          <w:rFonts w:ascii="Arial" w:hAnsi="Arial" w:cs="Arial"/>
          <w:b/>
          <w:bCs/>
          <w:sz w:val="20"/>
          <w:szCs w:val="20"/>
          <w:highlight w:val="yellow"/>
          <w:lang w:val="sr-Cyrl-RS"/>
        </w:rPr>
      </w:pPr>
    </w:p>
    <w:p w14:paraId="5BB6B784" w14:textId="77777777" w:rsidR="00CE205B" w:rsidRPr="00A021B7" w:rsidRDefault="00A119D0" w:rsidP="004935B9">
      <w:pPr>
        <w:pStyle w:val="Heading2"/>
        <w:rPr>
          <w:lang w:val="sr-Cyrl-RS"/>
        </w:rPr>
      </w:pPr>
      <w:bookmarkStart w:id="46" w:name="_Toc52865775"/>
      <w:bookmarkStart w:id="47" w:name="_Toc52866186"/>
      <w:bookmarkStart w:id="48" w:name="_Toc56508436"/>
      <w:bookmarkStart w:id="49" w:name="_Toc60136072"/>
      <w:r w:rsidRPr="00A021B7">
        <w:rPr>
          <w:lang w:val="sr-Cyrl-RS"/>
        </w:rPr>
        <w:t xml:space="preserve">IV.4. </w:t>
      </w:r>
      <w:r w:rsidR="00292BDE" w:rsidRPr="00A021B7">
        <w:rPr>
          <w:lang w:val="sr-Cyrl-RS"/>
        </w:rPr>
        <w:t>Надлежности, послови и услуге локалне самоуправе</w:t>
      </w:r>
      <w:bookmarkEnd w:id="46"/>
      <w:bookmarkEnd w:id="47"/>
      <w:bookmarkEnd w:id="48"/>
      <w:bookmarkEnd w:id="49"/>
    </w:p>
    <w:p w14:paraId="0BAB305A" w14:textId="77777777" w:rsidR="00D002CC" w:rsidRPr="00A021B7" w:rsidRDefault="00D002CC" w:rsidP="003E7BC9">
      <w:pPr>
        <w:jc w:val="both"/>
        <w:rPr>
          <w:rFonts w:ascii="Arial" w:hAnsi="Arial" w:cs="Arial"/>
          <w:b/>
          <w:bCs/>
          <w:sz w:val="20"/>
          <w:szCs w:val="20"/>
          <w:highlight w:val="yellow"/>
          <w:lang w:val="sr-Cyrl-RS"/>
        </w:rPr>
      </w:pPr>
    </w:p>
    <w:p w14:paraId="416AA7AA" w14:textId="57DE7983" w:rsidR="005B3331" w:rsidRPr="00A021B7" w:rsidRDefault="000104FF" w:rsidP="0DD3B114">
      <w:pPr>
        <w:ind w:firstLine="720"/>
        <w:jc w:val="both"/>
        <w:rPr>
          <w:rFonts w:ascii="Arial" w:hAnsi="Arial" w:cs="Arial"/>
          <w:sz w:val="20"/>
          <w:szCs w:val="20"/>
          <w:lang w:val="sr-Cyrl-RS"/>
        </w:rPr>
      </w:pPr>
      <w:r w:rsidRPr="0DD3B114">
        <w:rPr>
          <w:rFonts w:ascii="Arial" w:hAnsi="Arial" w:cs="Arial"/>
          <w:sz w:val="20"/>
          <w:szCs w:val="20"/>
          <w:lang w:val="sr-Cyrl-RS"/>
        </w:rPr>
        <w:t>Локална самоуправа</w:t>
      </w:r>
      <w:r w:rsidR="00633242" w:rsidRPr="0DD3B114">
        <w:rPr>
          <w:rFonts w:ascii="Arial" w:hAnsi="Arial" w:cs="Arial"/>
          <w:sz w:val="20"/>
          <w:szCs w:val="20"/>
          <w:lang w:val="sr-Cyrl-RS"/>
        </w:rPr>
        <w:t>,</w:t>
      </w:r>
      <w:r w:rsidRPr="0DD3B114">
        <w:rPr>
          <w:rFonts w:ascii="Arial" w:hAnsi="Arial" w:cs="Arial"/>
          <w:sz w:val="20"/>
          <w:szCs w:val="20"/>
          <w:lang w:val="sr-Cyrl-RS"/>
        </w:rPr>
        <w:t xml:space="preserve"> у </w:t>
      </w:r>
      <w:r w:rsidR="000120BE" w:rsidRPr="0DD3B114">
        <w:rPr>
          <w:rFonts w:ascii="Arial" w:hAnsi="Arial" w:cs="Arial"/>
          <w:sz w:val="20"/>
          <w:szCs w:val="20"/>
          <w:lang w:val="sr-Cyrl-RS"/>
        </w:rPr>
        <w:t>принципу</w:t>
      </w:r>
      <w:r w:rsidR="00633242" w:rsidRPr="0DD3B114">
        <w:rPr>
          <w:rFonts w:ascii="Arial" w:hAnsi="Arial" w:cs="Arial"/>
          <w:sz w:val="20"/>
          <w:szCs w:val="20"/>
          <w:lang w:val="sr-Cyrl-RS"/>
        </w:rPr>
        <w:t>,</w:t>
      </w:r>
      <w:r w:rsidR="000120BE" w:rsidRPr="0DD3B114">
        <w:rPr>
          <w:rFonts w:ascii="Arial" w:hAnsi="Arial" w:cs="Arial"/>
          <w:sz w:val="20"/>
          <w:szCs w:val="20"/>
          <w:lang w:val="sr-Cyrl-RS"/>
        </w:rPr>
        <w:t xml:space="preserve"> у већини </w:t>
      </w:r>
      <w:r w:rsidRPr="0DD3B114">
        <w:rPr>
          <w:rFonts w:ascii="Arial" w:hAnsi="Arial" w:cs="Arial"/>
          <w:sz w:val="20"/>
          <w:szCs w:val="20"/>
          <w:lang w:val="sr-Cyrl-RS"/>
        </w:rPr>
        <w:t xml:space="preserve">европских земаља обавља значајне послове </w:t>
      </w:r>
      <w:r w:rsidR="000120BE" w:rsidRPr="0DD3B114">
        <w:rPr>
          <w:rFonts w:ascii="Arial" w:hAnsi="Arial" w:cs="Arial"/>
          <w:sz w:val="20"/>
          <w:szCs w:val="20"/>
          <w:lang w:val="sr-Cyrl-RS"/>
        </w:rPr>
        <w:t>за локално становништво</w:t>
      </w:r>
      <w:r w:rsidR="00C062E1" w:rsidRPr="0DD3B114">
        <w:rPr>
          <w:rFonts w:ascii="Arial" w:hAnsi="Arial" w:cs="Arial"/>
          <w:sz w:val="20"/>
          <w:szCs w:val="20"/>
          <w:lang w:val="sr-Cyrl-RS"/>
        </w:rPr>
        <w:t>,</w:t>
      </w:r>
      <w:r w:rsidR="00195E6B" w:rsidRPr="0DD3B114">
        <w:rPr>
          <w:rFonts w:ascii="Arial" w:hAnsi="Arial" w:cs="Arial"/>
          <w:sz w:val="20"/>
          <w:szCs w:val="20"/>
          <w:lang w:val="sr-Cyrl-RS"/>
        </w:rPr>
        <w:t xml:space="preserve"> а аутономија локалних власти</w:t>
      </w:r>
      <w:r w:rsidR="00AB6008" w:rsidRPr="0DD3B114">
        <w:rPr>
          <w:rFonts w:ascii="Arial" w:hAnsi="Arial" w:cs="Arial"/>
          <w:sz w:val="20"/>
          <w:szCs w:val="20"/>
          <w:lang w:val="sr-Cyrl-RS"/>
        </w:rPr>
        <w:t xml:space="preserve"> (у задатим законским оквирима)</w:t>
      </w:r>
      <w:r w:rsidR="00195E6B" w:rsidRPr="0DD3B114">
        <w:rPr>
          <w:rFonts w:ascii="Arial" w:hAnsi="Arial" w:cs="Arial"/>
          <w:sz w:val="20"/>
          <w:szCs w:val="20"/>
          <w:lang w:val="sr-Cyrl-RS"/>
        </w:rPr>
        <w:t xml:space="preserve"> за креирање сопствених </w:t>
      </w:r>
      <w:r w:rsidR="00AB6008" w:rsidRPr="0DD3B114">
        <w:rPr>
          <w:rFonts w:ascii="Arial" w:hAnsi="Arial" w:cs="Arial"/>
          <w:sz w:val="20"/>
          <w:szCs w:val="20"/>
          <w:lang w:val="sr-Cyrl-RS"/>
        </w:rPr>
        <w:t xml:space="preserve">развојних </w:t>
      </w:r>
      <w:r w:rsidR="00195E6B" w:rsidRPr="0DD3B114">
        <w:rPr>
          <w:rFonts w:ascii="Arial" w:hAnsi="Arial" w:cs="Arial"/>
          <w:sz w:val="20"/>
          <w:szCs w:val="20"/>
          <w:lang w:val="sr-Cyrl-RS"/>
        </w:rPr>
        <w:t xml:space="preserve">политика и обављање локалних послова </w:t>
      </w:r>
      <w:r w:rsidR="00A13A78" w:rsidRPr="0DD3B114">
        <w:rPr>
          <w:rFonts w:ascii="Arial" w:hAnsi="Arial" w:cs="Arial"/>
          <w:sz w:val="20"/>
          <w:szCs w:val="20"/>
          <w:lang w:val="sr-Cyrl-RS"/>
        </w:rPr>
        <w:t>један</w:t>
      </w:r>
      <w:r w:rsidR="00633242" w:rsidRPr="0DD3B114">
        <w:rPr>
          <w:rFonts w:ascii="Arial" w:hAnsi="Arial" w:cs="Arial"/>
          <w:sz w:val="20"/>
          <w:szCs w:val="20"/>
          <w:lang w:val="sr-Cyrl-RS"/>
        </w:rPr>
        <w:t xml:space="preserve"> је</w:t>
      </w:r>
      <w:r w:rsidR="00A13A78" w:rsidRPr="0DD3B114">
        <w:rPr>
          <w:rFonts w:ascii="Arial" w:hAnsi="Arial" w:cs="Arial"/>
          <w:sz w:val="20"/>
          <w:szCs w:val="20"/>
          <w:lang w:val="sr-Cyrl-RS"/>
        </w:rPr>
        <w:t xml:space="preserve"> од кључних стандарда ЕПЛС. </w:t>
      </w:r>
      <w:r w:rsidR="00617CE5" w:rsidRPr="0DD3B114">
        <w:rPr>
          <w:rFonts w:ascii="Arial" w:hAnsi="Arial" w:cs="Arial"/>
          <w:sz w:val="20"/>
          <w:szCs w:val="20"/>
          <w:lang w:val="sr-Cyrl-RS"/>
        </w:rPr>
        <w:t xml:space="preserve">Она </w:t>
      </w:r>
      <w:r w:rsidR="001C4C02" w:rsidRPr="0DD3B114">
        <w:rPr>
          <w:rFonts w:ascii="Arial" w:hAnsi="Arial" w:cs="Arial"/>
          <w:sz w:val="20"/>
          <w:szCs w:val="20"/>
          <w:lang w:val="sr-Cyrl-RS"/>
        </w:rPr>
        <w:t xml:space="preserve">означава </w:t>
      </w:r>
      <w:r w:rsidR="001B3DA7" w:rsidRPr="0DD3B114">
        <w:rPr>
          <w:rFonts w:ascii="Arial" w:hAnsi="Arial" w:cs="Arial"/>
          <w:sz w:val="20"/>
          <w:szCs w:val="20"/>
          <w:lang w:val="sr-Cyrl-RS"/>
        </w:rPr>
        <w:t xml:space="preserve">као </w:t>
      </w:r>
      <w:r w:rsidR="001C4C02" w:rsidRPr="0DD3B114">
        <w:rPr>
          <w:rFonts w:ascii="Arial" w:hAnsi="Arial" w:cs="Arial"/>
          <w:sz w:val="20"/>
          <w:szCs w:val="20"/>
          <w:lang w:val="sr-Cyrl-RS"/>
        </w:rPr>
        <w:t xml:space="preserve">право и способност локалних власти </w:t>
      </w:r>
      <w:r w:rsidR="00633242" w:rsidRPr="0DD3B114">
        <w:rPr>
          <w:rFonts w:ascii="Arial" w:hAnsi="Arial" w:cs="Arial"/>
          <w:sz w:val="20"/>
          <w:szCs w:val="20"/>
          <w:lang w:val="sr-Cyrl-RS"/>
        </w:rPr>
        <w:t xml:space="preserve">то </w:t>
      </w:r>
      <w:r w:rsidR="001C4C02" w:rsidRPr="0DD3B114">
        <w:rPr>
          <w:rFonts w:ascii="Arial" w:hAnsi="Arial" w:cs="Arial"/>
          <w:sz w:val="20"/>
          <w:szCs w:val="20"/>
          <w:lang w:val="sr-Cyrl-RS"/>
        </w:rPr>
        <w:t>да, у оквиру законских ограничења, уређују послове и управљају битним делом јавних послова под својом одговорношћу и у интересу локалног становништва</w:t>
      </w:r>
      <w:r w:rsidR="001B3DA7" w:rsidRPr="0DD3B114">
        <w:rPr>
          <w:rFonts w:ascii="Arial" w:hAnsi="Arial" w:cs="Arial"/>
          <w:sz w:val="20"/>
          <w:szCs w:val="20"/>
          <w:lang w:val="sr-Cyrl-RS"/>
        </w:rPr>
        <w:t xml:space="preserve"> (</w:t>
      </w:r>
      <w:r w:rsidR="00071F85" w:rsidRPr="0DD3B114">
        <w:rPr>
          <w:rFonts w:ascii="Arial" w:hAnsi="Arial" w:cs="Arial"/>
          <w:sz w:val="20"/>
          <w:szCs w:val="20"/>
          <w:lang w:val="sr-Cyrl-RS"/>
        </w:rPr>
        <w:t>чл</w:t>
      </w:r>
      <w:r w:rsidR="002D67F2" w:rsidRPr="0DD3B114">
        <w:rPr>
          <w:rFonts w:ascii="Arial" w:hAnsi="Arial" w:cs="Arial"/>
          <w:sz w:val="20"/>
          <w:szCs w:val="20"/>
          <w:lang w:val="sr-Cyrl-RS"/>
        </w:rPr>
        <w:t>ан</w:t>
      </w:r>
      <w:r w:rsidR="00071F85" w:rsidRPr="0DD3B114">
        <w:rPr>
          <w:rFonts w:ascii="Arial" w:hAnsi="Arial" w:cs="Arial"/>
          <w:sz w:val="20"/>
          <w:szCs w:val="20"/>
          <w:lang w:val="sr-Cyrl-RS"/>
        </w:rPr>
        <w:t xml:space="preserve"> </w:t>
      </w:r>
      <w:r w:rsidR="001B3DA7" w:rsidRPr="0DD3B114">
        <w:rPr>
          <w:rFonts w:ascii="Arial" w:hAnsi="Arial" w:cs="Arial"/>
          <w:sz w:val="20"/>
          <w:szCs w:val="20"/>
          <w:lang w:val="sr-Cyrl-RS"/>
        </w:rPr>
        <w:t>3.</w:t>
      </w:r>
      <w:r w:rsidR="002D67F2" w:rsidRPr="0DD3B114">
        <w:rPr>
          <w:rFonts w:ascii="Arial" w:hAnsi="Arial" w:cs="Arial"/>
          <w:sz w:val="20"/>
          <w:szCs w:val="20"/>
          <w:lang w:val="sr-Cyrl-RS"/>
        </w:rPr>
        <w:t xml:space="preserve"> став </w:t>
      </w:r>
      <w:r w:rsidR="001B3DA7" w:rsidRPr="0DD3B114">
        <w:rPr>
          <w:rFonts w:ascii="Arial" w:hAnsi="Arial" w:cs="Arial"/>
          <w:sz w:val="20"/>
          <w:szCs w:val="20"/>
          <w:lang w:val="sr-Cyrl-RS"/>
        </w:rPr>
        <w:t>1</w:t>
      </w:r>
      <w:r w:rsidR="002D67F2" w:rsidRPr="0DD3B114">
        <w:rPr>
          <w:rFonts w:ascii="Arial" w:hAnsi="Arial" w:cs="Arial"/>
          <w:sz w:val="20"/>
          <w:szCs w:val="20"/>
          <w:lang w:val="sr-Cyrl-RS"/>
        </w:rPr>
        <w:t>.</w:t>
      </w:r>
      <w:r w:rsidR="001B3DA7" w:rsidRPr="0DD3B114">
        <w:rPr>
          <w:rFonts w:ascii="Arial" w:hAnsi="Arial" w:cs="Arial"/>
          <w:sz w:val="20"/>
          <w:szCs w:val="20"/>
          <w:lang w:val="sr-Cyrl-RS"/>
        </w:rPr>
        <w:t>).</w:t>
      </w:r>
      <w:r w:rsidR="00EB64A8" w:rsidRPr="0DD3B114">
        <w:rPr>
          <w:rFonts w:ascii="Arial" w:hAnsi="Arial" w:cs="Arial"/>
          <w:sz w:val="20"/>
          <w:szCs w:val="20"/>
          <w:lang w:val="sr-Cyrl-RS"/>
        </w:rPr>
        <w:t xml:space="preserve"> Управо је постојање локалних надлежности и послова које обављају слободно изабрани представници грађана у оквиру локално успостављених институција један од кључних тем</w:t>
      </w:r>
      <w:r w:rsidR="00C743CA" w:rsidRPr="0DD3B114">
        <w:rPr>
          <w:rFonts w:ascii="Arial" w:hAnsi="Arial" w:cs="Arial"/>
          <w:sz w:val="20"/>
          <w:szCs w:val="20"/>
          <w:lang w:val="sr-Cyrl-RS"/>
        </w:rPr>
        <w:t>е</w:t>
      </w:r>
      <w:r w:rsidR="00EB64A8" w:rsidRPr="0DD3B114">
        <w:rPr>
          <w:rFonts w:ascii="Arial" w:hAnsi="Arial" w:cs="Arial"/>
          <w:sz w:val="20"/>
          <w:szCs w:val="20"/>
          <w:lang w:val="sr-Cyrl-RS"/>
        </w:rPr>
        <w:t xml:space="preserve">ља </w:t>
      </w:r>
      <w:r w:rsidR="005B3331" w:rsidRPr="0DD3B114">
        <w:rPr>
          <w:rFonts w:ascii="Arial" w:hAnsi="Arial" w:cs="Arial"/>
          <w:sz w:val="20"/>
          <w:szCs w:val="20"/>
          <w:lang w:val="sr-Cyrl-RS"/>
        </w:rPr>
        <w:t>локалне демократије.</w:t>
      </w:r>
    </w:p>
    <w:p w14:paraId="33AEFCBA" w14:textId="77777777" w:rsidR="005B3331" w:rsidRPr="00A021B7" w:rsidRDefault="005B3331" w:rsidP="0DD3B114">
      <w:pPr>
        <w:ind w:firstLine="720"/>
        <w:jc w:val="both"/>
        <w:rPr>
          <w:rFonts w:ascii="Arial" w:hAnsi="Arial" w:cs="Arial"/>
          <w:sz w:val="20"/>
          <w:szCs w:val="20"/>
          <w:lang w:val="sr-Cyrl-RS"/>
        </w:rPr>
      </w:pPr>
    </w:p>
    <w:p w14:paraId="5B22287C" w14:textId="690BC967" w:rsidR="00CB42EF" w:rsidRPr="00A021B7" w:rsidRDefault="00742BF3" w:rsidP="0DD3B114">
      <w:pPr>
        <w:ind w:firstLine="720"/>
        <w:jc w:val="both"/>
        <w:rPr>
          <w:rFonts w:ascii="Arial" w:hAnsi="Arial" w:cs="Arial"/>
          <w:sz w:val="20"/>
          <w:szCs w:val="20"/>
          <w:lang w:val="sr-Cyrl-RS"/>
        </w:rPr>
      </w:pPr>
      <w:r w:rsidRPr="0DD3B114">
        <w:rPr>
          <w:rFonts w:ascii="Arial" w:hAnsi="Arial" w:cs="Arial"/>
          <w:sz w:val="20"/>
          <w:szCs w:val="20"/>
          <w:lang w:val="sr-Cyrl-RS"/>
        </w:rPr>
        <w:t>Посредством локалне самоуправе грађанима се обезбеђује директно или индиректно велики број услуга, почев од административних (као што су различита уверења, потврде, дозволе), преко комуналних (даљинско грејањ</w:t>
      </w:r>
      <w:r w:rsidR="00633242" w:rsidRPr="0DD3B114">
        <w:rPr>
          <w:rFonts w:ascii="Arial" w:hAnsi="Arial" w:cs="Arial"/>
          <w:sz w:val="20"/>
          <w:szCs w:val="20"/>
          <w:lang w:val="sr-Cyrl-RS"/>
        </w:rPr>
        <w:t>е</w:t>
      </w:r>
      <w:r w:rsidRPr="0DD3B114">
        <w:rPr>
          <w:rFonts w:ascii="Arial" w:hAnsi="Arial" w:cs="Arial"/>
          <w:sz w:val="20"/>
          <w:szCs w:val="20"/>
          <w:lang w:val="sr-Cyrl-RS"/>
        </w:rPr>
        <w:t>, водо</w:t>
      </w:r>
      <w:r w:rsidR="00633242" w:rsidRPr="0DD3B114">
        <w:rPr>
          <w:rFonts w:ascii="Arial" w:hAnsi="Arial" w:cs="Arial"/>
          <w:sz w:val="20"/>
          <w:szCs w:val="20"/>
          <w:lang w:val="sr-Cyrl-RS"/>
        </w:rPr>
        <w:t>снабдевање</w:t>
      </w:r>
      <w:r w:rsidRPr="0DD3B114">
        <w:rPr>
          <w:rFonts w:ascii="Arial" w:hAnsi="Arial" w:cs="Arial"/>
          <w:sz w:val="20"/>
          <w:szCs w:val="20"/>
          <w:lang w:val="sr-Cyrl-RS"/>
        </w:rPr>
        <w:t>, чишћењ</w:t>
      </w:r>
      <w:r w:rsidR="00633242" w:rsidRPr="0DD3B114">
        <w:rPr>
          <w:rFonts w:ascii="Arial" w:hAnsi="Arial" w:cs="Arial"/>
          <w:sz w:val="20"/>
          <w:szCs w:val="20"/>
          <w:lang w:val="sr-Cyrl-RS"/>
        </w:rPr>
        <w:t>е</w:t>
      </w:r>
      <w:r w:rsidRPr="0DD3B114">
        <w:rPr>
          <w:rFonts w:ascii="Arial" w:hAnsi="Arial" w:cs="Arial"/>
          <w:sz w:val="20"/>
          <w:szCs w:val="20"/>
          <w:lang w:val="sr-Cyrl-RS"/>
        </w:rPr>
        <w:t>, пијачн</w:t>
      </w:r>
      <w:r w:rsidR="00633242" w:rsidRPr="0DD3B114">
        <w:rPr>
          <w:rFonts w:ascii="Arial" w:hAnsi="Arial" w:cs="Arial"/>
          <w:sz w:val="20"/>
          <w:szCs w:val="20"/>
          <w:lang w:val="sr-Cyrl-RS"/>
        </w:rPr>
        <w:t>е</w:t>
      </w:r>
      <w:r w:rsidRPr="0DD3B114">
        <w:rPr>
          <w:rFonts w:ascii="Arial" w:hAnsi="Arial" w:cs="Arial"/>
          <w:sz w:val="20"/>
          <w:szCs w:val="20"/>
          <w:lang w:val="sr-Cyrl-RS"/>
        </w:rPr>
        <w:t xml:space="preserve"> услуг</w:t>
      </w:r>
      <w:r w:rsidR="00633242" w:rsidRPr="0DD3B114">
        <w:rPr>
          <w:rFonts w:ascii="Arial" w:hAnsi="Arial" w:cs="Arial"/>
          <w:sz w:val="20"/>
          <w:szCs w:val="20"/>
          <w:lang w:val="sr-Cyrl-RS"/>
        </w:rPr>
        <w:t>е</w:t>
      </w:r>
      <w:r w:rsidR="00CB42EF" w:rsidRPr="0DD3B114">
        <w:rPr>
          <w:rFonts w:ascii="Arial" w:hAnsi="Arial" w:cs="Arial"/>
          <w:sz w:val="20"/>
          <w:szCs w:val="20"/>
          <w:lang w:val="sr-Cyrl-RS"/>
        </w:rPr>
        <w:t>, л</w:t>
      </w:r>
      <w:r w:rsidR="00CB42EF" w:rsidRPr="0DD3B114">
        <w:rPr>
          <w:rFonts w:ascii="Arial" w:hAnsi="Arial" w:cs="Arial"/>
          <w:color w:val="000000" w:themeColor="text1"/>
          <w:sz w:val="20"/>
          <w:szCs w:val="20"/>
          <w:lang w:val="sr-Cyrl-RS"/>
        </w:rPr>
        <w:t>окални путеви, јавни превоз</w:t>
      </w:r>
      <w:r w:rsidR="00CB42EF" w:rsidRPr="0DD3B114">
        <w:rPr>
          <w:rFonts w:ascii="Arial" w:hAnsi="Arial" w:cs="Arial"/>
          <w:sz w:val="20"/>
          <w:szCs w:val="20"/>
          <w:lang w:val="sr-Cyrl-RS"/>
        </w:rPr>
        <w:t xml:space="preserve"> </w:t>
      </w:r>
      <w:r w:rsidRPr="0DD3B114">
        <w:rPr>
          <w:rFonts w:ascii="Arial" w:hAnsi="Arial" w:cs="Arial"/>
          <w:sz w:val="20"/>
          <w:szCs w:val="20"/>
          <w:lang w:val="sr-Cyrl-RS"/>
        </w:rPr>
        <w:t>и др</w:t>
      </w:r>
      <w:r w:rsidR="00633242" w:rsidRPr="0DD3B114">
        <w:rPr>
          <w:rFonts w:ascii="Arial" w:hAnsi="Arial" w:cs="Arial"/>
          <w:sz w:val="20"/>
          <w:szCs w:val="20"/>
          <w:lang w:val="sr-Cyrl-RS"/>
        </w:rPr>
        <w:t>.</w:t>
      </w:r>
      <w:r w:rsidRPr="0DD3B114">
        <w:rPr>
          <w:rFonts w:ascii="Arial" w:hAnsi="Arial" w:cs="Arial"/>
          <w:sz w:val="20"/>
          <w:szCs w:val="20"/>
          <w:lang w:val="sr-Cyrl-RS"/>
        </w:rPr>
        <w:t>), до значајног дела услуга из социјалне сфере (у областима као што су култура, образовање, социјална заштита, здравство, спорт и др</w:t>
      </w:r>
      <w:r w:rsidR="00633242" w:rsidRPr="0DD3B114">
        <w:rPr>
          <w:rFonts w:ascii="Arial" w:hAnsi="Arial" w:cs="Arial"/>
          <w:sz w:val="20"/>
          <w:szCs w:val="20"/>
          <w:lang w:val="sr-Cyrl-RS"/>
        </w:rPr>
        <w:t>.</w:t>
      </w:r>
      <w:r w:rsidRPr="0DD3B114">
        <w:rPr>
          <w:rFonts w:ascii="Arial" w:hAnsi="Arial" w:cs="Arial"/>
          <w:sz w:val="20"/>
          <w:szCs w:val="20"/>
          <w:lang w:val="sr-Cyrl-RS"/>
        </w:rPr>
        <w:t>).</w:t>
      </w:r>
    </w:p>
    <w:p w14:paraId="487810BC" w14:textId="77777777" w:rsidR="006831D0" w:rsidRPr="00A021B7" w:rsidRDefault="006831D0" w:rsidP="003E7BC9">
      <w:pPr>
        <w:jc w:val="both"/>
        <w:rPr>
          <w:rFonts w:ascii="Arial" w:hAnsi="Arial" w:cs="Arial"/>
          <w:i/>
          <w:iCs/>
          <w:sz w:val="20"/>
          <w:szCs w:val="20"/>
          <w:lang w:val="sr-Cyrl-RS"/>
        </w:rPr>
      </w:pPr>
    </w:p>
    <w:p w14:paraId="4126E785" w14:textId="75FEBED3" w:rsidR="00955639" w:rsidRPr="00A021B7" w:rsidRDefault="00955639" w:rsidP="0DD3B114">
      <w:pPr>
        <w:jc w:val="both"/>
        <w:rPr>
          <w:rFonts w:ascii="Arial" w:hAnsi="Arial" w:cs="Arial"/>
          <w:i/>
          <w:iCs/>
          <w:sz w:val="20"/>
          <w:szCs w:val="20"/>
          <w:lang w:val="sr-Cyrl-RS"/>
        </w:rPr>
      </w:pPr>
      <w:r w:rsidRPr="0DD3B114">
        <w:rPr>
          <w:rFonts w:ascii="Arial" w:hAnsi="Arial" w:cs="Arial"/>
          <w:i/>
          <w:iCs/>
          <w:sz w:val="20"/>
          <w:szCs w:val="20"/>
          <w:lang w:val="sr-Cyrl-RS"/>
        </w:rPr>
        <w:t>Табела</w:t>
      </w:r>
      <w:r w:rsidR="006D6521" w:rsidRPr="0DD3B114">
        <w:rPr>
          <w:rFonts w:ascii="Arial" w:hAnsi="Arial" w:cs="Arial"/>
          <w:i/>
          <w:iCs/>
          <w:sz w:val="20"/>
          <w:szCs w:val="20"/>
          <w:lang w:val="sr-Cyrl-RS"/>
        </w:rPr>
        <w:t xml:space="preserve"> </w:t>
      </w:r>
      <w:r w:rsidR="007226A3" w:rsidRPr="0DD3B114">
        <w:rPr>
          <w:rFonts w:ascii="Arial" w:hAnsi="Arial" w:cs="Arial"/>
          <w:i/>
          <w:iCs/>
          <w:sz w:val="20"/>
          <w:szCs w:val="20"/>
          <w:lang w:val="sr-Cyrl-RS"/>
        </w:rPr>
        <w:t>2</w:t>
      </w:r>
      <w:r w:rsidRPr="0DD3B114">
        <w:rPr>
          <w:rFonts w:ascii="Arial" w:hAnsi="Arial" w:cs="Arial"/>
          <w:i/>
          <w:iCs/>
          <w:sz w:val="20"/>
          <w:szCs w:val="20"/>
          <w:lang w:val="sr-Cyrl-RS"/>
        </w:rPr>
        <w:t>: Генерални преглед</w:t>
      </w:r>
      <w:r w:rsidR="00633242" w:rsidRPr="0DD3B114">
        <w:rPr>
          <w:rFonts w:ascii="Arial" w:hAnsi="Arial" w:cs="Arial"/>
          <w:i/>
          <w:iCs/>
          <w:sz w:val="20"/>
          <w:szCs w:val="20"/>
          <w:lang w:val="sr-Cyrl-RS"/>
        </w:rPr>
        <w:t xml:space="preserve"> </w:t>
      </w:r>
      <w:r w:rsidR="002D0F74" w:rsidRPr="0DD3B114">
        <w:rPr>
          <w:rFonts w:ascii="Arial" w:hAnsi="Arial" w:cs="Arial"/>
          <w:i/>
          <w:iCs/>
          <w:sz w:val="20"/>
          <w:szCs w:val="20"/>
          <w:lang w:val="sr-Cyrl-RS"/>
        </w:rPr>
        <w:t>/</w:t>
      </w:r>
      <w:r w:rsidR="00633242" w:rsidRPr="0DD3B114">
        <w:rPr>
          <w:rFonts w:ascii="Arial" w:hAnsi="Arial" w:cs="Arial"/>
          <w:i/>
          <w:iCs/>
          <w:sz w:val="20"/>
          <w:szCs w:val="20"/>
          <w:lang w:val="sr-Cyrl-RS"/>
        </w:rPr>
        <w:t xml:space="preserve"> </w:t>
      </w:r>
      <w:r w:rsidR="00805658" w:rsidRPr="0DD3B114">
        <w:rPr>
          <w:rFonts w:ascii="Arial" w:hAnsi="Arial" w:cs="Arial"/>
          <w:i/>
          <w:iCs/>
          <w:sz w:val="20"/>
          <w:szCs w:val="20"/>
          <w:lang w:val="sr-Cyrl-RS"/>
        </w:rPr>
        <w:t xml:space="preserve">схема </w:t>
      </w:r>
      <w:r w:rsidRPr="0DD3B114">
        <w:rPr>
          <w:rFonts w:ascii="Arial" w:hAnsi="Arial" w:cs="Arial"/>
          <w:i/>
          <w:iCs/>
          <w:sz w:val="20"/>
          <w:szCs w:val="20"/>
          <w:lang w:val="sr-Cyrl-RS"/>
        </w:rPr>
        <w:t>надлежности поднационалног нивоа јавне</w:t>
      </w:r>
      <w:r w:rsidR="0059429E" w:rsidRPr="0DD3B114">
        <w:rPr>
          <w:rFonts w:ascii="Arial" w:hAnsi="Arial" w:cs="Arial"/>
          <w:i/>
          <w:iCs/>
          <w:sz w:val="20"/>
          <w:szCs w:val="20"/>
          <w:lang w:val="sr-Cyrl-RS"/>
        </w:rPr>
        <w:t xml:space="preserve"> </w:t>
      </w:r>
      <w:r w:rsidR="002D0F74" w:rsidRPr="0DD3B114">
        <w:rPr>
          <w:rFonts w:ascii="Arial" w:hAnsi="Arial" w:cs="Arial"/>
          <w:i/>
          <w:iCs/>
          <w:sz w:val="20"/>
          <w:szCs w:val="20"/>
          <w:lang w:val="sr-Cyrl-RS"/>
        </w:rPr>
        <w:t>власти</w:t>
      </w:r>
      <w:r w:rsidR="000E6115" w:rsidRPr="0DD3B114">
        <w:rPr>
          <w:rFonts w:ascii="Arial" w:hAnsi="Arial" w:cs="Arial"/>
          <w:i/>
          <w:iCs/>
          <w:sz w:val="20"/>
          <w:szCs w:val="20"/>
          <w:lang w:val="sr-Cyrl-RS"/>
        </w:rPr>
        <w:t xml:space="preserve"> </w:t>
      </w:r>
      <w:r w:rsidR="00BC1C54" w:rsidRPr="0DD3B114">
        <w:rPr>
          <w:rFonts w:ascii="Arial" w:hAnsi="Arial" w:cs="Arial"/>
          <w:i/>
          <w:iCs/>
          <w:sz w:val="20"/>
          <w:szCs w:val="20"/>
          <w:lang w:val="sr-Cyrl-RS"/>
        </w:rPr>
        <w:t>у свету (ОЕЦД)</w:t>
      </w:r>
    </w:p>
    <w:p w14:paraId="0C8CB063" w14:textId="77777777" w:rsidR="00955639" w:rsidRPr="00A021B7" w:rsidRDefault="00955639" w:rsidP="003E7BC9">
      <w:pPr>
        <w:jc w:val="both"/>
        <w:rPr>
          <w:rFonts w:ascii="Arial" w:hAnsi="Arial" w:cs="Arial"/>
          <w:sz w:val="20"/>
          <w:szCs w:val="20"/>
          <w:lang w:val="sr-Cyrl-RS"/>
        </w:rPr>
      </w:pPr>
    </w:p>
    <w:tbl>
      <w:tblPr>
        <w:tblStyle w:val="TableGrid"/>
        <w:tblW w:w="0" w:type="auto"/>
        <w:tblLook w:val="04A0" w:firstRow="1" w:lastRow="0" w:firstColumn="1" w:lastColumn="0" w:noHBand="0" w:noVBand="1"/>
      </w:tblPr>
      <w:tblGrid>
        <w:gridCol w:w="3256"/>
        <w:gridCol w:w="2750"/>
        <w:gridCol w:w="3004"/>
      </w:tblGrid>
      <w:tr w:rsidR="00CD6D7F" w:rsidRPr="00A021B7" w14:paraId="3F0889B4" w14:textId="77777777" w:rsidTr="0DD3B114">
        <w:trPr>
          <w:trHeight w:val="45"/>
        </w:trPr>
        <w:tc>
          <w:tcPr>
            <w:tcW w:w="3256" w:type="dxa"/>
          </w:tcPr>
          <w:p w14:paraId="0C577BFE" w14:textId="77777777" w:rsidR="00CD6D7F" w:rsidRPr="00A021B7" w:rsidRDefault="0091013A" w:rsidP="003E7BC9">
            <w:pPr>
              <w:jc w:val="both"/>
              <w:rPr>
                <w:rFonts w:ascii="Arial" w:hAnsi="Arial" w:cs="Arial"/>
                <w:sz w:val="20"/>
                <w:szCs w:val="20"/>
                <w:lang w:val="sr-Cyrl-RS"/>
              </w:rPr>
            </w:pPr>
            <w:r w:rsidRPr="00A021B7">
              <w:rPr>
                <w:rFonts w:ascii="Arial" w:hAnsi="Arial" w:cs="Arial"/>
                <w:sz w:val="20"/>
                <w:szCs w:val="20"/>
                <w:lang w:val="sr-Cyrl-RS"/>
              </w:rPr>
              <w:t>Општински ниво</w:t>
            </w:r>
          </w:p>
        </w:tc>
        <w:tc>
          <w:tcPr>
            <w:tcW w:w="2750" w:type="dxa"/>
          </w:tcPr>
          <w:p w14:paraId="133C7154" w14:textId="77777777" w:rsidR="00CD6D7F" w:rsidRPr="00A021B7" w:rsidRDefault="0091013A" w:rsidP="003E7BC9">
            <w:pPr>
              <w:jc w:val="both"/>
              <w:rPr>
                <w:rFonts w:ascii="Arial" w:hAnsi="Arial" w:cs="Arial"/>
                <w:sz w:val="20"/>
                <w:szCs w:val="20"/>
                <w:lang w:val="sr-Cyrl-RS"/>
              </w:rPr>
            </w:pPr>
            <w:r w:rsidRPr="00A021B7">
              <w:rPr>
                <w:rFonts w:ascii="Arial" w:hAnsi="Arial" w:cs="Arial"/>
                <w:sz w:val="20"/>
                <w:szCs w:val="20"/>
                <w:lang w:val="sr-Cyrl-RS"/>
              </w:rPr>
              <w:t>Међуниво</w:t>
            </w:r>
          </w:p>
        </w:tc>
        <w:tc>
          <w:tcPr>
            <w:tcW w:w="3004" w:type="dxa"/>
          </w:tcPr>
          <w:p w14:paraId="10D463E2" w14:textId="77777777" w:rsidR="00CD6D7F" w:rsidRPr="00A021B7" w:rsidRDefault="0091013A" w:rsidP="003E7BC9">
            <w:pPr>
              <w:jc w:val="both"/>
              <w:rPr>
                <w:rFonts w:ascii="Arial" w:hAnsi="Arial" w:cs="Arial"/>
                <w:sz w:val="20"/>
                <w:szCs w:val="20"/>
                <w:lang w:val="sr-Cyrl-RS"/>
              </w:rPr>
            </w:pPr>
            <w:r w:rsidRPr="00A021B7">
              <w:rPr>
                <w:rFonts w:ascii="Arial" w:hAnsi="Arial" w:cs="Arial"/>
                <w:sz w:val="20"/>
                <w:szCs w:val="20"/>
                <w:lang w:val="sr-Cyrl-RS"/>
              </w:rPr>
              <w:t>Регионални ниво</w:t>
            </w:r>
          </w:p>
        </w:tc>
      </w:tr>
      <w:tr w:rsidR="0091013A" w:rsidRPr="00A021B7" w14:paraId="659978F2" w14:textId="77777777" w:rsidTr="0DD3B114">
        <w:tc>
          <w:tcPr>
            <w:tcW w:w="3256" w:type="dxa"/>
          </w:tcPr>
          <w:p w14:paraId="4597857F" w14:textId="77777777" w:rsidR="003E0986" w:rsidRPr="00A021B7" w:rsidRDefault="003E0986"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r w:rsidRPr="00A021B7">
              <w:rPr>
                <w:rFonts w:ascii="Arial" w:hAnsi="Arial" w:cs="Arial"/>
                <w:color w:val="000000"/>
                <w:sz w:val="20"/>
                <w:szCs w:val="20"/>
                <w:lang w:val="sr-Cyrl-RS"/>
              </w:rPr>
              <w:t>Широк спектар одговорности:</w:t>
            </w:r>
          </w:p>
          <w:p w14:paraId="60E9416F" w14:textId="77777777" w:rsidR="00C27F22" w:rsidRPr="00A021B7" w:rsidRDefault="00C27F22"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6F803988"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Општа клаузула о надлежности</w:t>
            </w:r>
          </w:p>
          <w:p w14:paraId="252BFA10" w14:textId="49DB9D19" w:rsidR="00F23DD1" w:rsidRPr="00A021B7" w:rsidRDefault="1AF9633C"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DD3B114">
              <w:rPr>
                <w:rFonts w:ascii="Arial" w:hAnsi="Arial" w:cs="Arial"/>
                <w:color w:val="000000" w:themeColor="text1"/>
                <w:sz w:val="20"/>
                <w:szCs w:val="20"/>
                <w:lang w:val="sr-Cyrl-RS"/>
              </w:rPr>
              <w:t>Додатне надлежности дате законима</w:t>
            </w:r>
          </w:p>
          <w:p w14:paraId="232501C5" w14:textId="77777777" w:rsidR="00F23DD1" w:rsidRPr="00A021B7" w:rsidRDefault="00F23DD1" w:rsidP="003E7BC9">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Arial" w:hAnsi="Arial" w:cs="Arial"/>
                <w:color w:val="000000"/>
                <w:sz w:val="20"/>
                <w:szCs w:val="20"/>
                <w:lang w:val="sr-Cyrl-RS"/>
              </w:rPr>
            </w:pPr>
          </w:p>
          <w:p w14:paraId="5DC1A0C1" w14:textId="77777777" w:rsidR="003E0986" w:rsidRPr="00A021B7" w:rsidRDefault="003E0986"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r w:rsidRPr="00A021B7">
              <w:rPr>
                <w:rFonts w:ascii="Arial" w:hAnsi="Arial" w:cs="Arial"/>
                <w:color w:val="000000"/>
                <w:sz w:val="20"/>
                <w:szCs w:val="20"/>
                <w:lang w:val="sr-Cyrl-RS"/>
              </w:rPr>
              <w:t>Услуге у заједници:</w:t>
            </w:r>
          </w:p>
          <w:p w14:paraId="6841032C" w14:textId="77777777" w:rsidR="00F23DD1" w:rsidRPr="00A021B7" w:rsidRDefault="00F23DD1"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2123A0E1"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Образовање (вртићи, предшколско и основно образовање)</w:t>
            </w:r>
          </w:p>
          <w:p w14:paraId="6EDF8ECF"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Урбанистичко планирање и управљање</w:t>
            </w:r>
          </w:p>
          <w:p w14:paraId="11768873"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lastRenderedPageBreak/>
              <w:t>Локалне комуналне мреже (вода, канализација, отпад, хигијена итд.)</w:t>
            </w:r>
          </w:p>
          <w:p w14:paraId="0B5D50F6" w14:textId="10C390D5" w:rsidR="003E0986" w:rsidRPr="00A021B7" w:rsidRDefault="1AF9633C"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DD3B114">
              <w:rPr>
                <w:rFonts w:ascii="Arial" w:hAnsi="Arial" w:cs="Arial"/>
                <w:color w:val="000000" w:themeColor="text1"/>
                <w:sz w:val="20"/>
                <w:szCs w:val="20"/>
                <w:lang w:val="sr-Cyrl-RS"/>
              </w:rPr>
              <w:t xml:space="preserve">Локални путеви и </w:t>
            </w:r>
            <w:r w:rsidR="0BEB3708" w:rsidRPr="0DD3B114">
              <w:rPr>
                <w:rFonts w:ascii="Arial" w:hAnsi="Arial" w:cs="Arial"/>
                <w:color w:val="000000" w:themeColor="text1"/>
                <w:sz w:val="20"/>
                <w:szCs w:val="20"/>
                <w:lang w:val="sr-Cyrl-RS"/>
              </w:rPr>
              <w:t xml:space="preserve">јавни </w:t>
            </w:r>
            <w:r w:rsidRPr="0DD3B114">
              <w:rPr>
                <w:rFonts w:ascii="Arial" w:hAnsi="Arial" w:cs="Arial"/>
                <w:color w:val="000000" w:themeColor="text1"/>
                <w:sz w:val="20"/>
                <w:szCs w:val="20"/>
                <w:lang w:val="sr-Cyrl-RS"/>
              </w:rPr>
              <w:t>градски превоз</w:t>
            </w:r>
          </w:p>
          <w:p w14:paraId="15F7B527" w14:textId="06AED614" w:rsidR="003E0986" w:rsidRPr="00A021B7" w:rsidRDefault="1AF9633C"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DD3B114">
              <w:rPr>
                <w:rFonts w:ascii="Arial" w:hAnsi="Arial" w:cs="Arial"/>
                <w:color w:val="000000" w:themeColor="text1"/>
                <w:sz w:val="20"/>
                <w:szCs w:val="20"/>
                <w:lang w:val="sr-Cyrl-RS"/>
              </w:rPr>
              <w:t>Социјална питања (подршка породици и деци, старијим особама, инвалидима, сиромаш</w:t>
            </w:r>
            <w:r w:rsidR="0BEB3708" w:rsidRPr="0DD3B114">
              <w:rPr>
                <w:rFonts w:ascii="Arial" w:hAnsi="Arial" w:cs="Arial"/>
                <w:color w:val="000000" w:themeColor="text1"/>
                <w:sz w:val="20"/>
                <w:szCs w:val="20"/>
                <w:lang w:val="sr-Cyrl-RS"/>
              </w:rPr>
              <w:t>нима</w:t>
            </w:r>
            <w:r w:rsidRPr="0DD3B114">
              <w:rPr>
                <w:rFonts w:ascii="Arial" w:hAnsi="Arial" w:cs="Arial"/>
                <w:color w:val="000000" w:themeColor="text1"/>
                <w:sz w:val="20"/>
                <w:szCs w:val="20"/>
                <w:lang w:val="sr-Cyrl-RS"/>
              </w:rPr>
              <w:t>, социјалн</w:t>
            </w:r>
            <w:r w:rsidR="0BEB3708" w:rsidRPr="0DD3B114">
              <w:rPr>
                <w:rFonts w:ascii="Arial" w:hAnsi="Arial" w:cs="Arial"/>
                <w:color w:val="000000" w:themeColor="text1"/>
                <w:sz w:val="20"/>
                <w:szCs w:val="20"/>
                <w:lang w:val="sr-Cyrl-RS"/>
              </w:rPr>
              <w:t>а</w:t>
            </w:r>
            <w:r w:rsidRPr="0DD3B114">
              <w:rPr>
                <w:rFonts w:ascii="Arial" w:hAnsi="Arial" w:cs="Arial"/>
                <w:color w:val="000000" w:themeColor="text1"/>
                <w:sz w:val="20"/>
                <w:szCs w:val="20"/>
                <w:lang w:val="sr-Cyrl-RS"/>
              </w:rPr>
              <w:t xml:space="preserve"> давања итд.)</w:t>
            </w:r>
          </w:p>
          <w:p w14:paraId="5AED4D18" w14:textId="17CA62D1" w:rsidR="003E0986" w:rsidRPr="00A021B7" w:rsidRDefault="1AF9633C"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DD3B114">
              <w:rPr>
                <w:rFonts w:ascii="Arial" w:hAnsi="Arial" w:cs="Arial"/>
                <w:color w:val="000000" w:themeColor="text1"/>
                <w:sz w:val="20"/>
                <w:szCs w:val="20"/>
                <w:lang w:val="sr-Cyrl-RS"/>
              </w:rPr>
              <w:t>Примарна и превентивна здравствена заштита</w:t>
            </w:r>
          </w:p>
          <w:p w14:paraId="5CB366D6"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Рекреација (спорт) и култура</w:t>
            </w:r>
          </w:p>
          <w:p w14:paraId="697D06C4" w14:textId="71BD238C" w:rsidR="003E0986" w:rsidRPr="00A021B7" w:rsidRDefault="1AF9633C"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DD3B114">
              <w:rPr>
                <w:rFonts w:ascii="Arial" w:hAnsi="Arial" w:cs="Arial"/>
                <w:color w:val="000000" w:themeColor="text1"/>
                <w:sz w:val="20"/>
                <w:szCs w:val="20"/>
                <w:lang w:val="sr-Cyrl-RS"/>
              </w:rPr>
              <w:t>Јавни ред и безбедност</w:t>
            </w:r>
            <w:r w:rsidR="00305400" w:rsidRPr="0DD3B114">
              <w:rPr>
                <w:rFonts w:ascii="Arial" w:hAnsi="Arial" w:cs="Arial"/>
                <w:color w:val="000000" w:themeColor="text1"/>
                <w:sz w:val="20"/>
                <w:szCs w:val="20"/>
                <w:lang w:val="sr-Cyrl-RS"/>
              </w:rPr>
              <w:t xml:space="preserve"> </w:t>
            </w:r>
            <w:r w:rsidR="0BEB3708" w:rsidRPr="0DD3B114">
              <w:rPr>
                <w:rFonts w:ascii="Arial" w:hAnsi="Arial" w:cs="Arial"/>
                <w:color w:val="000000" w:themeColor="text1"/>
                <w:sz w:val="20"/>
                <w:szCs w:val="20"/>
                <w:lang w:val="sr-Cyrl-RS"/>
              </w:rPr>
              <w:t>(</w:t>
            </w:r>
            <w:r w:rsidRPr="0DD3B114">
              <w:rPr>
                <w:rFonts w:ascii="Arial" w:hAnsi="Arial" w:cs="Arial"/>
                <w:color w:val="000000" w:themeColor="text1"/>
                <w:sz w:val="20"/>
                <w:szCs w:val="20"/>
                <w:lang w:val="sr-Cyrl-RS"/>
              </w:rPr>
              <w:t>општинска полиција, ватрогасне бригаде)</w:t>
            </w:r>
          </w:p>
          <w:p w14:paraId="7C798409"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Локални економски развој, туризам, сајмови</w:t>
            </w:r>
          </w:p>
          <w:p w14:paraId="5CCB509E"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Околина (зелене површине)</w:t>
            </w:r>
          </w:p>
          <w:p w14:paraId="7EE0A745" w14:textId="77777777" w:rsidR="003E0986"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Социјално становање</w:t>
            </w:r>
          </w:p>
          <w:p w14:paraId="0B7DF529" w14:textId="77777777" w:rsidR="00CE7F60" w:rsidRPr="00A021B7" w:rsidRDefault="003E0986"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Административне услуге и издавање дозвола</w:t>
            </w:r>
          </w:p>
        </w:tc>
        <w:tc>
          <w:tcPr>
            <w:tcW w:w="2750" w:type="dxa"/>
          </w:tcPr>
          <w:p w14:paraId="7A32D95E" w14:textId="77777777" w:rsidR="003A1A1E" w:rsidRPr="00A021B7" w:rsidRDefault="6790CF14"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r w:rsidRPr="0DD3B114">
              <w:rPr>
                <w:rFonts w:ascii="Arial" w:hAnsi="Arial" w:cs="Arial"/>
                <w:color w:val="000000" w:themeColor="text1"/>
                <w:sz w:val="20"/>
                <w:szCs w:val="20"/>
                <w:lang w:val="sr-Cyrl-RS"/>
              </w:rPr>
              <w:lastRenderedPageBreak/>
              <w:t>Специјализоване и ограничене одговорности од надопштинског интереса</w:t>
            </w:r>
          </w:p>
          <w:p w14:paraId="0BC9E330" w14:textId="77777777" w:rsidR="003A1A1E" w:rsidRPr="00A021B7" w:rsidRDefault="003A1A1E"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10507233" w14:textId="02C0E63A" w:rsidR="003A1A1E" w:rsidRPr="00A021B7" w:rsidRDefault="6790CF14"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r w:rsidRPr="0DD3B114">
              <w:rPr>
                <w:rFonts w:ascii="Arial" w:hAnsi="Arial" w:cs="Arial"/>
                <w:color w:val="000000" w:themeColor="text1"/>
                <w:sz w:val="20"/>
                <w:szCs w:val="20"/>
                <w:lang w:val="sr-Cyrl-RS"/>
              </w:rPr>
              <w:t xml:space="preserve">Важна улога </w:t>
            </w:r>
            <w:r w:rsidR="3D103848" w:rsidRPr="0DD3B114">
              <w:rPr>
                <w:rFonts w:ascii="Arial" w:hAnsi="Arial" w:cs="Arial"/>
                <w:color w:val="000000" w:themeColor="text1"/>
                <w:sz w:val="20"/>
                <w:szCs w:val="20"/>
                <w:lang w:val="sr-Cyrl-RS"/>
              </w:rPr>
              <w:t>подршке</w:t>
            </w:r>
            <w:r w:rsidR="002139C8" w:rsidRPr="0DD3B114">
              <w:rPr>
                <w:rFonts w:ascii="Arial" w:hAnsi="Arial" w:cs="Arial"/>
                <w:color w:val="000000" w:themeColor="text1"/>
                <w:sz w:val="20"/>
                <w:szCs w:val="20"/>
                <w:lang w:val="sr-Cyrl-RS"/>
              </w:rPr>
              <w:t xml:space="preserve"> </w:t>
            </w:r>
            <w:r w:rsidRPr="0DD3B114">
              <w:rPr>
                <w:rFonts w:ascii="Arial" w:hAnsi="Arial" w:cs="Arial"/>
                <w:color w:val="000000" w:themeColor="text1"/>
                <w:sz w:val="20"/>
                <w:szCs w:val="20"/>
                <w:lang w:val="sr-Cyrl-RS"/>
              </w:rPr>
              <w:t>малим општинама</w:t>
            </w:r>
          </w:p>
          <w:p w14:paraId="7939D209" w14:textId="77777777" w:rsidR="003A1A1E" w:rsidRPr="00A021B7" w:rsidRDefault="003A1A1E"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3A3B965C" w14:textId="77777777" w:rsidR="003A1A1E" w:rsidRPr="00A021B7" w:rsidRDefault="003A1A1E"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r w:rsidRPr="00A021B7">
              <w:rPr>
                <w:rFonts w:ascii="Arial" w:hAnsi="Arial" w:cs="Arial"/>
                <w:color w:val="000000"/>
                <w:sz w:val="20"/>
                <w:szCs w:val="20"/>
                <w:lang w:val="sr-Cyrl-RS"/>
              </w:rPr>
              <w:t xml:space="preserve">Може </w:t>
            </w:r>
            <w:r w:rsidR="00080284" w:rsidRPr="00A021B7">
              <w:rPr>
                <w:rFonts w:ascii="Arial" w:hAnsi="Arial" w:cs="Arial"/>
                <w:color w:val="000000"/>
                <w:sz w:val="20"/>
                <w:szCs w:val="20"/>
                <w:lang w:val="sr-Cyrl-RS"/>
              </w:rPr>
              <w:t>укључивати</w:t>
            </w:r>
            <w:r w:rsidRPr="00A021B7">
              <w:rPr>
                <w:rFonts w:ascii="Arial" w:hAnsi="Arial" w:cs="Arial"/>
                <w:color w:val="000000"/>
                <w:sz w:val="20"/>
                <w:szCs w:val="20"/>
                <w:lang w:val="sr-Cyrl-RS"/>
              </w:rPr>
              <w:t xml:space="preserve"> одговорности које су делегирали региони и централна влада</w:t>
            </w:r>
          </w:p>
          <w:p w14:paraId="1B042143" w14:textId="77777777" w:rsidR="00080284" w:rsidRPr="00A021B7" w:rsidRDefault="00080284"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389E217B" w14:textId="7FDC559D" w:rsidR="003A1A1E" w:rsidRPr="00A021B7" w:rsidRDefault="6790CF14"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r w:rsidRPr="0DD3B114">
              <w:rPr>
                <w:rFonts w:ascii="Arial" w:hAnsi="Arial" w:cs="Arial"/>
                <w:color w:val="000000" w:themeColor="text1"/>
                <w:sz w:val="20"/>
                <w:szCs w:val="20"/>
                <w:lang w:val="sr-Cyrl-RS"/>
              </w:rPr>
              <w:lastRenderedPageBreak/>
              <w:t xml:space="preserve">Одговорности </w:t>
            </w:r>
            <w:r w:rsidR="2CF63235" w:rsidRPr="0DD3B114">
              <w:rPr>
                <w:rFonts w:ascii="Arial" w:hAnsi="Arial" w:cs="Arial"/>
                <w:color w:val="000000" w:themeColor="text1"/>
                <w:sz w:val="20"/>
                <w:szCs w:val="20"/>
                <w:lang w:val="sr-Cyrl-RS"/>
              </w:rPr>
              <w:t>везане за</w:t>
            </w:r>
            <w:r w:rsidR="002139C8" w:rsidRPr="0DD3B114">
              <w:rPr>
                <w:rFonts w:ascii="Arial" w:hAnsi="Arial" w:cs="Arial"/>
                <w:color w:val="000000" w:themeColor="text1"/>
                <w:sz w:val="20"/>
                <w:szCs w:val="20"/>
                <w:lang w:val="sr-Cyrl-RS"/>
              </w:rPr>
              <w:t xml:space="preserve"> </w:t>
            </w:r>
            <w:r w:rsidRPr="0DD3B114">
              <w:rPr>
                <w:rFonts w:ascii="Arial" w:hAnsi="Arial" w:cs="Arial"/>
                <w:color w:val="000000" w:themeColor="text1"/>
                <w:sz w:val="20"/>
                <w:szCs w:val="20"/>
                <w:lang w:val="sr-Cyrl-RS"/>
              </w:rPr>
              <w:t>функционални ниво и географско подручје:</w:t>
            </w:r>
          </w:p>
          <w:p w14:paraId="257739E9" w14:textId="77777777" w:rsidR="00080284" w:rsidRPr="00A021B7" w:rsidRDefault="00080284"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69F56B65" w14:textId="77777777" w:rsidR="003A1A1E" w:rsidRPr="00A021B7" w:rsidRDefault="003A1A1E"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Средње образовање или специјалистичко образовање</w:t>
            </w:r>
          </w:p>
          <w:p w14:paraId="0725F409" w14:textId="27531D11" w:rsidR="003A1A1E" w:rsidRPr="00A021B7" w:rsidRDefault="2CF63235"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DD3B114">
              <w:rPr>
                <w:rFonts w:ascii="Arial" w:hAnsi="Arial" w:cs="Arial"/>
                <w:color w:val="000000" w:themeColor="text1"/>
                <w:sz w:val="20"/>
                <w:szCs w:val="20"/>
                <w:lang w:val="sr-Cyrl-RS"/>
              </w:rPr>
              <w:t>Над</w:t>
            </w:r>
            <w:r w:rsidR="6790CF14" w:rsidRPr="0DD3B114">
              <w:rPr>
                <w:rFonts w:ascii="Arial" w:hAnsi="Arial" w:cs="Arial"/>
                <w:color w:val="000000" w:themeColor="text1"/>
                <w:sz w:val="20"/>
                <w:szCs w:val="20"/>
                <w:lang w:val="sr-Cyrl-RS"/>
              </w:rPr>
              <w:t>општинск</w:t>
            </w:r>
            <w:r w:rsidR="002139C8" w:rsidRPr="0DD3B114">
              <w:rPr>
                <w:rFonts w:ascii="Arial" w:hAnsi="Arial" w:cs="Arial"/>
                <w:color w:val="000000" w:themeColor="text1"/>
                <w:sz w:val="20"/>
                <w:szCs w:val="20"/>
                <w:lang w:val="sr-Cyrl-RS"/>
              </w:rPr>
              <w:t>е</w:t>
            </w:r>
            <w:r w:rsidR="6790CF14" w:rsidRPr="0DD3B114">
              <w:rPr>
                <w:rFonts w:ascii="Arial" w:hAnsi="Arial" w:cs="Arial"/>
                <w:color w:val="000000" w:themeColor="text1"/>
                <w:sz w:val="20"/>
                <w:szCs w:val="20"/>
                <w:lang w:val="sr-Cyrl-RS"/>
              </w:rPr>
              <w:t xml:space="preserve"> социјалн</w:t>
            </w:r>
            <w:r w:rsidRPr="0DD3B114">
              <w:rPr>
                <w:rFonts w:ascii="Arial" w:hAnsi="Arial" w:cs="Arial"/>
                <w:color w:val="000000" w:themeColor="text1"/>
                <w:sz w:val="20"/>
                <w:szCs w:val="20"/>
                <w:lang w:val="sr-Cyrl-RS"/>
              </w:rPr>
              <w:t xml:space="preserve">е услуге и </w:t>
            </w:r>
            <w:r w:rsidR="6790CF14" w:rsidRPr="0DD3B114">
              <w:rPr>
                <w:rFonts w:ascii="Arial" w:hAnsi="Arial" w:cs="Arial"/>
                <w:color w:val="000000" w:themeColor="text1"/>
                <w:sz w:val="20"/>
                <w:szCs w:val="20"/>
                <w:lang w:val="sr-Cyrl-RS"/>
              </w:rPr>
              <w:t>добробит младих</w:t>
            </w:r>
          </w:p>
          <w:p w14:paraId="560FB7CA" w14:textId="77777777" w:rsidR="003A1A1E" w:rsidRPr="00A021B7" w:rsidRDefault="00C27F22"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Б</w:t>
            </w:r>
            <w:r w:rsidR="003A1A1E" w:rsidRPr="00A021B7">
              <w:rPr>
                <w:rFonts w:ascii="Arial" w:hAnsi="Arial" w:cs="Arial"/>
                <w:color w:val="000000"/>
                <w:sz w:val="20"/>
                <w:szCs w:val="20"/>
                <w:lang w:val="sr-Cyrl-RS"/>
              </w:rPr>
              <w:t>олнице</w:t>
            </w:r>
          </w:p>
          <w:p w14:paraId="340A94E7" w14:textId="77777777" w:rsidR="003A1A1E" w:rsidRPr="00A021B7" w:rsidRDefault="003A1A1E"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Сакупљање и обрада отпада</w:t>
            </w:r>
          </w:p>
          <w:p w14:paraId="14FF3790" w14:textId="77777777" w:rsidR="003A1A1E" w:rsidRPr="00A021B7" w:rsidRDefault="00C27F22"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П</w:t>
            </w:r>
            <w:r w:rsidR="003A1A1E" w:rsidRPr="00A021B7">
              <w:rPr>
                <w:rFonts w:ascii="Arial" w:hAnsi="Arial" w:cs="Arial"/>
                <w:color w:val="000000"/>
                <w:sz w:val="20"/>
                <w:szCs w:val="20"/>
                <w:lang w:val="sr-Cyrl-RS"/>
              </w:rPr>
              <w:t>утеви</w:t>
            </w:r>
            <w:r w:rsidRPr="00A021B7">
              <w:rPr>
                <w:rFonts w:ascii="Arial" w:hAnsi="Arial" w:cs="Arial"/>
                <w:color w:val="000000"/>
                <w:sz w:val="20"/>
                <w:szCs w:val="20"/>
                <w:lang w:val="sr-Cyrl-RS"/>
              </w:rPr>
              <w:t xml:space="preserve"> вишег реда</w:t>
            </w:r>
            <w:r w:rsidR="003A1A1E" w:rsidRPr="00A021B7">
              <w:rPr>
                <w:rFonts w:ascii="Arial" w:hAnsi="Arial" w:cs="Arial"/>
                <w:color w:val="000000"/>
                <w:sz w:val="20"/>
                <w:szCs w:val="20"/>
                <w:lang w:val="sr-Cyrl-RS"/>
              </w:rPr>
              <w:t xml:space="preserve"> и јавни превоз</w:t>
            </w:r>
          </w:p>
          <w:p w14:paraId="1E035A65" w14:textId="77777777" w:rsidR="00C34FE5" w:rsidRPr="00A021B7" w:rsidRDefault="003A1A1E"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Околина</w:t>
            </w:r>
            <w:r w:rsidR="00C27F22" w:rsidRPr="00A021B7">
              <w:rPr>
                <w:rFonts w:ascii="Arial" w:hAnsi="Arial" w:cs="Arial"/>
                <w:color w:val="000000"/>
                <w:sz w:val="20"/>
                <w:szCs w:val="20"/>
                <w:lang w:val="sr-Cyrl-RS"/>
              </w:rPr>
              <w:t xml:space="preserve"> (животна средина)</w:t>
            </w:r>
          </w:p>
          <w:p w14:paraId="01AF8852" w14:textId="77777777" w:rsidR="00C34FE5" w:rsidRPr="00A021B7" w:rsidRDefault="00C34FE5"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460D6B09" w14:textId="77777777" w:rsidR="00C34FE5" w:rsidRPr="00A021B7" w:rsidRDefault="00C34FE5"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sr-Cyrl-RS"/>
              </w:rPr>
            </w:pPr>
          </w:p>
          <w:p w14:paraId="0BD0096C" w14:textId="77777777" w:rsidR="00C34FE5" w:rsidRPr="00A021B7" w:rsidRDefault="00C34FE5"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sr-Cyrl-RS"/>
              </w:rPr>
            </w:pPr>
          </w:p>
          <w:p w14:paraId="470633D9" w14:textId="77777777" w:rsidR="00C34FE5" w:rsidRPr="00A021B7" w:rsidRDefault="00C34FE5"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sr-Cyrl-RS"/>
              </w:rPr>
            </w:pPr>
          </w:p>
          <w:p w14:paraId="53FFEDD6" w14:textId="77777777" w:rsidR="0091013A" w:rsidRPr="00A021B7" w:rsidRDefault="0091013A" w:rsidP="003E7BC9">
            <w:pPr>
              <w:jc w:val="both"/>
              <w:rPr>
                <w:rFonts w:ascii="Arial" w:hAnsi="Arial" w:cs="Arial"/>
                <w:sz w:val="20"/>
                <w:szCs w:val="20"/>
                <w:lang w:val="sr-Cyrl-RS"/>
              </w:rPr>
            </w:pPr>
          </w:p>
        </w:tc>
        <w:tc>
          <w:tcPr>
            <w:tcW w:w="3004" w:type="dxa"/>
          </w:tcPr>
          <w:p w14:paraId="1C541B10" w14:textId="77777777" w:rsidR="00864569" w:rsidRPr="00A021B7" w:rsidRDefault="00864569" w:rsidP="003E7BC9">
            <w:pPr>
              <w:jc w:val="both"/>
              <w:rPr>
                <w:rFonts w:ascii="Arial" w:hAnsi="Arial" w:cs="Arial"/>
                <w:sz w:val="20"/>
                <w:szCs w:val="20"/>
                <w:lang w:val="sr-Cyrl-RS"/>
              </w:rPr>
            </w:pPr>
            <w:r w:rsidRPr="00A021B7">
              <w:rPr>
                <w:rFonts w:ascii="Arial" w:hAnsi="Arial" w:cs="Arial"/>
                <w:sz w:val="20"/>
                <w:szCs w:val="20"/>
                <w:lang w:val="sr-Cyrl-RS"/>
              </w:rPr>
              <w:lastRenderedPageBreak/>
              <w:t>Хетерогене и више или мање опсежне одговорности у зависности од земаља (посебно федералне у односу на унитарне)</w:t>
            </w:r>
          </w:p>
          <w:p w14:paraId="619EF300" w14:textId="77777777" w:rsidR="00864569" w:rsidRPr="00A021B7" w:rsidRDefault="00864569"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sr-Cyrl-RS"/>
              </w:rPr>
            </w:pPr>
          </w:p>
          <w:p w14:paraId="29DD3E10" w14:textId="77777777" w:rsidR="00864569" w:rsidRPr="00A021B7" w:rsidRDefault="00864569" w:rsidP="003E7BC9">
            <w:pPr>
              <w:jc w:val="both"/>
              <w:rPr>
                <w:rFonts w:ascii="Arial" w:hAnsi="Arial" w:cs="Arial"/>
                <w:sz w:val="20"/>
                <w:szCs w:val="20"/>
                <w:lang w:val="sr-Cyrl-RS"/>
              </w:rPr>
            </w:pPr>
            <w:r w:rsidRPr="00A021B7">
              <w:rPr>
                <w:rFonts w:ascii="Arial" w:hAnsi="Arial" w:cs="Arial"/>
                <w:sz w:val="20"/>
                <w:szCs w:val="20"/>
                <w:lang w:val="sr-Cyrl-RS"/>
              </w:rPr>
              <w:t>Услуге од регионалног значаја:</w:t>
            </w:r>
          </w:p>
          <w:p w14:paraId="27A2B758"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color w:val="000000"/>
                <w:sz w:val="20"/>
                <w:szCs w:val="20"/>
                <w:lang w:val="sr-Cyrl-RS"/>
              </w:rPr>
              <w:t>Средње/високо образовање и стручна обука</w:t>
            </w:r>
          </w:p>
          <w:p w14:paraId="2860620B"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t>Просторно планирање</w:t>
            </w:r>
          </w:p>
          <w:p w14:paraId="149E06E2"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t>Регионални економски развој и иновације</w:t>
            </w:r>
          </w:p>
          <w:p w14:paraId="0D7AB923" w14:textId="101AAC7A"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lastRenderedPageBreak/>
              <w:t>Здравље (</w:t>
            </w:r>
            <w:r w:rsidR="008B4FAB" w:rsidRPr="00A021B7">
              <w:rPr>
                <w:rFonts w:ascii="Arial" w:hAnsi="Arial" w:cs="Arial"/>
                <w:sz w:val="20"/>
                <w:szCs w:val="20"/>
                <w:lang w:val="sr-Cyrl-RS"/>
              </w:rPr>
              <w:t xml:space="preserve">секундарна нега </w:t>
            </w:r>
            <w:r w:rsidRPr="00A021B7">
              <w:rPr>
                <w:rFonts w:ascii="Arial" w:hAnsi="Arial" w:cs="Arial"/>
                <w:sz w:val="20"/>
                <w:szCs w:val="20"/>
                <w:lang w:val="sr-Cyrl-RS"/>
              </w:rPr>
              <w:t>и болнице)</w:t>
            </w:r>
          </w:p>
          <w:p w14:paraId="381D2D8F"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t>Социјална питања (нпр. Службе за запошљавање, обука, инклузија, подршка посебним групама итд.)</w:t>
            </w:r>
          </w:p>
          <w:p w14:paraId="5269A97B"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t>Регионални путеви и јавни превоз</w:t>
            </w:r>
          </w:p>
          <w:p w14:paraId="3A97A80E"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t>Култура, баштина и туризам</w:t>
            </w:r>
          </w:p>
          <w:p w14:paraId="6716E8CA"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t>Заштита животне средине</w:t>
            </w:r>
          </w:p>
          <w:p w14:paraId="74ED8710" w14:textId="77777777"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color w:val="000000"/>
                <w:sz w:val="20"/>
                <w:szCs w:val="20"/>
                <w:lang w:val="sr-Cyrl-RS"/>
              </w:rPr>
            </w:pPr>
            <w:r w:rsidRPr="00A021B7">
              <w:rPr>
                <w:rFonts w:ascii="Arial" w:hAnsi="Arial" w:cs="Arial"/>
                <w:sz w:val="20"/>
                <w:szCs w:val="20"/>
                <w:lang w:val="sr-Cyrl-RS"/>
              </w:rPr>
              <w:t>Социјално становање</w:t>
            </w:r>
          </w:p>
          <w:p w14:paraId="5763706A" w14:textId="708E3FE6" w:rsidR="00864569" w:rsidRPr="00A021B7" w:rsidRDefault="00864569"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sz w:val="20"/>
                <w:szCs w:val="20"/>
                <w:lang w:val="sr-Cyrl-RS"/>
              </w:rPr>
            </w:pPr>
            <w:r w:rsidRPr="00A021B7">
              <w:rPr>
                <w:rFonts w:ascii="Arial" w:hAnsi="Arial" w:cs="Arial"/>
                <w:sz w:val="20"/>
                <w:szCs w:val="20"/>
                <w:lang w:val="sr-Cyrl-RS"/>
              </w:rPr>
              <w:t>Јавни ред и сигурност (</w:t>
            </w:r>
            <w:r w:rsidR="00CE205B" w:rsidRPr="00A021B7">
              <w:rPr>
                <w:rFonts w:ascii="Arial" w:hAnsi="Arial" w:cs="Arial"/>
                <w:sz w:val="20"/>
                <w:szCs w:val="20"/>
                <w:lang w:val="sr-Cyrl-RS"/>
              </w:rPr>
              <w:t xml:space="preserve">нпр. </w:t>
            </w:r>
            <w:r w:rsidR="006D6906" w:rsidRPr="00A021B7">
              <w:rPr>
                <w:rFonts w:ascii="Arial" w:hAnsi="Arial" w:cs="Arial"/>
                <w:sz w:val="20"/>
                <w:szCs w:val="20"/>
                <w:lang w:val="sr-Cyrl-RS"/>
              </w:rPr>
              <w:t xml:space="preserve">регионална полиција, </w:t>
            </w:r>
            <w:r w:rsidRPr="00A021B7">
              <w:rPr>
                <w:rFonts w:ascii="Arial" w:hAnsi="Arial" w:cs="Arial"/>
                <w:sz w:val="20"/>
                <w:szCs w:val="20"/>
                <w:lang w:val="sr-Cyrl-RS"/>
              </w:rPr>
              <w:t>цивилна заштита)</w:t>
            </w:r>
          </w:p>
          <w:p w14:paraId="1CDC793D" w14:textId="10B57AC9" w:rsidR="00864569" w:rsidRPr="00A021B7" w:rsidRDefault="0AC645AD" w:rsidP="00A57E7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4"/>
              <w:rPr>
                <w:rFonts w:ascii="Arial" w:hAnsi="Arial" w:cs="Arial"/>
                <w:sz w:val="20"/>
                <w:szCs w:val="20"/>
                <w:lang w:val="sr-Cyrl-RS"/>
              </w:rPr>
            </w:pPr>
            <w:r w:rsidRPr="0DD3B114">
              <w:rPr>
                <w:rFonts w:ascii="Arial" w:hAnsi="Arial" w:cs="Arial"/>
                <w:sz w:val="20"/>
                <w:szCs w:val="20"/>
                <w:lang w:val="sr-Cyrl-RS"/>
              </w:rPr>
              <w:t xml:space="preserve">Надзор над радом локалне управе (у савезним </w:t>
            </w:r>
            <w:r w:rsidR="29EA5A65" w:rsidRPr="0DD3B114">
              <w:rPr>
                <w:rFonts w:ascii="Arial" w:hAnsi="Arial" w:cs="Arial"/>
                <w:sz w:val="20"/>
                <w:szCs w:val="20"/>
                <w:lang w:val="sr-Cyrl-RS"/>
              </w:rPr>
              <w:t>државама</w:t>
            </w:r>
            <w:r w:rsidRPr="0DD3B114">
              <w:rPr>
                <w:rFonts w:ascii="Arial" w:hAnsi="Arial" w:cs="Arial"/>
                <w:sz w:val="20"/>
                <w:szCs w:val="20"/>
                <w:lang w:val="sr-Cyrl-RS"/>
              </w:rPr>
              <w:t>)</w:t>
            </w:r>
          </w:p>
          <w:p w14:paraId="5123CDC2" w14:textId="77777777" w:rsidR="0059429E" w:rsidRPr="00A021B7" w:rsidRDefault="0059429E" w:rsidP="003E7B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sr-Cyrl-RS"/>
              </w:rPr>
            </w:pPr>
          </w:p>
        </w:tc>
      </w:tr>
      <w:tr w:rsidR="0059429E" w:rsidRPr="00A021B7" w14:paraId="639145D3" w14:textId="77777777" w:rsidTr="0DD3B114">
        <w:tc>
          <w:tcPr>
            <w:tcW w:w="9010" w:type="dxa"/>
            <w:gridSpan w:val="3"/>
          </w:tcPr>
          <w:p w14:paraId="4BC1C437" w14:textId="5ADD06FD" w:rsidR="00647D46" w:rsidRPr="00A021B7" w:rsidRDefault="0059429E" w:rsidP="003E7BC9">
            <w:pPr>
              <w:jc w:val="both"/>
              <w:rPr>
                <w:rFonts w:ascii="Arial" w:hAnsi="Arial" w:cs="Arial"/>
                <w:color w:val="000000"/>
                <w:sz w:val="20"/>
                <w:szCs w:val="20"/>
                <w:lang w:val="sr-Cyrl-RS"/>
              </w:rPr>
            </w:pPr>
            <w:r w:rsidRPr="0DD3B114">
              <w:rPr>
                <w:rFonts w:ascii="Arial" w:hAnsi="Arial" w:cs="Arial"/>
                <w:color w:val="000000" w:themeColor="text1"/>
                <w:sz w:val="20"/>
                <w:szCs w:val="20"/>
                <w:lang w:val="sr-Cyrl-RS"/>
              </w:rPr>
              <w:lastRenderedPageBreak/>
              <w:t xml:space="preserve">Наведено према: </w:t>
            </w:r>
            <w:r w:rsidR="62A027A0" w:rsidRPr="0DD3B114">
              <w:rPr>
                <w:rFonts w:ascii="Arial" w:hAnsi="Arial" w:cs="Arial"/>
                <w:color w:val="000000" w:themeColor="text1"/>
                <w:sz w:val="20"/>
                <w:szCs w:val="20"/>
                <w:lang w:val="sr-Cyrl-RS"/>
              </w:rPr>
              <w:t>OECD (2019)</w:t>
            </w:r>
            <w:r w:rsidR="002139C8" w:rsidRPr="0DD3B114">
              <w:rPr>
                <w:rFonts w:ascii="Arial" w:hAnsi="Arial" w:cs="Arial"/>
                <w:color w:val="000000" w:themeColor="text1"/>
                <w:sz w:val="20"/>
                <w:szCs w:val="20"/>
                <w:lang w:val="sr-Cyrl-RS"/>
              </w:rPr>
              <w:t>,</w:t>
            </w:r>
            <w:r w:rsidR="62A027A0" w:rsidRPr="0DD3B114">
              <w:rPr>
                <w:rFonts w:ascii="Arial" w:hAnsi="Arial" w:cs="Arial"/>
                <w:color w:val="000000" w:themeColor="text1"/>
                <w:sz w:val="20"/>
                <w:szCs w:val="20"/>
                <w:lang w:val="sr-Cyrl-RS"/>
              </w:rPr>
              <w:t xml:space="preserve"> </w:t>
            </w:r>
            <w:r w:rsidR="5C6DBD80" w:rsidRPr="0DD3B114">
              <w:rPr>
                <w:rFonts w:ascii="Arial" w:hAnsi="Arial" w:cs="Arial"/>
                <w:i/>
                <w:iCs/>
                <w:color w:val="000000" w:themeColor="text1"/>
                <w:sz w:val="20"/>
                <w:szCs w:val="20"/>
                <w:lang w:val="sr-Cyrl-RS"/>
              </w:rPr>
              <w:t>Making decentralisation work: A Handbook for policy-makers</w:t>
            </w:r>
            <w:r w:rsidR="5C6DBD80" w:rsidRPr="0DD3B114">
              <w:rPr>
                <w:rFonts w:ascii="Arial" w:hAnsi="Arial" w:cs="Arial"/>
                <w:color w:val="000000" w:themeColor="text1"/>
                <w:sz w:val="20"/>
                <w:szCs w:val="20"/>
                <w:lang w:val="sr-Cyrl-RS"/>
              </w:rPr>
              <w:t xml:space="preserve">, </w:t>
            </w:r>
            <w:r w:rsidR="62A027A0" w:rsidRPr="0DD3B114">
              <w:rPr>
                <w:rFonts w:ascii="Arial" w:hAnsi="Arial" w:cs="Arial"/>
                <w:color w:val="000000" w:themeColor="text1"/>
                <w:sz w:val="20"/>
                <w:szCs w:val="20"/>
                <w:lang w:val="sr-Cyrl-RS"/>
              </w:rPr>
              <w:t xml:space="preserve">стр. </w:t>
            </w:r>
            <w:r w:rsidR="5C6DBD80" w:rsidRPr="0DD3B114">
              <w:rPr>
                <w:rFonts w:ascii="Arial" w:hAnsi="Arial" w:cs="Arial"/>
                <w:color w:val="000000" w:themeColor="text1"/>
                <w:sz w:val="20"/>
                <w:szCs w:val="20"/>
                <w:lang w:val="sr-Cyrl-RS"/>
              </w:rPr>
              <w:t>54</w:t>
            </w:r>
            <w:r w:rsidR="62A027A0" w:rsidRPr="0DD3B114">
              <w:rPr>
                <w:rFonts w:ascii="Arial" w:hAnsi="Arial" w:cs="Arial"/>
                <w:color w:val="000000" w:themeColor="text1"/>
                <w:sz w:val="20"/>
                <w:szCs w:val="20"/>
                <w:lang w:val="sr-Cyrl-RS"/>
              </w:rPr>
              <w:t>.</w:t>
            </w:r>
          </w:p>
        </w:tc>
      </w:tr>
    </w:tbl>
    <w:p w14:paraId="5730934E" w14:textId="77777777" w:rsidR="0059429E" w:rsidRPr="00A021B7" w:rsidRDefault="0059429E" w:rsidP="003E7BC9">
      <w:pPr>
        <w:jc w:val="both"/>
        <w:rPr>
          <w:rFonts w:ascii="Arial" w:hAnsi="Arial" w:cs="Arial"/>
          <w:sz w:val="20"/>
          <w:szCs w:val="20"/>
          <w:lang w:val="sr-Cyrl-RS"/>
        </w:rPr>
      </w:pPr>
    </w:p>
    <w:p w14:paraId="7D900780" w14:textId="169EE8F1" w:rsidR="00AD259E" w:rsidRPr="00A021B7" w:rsidRDefault="237F887E" w:rsidP="0DD3B114">
      <w:pPr>
        <w:ind w:firstLine="720"/>
        <w:jc w:val="both"/>
        <w:rPr>
          <w:rFonts w:ascii="Arial" w:hAnsi="Arial" w:cs="Arial"/>
          <w:sz w:val="20"/>
          <w:szCs w:val="20"/>
          <w:lang w:val="sr-Cyrl-RS"/>
        </w:rPr>
      </w:pPr>
      <w:r w:rsidRPr="00A021B7">
        <w:rPr>
          <w:rFonts w:ascii="Arial" w:hAnsi="Arial" w:cs="Arial"/>
          <w:sz w:val="20"/>
          <w:szCs w:val="20"/>
          <w:lang w:val="sr-Cyrl-RS"/>
        </w:rPr>
        <w:t>Надлежности JЛС у Републици Србији у изворном делокругу обухватају релативно широку листу послова и припадају различитим областима. У складу са</w:t>
      </w:r>
      <w:r w:rsidR="7F2CCA95" w:rsidRPr="00A021B7">
        <w:rPr>
          <w:rFonts w:ascii="Arial" w:hAnsi="Arial" w:cs="Arial"/>
          <w:sz w:val="20"/>
          <w:szCs w:val="20"/>
          <w:lang w:val="sr-Cyrl-RS"/>
        </w:rPr>
        <w:t xml:space="preserve"> </w:t>
      </w:r>
      <w:r w:rsidR="124DC6A6" w:rsidRPr="00A021B7">
        <w:rPr>
          <w:rFonts w:ascii="Arial" w:hAnsi="Arial" w:cs="Arial"/>
          <w:sz w:val="20"/>
          <w:szCs w:val="20"/>
          <w:lang w:val="sr-Cyrl-RS"/>
        </w:rPr>
        <w:t>чл</w:t>
      </w:r>
      <w:r w:rsidR="1B485F24" w:rsidRPr="00A021B7">
        <w:rPr>
          <w:rFonts w:ascii="Arial" w:hAnsi="Arial" w:cs="Arial"/>
          <w:sz w:val="20"/>
          <w:szCs w:val="20"/>
          <w:lang w:val="sr-Cyrl-RS"/>
        </w:rPr>
        <w:t>аном</w:t>
      </w:r>
      <w:r w:rsidR="124DC6A6" w:rsidRPr="00A021B7">
        <w:rPr>
          <w:rFonts w:ascii="Arial" w:hAnsi="Arial" w:cs="Arial"/>
          <w:sz w:val="20"/>
          <w:szCs w:val="20"/>
          <w:lang w:val="sr-Cyrl-RS"/>
        </w:rPr>
        <w:t xml:space="preserve"> </w:t>
      </w:r>
      <w:r w:rsidR="7F2CCA95" w:rsidRPr="00A021B7">
        <w:rPr>
          <w:rFonts w:ascii="Arial" w:hAnsi="Arial" w:cs="Arial"/>
          <w:sz w:val="20"/>
          <w:szCs w:val="20"/>
          <w:lang w:val="sr-Cyrl-RS"/>
        </w:rPr>
        <w:t>1</w:t>
      </w:r>
      <w:r w:rsidR="0A69715D" w:rsidRPr="00A021B7">
        <w:rPr>
          <w:rFonts w:ascii="Arial" w:hAnsi="Arial" w:cs="Arial"/>
          <w:sz w:val="20"/>
          <w:szCs w:val="20"/>
          <w:lang w:val="sr-Cyrl-RS"/>
        </w:rPr>
        <w:t>90</w:t>
      </w:r>
      <w:r w:rsidR="7F2CCA95" w:rsidRPr="00A021B7">
        <w:rPr>
          <w:rFonts w:ascii="Arial" w:hAnsi="Arial" w:cs="Arial"/>
          <w:sz w:val="20"/>
          <w:szCs w:val="20"/>
          <w:lang w:val="sr-Cyrl-RS"/>
        </w:rPr>
        <w:t>.</w:t>
      </w:r>
      <w:r w:rsidRPr="00A021B7">
        <w:rPr>
          <w:rFonts w:ascii="Arial" w:hAnsi="Arial" w:cs="Arial"/>
          <w:sz w:val="20"/>
          <w:szCs w:val="20"/>
          <w:lang w:val="sr-Cyrl-RS"/>
        </w:rPr>
        <w:t xml:space="preserve"> Устав</w:t>
      </w:r>
      <w:r w:rsidR="7F2CCA95" w:rsidRPr="00A021B7">
        <w:rPr>
          <w:rFonts w:ascii="Arial" w:hAnsi="Arial" w:cs="Arial"/>
          <w:sz w:val="20"/>
          <w:szCs w:val="20"/>
          <w:lang w:val="sr-Cyrl-RS"/>
        </w:rPr>
        <w:t>а</w:t>
      </w:r>
      <w:r w:rsidR="00742BF3" w:rsidRPr="00A021B7">
        <w:rPr>
          <w:rStyle w:val="FootnoteReference"/>
          <w:rFonts w:ascii="Arial" w:hAnsi="Arial" w:cs="Arial"/>
          <w:sz w:val="20"/>
          <w:szCs w:val="20"/>
          <w:lang w:val="sr-Cyrl-RS"/>
        </w:rPr>
        <w:footnoteReference w:id="26"/>
      </w:r>
      <w:r w:rsidR="7F2CCA95" w:rsidRPr="00A021B7">
        <w:rPr>
          <w:rFonts w:ascii="Arial" w:hAnsi="Arial" w:cs="Arial"/>
          <w:sz w:val="20"/>
          <w:szCs w:val="20"/>
          <w:lang w:val="sr-Cyrl-RS"/>
        </w:rPr>
        <w:t>:</w:t>
      </w:r>
      <w:r w:rsidRPr="00A021B7">
        <w:rPr>
          <w:rFonts w:ascii="Arial" w:hAnsi="Arial" w:cs="Arial"/>
          <w:sz w:val="20"/>
          <w:szCs w:val="20"/>
          <w:lang w:val="sr-Cyrl-RS"/>
        </w:rPr>
        <w:t xml:space="preserve"> </w:t>
      </w:r>
      <w:bookmarkStart w:id="50" w:name="str_199"/>
      <w:bookmarkEnd w:id="50"/>
      <w:r w:rsidR="7F2CCA95" w:rsidRPr="00A021B7">
        <w:rPr>
          <w:rFonts w:ascii="Arial" w:hAnsi="Arial" w:cs="Arial"/>
          <w:sz w:val="20"/>
          <w:szCs w:val="20"/>
          <w:lang w:val="sr-Cyrl-RS"/>
        </w:rPr>
        <w:t>„</w:t>
      </w:r>
      <w:r w:rsidRPr="00A021B7">
        <w:rPr>
          <w:rFonts w:ascii="Arial" w:hAnsi="Arial" w:cs="Arial"/>
          <w:sz w:val="20"/>
          <w:szCs w:val="20"/>
          <w:lang w:val="sr-Cyrl-RS"/>
        </w:rPr>
        <w:t>ЈЛС су надлежне у питањима која се, на свр</w:t>
      </w:r>
      <w:r w:rsidR="00F43943" w:rsidRPr="00A021B7">
        <w:rPr>
          <w:rFonts w:ascii="Arial" w:hAnsi="Arial" w:cs="Arial"/>
          <w:sz w:val="20"/>
          <w:szCs w:val="20"/>
          <w:lang w:val="sr-Cyrl-RS"/>
        </w:rPr>
        <w:t>с</w:t>
      </w:r>
      <w:r w:rsidRPr="00A021B7">
        <w:rPr>
          <w:rFonts w:ascii="Arial" w:hAnsi="Arial" w:cs="Arial"/>
          <w:sz w:val="20"/>
          <w:szCs w:val="20"/>
          <w:lang w:val="sr-Cyrl-RS"/>
        </w:rPr>
        <w:t>исходан начин, могу остваривати унутар ЈЛС, а аутономне покрајине у питањима која се, на сврсисходан начин, могу остваривати унутар аутономне покрајине, у којима није надлежна Република Србија. Која су питања од републичког, покрајинског и локалног значаја одређује се законом</w:t>
      </w:r>
      <w:r w:rsidR="1F1DCD9F" w:rsidRPr="00A021B7">
        <w:rPr>
          <w:rFonts w:ascii="Arial" w:hAnsi="Arial" w:cs="Arial"/>
          <w:sz w:val="20"/>
          <w:szCs w:val="20"/>
          <w:lang w:val="sr-Cyrl-RS"/>
        </w:rPr>
        <w:t>.</w:t>
      </w:r>
      <w:r w:rsidR="503E649E" w:rsidRPr="00A021B7">
        <w:rPr>
          <w:rFonts w:ascii="Arial" w:hAnsi="Arial" w:cs="Arial"/>
          <w:sz w:val="20"/>
          <w:szCs w:val="20"/>
          <w:lang w:val="sr-Cyrl-RS"/>
        </w:rPr>
        <w:t>”</w:t>
      </w:r>
      <w:r w:rsidRPr="00A021B7">
        <w:rPr>
          <w:rFonts w:ascii="Arial" w:hAnsi="Arial" w:cs="Arial"/>
          <w:sz w:val="20"/>
          <w:szCs w:val="20"/>
          <w:lang w:val="sr-Cyrl-RS"/>
        </w:rPr>
        <w:t xml:space="preserve"> Посебно треба истаћи да је Уставом утврђен важан део изворних послова ЈЛС, чиме је основни делокруг локалне самоуправе гарантован највишим правним актом. Основне групе надлежности локалне самоуправе дефинисане су </w:t>
      </w:r>
      <w:r w:rsidR="222DF99F" w:rsidRPr="00A021B7">
        <w:rPr>
          <w:rFonts w:ascii="Arial" w:hAnsi="Arial" w:cs="Arial"/>
          <w:sz w:val="20"/>
          <w:szCs w:val="20"/>
          <w:lang w:val="sr-Cyrl-RS"/>
        </w:rPr>
        <w:t xml:space="preserve">у ЗЛС </w:t>
      </w:r>
      <w:r w:rsidRPr="00A021B7">
        <w:rPr>
          <w:rFonts w:ascii="Arial" w:hAnsi="Arial" w:cs="Arial"/>
          <w:sz w:val="20"/>
          <w:szCs w:val="20"/>
          <w:lang w:val="sr-Cyrl-RS"/>
        </w:rPr>
        <w:t>(</w:t>
      </w:r>
      <w:r w:rsidR="002139C8">
        <w:rPr>
          <w:rFonts w:ascii="Arial" w:hAnsi="Arial" w:cs="Arial"/>
          <w:sz w:val="20"/>
          <w:szCs w:val="20"/>
          <w:lang w:val="sr-Cyrl-RS"/>
        </w:rPr>
        <w:t>Т</w:t>
      </w:r>
      <w:r w:rsidRPr="00A021B7">
        <w:rPr>
          <w:rFonts w:ascii="Arial" w:hAnsi="Arial" w:cs="Arial"/>
          <w:sz w:val="20"/>
          <w:szCs w:val="20"/>
          <w:lang w:val="sr-Cyrl-RS"/>
        </w:rPr>
        <w:t xml:space="preserve">абела </w:t>
      </w:r>
      <w:r w:rsidR="002F16A9">
        <w:rPr>
          <w:rFonts w:ascii="Arial" w:hAnsi="Arial" w:cs="Arial"/>
          <w:sz w:val="20"/>
          <w:szCs w:val="20"/>
          <w:lang w:val="sr-Cyrl-RS"/>
        </w:rPr>
        <w:t>3</w:t>
      </w:r>
      <w:r w:rsidRPr="00A021B7">
        <w:rPr>
          <w:rFonts w:ascii="Arial" w:hAnsi="Arial" w:cs="Arial"/>
          <w:sz w:val="20"/>
          <w:szCs w:val="20"/>
          <w:lang w:val="sr-Cyrl-RS"/>
        </w:rPr>
        <w:t>). Поред ових послова, Република Србија може законом поверити ЈЛС</w:t>
      </w:r>
      <w:r w:rsidR="00742BF3" w:rsidRPr="00A021B7">
        <w:rPr>
          <w:rStyle w:val="FootnoteReference"/>
          <w:rFonts w:ascii="Arial" w:hAnsi="Arial" w:cs="Arial"/>
          <w:sz w:val="20"/>
          <w:szCs w:val="20"/>
          <w:lang w:val="sr-Cyrl-RS"/>
        </w:rPr>
        <w:footnoteReference w:id="27"/>
      </w:r>
      <w:r w:rsidRPr="00A021B7">
        <w:rPr>
          <w:rFonts w:ascii="Arial" w:hAnsi="Arial" w:cs="Arial"/>
          <w:sz w:val="20"/>
          <w:szCs w:val="20"/>
          <w:lang w:val="sr-Cyrl-RS"/>
        </w:rPr>
        <w:t xml:space="preserve"> поједина питања из своје надлежности</w:t>
      </w:r>
      <w:r w:rsidR="0E8AA2FF" w:rsidRPr="00A021B7">
        <w:rPr>
          <w:rFonts w:ascii="Arial" w:hAnsi="Arial" w:cs="Arial"/>
          <w:sz w:val="20"/>
          <w:szCs w:val="20"/>
          <w:lang w:val="sr-Cyrl-RS"/>
        </w:rPr>
        <w:t>, што</w:t>
      </w:r>
      <w:r w:rsidR="41F63959" w:rsidRPr="00A021B7">
        <w:rPr>
          <w:rFonts w:ascii="Arial" w:hAnsi="Arial" w:cs="Arial"/>
          <w:sz w:val="20"/>
          <w:szCs w:val="20"/>
          <w:lang w:val="sr-Cyrl-RS"/>
        </w:rPr>
        <w:t xml:space="preserve"> може и </w:t>
      </w:r>
      <w:r w:rsidRPr="00A021B7">
        <w:rPr>
          <w:rFonts w:ascii="Arial" w:hAnsi="Arial" w:cs="Arial"/>
          <w:sz w:val="20"/>
          <w:szCs w:val="20"/>
          <w:lang w:val="sr-Cyrl-RS"/>
        </w:rPr>
        <w:t>аутономна покрајина. Веома је значајно да средства за вршење поверених надлежности обезбеђује Република Србија</w:t>
      </w:r>
      <w:r w:rsidR="00742BF3" w:rsidRPr="00A021B7">
        <w:rPr>
          <w:rStyle w:val="FootnoteReference"/>
          <w:rFonts w:ascii="Arial" w:hAnsi="Arial" w:cs="Arial"/>
          <w:sz w:val="20"/>
          <w:szCs w:val="20"/>
          <w:lang w:val="sr-Cyrl-RS"/>
        </w:rPr>
        <w:footnoteReference w:id="28"/>
      </w:r>
      <w:r w:rsidRPr="00A021B7">
        <w:rPr>
          <w:rFonts w:ascii="Arial" w:hAnsi="Arial" w:cs="Arial"/>
          <w:sz w:val="20"/>
          <w:szCs w:val="20"/>
          <w:lang w:val="sr-Cyrl-RS"/>
        </w:rPr>
        <w:t xml:space="preserve"> или аутономна покрајина, зависно од тога ко је поверио надлежности.</w:t>
      </w:r>
    </w:p>
    <w:p w14:paraId="197CB67C" w14:textId="77777777" w:rsidR="000232C9" w:rsidRPr="00A021B7" w:rsidRDefault="000232C9" w:rsidP="003E7BC9">
      <w:pPr>
        <w:jc w:val="both"/>
        <w:rPr>
          <w:rFonts w:ascii="Arial" w:hAnsi="Arial" w:cs="Arial"/>
          <w:sz w:val="20"/>
          <w:szCs w:val="20"/>
          <w:lang w:val="sr-Cyrl-RS"/>
        </w:rPr>
      </w:pPr>
    </w:p>
    <w:p w14:paraId="6071659F" w14:textId="26F890D1" w:rsidR="006D6521" w:rsidRPr="00A021B7" w:rsidRDefault="006D6521" w:rsidP="0DD3B114">
      <w:pPr>
        <w:jc w:val="both"/>
        <w:rPr>
          <w:rFonts w:ascii="Arial" w:hAnsi="Arial" w:cs="Arial"/>
          <w:i/>
          <w:iCs/>
          <w:sz w:val="20"/>
          <w:szCs w:val="20"/>
          <w:lang w:val="sr-Cyrl-RS"/>
        </w:rPr>
      </w:pPr>
      <w:r w:rsidRPr="0DD3B114">
        <w:rPr>
          <w:rFonts w:ascii="Arial" w:hAnsi="Arial" w:cs="Arial"/>
          <w:i/>
          <w:iCs/>
          <w:sz w:val="20"/>
          <w:szCs w:val="20"/>
          <w:lang w:val="sr-Cyrl-RS"/>
        </w:rPr>
        <w:t xml:space="preserve">Табела </w:t>
      </w:r>
      <w:r w:rsidR="007226A3" w:rsidRPr="0DD3B114">
        <w:rPr>
          <w:rFonts w:ascii="Arial" w:hAnsi="Arial" w:cs="Arial"/>
          <w:i/>
          <w:iCs/>
          <w:sz w:val="20"/>
          <w:szCs w:val="20"/>
          <w:lang w:val="sr-Cyrl-RS"/>
        </w:rPr>
        <w:t>3</w:t>
      </w:r>
      <w:r w:rsidRPr="0DD3B114">
        <w:rPr>
          <w:rFonts w:ascii="Arial" w:hAnsi="Arial" w:cs="Arial"/>
          <w:i/>
          <w:iCs/>
          <w:sz w:val="20"/>
          <w:szCs w:val="20"/>
          <w:lang w:val="sr-Cyrl-RS"/>
        </w:rPr>
        <w:t xml:space="preserve">: Основне надлежности општине у складу са Уставом и </w:t>
      </w:r>
      <w:r w:rsidR="009C03EF" w:rsidRPr="0DD3B114">
        <w:rPr>
          <w:rFonts w:ascii="Arial" w:hAnsi="Arial" w:cs="Arial"/>
          <w:i/>
          <w:iCs/>
          <w:sz w:val="20"/>
          <w:szCs w:val="20"/>
          <w:lang w:val="sr-Cyrl-RS"/>
        </w:rPr>
        <w:t xml:space="preserve">ЗЛС </w:t>
      </w:r>
      <w:r w:rsidRPr="0DD3B114">
        <w:rPr>
          <w:rFonts w:ascii="Arial" w:hAnsi="Arial" w:cs="Arial"/>
          <w:i/>
          <w:iCs/>
          <w:sz w:val="20"/>
          <w:szCs w:val="20"/>
          <w:lang w:val="sr-Cyrl-RS"/>
        </w:rPr>
        <w:t>(</w:t>
      </w:r>
      <w:r w:rsidR="009C03EF" w:rsidRPr="0DD3B114">
        <w:rPr>
          <w:rFonts w:ascii="Arial" w:hAnsi="Arial" w:cs="Arial"/>
          <w:i/>
          <w:iCs/>
          <w:sz w:val="20"/>
          <w:szCs w:val="20"/>
          <w:lang w:val="sr-Cyrl-RS"/>
        </w:rPr>
        <w:t>чл</w:t>
      </w:r>
      <w:r w:rsidR="00F974F4" w:rsidRPr="0DD3B114">
        <w:rPr>
          <w:rFonts w:ascii="Arial" w:hAnsi="Arial" w:cs="Arial"/>
          <w:i/>
          <w:iCs/>
          <w:sz w:val="20"/>
          <w:szCs w:val="20"/>
          <w:lang w:val="sr-Cyrl-RS"/>
        </w:rPr>
        <w:t>ан</w:t>
      </w:r>
      <w:r w:rsidR="009C03EF" w:rsidRPr="0DD3B114">
        <w:rPr>
          <w:rFonts w:ascii="Arial" w:hAnsi="Arial" w:cs="Arial"/>
          <w:i/>
          <w:iCs/>
          <w:sz w:val="20"/>
          <w:szCs w:val="20"/>
          <w:lang w:val="sr-Cyrl-RS"/>
        </w:rPr>
        <w:t xml:space="preserve"> </w:t>
      </w:r>
      <w:r w:rsidRPr="0DD3B114">
        <w:rPr>
          <w:rFonts w:ascii="Arial" w:hAnsi="Arial" w:cs="Arial"/>
          <w:i/>
          <w:iCs/>
          <w:sz w:val="20"/>
          <w:szCs w:val="20"/>
          <w:lang w:val="sr-Cyrl-RS"/>
        </w:rPr>
        <w:t>20):</w:t>
      </w:r>
    </w:p>
    <w:p w14:paraId="795475E6" w14:textId="77777777" w:rsidR="0028484E" w:rsidRPr="00A021B7" w:rsidRDefault="0028484E" w:rsidP="003E7BC9">
      <w:pPr>
        <w:jc w:val="both"/>
        <w:rPr>
          <w:rFonts w:ascii="Arial" w:hAnsi="Arial" w:cs="Arial"/>
          <w:sz w:val="20"/>
          <w:szCs w:val="20"/>
          <w:lang w:val="sr-Cyrl-RS"/>
        </w:rPr>
      </w:pPr>
    </w:p>
    <w:tbl>
      <w:tblPr>
        <w:tblStyle w:val="TableGrid"/>
        <w:tblW w:w="0" w:type="auto"/>
        <w:tblLook w:val="04A0" w:firstRow="1" w:lastRow="0" w:firstColumn="1" w:lastColumn="0" w:noHBand="0" w:noVBand="1"/>
      </w:tblPr>
      <w:tblGrid>
        <w:gridCol w:w="9010"/>
      </w:tblGrid>
      <w:tr w:rsidR="003E2047" w:rsidRPr="00A021B7" w14:paraId="17580558" w14:textId="77777777" w:rsidTr="0DD3B114">
        <w:tc>
          <w:tcPr>
            <w:tcW w:w="9010" w:type="dxa"/>
          </w:tcPr>
          <w:p w14:paraId="383C0366" w14:textId="77777777" w:rsidR="003E2047" w:rsidRPr="00A021B7" w:rsidRDefault="003E2047" w:rsidP="003E7BC9">
            <w:pPr>
              <w:jc w:val="both"/>
              <w:rPr>
                <w:rFonts w:ascii="Arial" w:hAnsi="Arial" w:cs="Arial"/>
                <w:sz w:val="20"/>
                <w:szCs w:val="20"/>
                <w:lang w:val="sr-Cyrl-RS"/>
              </w:rPr>
            </w:pPr>
          </w:p>
          <w:p w14:paraId="715B29DB" w14:textId="77777777"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0A021B7">
              <w:rPr>
                <w:rFonts w:ascii="Arial" w:hAnsi="Arial" w:cs="Arial"/>
                <w:sz w:val="20"/>
                <w:szCs w:val="20"/>
                <w:lang w:val="sr-Cyrl-RS"/>
              </w:rPr>
              <w:t xml:space="preserve">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 </w:t>
            </w:r>
          </w:p>
          <w:p w14:paraId="5161B38A" w14:textId="6BD35808"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Уређује и обезбеђује обављање и развој комуналних делатности, локални превоз, коришћење грађевинског земљишта и пословног простора;</w:t>
            </w:r>
          </w:p>
          <w:p w14:paraId="2C318E13" w14:textId="1002C72A"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Стара се о изградњи, реконструкцији, одржавању и коришћењу локалних путева и улица и других јавних објеката од општинског значаја;</w:t>
            </w:r>
          </w:p>
          <w:p w14:paraId="042439AF" w14:textId="54D8BF77"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lastRenderedPageBreak/>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14:paraId="7CC5ACB0" w14:textId="1B8DA3A1"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Обезбеђује остваривање посебних потреба особа са инвалидитетом и заштиту права осетљивих група;</w:t>
            </w:r>
          </w:p>
          <w:p w14:paraId="467ECC08" w14:textId="115038DD" w:rsidR="00736288"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Стара се о развоју и унапређењу туризма, занатства, угоститељства и трговине;</w:t>
            </w:r>
          </w:p>
          <w:p w14:paraId="09661E8F" w14:textId="15472936"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14:paraId="2DAF0AA6" w14:textId="42EF1488"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Стара се о заштити животне средине, заштити од елементарних и других непогода, заштити културних добара од значаја за општину;</w:t>
            </w:r>
          </w:p>
          <w:p w14:paraId="2F384CB6" w14:textId="6EE200AB"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Стара се о заштити, унапређењу и коришћењу пољопривредног земљишта и спроводи политику руралног развоја;</w:t>
            </w:r>
          </w:p>
          <w:p w14:paraId="1DE3A3C2" w14:textId="610FAEC2"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Стара се о остваривању, заштити и унапређењу људских и мањинских права, родној равноправности, као и о јавном информисању у општини;</w:t>
            </w:r>
          </w:p>
          <w:p w14:paraId="410E0173" w14:textId="3ECB4496"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14:paraId="515A668D" w14:textId="308D5543"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Утврђује симболе општине и њихову употребу;</w:t>
            </w:r>
          </w:p>
          <w:p w14:paraId="141D1DE5" w14:textId="1FEDD3E1"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Управља општинском имовином и утврђује стопе изворних прихода, као и висину локалних такси;</w:t>
            </w:r>
          </w:p>
          <w:p w14:paraId="3C109888" w14:textId="0A0A4D9E"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Прописује прекршаје за повреде општинских прописа;</w:t>
            </w:r>
          </w:p>
          <w:p w14:paraId="63B8780A" w14:textId="1699586E" w:rsidR="003E2047" w:rsidRPr="00A021B7" w:rsidRDefault="003E2047" w:rsidP="00A57E7E">
            <w:pPr>
              <w:pStyle w:val="ListParagraph"/>
              <w:numPr>
                <w:ilvl w:val="0"/>
                <w:numId w:val="9"/>
              </w:numPr>
              <w:ind w:left="240" w:hanging="180"/>
              <w:jc w:val="both"/>
              <w:rPr>
                <w:rFonts w:ascii="Arial" w:hAnsi="Arial" w:cs="Arial"/>
                <w:sz w:val="20"/>
                <w:szCs w:val="20"/>
                <w:lang w:val="sr-Cyrl-RS"/>
              </w:rPr>
            </w:pPr>
            <w:r w:rsidRPr="0DD3B114">
              <w:rPr>
                <w:rFonts w:ascii="Arial" w:hAnsi="Arial" w:cs="Arial"/>
                <w:sz w:val="20"/>
                <w:szCs w:val="20"/>
                <w:lang w:val="sr-Cyrl-RS"/>
              </w:rPr>
              <w:t>Обавља и друге послове од локалног значаја одређене законом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статутом.</w:t>
            </w:r>
          </w:p>
          <w:p w14:paraId="36E20148" w14:textId="77777777" w:rsidR="00683F89" w:rsidRPr="00A021B7" w:rsidRDefault="00683F89" w:rsidP="003E7BC9">
            <w:pPr>
              <w:jc w:val="both"/>
              <w:rPr>
                <w:rFonts w:ascii="Arial" w:hAnsi="Arial" w:cs="Arial"/>
                <w:sz w:val="20"/>
                <w:szCs w:val="20"/>
                <w:lang w:val="sr-Cyrl-RS"/>
              </w:rPr>
            </w:pPr>
          </w:p>
        </w:tc>
      </w:tr>
    </w:tbl>
    <w:p w14:paraId="26D1C0CF" w14:textId="77777777" w:rsidR="003E2047" w:rsidRPr="00A021B7" w:rsidRDefault="003E2047" w:rsidP="003E7BC9">
      <w:pPr>
        <w:jc w:val="both"/>
        <w:rPr>
          <w:rFonts w:ascii="Arial" w:hAnsi="Arial" w:cs="Arial"/>
          <w:sz w:val="20"/>
          <w:szCs w:val="20"/>
          <w:lang w:val="sr-Cyrl-RS"/>
        </w:rPr>
      </w:pPr>
    </w:p>
    <w:p w14:paraId="57DE95BF" w14:textId="6CD682CB" w:rsidR="003E2047" w:rsidRPr="00A021B7" w:rsidRDefault="302EFDE1" w:rsidP="0DD3B114">
      <w:pPr>
        <w:ind w:firstLine="720"/>
        <w:contextualSpacing/>
        <w:jc w:val="both"/>
        <w:rPr>
          <w:rFonts w:ascii="Arial" w:hAnsi="Arial" w:cs="Arial"/>
          <w:sz w:val="20"/>
          <w:szCs w:val="20"/>
          <w:lang w:val="sr-Cyrl-RS"/>
        </w:rPr>
      </w:pPr>
      <w:r w:rsidRPr="00A021B7">
        <w:rPr>
          <w:rFonts w:ascii="Arial" w:hAnsi="Arial" w:cs="Arial"/>
          <w:sz w:val="20"/>
          <w:szCs w:val="20"/>
          <w:lang w:val="sr-Cyrl-RS"/>
        </w:rPr>
        <w:t>Изворне и поверене надлежности односно послови локалне самоуправе, поред Устава</w:t>
      </w:r>
      <w:r w:rsidR="49F5D28D" w:rsidRPr="00A021B7">
        <w:rPr>
          <w:rFonts w:ascii="Arial" w:hAnsi="Arial" w:cs="Arial"/>
          <w:sz w:val="20"/>
          <w:szCs w:val="20"/>
          <w:lang w:val="sr-Cyrl-RS"/>
        </w:rPr>
        <w:t>,</w:t>
      </w:r>
      <w:r w:rsidRPr="00A021B7">
        <w:rPr>
          <w:rFonts w:ascii="Arial" w:hAnsi="Arial" w:cs="Arial"/>
          <w:sz w:val="20"/>
          <w:szCs w:val="20"/>
          <w:lang w:val="sr-Cyrl-RS"/>
        </w:rPr>
        <w:t xml:space="preserve"> </w:t>
      </w:r>
      <w:r w:rsidR="6C5A1E2D" w:rsidRPr="00A021B7">
        <w:rPr>
          <w:rFonts w:ascii="Arial" w:hAnsi="Arial" w:cs="Arial"/>
          <w:sz w:val="20"/>
          <w:szCs w:val="20"/>
          <w:lang w:val="sr-Cyrl-RS"/>
        </w:rPr>
        <w:t>ЗЛС</w:t>
      </w:r>
      <w:r w:rsidR="49F5D28D" w:rsidRPr="00A021B7">
        <w:rPr>
          <w:rFonts w:ascii="Arial" w:hAnsi="Arial" w:cs="Arial"/>
          <w:sz w:val="20"/>
          <w:szCs w:val="20"/>
          <w:lang w:val="sr-Cyrl-RS"/>
        </w:rPr>
        <w:t xml:space="preserve"> </w:t>
      </w:r>
      <w:r w:rsidRPr="00A021B7">
        <w:rPr>
          <w:rFonts w:ascii="Arial" w:hAnsi="Arial" w:cs="Arial"/>
          <w:sz w:val="20"/>
          <w:szCs w:val="20"/>
          <w:lang w:val="sr-Cyrl-RS"/>
        </w:rPr>
        <w:t>и закона који уређују поједина системска или институционалних питања система локалне самоуправе (нпр. територијална организација, локални избори, главни град, комунална милиција, локални службенички систем, општи управни поступак и грађанска стања, јавне набавке, инспекцијски надзор, борба против корупције, електронска управа, правобранилаштво и др.)</w:t>
      </w:r>
      <w:r w:rsidR="49F5D28D" w:rsidRPr="00A021B7">
        <w:rPr>
          <w:rFonts w:ascii="Arial" w:hAnsi="Arial" w:cs="Arial"/>
          <w:sz w:val="20"/>
          <w:szCs w:val="20"/>
          <w:lang w:val="sr-Cyrl-RS"/>
        </w:rPr>
        <w:t>,</w:t>
      </w:r>
      <w:r w:rsidRPr="00A021B7">
        <w:rPr>
          <w:rFonts w:ascii="Arial" w:hAnsi="Arial" w:cs="Arial"/>
          <w:sz w:val="20"/>
          <w:szCs w:val="20"/>
          <w:lang w:val="sr-Cyrl-RS"/>
        </w:rPr>
        <w:t xml:space="preserve"> уређује </w:t>
      </w:r>
      <w:r w:rsidR="49F5D28D" w:rsidRPr="00A021B7">
        <w:rPr>
          <w:rFonts w:ascii="Arial" w:hAnsi="Arial" w:cs="Arial"/>
          <w:sz w:val="20"/>
          <w:szCs w:val="20"/>
          <w:lang w:val="sr-Cyrl-RS"/>
        </w:rPr>
        <w:t xml:space="preserve">и </w:t>
      </w:r>
      <w:r w:rsidRPr="00A021B7">
        <w:rPr>
          <w:rFonts w:ascii="Arial" w:hAnsi="Arial" w:cs="Arial"/>
          <w:sz w:val="20"/>
          <w:szCs w:val="20"/>
          <w:lang w:val="sr-Cyrl-RS"/>
        </w:rPr>
        <w:t>више</w:t>
      </w:r>
      <w:r w:rsidR="03C6ECCF" w:rsidRPr="00A021B7">
        <w:rPr>
          <w:rFonts w:ascii="Arial" w:hAnsi="Arial" w:cs="Arial"/>
          <w:sz w:val="20"/>
          <w:szCs w:val="20"/>
          <w:lang w:val="sr-Cyrl-RS"/>
        </w:rPr>
        <w:t xml:space="preserve"> од</w:t>
      </w:r>
      <w:r w:rsidRPr="00A021B7">
        <w:rPr>
          <w:rFonts w:ascii="Arial" w:hAnsi="Arial" w:cs="Arial"/>
          <w:sz w:val="20"/>
          <w:szCs w:val="20"/>
          <w:lang w:val="sr-Cyrl-RS"/>
        </w:rPr>
        <w:t xml:space="preserve"> стотин</w:t>
      </w:r>
      <w:r w:rsidR="03C6ECCF" w:rsidRPr="00A021B7">
        <w:rPr>
          <w:rFonts w:ascii="Arial" w:hAnsi="Arial" w:cs="Arial"/>
          <w:sz w:val="20"/>
          <w:szCs w:val="20"/>
          <w:lang w:val="sr-Cyrl-RS"/>
        </w:rPr>
        <w:t>у</w:t>
      </w:r>
      <w:r w:rsidRPr="00A021B7">
        <w:rPr>
          <w:rFonts w:ascii="Arial" w:hAnsi="Arial" w:cs="Arial"/>
          <w:sz w:val="20"/>
          <w:szCs w:val="20"/>
          <w:lang w:val="sr-Cyrl-RS"/>
        </w:rPr>
        <w:t xml:space="preserve"> других закона и подзаконских аката. У складу са </w:t>
      </w:r>
      <w:r w:rsidR="39A5E0DE" w:rsidRPr="00A021B7">
        <w:rPr>
          <w:rFonts w:ascii="Arial" w:hAnsi="Arial" w:cs="Arial"/>
          <w:sz w:val="20"/>
          <w:szCs w:val="20"/>
          <w:lang w:val="sr-Cyrl-RS"/>
        </w:rPr>
        <w:t>ЗЛС</w:t>
      </w:r>
      <w:r w:rsidRPr="00A021B7">
        <w:rPr>
          <w:rFonts w:ascii="Arial" w:hAnsi="Arial" w:cs="Arial"/>
          <w:sz w:val="20"/>
          <w:szCs w:val="20"/>
          <w:lang w:val="sr-Cyrl-RS"/>
        </w:rPr>
        <w:t>, МДУЛС је</w:t>
      </w:r>
      <w:r w:rsidR="4A34B3D1" w:rsidRPr="00A021B7">
        <w:rPr>
          <w:rFonts w:ascii="Arial" w:hAnsi="Arial" w:cs="Arial"/>
          <w:sz w:val="20"/>
          <w:szCs w:val="20"/>
          <w:lang w:val="sr-Cyrl-RS"/>
        </w:rPr>
        <w:t>, у сарадњи са СКГО</w:t>
      </w:r>
      <w:r w:rsidR="1B88D89A" w:rsidRPr="00A021B7">
        <w:rPr>
          <w:rFonts w:ascii="Arial" w:hAnsi="Arial" w:cs="Arial"/>
          <w:sz w:val="20"/>
          <w:szCs w:val="20"/>
          <w:lang w:val="sr-Cyrl-RS"/>
        </w:rPr>
        <w:t xml:space="preserve">, </w:t>
      </w:r>
      <w:r w:rsidR="191D3CAB" w:rsidRPr="00A021B7">
        <w:rPr>
          <w:rFonts w:ascii="Arial" w:hAnsi="Arial" w:cs="Arial"/>
          <w:sz w:val="20"/>
          <w:szCs w:val="20"/>
          <w:lang w:val="sr-Cyrl-RS"/>
        </w:rPr>
        <w:t>ЈЛС и ОДУ</w:t>
      </w:r>
      <w:r w:rsidR="4A34B3D1" w:rsidRPr="00A021B7">
        <w:rPr>
          <w:rFonts w:ascii="Arial" w:hAnsi="Arial" w:cs="Arial"/>
          <w:sz w:val="20"/>
          <w:szCs w:val="20"/>
          <w:lang w:val="sr-Cyrl-RS"/>
        </w:rPr>
        <w:t>,</w:t>
      </w:r>
      <w:r w:rsidRPr="00A021B7">
        <w:rPr>
          <w:rFonts w:ascii="Arial" w:hAnsi="Arial" w:cs="Arial"/>
          <w:sz w:val="20"/>
          <w:szCs w:val="20"/>
          <w:lang w:val="sr-Cyrl-RS"/>
        </w:rPr>
        <w:t xml:space="preserve"> припремило и објавило Јединствени попис послова на локалном нивоу</w:t>
      </w:r>
      <w:r w:rsidR="003E2047" w:rsidRPr="00A021B7">
        <w:rPr>
          <w:rStyle w:val="FootnoteReference"/>
          <w:rFonts w:ascii="Arial" w:hAnsi="Arial" w:cs="Arial"/>
          <w:sz w:val="20"/>
          <w:szCs w:val="20"/>
          <w:lang w:val="sr-Cyrl-RS"/>
        </w:rPr>
        <w:footnoteReference w:id="29"/>
      </w:r>
      <w:r w:rsidR="002F16A9">
        <w:rPr>
          <w:rFonts w:ascii="Arial" w:hAnsi="Arial" w:cs="Arial"/>
          <w:sz w:val="20"/>
          <w:szCs w:val="20"/>
          <w:lang w:val="sr-Cyrl-RS"/>
        </w:rPr>
        <w:t xml:space="preserve">, </w:t>
      </w:r>
      <w:r w:rsidRPr="00A021B7">
        <w:rPr>
          <w:rFonts w:ascii="Arial" w:hAnsi="Arial" w:cs="Arial"/>
          <w:sz w:val="20"/>
          <w:szCs w:val="20"/>
          <w:lang w:val="sr-Cyrl-RS"/>
        </w:rPr>
        <w:t>за који је развијена посебна методологија која омогућава попис и дефинисање појединачних послова</w:t>
      </w:r>
      <w:r w:rsidR="7289FFFB" w:rsidRPr="00A021B7">
        <w:rPr>
          <w:rFonts w:ascii="Arial" w:hAnsi="Arial" w:cs="Arial"/>
          <w:sz w:val="20"/>
          <w:szCs w:val="20"/>
          <w:lang w:val="sr-Cyrl-RS"/>
        </w:rPr>
        <w:t>. Овај попис садржи</w:t>
      </w:r>
      <w:r w:rsidRPr="00A021B7">
        <w:rPr>
          <w:rFonts w:ascii="Arial" w:hAnsi="Arial" w:cs="Arial"/>
          <w:sz w:val="20"/>
          <w:szCs w:val="20"/>
          <w:lang w:val="sr-Cyrl-RS"/>
        </w:rPr>
        <w:t xml:space="preserve"> 29 области и подобласти у којима јединице локалне самоуправе имају надлежности</w:t>
      </w:r>
      <w:r w:rsidR="002F16A9">
        <w:rPr>
          <w:rFonts w:ascii="Arial" w:hAnsi="Arial" w:cs="Arial"/>
          <w:sz w:val="20"/>
          <w:szCs w:val="20"/>
          <w:lang w:val="sr-Cyrl-RS"/>
        </w:rPr>
        <w:t>,</w:t>
      </w:r>
      <w:r w:rsidRPr="00A021B7">
        <w:rPr>
          <w:rFonts w:ascii="Arial" w:hAnsi="Arial" w:cs="Arial"/>
          <w:sz w:val="20"/>
          <w:szCs w:val="20"/>
          <w:lang w:val="sr-Cyrl-RS"/>
        </w:rPr>
        <w:t xml:space="preserve"> </w:t>
      </w:r>
      <w:r w:rsidR="31CC2743" w:rsidRPr="00A021B7">
        <w:rPr>
          <w:rFonts w:ascii="Arial" w:hAnsi="Arial" w:cs="Arial"/>
          <w:sz w:val="20"/>
          <w:szCs w:val="20"/>
          <w:lang w:val="sr-Cyrl-RS"/>
        </w:rPr>
        <w:t xml:space="preserve">и </w:t>
      </w:r>
      <w:r w:rsidR="002F16A9">
        <w:rPr>
          <w:rFonts w:ascii="Arial" w:hAnsi="Arial" w:cs="Arial"/>
          <w:sz w:val="20"/>
          <w:szCs w:val="20"/>
          <w:lang w:val="sr-Cyrl-RS"/>
        </w:rPr>
        <w:t xml:space="preserve">они </w:t>
      </w:r>
      <w:r w:rsidR="7289FFFB" w:rsidRPr="00A021B7">
        <w:rPr>
          <w:rFonts w:ascii="Arial" w:hAnsi="Arial" w:cs="Arial"/>
          <w:sz w:val="20"/>
          <w:szCs w:val="20"/>
          <w:lang w:val="sr-Cyrl-RS"/>
        </w:rPr>
        <w:t>обављају</w:t>
      </w:r>
      <w:r w:rsidRPr="00A021B7">
        <w:rPr>
          <w:rFonts w:ascii="Arial" w:hAnsi="Arial" w:cs="Arial"/>
          <w:sz w:val="20"/>
          <w:szCs w:val="20"/>
          <w:lang w:val="sr-Cyrl-RS"/>
        </w:rPr>
        <w:t xml:space="preserve"> укупно 1134 послова</w:t>
      </w:r>
      <w:r w:rsidR="223D94BA" w:rsidRPr="00A021B7">
        <w:rPr>
          <w:rFonts w:ascii="Arial" w:hAnsi="Arial" w:cs="Arial"/>
          <w:sz w:val="20"/>
          <w:szCs w:val="20"/>
          <w:lang w:val="sr-Cyrl-RS"/>
        </w:rPr>
        <w:t xml:space="preserve"> кој</w:t>
      </w:r>
      <w:r w:rsidR="002F16A9">
        <w:rPr>
          <w:rFonts w:ascii="Arial" w:hAnsi="Arial" w:cs="Arial"/>
          <w:sz w:val="20"/>
          <w:szCs w:val="20"/>
          <w:lang w:val="sr-Cyrl-RS"/>
        </w:rPr>
        <w:t>е</w:t>
      </w:r>
      <w:r w:rsidR="223D94BA" w:rsidRPr="00A021B7">
        <w:rPr>
          <w:rFonts w:ascii="Arial" w:hAnsi="Arial" w:cs="Arial"/>
          <w:sz w:val="20"/>
          <w:szCs w:val="20"/>
          <w:lang w:val="sr-Cyrl-RS"/>
        </w:rPr>
        <w:t xml:space="preserve"> уређ</w:t>
      </w:r>
      <w:r w:rsidR="002F16A9">
        <w:rPr>
          <w:rFonts w:ascii="Arial" w:hAnsi="Arial" w:cs="Arial"/>
          <w:sz w:val="20"/>
          <w:szCs w:val="20"/>
          <w:lang w:val="sr-Cyrl-RS"/>
        </w:rPr>
        <w:t>ује</w:t>
      </w:r>
      <w:r w:rsidR="463BA617" w:rsidRPr="00A021B7">
        <w:rPr>
          <w:rFonts w:ascii="Arial" w:hAnsi="Arial" w:cs="Arial"/>
          <w:sz w:val="20"/>
          <w:szCs w:val="20"/>
          <w:lang w:val="sr-Cyrl-RS"/>
        </w:rPr>
        <w:t xml:space="preserve"> 1</w:t>
      </w:r>
      <w:r w:rsidR="1D462BA9" w:rsidRPr="00A021B7">
        <w:rPr>
          <w:rFonts w:ascii="Arial" w:hAnsi="Arial" w:cs="Arial"/>
          <w:sz w:val="20"/>
          <w:szCs w:val="20"/>
          <w:lang w:val="sr-Cyrl-RS"/>
        </w:rPr>
        <w:t>26</w:t>
      </w:r>
      <w:r w:rsidR="463BA617" w:rsidRPr="00A021B7">
        <w:rPr>
          <w:rFonts w:ascii="Arial" w:hAnsi="Arial" w:cs="Arial"/>
          <w:sz w:val="20"/>
          <w:szCs w:val="20"/>
          <w:lang w:val="sr-Cyrl-RS"/>
        </w:rPr>
        <w:t xml:space="preserve"> закона</w:t>
      </w:r>
      <w:r w:rsidRPr="00A021B7">
        <w:rPr>
          <w:rFonts w:ascii="Arial" w:hAnsi="Arial" w:cs="Arial"/>
          <w:sz w:val="20"/>
          <w:szCs w:val="20"/>
          <w:lang w:val="sr-Cyrl-RS"/>
        </w:rPr>
        <w:t xml:space="preserve">. </w:t>
      </w:r>
      <w:r w:rsidR="002F16A9">
        <w:rPr>
          <w:rFonts w:ascii="Arial" w:hAnsi="Arial" w:cs="Arial"/>
          <w:sz w:val="20"/>
          <w:szCs w:val="20"/>
          <w:lang w:val="sr-Cyrl-RS"/>
        </w:rPr>
        <w:t>Ако се и</w:t>
      </w:r>
      <w:r w:rsidRPr="00A021B7">
        <w:rPr>
          <w:rFonts w:ascii="Arial" w:hAnsi="Arial" w:cs="Arial"/>
          <w:sz w:val="20"/>
          <w:szCs w:val="20"/>
          <w:lang w:val="sr-Cyrl-RS"/>
        </w:rPr>
        <w:t xml:space="preserve">мају у виду обим и </w:t>
      </w:r>
      <w:r w:rsidR="5003BB4B" w:rsidRPr="00A021B7">
        <w:rPr>
          <w:rFonts w:ascii="Arial" w:hAnsi="Arial" w:cs="Arial"/>
          <w:sz w:val="20"/>
          <w:szCs w:val="20"/>
          <w:lang w:val="sr-Cyrl-RS"/>
        </w:rPr>
        <w:t xml:space="preserve">сложеност </w:t>
      </w:r>
      <w:r w:rsidRPr="00A021B7">
        <w:rPr>
          <w:rFonts w:ascii="Arial" w:hAnsi="Arial" w:cs="Arial"/>
          <w:sz w:val="20"/>
          <w:szCs w:val="20"/>
          <w:lang w:val="sr-Cyrl-RS"/>
        </w:rPr>
        <w:t xml:space="preserve">изворних и поверених послова локалне самоуправе, јединствени попис </w:t>
      </w:r>
      <w:r w:rsidR="522E40CB" w:rsidRPr="00A021B7">
        <w:rPr>
          <w:rFonts w:ascii="Arial" w:hAnsi="Arial" w:cs="Arial"/>
          <w:sz w:val="20"/>
          <w:szCs w:val="20"/>
          <w:lang w:val="sr-Cyrl-RS"/>
        </w:rPr>
        <w:t xml:space="preserve">послова </w:t>
      </w:r>
      <w:r w:rsidRPr="00A021B7">
        <w:rPr>
          <w:rFonts w:ascii="Arial" w:hAnsi="Arial" w:cs="Arial"/>
          <w:sz w:val="20"/>
          <w:szCs w:val="20"/>
          <w:lang w:val="sr-Cyrl-RS"/>
        </w:rPr>
        <w:t>је веома важан алат за праћење садржине локалне самоуправе у Републици Србији.</w:t>
      </w:r>
    </w:p>
    <w:p w14:paraId="1123A458" w14:textId="77777777" w:rsidR="003E2047" w:rsidRPr="00A021B7" w:rsidRDefault="003E2047" w:rsidP="0DD3B114">
      <w:pPr>
        <w:ind w:firstLine="720"/>
        <w:jc w:val="both"/>
        <w:rPr>
          <w:rFonts w:ascii="Arial" w:hAnsi="Arial" w:cs="Arial"/>
          <w:sz w:val="20"/>
          <w:szCs w:val="20"/>
          <w:lang w:val="sr-Cyrl-RS"/>
        </w:rPr>
      </w:pPr>
    </w:p>
    <w:p w14:paraId="1F648349" w14:textId="6D4F287C" w:rsidR="00DC35F5" w:rsidRPr="00A021B7" w:rsidRDefault="003E2047" w:rsidP="0DD3B114">
      <w:pPr>
        <w:ind w:firstLine="720"/>
        <w:jc w:val="both"/>
        <w:rPr>
          <w:rFonts w:ascii="Arial" w:hAnsi="Arial" w:cs="Arial"/>
          <w:sz w:val="20"/>
          <w:szCs w:val="20"/>
          <w:lang w:val="sr-Cyrl-RS" w:bidi="en-US"/>
        </w:rPr>
      </w:pPr>
      <w:r w:rsidRPr="0DD3B114">
        <w:rPr>
          <w:rFonts w:ascii="Arial" w:hAnsi="Arial" w:cs="Arial"/>
          <w:sz w:val="20"/>
          <w:szCs w:val="20"/>
          <w:lang w:val="sr-Cyrl-RS"/>
        </w:rPr>
        <w:t>Упркос исцрпној нормативи која регулише послов</w:t>
      </w:r>
      <w:r w:rsidR="0039768C" w:rsidRPr="0DD3B114">
        <w:rPr>
          <w:rFonts w:ascii="Arial" w:hAnsi="Arial" w:cs="Arial"/>
          <w:sz w:val="20"/>
          <w:szCs w:val="20"/>
          <w:lang w:val="sr-Cyrl-RS"/>
        </w:rPr>
        <w:t>е</w:t>
      </w:r>
      <w:r w:rsidRPr="0DD3B114">
        <w:rPr>
          <w:rFonts w:ascii="Arial" w:hAnsi="Arial" w:cs="Arial"/>
          <w:sz w:val="20"/>
          <w:szCs w:val="20"/>
          <w:lang w:val="sr-Cyrl-RS"/>
        </w:rPr>
        <w:t xml:space="preserve"> </w:t>
      </w:r>
      <w:r w:rsidR="004807E3" w:rsidRPr="0DD3B114">
        <w:rPr>
          <w:rFonts w:ascii="Arial" w:hAnsi="Arial" w:cs="Arial"/>
          <w:sz w:val="20"/>
          <w:szCs w:val="20"/>
          <w:lang w:val="sr-Cyrl-RS"/>
        </w:rPr>
        <w:t>ЈЛС</w:t>
      </w:r>
      <w:r w:rsidRPr="0DD3B114">
        <w:rPr>
          <w:rFonts w:ascii="Arial" w:hAnsi="Arial" w:cs="Arial"/>
          <w:sz w:val="20"/>
          <w:szCs w:val="20"/>
          <w:lang w:val="sr-Cyrl-RS"/>
        </w:rPr>
        <w:t>, пракса је показала да је ово једно од најкомплекснијих питања. Један од основних системских проблема јесте начин додељивања нових послова локалној самоуправи. Законско додељивање нових изворних и поверених послова општинама и градовима није у свим случајевима извршено на одговарајући начин и најчешће није праћено обезбеђењем потребних финансијских, кадровских и других ресурса. Последњих деценију и по</w:t>
      </w:r>
      <w:r w:rsidR="004807E3" w:rsidRPr="0DD3B114">
        <w:rPr>
          <w:rFonts w:ascii="Arial" w:hAnsi="Arial" w:cs="Arial"/>
          <w:sz w:val="20"/>
          <w:szCs w:val="20"/>
          <w:lang w:val="sr-Cyrl-RS"/>
        </w:rPr>
        <w:t>,</w:t>
      </w:r>
      <w:r w:rsidRPr="0DD3B114">
        <w:rPr>
          <w:rFonts w:ascii="Arial" w:hAnsi="Arial" w:cs="Arial"/>
          <w:sz w:val="20"/>
          <w:szCs w:val="20"/>
          <w:lang w:val="sr-Cyrl-RS"/>
        </w:rPr>
        <w:t xml:space="preserve"> у</w:t>
      </w:r>
      <w:r w:rsidRPr="0DD3B114">
        <w:rPr>
          <w:rFonts w:ascii="Arial" w:hAnsi="Arial" w:cs="Arial"/>
          <w:sz w:val="20"/>
          <w:szCs w:val="20"/>
          <w:lang w:val="sr-Cyrl-RS" w:bidi="en-US"/>
        </w:rPr>
        <w:t xml:space="preserve">брзана регулаторна делатност у Републици Србији </w:t>
      </w:r>
      <w:r w:rsidR="00BA3914" w:rsidRPr="0DD3B114">
        <w:rPr>
          <w:rFonts w:ascii="Arial" w:hAnsi="Arial" w:cs="Arial"/>
          <w:sz w:val="20"/>
          <w:szCs w:val="20"/>
          <w:lang w:val="sr-Cyrl-RS" w:bidi="en-US"/>
        </w:rPr>
        <w:t>(</w:t>
      </w:r>
      <w:r w:rsidRPr="0DD3B114">
        <w:rPr>
          <w:rFonts w:ascii="Arial" w:hAnsi="Arial" w:cs="Arial"/>
          <w:sz w:val="20"/>
          <w:szCs w:val="20"/>
          <w:lang w:val="sr-Cyrl-RS" w:bidi="en-US"/>
        </w:rPr>
        <w:t>што као последица јавних политика виших нивоа власти</w:t>
      </w:r>
      <w:r w:rsidR="00A96009" w:rsidRPr="0DD3B114">
        <w:rPr>
          <w:rFonts w:ascii="Arial" w:hAnsi="Arial" w:cs="Arial"/>
          <w:sz w:val="20"/>
          <w:szCs w:val="20"/>
          <w:lang w:val="sr-Cyrl-RS" w:bidi="en-US"/>
        </w:rPr>
        <w:t>,</w:t>
      </w:r>
      <w:r w:rsidRPr="0DD3B114">
        <w:rPr>
          <w:rFonts w:ascii="Arial" w:hAnsi="Arial" w:cs="Arial"/>
          <w:sz w:val="20"/>
          <w:szCs w:val="20"/>
          <w:lang w:val="sr-Cyrl-RS" w:bidi="en-US"/>
        </w:rPr>
        <w:t xml:space="preserve"> што као</w:t>
      </w:r>
      <w:r w:rsidR="004D5004" w:rsidRPr="0DD3B114">
        <w:rPr>
          <w:rFonts w:ascii="Arial" w:hAnsi="Arial" w:cs="Arial"/>
          <w:sz w:val="20"/>
          <w:szCs w:val="20"/>
          <w:lang w:val="sr-Cyrl-RS" w:bidi="en-US"/>
        </w:rPr>
        <w:t xml:space="preserve"> </w:t>
      </w:r>
      <w:r w:rsidRPr="0DD3B114">
        <w:rPr>
          <w:rFonts w:ascii="Arial" w:hAnsi="Arial" w:cs="Arial"/>
          <w:sz w:val="20"/>
          <w:szCs w:val="20"/>
          <w:lang w:val="sr-Cyrl-RS" w:bidi="en-US"/>
        </w:rPr>
        <w:t>последица испуњавања услова везаних за хармонизацију позитивног правног оквира са прописима ЕУ</w:t>
      </w:r>
      <w:r w:rsidR="00BA3914" w:rsidRPr="0DD3B114">
        <w:rPr>
          <w:rFonts w:ascii="Arial" w:hAnsi="Arial" w:cs="Arial"/>
          <w:sz w:val="20"/>
          <w:szCs w:val="20"/>
          <w:lang w:val="sr-Cyrl-RS" w:bidi="en-US"/>
        </w:rPr>
        <w:t>)</w:t>
      </w:r>
      <w:r w:rsidRPr="0DD3B114">
        <w:rPr>
          <w:rFonts w:ascii="Arial" w:hAnsi="Arial" w:cs="Arial"/>
          <w:sz w:val="20"/>
          <w:szCs w:val="20"/>
          <w:lang w:val="sr-Cyrl-RS" w:bidi="en-US"/>
        </w:rPr>
        <w:t xml:space="preserve"> повлачила је за собом значајне ризике.</w:t>
      </w:r>
      <w:r w:rsidR="005E2EF9" w:rsidRPr="0DD3B114">
        <w:rPr>
          <w:rFonts w:ascii="Arial" w:hAnsi="Arial" w:cs="Arial"/>
          <w:sz w:val="20"/>
          <w:szCs w:val="20"/>
          <w:lang w:val="sr-Cyrl-RS" w:bidi="en-US"/>
        </w:rPr>
        <w:t xml:space="preserve"> Један од кључних</w:t>
      </w:r>
      <w:r w:rsidR="000543A1" w:rsidRPr="0DD3B114">
        <w:rPr>
          <w:rFonts w:ascii="Arial" w:hAnsi="Arial" w:cs="Arial"/>
          <w:sz w:val="20"/>
          <w:szCs w:val="20"/>
          <w:lang w:val="sr-Cyrl-RS" w:bidi="en-US"/>
        </w:rPr>
        <w:t xml:space="preserve"> проблема</w:t>
      </w:r>
      <w:r w:rsidR="005E2EF9" w:rsidRPr="0DD3B114">
        <w:rPr>
          <w:rFonts w:ascii="Arial" w:hAnsi="Arial" w:cs="Arial"/>
          <w:sz w:val="20"/>
          <w:szCs w:val="20"/>
          <w:lang w:val="sr-Cyrl-RS" w:bidi="en-US"/>
        </w:rPr>
        <w:t xml:space="preserve"> јесте </w:t>
      </w:r>
      <w:r w:rsidR="00AD01A8" w:rsidRPr="0DD3B114">
        <w:rPr>
          <w:rFonts w:ascii="Arial" w:hAnsi="Arial" w:cs="Arial"/>
          <w:sz w:val="20"/>
          <w:szCs w:val="20"/>
          <w:lang w:val="sr-Cyrl-RS" w:bidi="en-US"/>
        </w:rPr>
        <w:t xml:space="preserve">често </w:t>
      </w:r>
      <w:r w:rsidR="005E2EF9" w:rsidRPr="0DD3B114">
        <w:rPr>
          <w:rFonts w:ascii="Arial" w:hAnsi="Arial" w:cs="Arial"/>
          <w:sz w:val="20"/>
          <w:szCs w:val="20"/>
          <w:lang w:val="sr-Cyrl-RS" w:bidi="en-US"/>
        </w:rPr>
        <w:t xml:space="preserve">одсуство планирања потребних локалних капацитета за спровођење нових политика и прописа. </w:t>
      </w:r>
      <w:r w:rsidR="00587F34" w:rsidRPr="0DD3B114">
        <w:rPr>
          <w:rFonts w:ascii="Arial" w:hAnsi="Arial" w:cs="Arial"/>
          <w:sz w:val="20"/>
          <w:szCs w:val="20"/>
          <w:lang w:val="sr-Cyrl-RS" w:bidi="en-US"/>
        </w:rPr>
        <w:t xml:space="preserve">Пример су нови послови локалне самоуправе за које </w:t>
      </w:r>
      <w:r w:rsidR="00D6586E" w:rsidRPr="0DD3B114">
        <w:rPr>
          <w:rFonts w:ascii="Arial" w:hAnsi="Arial" w:cs="Arial"/>
          <w:sz w:val="20"/>
          <w:szCs w:val="20"/>
          <w:lang w:val="sr-Cyrl-RS" w:bidi="en-US"/>
        </w:rPr>
        <w:t xml:space="preserve">су капацитети за спровођење </w:t>
      </w:r>
      <w:r w:rsidR="008D406E" w:rsidRPr="0DD3B114">
        <w:rPr>
          <w:rFonts w:ascii="Arial" w:hAnsi="Arial" w:cs="Arial"/>
          <w:sz w:val="20"/>
          <w:szCs w:val="20"/>
          <w:lang w:val="sr-Cyrl-RS" w:bidi="en-US"/>
        </w:rPr>
        <w:t xml:space="preserve">стварани </w:t>
      </w:r>
      <w:r w:rsidR="00A102B5" w:rsidRPr="0DD3B114">
        <w:rPr>
          <w:rFonts w:ascii="Arial" w:hAnsi="Arial" w:cs="Arial"/>
          <w:sz w:val="20"/>
          <w:szCs w:val="20"/>
          <w:lang w:val="sr-Cyrl-RS" w:bidi="en-US"/>
        </w:rPr>
        <w:t xml:space="preserve">тек након почетка </w:t>
      </w:r>
      <w:r w:rsidR="008D406E" w:rsidRPr="0DD3B114">
        <w:rPr>
          <w:rFonts w:ascii="Arial" w:hAnsi="Arial" w:cs="Arial"/>
          <w:sz w:val="20"/>
          <w:szCs w:val="20"/>
          <w:lang w:val="sr-Cyrl-RS" w:bidi="en-US"/>
        </w:rPr>
        <w:t>примене</w:t>
      </w:r>
      <w:r w:rsidR="00D6586E" w:rsidRPr="0DD3B114">
        <w:rPr>
          <w:rFonts w:ascii="Arial" w:hAnsi="Arial" w:cs="Arial"/>
          <w:sz w:val="20"/>
          <w:szCs w:val="20"/>
          <w:lang w:val="sr-Cyrl-RS" w:bidi="en-US"/>
        </w:rPr>
        <w:t xml:space="preserve">, уместо да </w:t>
      </w:r>
      <w:r w:rsidR="00A102B5" w:rsidRPr="0DD3B114">
        <w:rPr>
          <w:rFonts w:ascii="Arial" w:hAnsi="Arial" w:cs="Arial"/>
          <w:sz w:val="20"/>
          <w:szCs w:val="20"/>
          <w:lang w:val="sr-Cyrl-RS" w:bidi="en-US"/>
        </w:rPr>
        <w:t xml:space="preserve">буду </w:t>
      </w:r>
      <w:r w:rsidR="00043ECF" w:rsidRPr="0DD3B114">
        <w:rPr>
          <w:rFonts w:ascii="Arial" w:hAnsi="Arial" w:cs="Arial"/>
          <w:sz w:val="20"/>
          <w:szCs w:val="20"/>
          <w:lang w:val="sr-Cyrl-RS" w:bidi="en-US"/>
        </w:rPr>
        <w:t>обезбеђени пре преноса надлежност</w:t>
      </w:r>
      <w:r w:rsidR="00A102B5" w:rsidRPr="0DD3B114">
        <w:rPr>
          <w:rFonts w:ascii="Arial" w:hAnsi="Arial" w:cs="Arial"/>
          <w:sz w:val="20"/>
          <w:szCs w:val="20"/>
          <w:lang w:val="sr-Cyrl-RS" w:bidi="en-US"/>
        </w:rPr>
        <w:t>и</w:t>
      </w:r>
      <w:r w:rsidR="00043ECF" w:rsidRPr="0DD3B114">
        <w:rPr>
          <w:rFonts w:ascii="Arial" w:hAnsi="Arial" w:cs="Arial"/>
          <w:sz w:val="20"/>
          <w:szCs w:val="20"/>
          <w:lang w:val="sr-Cyrl-RS" w:bidi="en-US"/>
        </w:rPr>
        <w:t xml:space="preserve"> или барем интензивно подржани од стране националног нивоа одмах </w:t>
      </w:r>
      <w:r w:rsidR="00D84E8D" w:rsidRPr="0DD3B114">
        <w:rPr>
          <w:rFonts w:ascii="Arial" w:hAnsi="Arial" w:cs="Arial"/>
          <w:sz w:val="20"/>
          <w:szCs w:val="20"/>
          <w:lang w:val="sr-Cyrl-RS" w:bidi="en-US"/>
        </w:rPr>
        <w:t>на почетку</w:t>
      </w:r>
      <w:r w:rsidR="00043ECF" w:rsidRPr="0DD3B114">
        <w:rPr>
          <w:rFonts w:ascii="Arial" w:hAnsi="Arial" w:cs="Arial"/>
          <w:sz w:val="20"/>
          <w:szCs w:val="20"/>
          <w:lang w:val="sr-Cyrl-RS" w:bidi="en-US"/>
        </w:rPr>
        <w:t>.</w:t>
      </w:r>
      <w:r w:rsidR="006E4BF2" w:rsidRPr="0DD3B114">
        <w:rPr>
          <w:rFonts w:ascii="Arial" w:hAnsi="Arial" w:cs="Arial"/>
          <w:sz w:val="20"/>
          <w:szCs w:val="20"/>
          <w:lang w:val="sr-Cyrl-RS" w:bidi="en-US"/>
        </w:rPr>
        <w:t xml:space="preserve"> Изузетно је ретка ситуација у којој се законом којим се додељује нека надлежност, утврди одложени – каснији почетак његове примене са циљем да се у остављеном периоду ЈЛС упознају и припреме за његово спровођење.</w:t>
      </w:r>
    </w:p>
    <w:p w14:paraId="6E0D4DA6" w14:textId="77777777" w:rsidR="00DC35F5" w:rsidRPr="00A021B7" w:rsidRDefault="00DC35F5" w:rsidP="003E7BC9">
      <w:pPr>
        <w:jc w:val="both"/>
        <w:rPr>
          <w:rFonts w:ascii="Arial" w:hAnsi="Arial" w:cs="Arial"/>
          <w:sz w:val="20"/>
          <w:szCs w:val="20"/>
          <w:lang w:val="sr-Cyrl-RS" w:bidi="en-US"/>
        </w:rPr>
      </w:pPr>
    </w:p>
    <w:p w14:paraId="0F68DA1C" w14:textId="38B91907" w:rsidR="003E2047" w:rsidRPr="00A021B7" w:rsidRDefault="003E2047" w:rsidP="0DD3B114">
      <w:pPr>
        <w:ind w:firstLine="720"/>
        <w:jc w:val="both"/>
        <w:rPr>
          <w:rFonts w:ascii="Arial" w:hAnsi="Arial" w:cs="Arial"/>
          <w:color w:val="000000" w:themeColor="text1"/>
          <w:sz w:val="20"/>
          <w:szCs w:val="20"/>
          <w:lang w:val="sr-Cyrl-RS"/>
        </w:rPr>
      </w:pPr>
      <w:r w:rsidRPr="00A021B7">
        <w:rPr>
          <w:rFonts w:ascii="Arial" w:hAnsi="Arial" w:cs="Arial"/>
          <w:sz w:val="20"/>
          <w:szCs w:val="20"/>
          <w:lang w:val="sr-Cyrl-RS" w:bidi="en-US"/>
        </w:rPr>
        <w:lastRenderedPageBreak/>
        <w:t xml:space="preserve">Усвајање прописа без довољне </w:t>
      </w:r>
      <w:r w:rsidR="005E0E02" w:rsidRPr="00A021B7">
        <w:rPr>
          <w:rFonts w:ascii="Arial" w:hAnsi="Arial" w:cs="Arial"/>
          <w:sz w:val="20"/>
          <w:szCs w:val="20"/>
          <w:lang w:val="sr-Cyrl-RS" w:bidi="en-US"/>
        </w:rPr>
        <w:t>међу</w:t>
      </w:r>
      <w:r w:rsidRPr="00A021B7">
        <w:rPr>
          <w:rFonts w:ascii="Arial" w:hAnsi="Arial" w:cs="Arial"/>
          <w:sz w:val="20"/>
          <w:szCs w:val="20"/>
          <w:lang w:val="sr-Cyrl-RS" w:bidi="en-US"/>
        </w:rPr>
        <w:t xml:space="preserve">ресорне и хоризонталне координације и без вертикалне сарадње виших и нижих нивоа јавне управе </w:t>
      </w:r>
      <w:r w:rsidR="00230BD2">
        <w:rPr>
          <w:rFonts w:ascii="Arial" w:hAnsi="Arial" w:cs="Arial"/>
          <w:color w:val="000000" w:themeColor="text1"/>
          <w:sz w:val="20"/>
          <w:szCs w:val="20"/>
          <w:lang w:val="sr-Cyrl-RS" w:bidi="en-US"/>
        </w:rPr>
        <w:t>к</w:t>
      </w:r>
      <w:r w:rsidRPr="00A021B7">
        <w:rPr>
          <w:rFonts w:ascii="Arial" w:hAnsi="Arial" w:cs="Arial"/>
          <w:color w:val="000000" w:themeColor="text1"/>
          <w:sz w:val="20"/>
          <w:szCs w:val="20"/>
          <w:lang w:val="sr-Cyrl-RS" w:bidi="en-US"/>
        </w:rPr>
        <w:t>а</w:t>
      </w:r>
      <w:r w:rsidR="00230BD2">
        <w:rPr>
          <w:rFonts w:ascii="Arial" w:hAnsi="Arial" w:cs="Arial"/>
          <w:color w:val="000000" w:themeColor="text1"/>
          <w:sz w:val="20"/>
          <w:szCs w:val="20"/>
          <w:lang w:val="sr-Cyrl-RS" w:bidi="en-US"/>
        </w:rPr>
        <w:t>о</w:t>
      </w:r>
      <w:r w:rsidRPr="00A021B7">
        <w:rPr>
          <w:rFonts w:ascii="Arial" w:hAnsi="Arial" w:cs="Arial"/>
          <w:color w:val="000000" w:themeColor="text1"/>
          <w:sz w:val="20"/>
          <w:szCs w:val="20"/>
          <w:lang w:val="sr-Cyrl-RS" w:bidi="en-US"/>
        </w:rPr>
        <w:t xml:space="preserve"> последицу често има како сукоб</w:t>
      </w:r>
      <w:r w:rsidR="00812F11" w:rsidRPr="00A021B7">
        <w:rPr>
          <w:rFonts w:ascii="Arial" w:hAnsi="Arial" w:cs="Arial"/>
          <w:color w:val="000000" w:themeColor="text1"/>
          <w:sz w:val="20"/>
          <w:szCs w:val="20"/>
          <w:lang w:val="sr-Cyrl-RS" w:bidi="en-US"/>
        </w:rPr>
        <w:t>,</w:t>
      </w:r>
      <w:r w:rsidRPr="00A021B7">
        <w:rPr>
          <w:rFonts w:ascii="Arial" w:hAnsi="Arial" w:cs="Arial"/>
          <w:color w:val="000000" w:themeColor="text1"/>
          <w:sz w:val="20"/>
          <w:szCs w:val="20"/>
          <w:lang w:val="sr-Cyrl-RS" w:bidi="en-US"/>
        </w:rPr>
        <w:t xml:space="preserve"> тако и недореченост и незаокруженост надлежности </w:t>
      </w:r>
      <w:r w:rsidR="00812F11" w:rsidRPr="00A021B7">
        <w:rPr>
          <w:rFonts w:ascii="Arial" w:hAnsi="Arial" w:cs="Arial"/>
          <w:color w:val="000000" w:themeColor="text1"/>
          <w:sz w:val="20"/>
          <w:szCs w:val="20"/>
          <w:lang w:val="sr-Cyrl-RS" w:bidi="en-US"/>
        </w:rPr>
        <w:t xml:space="preserve">и </w:t>
      </w:r>
      <w:r w:rsidRPr="00A021B7">
        <w:rPr>
          <w:rFonts w:ascii="Arial" w:hAnsi="Arial" w:cs="Arial"/>
          <w:color w:val="000000" w:themeColor="text1"/>
          <w:sz w:val="20"/>
          <w:szCs w:val="20"/>
          <w:lang w:val="sr-Cyrl-RS" w:bidi="en-US"/>
        </w:rPr>
        <w:t>послова у појединим областима у делокругу локалне самоуправе</w:t>
      </w:r>
      <w:r w:rsidR="005E2EF9" w:rsidRPr="00A021B7">
        <w:rPr>
          <w:rFonts w:ascii="Arial" w:hAnsi="Arial" w:cs="Arial"/>
          <w:color w:val="000000" w:themeColor="text1"/>
          <w:sz w:val="20"/>
          <w:szCs w:val="20"/>
          <w:lang w:val="sr-Cyrl-RS" w:bidi="en-US"/>
        </w:rPr>
        <w:t xml:space="preserve">. </w:t>
      </w:r>
      <w:r w:rsidRPr="00A021B7">
        <w:rPr>
          <w:rFonts w:ascii="Arial" w:hAnsi="Arial" w:cs="Arial"/>
          <w:color w:val="000000" w:themeColor="text1"/>
          <w:sz w:val="20"/>
          <w:szCs w:val="20"/>
          <w:lang w:val="sr-Cyrl-RS" w:bidi="en-US"/>
        </w:rPr>
        <w:t xml:space="preserve">Као пример </w:t>
      </w:r>
      <w:r w:rsidR="00230BD2">
        <w:rPr>
          <w:rFonts w:ascii="Arial" w:hAnsi="Arial" w:cs="Arial"/>
          <w:color w:val="000000" w:themeColor="text1"/>
          <w:sz w:val="20"/>
          <w:szCs w:val="20"/>
          <w:lang w:val="sr-Cyrl-RS" w:bidi="en-US"/>
        </w:rPr>
        <w:t xml:space="preserve">се </w:t>
      </w:r>
      <w:r w:rsidRPr="00A021B7">
        <w:rPr>
          <w:rFonts w:ascii="Arial" w:hAnsi="Arial" w:cs="Arial"/>
          <w:color w:val="000000" w:themeColor="text1"/>
          <w:sz w:val="20"/>
          <w:szCs w:val="20"/>
          <w:lang w:val="sr-Cyrl-RS" w:bidi="en-US"/>
        </w:rPr>
        <w:t>може</w:t>
      </w:r>
      <w:r w:rsidR="00F65EA0" w:rsidRPr="00A021B7">
        <w:rPr>
          <w:rFonts w:ascii="Arial" w:hAnsi="Arial" w:cs="Arial"/>
          <w:color w:val="000000" w:themeColor="text1"/>
          <w:sz w:val="20"/>
          <w:szCs w:val="20"/>
          <w:lang w:val="sr-Cyrl-RS" w:bidi="en-US"/>
        </w:rPr>
        <w:t xml:space="preserve"> </w:t>
      </w:r>
      <w:r w:rsidRPr="00A021B7">
        <w:rPr>
          <w:rFonts w:ascii="Arial" w:hAnsi="Arial" w:cs="Arial"/>
          <w:color w:val="000000" w:themeColor="text1"/>
          <w:sz w:val="20"/>
          <w:szCs w:val="20"/>
          <w:lang w:val="sr-Cyrl-RS" w:bidi="en-US"/>
        </w:rPr>
        <w:t xml:space="preserve">навести </w:t>
      </w:r>
      <w:r w:rsidRPr="00A021B7">
        <w:rPr>
          <w:rFonts w:ascii="Arial" w:hAnsi="Arial" w:cs="Arial"/>
          <w:color w:val="000000" w:themeColor="text1"/>
          <w:sz w:val="20"/>
          <w:szCs w:val="20"/>
          <w:shd w:val="clear" w:color="auto" w:fill="FFFFFF"/>
          <w:lang w:val="sr-Cyrl-RS"/>
        </w:rPr>
        <w:t>вишегодишњи проблем инспекцијског надзора над буком. Наиме, три закона регулишу на различит начин исту материју, односно проблем буке стављају у надлежност три различите инспекције (Закон о заштити од буке у животној средини</w:t>
      </w:r>
      <w:r w:rsidR="006679CC" w:rsidRPr="00A021B7">
        <w:rPr>
          <w:rFonts w:ascii="Arial" w:hAnsi="Arial" w:cs="Arial"/>
          <w:color w:val="000000" w:themeColor="text1"/>
          <w:sz w:val="20"/>
          <w:szCs w:val="20"/>
          <w:shd w:val="clear" w:color="auto" w:fill="FFFFFF"/>
          <w:lang w:val="sr-Cyrl-RS"/>
        </w:rPr>
        <w:t xml:space="preserve"> – </w:t>
      </w:r>
      <w:r w:rsidRPr="00A021B7">
        <w:rPr>
          <w:rFonts w:ascii="Arial" w:hAnsi="Arial" w:cs="Arial"/>
          <w:color w:val="000000" w:themeColor="text1"/>
          <w:sz w:val="20"/>
          <w:szCs w:val="20"/>
          <w:shd w:val="clear" w:color="auto" w:fill="FFFFFF"/>
          <w:lang w:val="sr-Cyrl-RS"/>
        </w:rPr>
        <w:t>инспектор</w:t>
      </w:r>
      <w:r w:rsidR="006679CC" w:rsidRPr="00A021B7">
        <w:rPr>
          <w:rFonts w:ascii="Arial" w:hAnsi="Arial" w:cs="Arial"/>
          <w:color w:val="000000" w:themeColor="text1"/>
          <w:sz w:val="20"/>
          <w:szCs w:val="20"/>
          <w:shd w:val="clear" w:color="auto" w:fill="FFFFFF"/>
          <w:lang w:val="sr-Cyrl-RS"/>
        </w:rPr>
        <w:t xml:space="preserve">у </w:t>
      </w:r>
      <w:r w:rsidRPr="00A021B7">
        <w:rPr>
          <w:rFonts w:ascii="Arial" w:hAnsi="Arial" w:cs="Arial"/>
          <w:color w:val="000000" w:themeColor="text1"/>
          <w:sz w:val="20"/>
          <w:szCs w:val="20"/>
          <w:shd w:val="clear" w:color="auto" w:fill="FFFFFF"/>
          <w:lang w:val="sr-Cyrl-RS"/>
        </w:rPr>
        <w:t>за животну средину као поверен посао; Закон о угоститељству</w:t>
      </w:r>
      <w:r w:rsidR="006679CC" w:rsidRPr="00A021B7">
        <w:rPr>
          <w:rFonts w:ascii="Arial" w:hAnsi="Arial" w:cs="Arial"/>
          <w:color w:val="000000" w:themeColor="text1"/>
          <w:sz w:val="20"/>
          <w:szCs w:val="20"/>
          <w:shd w:val="clear" w:color="auto" w:fill="FFFFFF"/>
          <w:lang w:val="sr-Cyrl-RS"/>
        </w:rPr>
        <w:t xml:space="preserve"> –</w:t>
      </w:r>
      <w:r w:rsidRPr="00A021B7">
        <w:rPr>
          <w:rFonts w:ascii="Arial" w:hAnsi="Arial" w:cs="Arial"/>
          <w:color w:val="000000" w:themeColor="text1"/>
          <w:sz w:val="20"/>
          <w:szCs w:val="20"/>
          <w:shd w:val="clear" w:color="auto" w:fill="FFFFFF"/>
          <w:lang w:val="sr-Cyrl-RS"/>
        </w:rPr>
        <w:t xml:space="preserve"> туристичком</w:t>
      </w:r>
      <w:r w:rsidR="006679CC" w:rsidRPr="00A021B7">
        <w:rPr>
          <w:rFonts w:ascii="Arial" w:hAnsi="Arial" w:cs="Arial"/>
          <w:color w:val="000000" w:themeColor="text1"/>
          <w:sz w:val="20"/>
          <w:szCs w:val="20"/>
          <w:shd w:val="clear" w:color="auto" w:fill="FFFFFF"/>
          <w:lang w:val="sr-Cyrl-RS"/>
        </w:rPr>
        <w:t xml:space="preserve"> </w:t>
      </w:r>
      <w:r w:rsidRPr="00A021B7">
        <w:rPr>
          <w:rFonts w:ascii="Arial" w:hAnsi="Arial" w:cs="Arial"/>
          <w:color w:val="000000" w:themeColor="text1"/>
          <w:sz w:val="20"/>
          <w:szCs w:val="20"/>
          <w:shd w:val="clear" w:color="auto" w:fill="FFFFFF"/>
          <w:lang w:val="sr-Cyrl-RS"/>
        </w:rPr>
        <w:t xml:space="preserve">инспектору као поверен посао и Закон о становању и одржавању зграда </w:t>
      </w:r>
      <w:r w:rsidR="009048A6" w:rsidRPr="00A021B7">
        <w:rPr>
          <w:rFonts w:ascii="Arial" w:hAnsi="Arial" w:cs="Arial"/>
          <w:color w:val="000000" w:themeColor="text1"/>
          <w:sz w:val="20"/>
          <w:szCs w:val="20"/>
          <w:shd w:val="clear" w:color="auto" w:fill="FFFFFF"/>
          <w:lang w:val="sr-Cyrl-RS"/>
        </w:rPr>
        <w:t xml:space="preserve">– </w:t>
      </w:r>
      <w:r w:rsidRPr="00A021B7">
        <w:rPr>
          <w:rFonts w:ascii="Arial" w:hAnsi="Arial" w:cs="Arial"/>
          <w:color w:val="000000" w:themeColor="text1"/>
          <w:sz w:val="20"/>
          <w:szCs w:val="20"/>
          <w:shd w:val="clear" w:color="auto" w:fill="FFFFFF"/>
          <w:lang w:val="sr-Cyrl-RS"/>
        </w:rPr>
        <w:t xml:space="preserve">комуналном инспектору као изворни посао). </w:t>
      </w:r>
      <w:r w:rsidR="00230BD2">
        <w:rPr>
          <w:rFonts w:ascii="Arial" w:hAnsi="Arial" w:cs="Arial"/>
          <w:color w:val="000000" w:themeColor="text1"/>
          <w:sz w:val="20"/>
          <w:szCs w:val="20"/>
          <w:shd w:val="clear" w:color="auto" w:fill="FFFFFF"/>
          <w:lang w:val="sr-Cyrl-RS"/>
        </w:rPr>
        <w:t>Према н</w:t>
      </w:r>
      <w:r w:rsidRPr="00A021B7">
        <w:rPr>
          <w:rFonts w:ascii="Arial" w:hAnsi="Arial" w:cs="Arial"/>
          <w:color w:val="000000" w:themeColor="text1"/>
          <w:sz w:val="20"/>
          <w:szCs w:val="20"/>
          <w:shd w:val="clear" w:color="auto" w:fill="FFFFFF"/>
          <w:lang w:val="sr-Cyrl-RS"/>
        </w:rPr>
        <w:t>аведеним прописима</w:t>
      </w:r>
      <w:r w:rsidR="00230BD2">
        <w:rPr>
          <w:rFonts w:ascii="Arial" w:hAnsi="Arial" w:cs="Arial"/>
          <w:color w:val="000000" w:themeColor="text1"/>
          <w:sz w:val="20"/>
          <w:szCs w:val="20"/>
          <w:shd w:val="clear" w:color="auto" w:fill="FFFFFF"/>
          <w:lang w:val="sr-Cyrl-RS"/>
        </w:rPr>
        <w:t>,</w:t>
      </w:r>
      <w:r w:rsidR="0039768C" w:rsidRPr="00A021B7">
        <w:rPr>
          <w:rFonts w:ascii="Arial" w:hAnsi="Arial" w:cs="Arial"/>
          <w:color w:val="000000" w:themeColor="text1"/>
          <w:sz w:val="20"/>
          <w:szCs w:val="20"/>
          <w:shd w:val="clear" w:color="auto" w:fill="FFFFFF"/>
          <w:lang w:val="sr-Cyrl-RS"/>
        </w:rPr>
        <w:t xml:space="preserve"> тако се</w:t>
      </w:r>
      <w:r w:rsidRPr="00A021B7">
        <w:rPr>
          <w:rFonts w:ascii="Arial" w:hAnsi="Arial" w:cs="Arial"/>
          <w:color w:val="000000" w:themeColor="text1"/>
          <w:sz w:val="20"/>
          <w:szCs w:val="20"/>
          <w:shd w:val="clear" w:color="auto" w:fill="FFFFFF"/>
          <w:lang w:val="sr-Cyrl-RS"/>
        </w:rPr>
        <w:t xml:space="preserve"> долази до преклапања надлежности три инспекције, а као проблем и даље </w:t>
      </w:r>
      <w:r w:rsidR="009048A6" w:rsidRPr="00A021B7">
        <w:rPr>
          <w:rFonts w:ascii="Arial" w:hAnsi="Arial" w:cs="Arial"/>
          <w:color w:val="000000" w:themeColor="text1"/>
          <w:sz w:val="20"/>
          <w:szCs w:val="20"/>
          <w:shd w:val="clear" w:color="auto" w:fill="FFFFFF"/>
          <w:lang w:val="sr-Cyrl-RS"/>
        </w:rPr>
        <w:t xml:space="preserve">постоји </w:t>
      </w:r>
      <w:r w:rsidRPr="00A021B7">
        <w:rPr>
          <w:rFonts w:ascii="Arial" w:hAnsi="Arial" w:cs="Arial"/>
          <w:color w:val="000000" w:themeColor="text1"/>
          <w:sz w:val="20"/>
          <w:szCs w:val="20"/>
          <w:shd w:val="clear" w:color="auto" w:fill="FFFFFF"/>
          <w:lang w:val="sr-Cyrl-RS"/>
        </w:rPr>
        <w:t>дилема која је инспекција надлежна да контролише буку из угоститељског објекта који се налази у стамбеној згради.</w:t>
      </w:r>
    </w:p>
    <w:p w14:paraId="448420F0" w14:textId="77777777" w:rsidR="003E2047" w:rsidRPr="00A021B7" w:rsidRDefault="003E2047" w:rsidP="0DD3B114">
      <w:pPr>
        <w:ind w:firstLine="720"/>
        <w:jc w:val="both"/>
        <w:rPr>
          <w:rFonts w:ascii="Arial" w:hAnsi="Arial" w:cs="Arial"/>
          <w:color w:val="333333"/>
          <w:sz w:val="20"/>
          <w:szCs w:val="20"/>
          <w:shd w:val="clear" w:color="auto" w:fill="FFFFFF"/>
          <w:lang w:val="sr-Cyrl-RS"/>
        </w:rPr>
      </w:pPr>
    </w:p>
    <w:p w14:paraId="1BF07CF1" w14:textId="5ECCC853" w:rsidR="003E2047" w:rsidRPr="00A021B7" w:rsidRDefault="00053DAE" w:rsidP="0DD3B114">
      <w:pPr>
        <w:ind w:firstLine="720"/>
        <w:jc w:val="both"/>
        <w:rPr>
          <w:rFonts w:ascii="Arial" w:hAnsi="Arial" w:cs="Arial"/>
          <w:sz w:val="20"/>
          <w:szCs w:val="20"/>
          <w:lang w:val="sr-Cyrl-RS" w:bidi="en-US"/>
        </w:rPr>
      </w:pPr>
      <w:r w:rsidRPr="0DD3B114">
        <w:rPr>
          <w:rFonts w:ascii="Arial" w:hAnsi="Arial" w:cs="Arial"/>
          <w:sz w:val="20"/>
          <w:szCs w:val="20"/>
          <w:lang w:val="sr-Cyrl-RS" w:bidi="en-US"/>
        </w:rPr>
        <w:t>Један број</w:t>
      </w:r>
      <w:r w:rsidR="003E2047" w:rsidRPr="0DD3B114">
        <w:rPr>
          <w:rFonts w:ascii="Arial" w:hAnsi="Arial" w:cs="Arial"/>
          <w:sz w:val="20"/>
          <w:szCs w:val="20"/>
          <w:lang w:val="sr-Cyrl-RS" w:bidi="en-US"/>
        </w:rPr>
        <w:t xml:space="preserve"> изворних надлежности је некомплетан или прекомерно условљен ограничавајућим формалним законским решењима</w:t>
      </w:r>
      <w:r w:rsidR="00937D75" w:rsidRPr="0DD3B114">
        <w:rPr>
          <w:rFonts w:ascii="Arial" w:hAnsi="Arial" w:cs="Arial"/>
          <w:sz w:val="20"/>
          <w:szCs w:val="20"/>
          <w:lang w:val="sr-Cyrl-RS" w:bidi="en-US"/>
        </w:rPr>
        <w:t>.</w:t>
      </w:r>
      <w:r w:rsidR="001A1384" w:rsidRPr="0DD3B114">
        <w:rPr>
          <w:rFonts w:ascii="Arial" w:hAnsi="Arial" w:cs="Arial"/>
          <w:sz w:val="20"/>
          <w:szCs w:val="20"/>
          <w:lang w:val="sr-Cyrl-RS" w:bidi="en-US"/>
        </w:rPr>
        <w:t xml:space="preserve"> </w:t>
      </w:r>
      <w:r w:rsidR="006F17A2" w:rsidRPr="0DD3B114">
        <w:rPr>
          <w:rFonts w:ascii="Arial" w:hAnsi="Arial" w:cs="Arial"/>
          <w:sz w:val="20"/>
          <w:szCs w:val="20"/>
          <w:lang w:val="sr-Cyrl-RS" w:bidi="en-US"/>
        </w:rPr>
        <w:t xml:space="preserve">Развој локалне демократије тражи да локалне власти имају што је више могуће заокружену област послова у сопственој надлежности, којима управљају под сопственом одговорношћу према грађанима локалне заједнице. </w:t>
      </w:r>
      <w:r w:rsidR="00CA5FF7" w:rsidRPr="0DD3B114">
        <w:rPr>
          <w:rFonts w:ascii="Arial" w:hAnsi="Arial" w:cs="Arial"/>
          <w:sz w:val="20"/>
          <w:szCs w:val="20"/>
          <w:lang w:val="sr-Cyrl-RS" w:bidi="en-US"/>
        </w:rPr>
        <w:t xml:space="preserve">Такође, у пракси се и </w:t>
      </w:r>
      <w:r w:rsidR="003E2047" w:rsidRPr="0DD3B114">
        <w:rPr>
          <w:rFonts w:ascii="Arial" w:hAnsi="Arial" w:cs="Arial"/>
          <w:sz w:val="20"/>
          <w:szCs w:val="20"/>
          <w:lang w:val="sr-Cyrl-RS" w:bidi="en-US"/>
        </w:rPr>
        <w:t>обим послова који су пренети или поверени ЈЛС значајно разликује по управним областима, односно постоје области у којима су поверени значајни послови, као и оне у којима то није случај</w:t>
      </w:r>
      <w:r w:rsidR="00F14724" w:rsidRPr="0DD3B114">
        <w:rPr>
          <w:rFonts w:ascii="Arial" w:hAnsi="Arial" w:cs="Arial"/>
          <w:sz w:val="20"/>
          <w:szCs w:val="20"/>
          <w:lang w:val="sr-Cyrl-RS" w:bidi="en-US"/>
        </w:rPr>
        <w:t>,</w:t>
      </w:r>
      <w:r w:rsidR="003E2047" w:rsidRPr="0DD3B114">
        <w:rPr>
          <w:rFonts w:ascii="Arial" w:hAnsi="Arial" w:cs="Arial"/>
          <w:sz w:val="20"/>
          <w:szCs w:val="20"/>
          <w:lang w:val="sr-Cyrl-RS" w:bidi="en-US"/>
        </w:rPr>
        <w:t xml:space="preserve"> иако су по својој природи сличне првима. Као сликовит пример </w:t>
      </w:r>
      <w:r w:rsidR="00895BDF" w:rsidRPr="0DD3B114">
        <w:rPr>
          <w:rFonts w:ascii="Arial" w:hAnsi="Arial" w:cs="Arial"/>
          <w:sz w:val="20"/>
          <w:szCs w:val="20"/>
          <w:lang w:val="sr-Cyrl-RS" w:bidi="en-US"/>
        </w:rPr>
        <w:t xml:space="preserve">могу се </w:t>
      </w:r>
      <w:r w:rsidR="003E2047" w:rsidRPr="0DD3B114">
        <w:rPr>
          <w:rFonts w:ascii="Arial" w:hAnsi="Arial" w:cs="Arial"/>
          <w:sz w:val="20"/>
          <w:szCs w:val="20"/>
          <w:lang w:val="sr-Cyrl-RS" w:bidi="en-US"/>
        </w:rPr>
        <w:t xml:space="preserve">навести различита решења (обим контроле) приликом поверавања послова инспекцијског надзора у области туристичке инспекције, односно тржишне инспекције. Наиме, Законом о угоститељству ЈЛС се поверава инспекцијски надзор, између осталог, над истицањем и </w:t>
      </w:r>
      <w:r w:rsidR="00230BD2" w:rsidRPr="0DD3B114">
        <w:rPr>
          <w:rFonts w:ascii="Arial" w:hAnsi="Arial" w:cs="Arial"/>
          <w:sz w:val="20"/>
          <w:szCs w:val="20"/>
          <w:lang w:val="sr-Cyrl-RS" w:bidi="en-US"/>
        </w:rPr>
        <w:t xml:space="preserve">поштовањем </w:t>
      </w:r>
      <w:r w:rsidR="003E2047" w:rsidRPr="0DD3B114">
        <w:rPr>
          <w:rFonts w:ascii="Arial" w:hAnsi="Arial" w:cs="Arial"/>
          <w:sz w:val="20"/>
          <w:szCs w:val="20"/>
          <w:lang w:val="sr-Cyrl-RS" w:bidi="en-US"/>
        </w:rPr>
        <w:t>прописаног радног времена у угоститељском објекту (поверени посао), док је истицање пословног имена задржано у надлежности републичке туристичке инспекције. Са друге стране, Закон о трговини такође поверава ЈЛС</w:t>
      </w:r>
      <w:r w:rsidR="003E2047" w:rsidRPr="0DD3B114">
        <w:rPr>
          <w:rFonts w:ascii="Arial" w:hAnsi="Arial" w:cs="Arial"/>
          <w:lang w:val="sr-Cyrl-RS"/>
        </w:rPr>
        <w:t xml:space="preserve"> </w:t>
      </w:r>
      <w:r w:rsidR="003E2047" w:rsidRPr="0DD3B114">
        <w:rPr>
          <w:rFonts w:ascii="Arial" w:hAnsi="Arial" w:cs="Arial"/>
          <w:sz w:val="20"/>
          <w:szCs w:val="20"/>
          <w:lang w:val="sr-Cyrl-RS" w:bidi="en-US"/>
        </w:rPr>
        <w:t>вршење инспекцијског надзора над истицањем радног времена, али и пословног имена (и других података које трговац истиче у складу са законом).</w:t>
      </w:r>
    </w:p>
    <w:p w14:paraId="73F5F6A6" w14:textId="77777777" w:rsidR="003E2047" w:rsidRPr="00A021B7" w:rsidRDefault="003E2047" w:rsidP="0DD3B114">
      <w:pPr>
        <w:ind w:firstLine="720"/>
        <w:jc w:val="both"/>
        <w:rPr>
          <w:rFonts w:ascii="Arial" w:hAnsi="Arial" w:cs="Arial"/>
          <w:sz w:val="20"/>
          <w:szCs w:val="20"/>
          <w:lang w:val="sr-Cyrl-RS" w:bidi="en-US"/>
        </w:rPr>
      </w:pPr>
    </w:p>
    <w:p w14:paraId="3E043AFC" w14:textId="7C5D0507" w:rsidR="003E2047" w:rsidRPr="00A021B7" w:rsidRDefault="003E2047" w:rsidP="0DD3B114">
      <w:pPr>
        <w:ind w:firstLine="720"/>
        <w:jc w:val="both"/>
        <w:rPr>
          <w:rFonts w:ascii="Arial" w:hAnsi="Arial" w:cs="Arial"/>
          <w:sz w:val="20"/>
          <w:szCs w:val="20"/>
          <w:lang w:val="sr-Cyrl-RS"/>
        </w:rPr>
      </w:pPr>
      <w:r w:rsidRPr="0DD3B114">
        <w:rPr>
          <w:rFonts w:ascii="Arial" w:hAnsi="Arial" w:cs="Arial"/>
          <w:sz w:val="20"/>
          <w:szCs w:val="20"/>
          <w:lang w:val="sr-Cyrl-RS"/>
        </w:rPr>
        <w:t xml:space="preserve">Посебан изазов јесте то што поједини секторски закони (којима се </w:t>
      </w:r>
      <w:r w:rsidR="00F1335A" w:rsidRPr="0DD3B114">
        <w:rPr>
          <w:rFonts w:ascii="Arial" w:hAnsi="Arial" w:cs="Arial"/>
          <w:sz w:val="20"/>
          <w:szCs w:val="20"/>
          <w:lang w:val="sr-Cyrl-RS"/>
        </w:rPr>
        <w:t xml:space="preserve">преносе </w:t>
      </w:r>
      <w:r w:rsidRPr="0DD3B114">
        <w:rPr>
          <w:rFonts w:ascii="Arial" w:hAnsi="Arial" w:cs="Arial"/>
          <w:sz w:val="20"/>
          <w:szCs w:val="20"/>
          <w:lang w:val="sr-Cyrl-RS"/>
        </w:rPr>
        <w:t xml:space="preserve">или </w:t>
      </w:r>
      <w:r w:rsidR="00F1335A" w:rsidRPr="0DD3B114">
        <w:rPr>
          <w:rFonts w:ascii="Arial" w:hAnsi="Arial" w:cs="Arial"/>
          <w:sz w:val="20"/>
          <w:szCs w:val="20"/>
          <w:lang w:val="sr-Cyrl-RS"/>
        </w:rPr>
        <w:t>делегирају послови</w:t>
      </w:r>
      <w:r w:rsidRPr="0DD3B114">
        <w:rPr>
          <w:rFonts w:ascii="Arial" w:hAnsi="Arial" w:cs="Arial"/>
          <w:sz w:val="20"/>
          <w:szCs w:val="20"/>
          <w:lang w:val="sr-Cyrl-RS"/>
        </w:rPr>
        <w:t xml:space="preserve">) не утврђују јасно ни да ли су одређени послови у изворном или повереном делокругу локалних органа. </w:t>
      </w:r>
      <w:r w:rsidR="00AD45DE" w:rsidRPr="0DD3B114">
        <w:rPr>
          <w:rFonts w:ascii="Arial" w:hAnsi="Arial" w:cs="Arial"/>
          <w:sz w:val="20"/>
          <w:szCs w:val="20"/>
          <w:lang w:val="sr-Cyrl-RS"/>
        </w:rPr>
        <w:t>П</w:t>
      </w:r>
      <w:r w:rsidRPr="0DD3B114">
        <w:rPr>
          <w:rFonts w:ascii="Arial" w:hAnsi="Arial" w:cs="Arial"/>
          <w:sz w:val="20"/>
          <w:szCs w:val="20"/>
          <w:lang w:val="sr-Cyrl-RS"/>
        </w:rPr>
        <w:t xml:space="preserve">ример </w:t>
      </w:r>
      <w:r w:rsidR="00AD45DE" w:rsidRPr="0DD3B114">
        <w:rPr>
          <w:rFonts w:ascii="Arial" w:hAnsi="Arial" w:cs="Arial"/>
          <w:sz w:val="20"/>
          <w:szCs w:val="20"/>
          <w:lang w:val="sr-Cyrl-RS"/>
        </w:rPr>
        <w:t xml:space="preserve">је </w:t>
      </w:r>
      <w:r w:rsidRPr="0DD3B114">
        <w:rPr>
          <w:rFonts w:ascii="Arial" w:hAnsi="Arial" w:cs="Arial"/>
          <w:sz w:val="20"/>
          <w:szCs w:val="20"/>
          <w:lang w:val="sr-Cyrl-RS"/>
        </w:rPr>
        <w:t xml:space="preserve">област оглашавања на отвореним површинама која је уређена Законом о оглашавању и Законом о путевима, и на основу којих није јасан режим послова када је </w:t>
      </w:r>
      <w:r w:rsidR="00230BD2" w:rsidRPr="0DD3B114">
        <w:rPr>
          <w:rFonts w:ascii="Arial" w:hAnsi="Arial" w:cs="Arial"/>
          <w:sz w:val="20"/>
          <w:szCs w:val="20"/>
          <w:lang w:val="sr-Cyrl-RS"/>
        </w:rPr>
        <w:t>реч о</w:t>
      </w:r>
      <w:r w:rsidRPr="0DD3B114">
        <w:rPr>
          <w:rFonts w:ascii="Arial" w:hAnsi="Arial" w:cs="Arial"/>
          <w:sz w:val="20"/>
          <w:szCs w:val="20"/>
          <w:lang w:val="sr-Cyrl-RS"/>
        </w:rPr>
        <w:t xml:space="preserve"> надзор</w:t>
      </w:r>
      <w:r w:rsidR="00230BD2" w:rsidRPr="0DD3B114">
        <w:rPr>
          <w:rFonts w:ascii="Arial" w:hAnsi="Arial" w:cs="Arial"/>
          <w:sz w:val="20"/>
          <w:szCs w:val="20"/>
          <w:lang w:val="sr-Cyrl-RS"/>
        </w:rPr>
        <w:t>у</w:t>
      </w:r>
      <w:r w:rsidRPr="0DD3B114">
        <w:rPr>
          <w:rFonts w:ascii="Arial" w:hAnsi="Arial" w:cs="Arial"/>
          <w:sz w:val="20"/>
          <w:szCs w:val="20"/>
          <w:lang w:val="sr-Cyrl-RS"/>
        </w:rPr>
        <w:t xml:space="preserve"> (први прописује надзор као поверено овлашћење, </w:t>
      </w:r>
      <w:r w:rsidR="00AD45DE" w:rsidRPr="0DD3B114">
        <w:rPr>
          <w:rFonts w:ascii="Arial" w:hAnsi="Arial" w:cs="Arial"/>
          <w:sz w:val="20"/>
          <w:szCs w:val="20"/>
          <w:lang w:val="sr-Cyrl-RS"/>
        </w:rPr>
        <w:t xml:space="preserve">а </w:t>
      </w:r>
      <w:r w:rsidRPr="0DD3B114">
        <w:rPr>
          <w:rFonts w:ascii="Arial" w:hAnsi="Arial" w:cs="Arial"/>
          <w:sz w:val="20"/>
          <w:szCs w:val="20"/>
          <w:lang w:val="sr-Cyrl-RS"/>
        </w:rPr>
        <w:t xml:space="preserve">други као изворну надлежност). Дилема у погледу одређивања изворних или поверених послова видљива је и у случају подстицаја у пољопривреди, </w:t>
      </w:r>
      <w:r w:rsidR="002A2A95" w:rsidRPr="0DD3B114">
        <w:rPr>
          <w:rFonts w:ascii="Arial" w:hAnsi="Arial" w:cs="Arial"/>
          <w:sz w:val="20"/>
          <w:szCs w:val="20"/>
          <w:lang w:val="sr-Cyrl-RS"/>
        </w:rPr>
        <w:t xml:space="preserve">с </w:t>
      </w:r>
      <w:r w:rsidRPr="0DD3B114">
        <w:rPr>
          <w:rFonts w:ascii="Arial" w:hAnsi="Arial" w:cs="Arial"/>
          <w:sz w:val="20"/>
          <w:szCs w:val="20"/>
          <w:lang w:val="sr-Cyrl-RS"/>
        </w:rPr>
        <w:t xml:space="preserve">обзиром </w:t>
      </w:r>
      <w:r w:rsidR="00230BD2" w:rsidRPr="0DD3B114">
        <w:rPr>
          <w:rFonts w:ascii="Arial" w:hAnsi="Arial" w:cs="Arial"/>
          <w:sz w:val="20"/>
          <w:szCs w:val="20"/>
          <w:lang w:val="sr-Cyrl-RS"/>
        </w:rPr>
        <w:t xml:space="preserve">на то </w:t>
      </w:r>
      <w:r w:rsidRPr="0DD3B114">
        <w:rPr>
          <w:rFonts w:ascii="Arial" w:hAnsi="Arial" w:cs="Arial"/>
          <w:sz w:val="20"/>
          <w:szCs w:val="20"/>
          <w:lang w:val="sr-Cyrl-RS"/>
        </w:rPr>
        <w:t>да Закон о пољопривреди и руралном развоју дефинише да се средства за спровођење политике обезбеђују у буџету ЈЛС, као и да програм доноси скупштина ЈЛС, али уз бројна ограничења у виду неопходне сагласности надлежног министарства, односно прописивањ</w:t>
      </w:r>
      <w:r w:rsidR="00230BD2" w:rsidRPr="0DD3B114">
        <w:rPr>
          <w:rFonts w:ascii="Arial" w:hAnsi="Arial" w:cs="Arial"/>
          <w:sz w:val="20"/>
          <w:szCs w:val="20"/>
          <w:lang w:val="sr-Cyrl-RS"/>
        </w:rPr>
        <w:t>а</w:t>
      </w:r>
      <w:r w:rsidRPr="0DD3B114">
        <w:rPr>
          <w:rFonts w:ascii="Arial" w:hAnsi="Arial" w:cs="Arial"/>
          <w:sz w:val="20"/>
          <w:szCs w:val="20"/>
          <w:lang w:val="sr-Cyrl-RS"/>
        </w:rPr>
        <w:t xml:space="preserve"> образаца и садржине програма итд. </w:t>
      </w:r>
      <w:r w:rsidR="002A2A95" w:rsidRPr="0DD3B114">
        <w:rPr>
          <w:rFonts w:ascii="Arial" w:hAnsi="Arial" w:cs="Arial"/>
          <w:sz w:val="20"/>
          <w:szCs w:val="20"/>
          <w:lang w:val="sr-Cyrl-RS"/>
        </w:rPr>
        <w:t>Р</w:t>
      </w:r>
      <w:r w:rsidRPr="0DD3B114">
        <w:rPr>
          <w:rFonts w:ascii="Arial" w:hAnsi="Arial" w:cs="Arial"/>
          <w:sz w:val="20"/>
          <w:szCs w:val="20"/>
          <w:lang w:val="sr-Cyrl-RS"/>
        </w:rPr>
        <w:t>егулатива</w:t>
      </w:r>
      <w:r w:rsidR="00230BD2" w:rsidRPr="0DD3B114">
        <w:rPr>
          <w:rFonts w:ascii="Arial" w:hAnsi="Arial" w:cs="Arial"/>
          <w:sz w:val="20"/>
          <w:szCs w:val="20"/>
          <w:lang w:val="sr-Cyrl-RS"/>
        </w:rPr>
        <w:t>,</w:t>
      </w:r>
      <w:r w:rsidRPr="0DD3B114">
        <w:rPr>
          <w:rFonts w:ascii="Arial" w:hAnsi="Arial" w:cs="Arial"/>
          <w:sz w:val="20"/>
          <w:szCs w:val="20"/>
          <w:lang w:val="sr-Cyrl-RS"/>
        </w:rPr>
        <w:t xml:space="preserve"> </w:t>
      </w:r>
      <w:r w:rsidR="002A2A95" w:rsidRPr="0DD3B114">
        <w:rPr>
          <w:rFonts w:ascii="Arial" w:hAnsi="Arial" w:cs="Arial"/>
          <w:sz w:val="20"/>
          <w:szCs w:val="20"/>
          <w:lang w:val="sr-Cyrl-RS"/>
        </w:rPr>
        <w:t>дакле</w:t>
      </w:r>
      <w:r w:rsidR="00230BD2" w:rsidRPr="0DD3B114">
        <w:rPr>
          <w:rFonts w:ascii="Arial" w:hAnsi="Arial" w:cs="Arial"/>
          <w:sz w:val="20"/>
          <w:szCs w:val="20"/>
          <w:lang w:val="sr-Cyrl-RS"/>
        </w:rPr>
        <w:t>,</w:t>
      </w:r>
      <w:r w:rsidR="002A2A95" w:rsidRPr="0DD3B114">
        <w:rPr>
          <w:rFonts w:ascii="Arial" w:hAnsi="Arial" w:cs="Arial"/>
          <w:sz w:val="20"/>
          <w:szCs w:val="20"/>
          <w:lang w:val="sr-Cyrl-RS"/>
        </w:rPr>
        <w:t xml:space="preserve"> </w:t>
      </w:r>
      <w:r w:rsidRPr="0DD3B114">
        <w:rPr>
          <w:rFonts w:ascii="Arial" w:hAnsi="Arial" w:cs="Arial"/>
          <w:sz w:val="20"/>
          <w:szCs w:val="20"/>
          <w:lang w:val="sr-Cyrl-RS"/>
        </w:rPr>
        <w:t>није заокружена и сам поступак за ЈЛС није јасан, односно не даје</w:t>
      </w:r>
      <w:r w:rsidR="00230BD2" w:rsidRPr="0DD3B114">
        <w:rPr>
          <w:rFonts w:ascii="Arial" w:hAnsi="Arial" w:cs="Arial"/>
          <w:sz w:val="20"/>
          <w:szCs w:val="20"/>
          <w:lang w:val="sr-Cyrl-RS"/>
        </w:rPr>
        <w:t xml:space="preserve"> се</w:t>
      </w:r>
      <w:r w:rsidRPr="0DD3B114">
        <w:rPr>
          <w:rFonts w:ascii="Arial" w:hAnsi="Arial" w:cs="Arial"/>
          <w:sz w:val="20"/>
          <w:szCs w:val="20"/>
          <w:lang w:val="sr-Cyrl-RS"/>
        </w:rPr>
        <w:t xml:space="preserve"> овлашћење ЈЛС да уреди поступак давања подстицаја</w:t>
      </w:r>
      <w:bookmarkStart w:id="51" w:name="clan_13"/>
      <w:bookmarkEnd w:id="51"/>
      <w:r w:rsidRPr="0DD3B114">
        <w:rPr>
          <w:rFonts w:ascii="Arial" w:hAnsi="Arial" w:cs="Arial"/>
          <w:sz w:val="20"/>
          <w:szCs w:val="20"/>
          <w:lang w:val="sr-Cyrl-RS"/>
        </w:rPr>
        <w:t>.</w:t>
      </w:r>
    </w:p>
    <w:p w14:paraId="4357B8FA" w14:textId="77777777" w:rsidR="003E2047" w:rsidRPr="00A021B7" w:rsidRDefault="003E2047" w:rsidP="0DD3B114">
      <w:pPr>
        <w:ind w:firstLine="720"/>
        <w:jc w:val="both"/>
        <w:rPr>
          <w:rFonts w:ascii="Arial" w:hAnsi="Arial" w:cs="Arial"/>
          <w:sz w:val="20"/>
          <w:szCs w:val="20"/>
          <w:lang w:val="sr-Cyrl-RS"/>
        </w:rPr>
      </w:pPr>
    </w:p>
    <w:p w14:paraId="17602A16" w14:textId="77777777" w:rsidR="003E2047" w:rsidRPr="00A021B7" w:rsidRDefault="006F17A2" w:rsidP="0DD3B114">
      <w:pPr>
        <w:ind w:firstLine="720"/>
        <w:jc w:val="both"/>
        <w:rPr>
          <w:rFonts w:ascii="Arial" w:hAnsi="Arial" w:cs="Arial"/>
          <w:sz w:val="20"/>
          <w:szCs w:val="20"/>
          <w:lang w:val="sr-Cyrl-RS" w:bidi="en-US"/>
        </w:rPr>
      </w:pPr>
      <w:r w:rsidRPr="0DD3B114">
        <w:rPr>
          <w:rFonts w:ascii="Arial" w:hAnsi="Arial" w:cs="Arial"/>
          <w:sz w:val="20"/>
          <w:szCs w:val="20"/>
          <w:lang w:val="sr-Cyrl-RS"/>
        </w:rPr>
        <w:t>У недостатку јасних законских одредаба, в</w:t>
      </w:r>
      <w:r w:rsidR="003E2047" w:rsidRPr="0DD3B114">
        <w:rPr>
          <w:rFonts w:ascii="Arial" w:hAnsi="Arial" w:cs="Arial"/>
          <w:sz w:val="20"/>
          <w:szCs w:val="20"/>
          <w:lang w:val="sr-Cyrl-RS"/>
        </w:rPr>
        <w:t xml:space="preserve">ероватно је најпогоднији критеријум за утврђивање да ли је реч о изворним или повереним пословима поступање другостепеног органа. </w:t>
      </w:r>
      <w:r w:rsidR="00886B54" w:rsidRPr="0DD3B114">
        <w:rPr>
          <w:rFonts w:ascii="Arial" w:hAnsi="Arial" w:cs="Arial"/>
          <w:sz w:val="20"/>
          <w:szCs w:val="20"/>
          <w:lang w:val="sr-Cyrl-RS"/>
        </w:rPr>
        <w:t>У</w:t>
      </w:r>
      <w:r w:rsidR="003E2047" w:rsidRPr="0DD3B114">
        <w:rPr>
          <w:rFonts w:ascii="Arial" w:hAnsi="Arial" w:cs="Arial"/>
          <w:sz w:val="20"/>
          <w:szCs w:val="20"/>
          <w:lang w:val="sr-Cyrl-RS"/>
        </w:rPr>
        <w:t xml:space="preserve"> случајевима када је другостепени орган републички </w:t>
      </w:r>
      <w:r w:rsidR="00886B54" w:rsidRPr="0DD3B114">
        <w:rPr>
          <w:rFonts w:ascii="Arial" w:hAnsi="Arial" w:cs="Arial"/>
          <w:sz w:val="20"/>
          <w:szCs w:val="20"/>
          <w:lang w:val="sr-Cyrl-RS"/>
        </w:rPr>
        <w:t xml:space="preserve">или </w:t>
      </w:r>
      <w:r w:rsidR="003E2047" w:rsidRPr="0DD3B114">
        <w:rPr>
          <w:rFonts w:ascii="Arial" w:hAnsi="Arial" w:cs="Arial"/>
          <w:sz w:val="20"/>
          <w:szCs w:val="20"/>
          <w:lang w:val="sr-Cyrl-RS"/>
        </w:rPr>
        <w:t>покрајински ниво</w:t>
      </w:r>
      <w:r w:rsidR="00886B54" w:rsidRPr="0DD3B114">
        <w:rPr>
          <w:rFonts w:ascii="Arial" w:hAnsi="Arial" w:cs="Arial"/>
          <w:sz w:val="20"/>
          <w:szCs w:val="20"/>
          <w:lang w:val="sr-Cyrl-RS"/>
        </w:rPr>
        <w:t>,</w:t>
      </w:r>
      <w:r w:rsidR="003E2047" w:rsidRPr="0DD3B114">
        <w:rPr>
          <w:rFonts w:ascii="Arial" w:hAnsi="Arial" w:cs="Arial"/>
          <w:sz w:val="20"/>
          <w:szCs w:val="20"/>
          <w:lang w:val="sr-Cyrl-RS"/>
        </w:rPr>
        <w:t xml:space="preserve"> требало би да се говори о повереним пословима. Обрнуто, када је општинско </w:t>
      </w:r>
      <w:r w:rsidR="00B16988" w:rsidRPr="0DD3B114">
        <w:rPr>
          <w:rFonts w:ascii="Arial" w:hAnsi="Arial" w:cs="Arial"/>
          <w:sz w:val="20"/>
          <w:szCs w:val="20"/>
          <w:lang w:val="sr-Cyrl-RS"/>
        </w:rPr>
        <w:t xml:space="preserve">или </w:t>
      </w:r>
      <w:r w:rsidR="003E2047" w:rsidRPr="0DD3B114">
        <w:rPr>
          <w:rFonts w:ascii="Arial" w:hAnsi="Arial" w:cs="Arial"/>
          <w:sz w:val="20"/>
          <w:szCs w:val="20"/>
          <w:lang w:val="sr-Cyrl-RS"/>
        </w:rPr>
        <w:t>градско веће другостепени орган</w:t>
      </w:r>
      <w:r w:rsidR="00B16988" w:rsidRPr="0DD3B114">
        <w:rPr>
          <w:rFonts w:ascii="Arial" w:hAnsi="Arial" w:cs="Arial"/>
          <w:sz w:val="20"/>
          <w:szCs w:val="20"/>
          <w:lang w:val="sr-Cyrl-RS"/>
        </w:rPr>
        <w:t>,</w:t>
      </w:r>
      <w:r w:rsidR="003E2047" w:rsidRPr="0DD3B114">
        <w:rPr>
          <w:rFonts w:ascii="Arial" w:hAnsi="Arial" w:cs="Arial"/>
          <w:sz w:val="20"/>
          <w:szCs w:val="20"/>
          <w:lang w:val="sr-Cyrl-RS"/>
        </w:rPr>
        <w:t xml:space="preserve"> закључак би био да је реч о изворним пословима. Ипак, у пракси су становишта појединих министарстава другачија, те се наведени критеријум не прихватају као опредељујући. </w:t>
      </w:r>
      <w:r w:rsidR="00505855" w:rsidRPr="0DD3B114">
        <w:rPr>
          <w:rFonts w:ascii="Arial" w:hAnsi="Arial" w:cs="Arial"/>
          <w:sz w:val="20"/>
          <w:szCs w:val="20"/>
          <w:lang w:val="sr-Cyrl-RS"/>
        </w:rPr>
        <w:t>Осим основне последице која може да се огледа у различитом квалитету законитости у поступању и њеној контроли, о</w:t>
      </w:r>
      <w:r w:rsidR="003E2047" w:rsidRPr="0DD3B114">
        <w:rPr>
          <w:rFonts w:ascii="Arial" w:hAnsi="Arial" w:cs="Arial"/>
          <w:sz w:val="20"/>
          <w:szCs w:val="20"/>
          <w:lang w:val="sr-Cyrl-RS"/>
        </w:rPr>
        <w:t>во питање има и своје финансијске последице, како у смислу финансирања обављања функција јавне управе</w:t>
      </w:r>
      <w:r w:rsidR="00B214F4" w:rsidRPr="0DD3B114">
        <w:rPr>
          <w:rFonts w:ascii="Arial" w:hAnsi="Arial" w:cs="Arial"/>
          <w:sz w:val="20"/>
          <w:szCs w:val="20"/>
          <w:lang w:val="sr-Cyrl-RS"/>
        </w:rPr>
        <w:t>,</w:t>
      </w:r>
      <w:r w:rsidR="003E2047" w:rsidRPr="0DD3B114">
        <w:rPr>
          <w:rFonts w:ascii="Arial" w:hAnsi="Arial" w:cs="Arial"/>
          <w:sz w:val="20"/>
          <w:szCs w:val="20"/>
          <w:lang w:val="sr-Cyrl-RS"/>
        </w:rPr>
        <w:t xml:space="preserve"> тако и у вези са наплатом одговарајуће таксе. Уколико је реч о повереним пословима</w:t>
      </w:r>
      <w:r w:rsidR="00505855" w:rsidRPr="0DD3B114">
        <w:rPr>
          <w:rFonts w:ascii="Arial" w:hAnsi="Arial" w:cs="Arial"/>
          <w:sz w:val="20"/>
          <w:szCs w:val="20"/>
          <w:lang w:val="sr-Cyrl-RS"/>
        </w:rPr>
        <w:t>,</w:t>
      </w:r>
      <w:r w:rsidR="003E2047" w:rsidRPr="0DD3B114">
        <w:rPr>
          <w:rFonts w:ascii="Arial" w:hAnsi="Arial" w:cs="Arial"/>
          <w:sz w:val="20"/>
          <w:szCs w:val="20"/>
          <w:lang w:val="sr-Cyrl-RS"/>
        </w:rPr>
        <w:t xml:space="preserve"> наплаћује се републичка административна такса, </w:t>
      </w:r>
      <w:r w:rsidR="00B214F4" w:rsidRPr="0DD3B114">
        <w:rPr>
          <w:rFonts w:ascii="Arial" w:hAnsi="Arial" w:cs="Arial"/>
          <w:sz w:val="20"/>
          <w:szCs w:val="20"/>
          <w:lang w:val="sr-Cyrl-RS"/>
        </w:rPr>
        <w:t xml:space="preserve">а </w:t>
      </w:r>
      <w:r w:rsidR="003E2047" w:rsidRPr="0DD3B114">
        <w:rPr>
          <w:rFonts w:ascii="Arial" w:hAnsi="Arial" w:cs="Arial"/>
          <w:sz w:val="20"/>
          <w:szCs w:val="20"/>
          <w:lang w:val="sr-Cyrl-RS"/>
        </w:rPr>
        <w:t>уколико је реч о обављању изворних послова</w:t>
      </w:r>
      <w:r w:rsidR="00505855" w:rsidRPr="0DD3B114">
        <w:rPr>
          <w:rFonts w:ascii="Arial" w:hAnsi="Arial" w:cs="Arial"/>
          <w:sz w:val="20"/>
          <w:szCs w:val="20"/>
          <w:lang w:val="sr-Cyrl-RS"/>
        </w:rPr>
        <w:t>,</w:t>
      </w:r>
      <w:r w:rsidR="003E2047" w:rsidRPr="0DD3B114">
        <w:rPr>
          <w:rFonts w:ascii="Arial" w:hAnsi="Arial" w:cs="Arial"/>
          <w:sz w:val="20"/>
          <w:szCs w:val="20"/>
          <w:lang w:val="sr-Cyrl-RS"/>
        </w:rPr>
        <w:t xml:space="preserve"> ЈЛС прописује и наплаћује локалне административне таксе и друге накнаде.</w:t>
      </w:r>
    </w:p>
    <w:p w14:paraId="5F3B4A9C" w14:textId="45E0889E" w:rsidR="003E2047" w:rsidRPr="00A021B7" w:rsidRDefault="003E2047" w:rsidP="0DD3B114">
      <w:pPr>
        <w:ind w:firstLine="720"/>
        <w:jc w:val="both"/>
        <w:rPr>
          <w:rFonts w:ascii="Arial" w:hAnsi="Arial" w:cs="Arial"/>
          <w:sz w:val="20"/>
          <w:szCs w:val="20"/>
          <w:lang w:val="sr-Cyrl-RS"/>
        </w:rPr>
      </w:pPr>
    </w:p>
    <w:p w14:paraId="00AA1A7E" w14:textId="116710C9" w:rsidR="003E2047" w:rsidRPr="00A021B7" w:rsidRDefault="009D7B0F" w:rsidP="0DD3B114">
      <w:pPr>
        <w:autoSpaceDE w:val="0"/>
        <w:autoSpaceDN w:val="0"/>
        <w:adjustRightInd w:val="0"/>
        <w:ind w:firstLine="720"/>
        <w:jc w:val="both"/>
        <w:rPr>
          <w:rFonts w:ascii="Arial" w:hAnsi="Arial" w:cs="Arial"/>
          <w:sz w:val="20"/>
          <w:szCs w:val="20"/>
          <w:lang w:val="sr-Cyrl-RS"/>
        </w:rPr>
      </w:pPr>
      <w:r w:rsidRPr="0DD3B114">
        <w:rPr>
          <w:rFonts w:ascii="Arial" w:hAnsi="Arial" w:cs="Arial"/>
          <w:sz w:val="20"/>
          <w:szCs w:val="20"/>
          <w:lang w:val="sr-Cyrl-RS" w:bidi="en-US"/>
        </w:rPr>
        <w:t>Неусклађен позитивно-правни оквир доводи до преклапања надлежности</w:t>
      </w:r>
      <w:r w:rsidR="00B214F4" w:rsidRPr="0DD3B114">
        <w:rPr>
          <w:rFonts w:ascii="Arial" w:hAnsi="Arial" w:cs="Arial"/>
          <w:sz w:val="20"/>
          <w:szCs w:val="20"/>
          <w:lang w:val="sr-Cyrl-RS" w:bidi="en-US"/>
        </w:rPr>
        <w:t>,</w:t>
      </w:r>
      <w:r w:rsidRPr="0DD3B114">
        <w:rPr>
          <w:rFonts w:ascii="Arial" w:hAnsi="Arial" w:cs="Arial"/>
          <w:sz w:val="20"/>
          <w:szCs w:val="20"/>
          <w:lang w:val="sr-Cyrl-RS" w:bidi="en-US"/>
        </w:rPr>
        <w:t xml:space="preserve"> </w:t>
      </w:r>
      <w:r w:rsidR="00485C1E" w:rsidRPr="0DD3B114">
        <w:rPr>
          <w:rFonts w:ascii="Arial" w:hAnsi="Arial" w:cs="Arial"/>
          <w:sz w:val="20"/>
          <w:szCs w:val="20"/>
          <w:lang w:val="sr-Cyrl-RS" w:bidi="en-US"/>
        </w:rPr>
        <w:t>односно</w:t>
      </w:r>
      <w:r w:rsidRPr="0DD3B114">
        <w:rPr>
          <w:rFonts w:ascii="Arial" w:hAnsi="Arial" w:cs="Arial"/>
          <w:sz w:val="20"/>
          <w:szCs w:val="20"/>
          <w:lang w:val="sr-Cyrl-RS" w:bidi="en-US"/>
        </w:rPr>
        <w:t xml:space="preserve"> </w:t>
      </w:r>
      <w:r w:rsidR="00B214F4" w:rsidRPr="0DD3B114">
        <w:rPr>
          <w:rFonts w:ascii="Arial" w:hAnsi="Arial" w:cs="Arial"/>
          <w:sz w:val="20"/>
          <w:szCs w:val="20"/>
          <w:lang w:val="sr-Cyrl-RS" w:bidi="en-US"/>
        </w:rPr>
        <w:t xml:space="preserve">њиховог </w:t>
      </w:r>
      <w:r w:rsidRPr="0DD3B114">
        <w:rPr>
          <w:rFonts w:ascii="Arial" w:hAnsi="Arial" w:cs="Arial"/>
          <w:sz w:val="20"/>
          <w:szCs w:val="20"/>
          <w:lang w:val="sr-Cyrl-RS" w:bidi="en-US"/>
        </w:rPr>
        <w:t>сукоба и по хоризонтали (на нивоу једног нивоа власти, нпр. на нивоу локалне самоуправе</w:t>
      </w:r>
      <w:r w:rsidR="00B86236" w:rsidRPr="0DD3B114">
        <w:rPr>
          <w:rFonts w:ascii="Arial" w:hAnsi="Arial" w:cs="Arial"/>
          <w:sz w:val="20"/>
          <w:szCs w:val="20"/>
          <w:lang w:val="sr-Cyrl-RS" w:bidi="en-US"/>
        </w:rPr>
        <w:t>, између органа, служби, предузећа итд.</w:t>
      </w:r>
      <w:r w:rsidRPr="0DD3B114">
        <w:rPr>
          <w:rFonts w:ascii="Arial" w:hAnsi="Arial" w:cs="Arial"/>
          <w:sz w:val="20"/>
          <w:szCs w:val="20"/>
          <w:lang w:val="sr-Cyrl-RS" w:bidi="en-US"/>
        </w:rPr>
        <w:t>)</w:t>
      </w:r>
      <w:r w:rsidR="004D5004" w:rsidRPr="0DD3B114">
        <w:rPr>
          <w:rFonts w:ascii="Arial" w:hAnsi="Arial" w:cs="Arial"/>
          <w:sz w:val="20"/>
          <w:szCs w:val="20"/>
          <w:lang w:val="sr-Cyrl-RS" w:bidi="en-US"/>
        </w:rPr>
        <w:t xml:space="preserve"> </w:t>
      </w:r>
      <w:r w:rsidRPr="0DD3B114">
        <w:rPr>
          <w:rFonts w:ascii="Arial" w:hAnsi="Arial" w:cs="Arial"/>
          <w:sz w:val="20"/>
          <w:szCs w:val="20"/>
          <w:lang w:val="sr-Cyrl-RS" w:bidi="en-US"/>
        </w:rPr>
        <w:t>и по вертикали (република, АП, ЈЛС).</w:t>
      </w:r>
      <w:r w:rsidR="0024246E" w:rsidRPr="0DD3B114">
        <w:rPr>
          <w:rFonts w:ascii="Arial" w:hAnsi="Arial" w:cs="Arial"/>
          <w:sz w:val="20"/>
          <w:szCs w:val="20"/>
          <w:lang w:val="sr-Cyrl-RS" w:bidi="en-US"/>
        </w:rPr>
        <w:t xml:space="preserve"> Преклапање надлежности </w:t>
      </w:r>
      <w:r w:rsidR="0024246E" w:rsidRPr="0DD3B114">
        <w:rPr>
          <w:rFonts w:ascii="Arial" w:hAnsi="Arial" w:cs="Arial"/>
          <w:sz w:val="20"/>
          <w:szCs w:val="20"/>
          <w:lang w:val="sr-Cyrl-RS"/>
        </w:rPr>
        <w:t xml:space="preserve">у погледу обављања послова између републичког </w:t>
      </w:r>
      <w:r w:rsidR="001802A7" w:rsidRPr="0DD3B114">
        <w:rPr>
          <w:rFonts w:ascii="Arial" w:hAnsi="Arial" w:cs="Arial"/>
          <w:sz w:val="20"/>
          <w:szCs w:val="20"/>
          <w:lang w:val="sr-Cyrl-RS"/>
        </w:rPr>
        <w:t xml:space="preserve">или </w:t>
      </w:r>
      <w:r w:rsidR="0024246E" w:rsidRPr="0DD3B114">
        <w:rPr>
          <w:rFonts w:ascii="Arial" w:hAnsi="Arial" w:cs="Arial"/>
          <w:sz w:val="20"/>
          <w:szCs w:val="20"/>
          <w:lang w:val="sr-Cyrl-RS"/>
        </w:rPr>
        <w:t xml:space="preserve">покрајинског нивоа и нивоа </w:t>
      </w:r>
      <w:r w:rsidR="00304320" w:rsidRPr="0DD3B114">
        <w:rPr>
          <w:rFonts w:ascii="Arial" w:hAnsi="Arial" w:cs="Arial"/>
          <w:sz w:val="20"/>
          <w:szCs w:val="20"/>
          <w:lang w:val="sr-Cyrl-RS"/>
        </w:rPr>
        <w:t xml:space="preserve">ЈЛС </w:t>
      </w:r>
      <w:r w:rsidR="0024246E" w:rsidRPr="0DD3B114">
        <w:rPr>
          <w:rFonts w:ascii="Arial" w:hAnsi="Arial" w:cs="Arial"/>
          <w:sz w:val="20"/>
          <w:szCs w:val="20"/>
          <w:lang w:val="sr-Cyrl-RS" w:bidi="en-US"/>
        </w:rPr>
        <w:t xml:space="preserve">представља </w:t>
      </w:r>
      <w:r w:rsidR="00B86236" w:rsidRPr="0DD3B114">
        <w:rPr>
          <w:rFonts w:ascii="Arial" w:hAnsi="Arial" w:cs="Arial"/>
          <w:sz w:val="20"/>
          <w:szCs w:val="20"/>
          <w:lang w:val="sr-Cyrl-RS" w:bidi="en-US"/>
        </w:rPr>
        <w:t>последицу нејасног регулисања овлашћења</w:t>
      </w:r>
      <w:r w:rsidR="00485C1E" w:rsidRPr="0DD3B114">
        <w:rPr>
          <w:rFonts w:ascii="Arial" w:hAnsi="Arial" w:cs="Arial"/>
          <w:sz w:val="20"/>
          <w:szCs w:val="20"/>
          <w:lang w:val="sr-Cyrl-RS" w:bidi="en-US"/>
        </w:rPr>
        <w:t>,</w:t>
      </w:r>
      <w:r w:rsidR="00B86236" w:rsidRPr="0DD3B114">
        <w:rPr>
          <w:rFonts w:ascii="Arial" w:hAnsi="Arial" w:cs="Arial"/>
          <w:sz w:val="20"/>
          <w:szCs w:val="20"/>
          <w:lang w:val="sr-Cyrl-RS" w:bidi="en-US"/>
        </w:rPr>
        <w:t xml:space="preserve"> али и </w:t>
      </w:r>
      <w:r w:rsidR="0024246E" w:rsidRPr="0DD3B114">
        <w:rPr>
          <w:rFonts w:ascii="Arial" w:hAnsi="Arial" w:cs="Arial"/>
          <w:sz w:val="20"/>
          <w:szCs w:val="20"/>
          <w:lang w:val="sr-Cyrl-RS"/>
        </w:rPr>
        <w:t>в</w:t>
      </w:r>
      <w:r w:rsidR="003E2047" w:rsidRPr="0DD3B114">
        <w:rPr>
          <w:rFonts w:ascii="Arial" w:hAnsi="Arial" w:cs="Arial"/>
          <w:sz w:val="20"/>
          <w:szCs w:val="20"/>
          <w:lang w:val="sr-Cyrl-RS"/>
        </w:rPr>
        <w:t xml:space="preserve">елику препреку за нормално функционисање локалне самоуправе и обављање појединих послова јавне управе. </w:t>
      </w:r>
      <w:r w:rsidR="00A75850" w:rsidRPr="0DD3B114">
        <w:rPr>
          <w:rFonts w:ascii="Arial" w:hAnsi="Arial" w:cs="Arial"/>
          <w:sz w:val="20"/>
          <w:szCs w:val="20"/>
          <w:lang w:val="sr-Cyrl-RS" w:bidi="en-US"/>
        </w:rPr>
        <w:t>Сасвим је јасно да је веома тешко</w:t>
      </w:r>
      <w:r w:rsidR="00304320" w:rsidRPr="0DD3B114">
        <w:rPr>
          <w:rFonts w:ascii="Arial" w:hAnsi="Arial" w:cs="Arial"/>
          <w:sz w:val="20"/>
          <w:szCs w:val="20"/>
          <w:lang w:val="sr-Cyrl-RS" w:bidi="en-US"/>
        </w:rPr>
        <w:t>,</w:t>
      </w:r>
      <w:r w:rsidR="00A75850" w:rsidRPr="0DD3B114">
        <w:rPr>
          <w:rFonts w:ascii="Arial" w:hAnsi="Arial" w:cs="Arial"/>
          <w:sz w:val="20"/>
          <w:szCs w:val="20"/>
          <w:lang w:val="sr-Cyrl-RS" w:bidi="en-US"/>
        </w:rPr>
        <w:t xml:space="preserve"> </w:t>
      </w:r>
      <w:r w:rsidR="00765771" w:rsidRPr="0DD3B114">
        <w:rPr>
          <w:rFonts w:ascii="Arial" w:hAnsi="Arial" w:cs="Arial"/>
          <w:sz w:val="20"/>
          <w:szCs w:val="20"/>
          <w:lang w:val="sr-Cyrl-RS" w:bidi="en-US"/>
        </w:rPr>
        <w:t xml:space="preserve">а </w:t>
      </w:r>
      <w:r w:rsidR="00A75850" w:rsidRPr="0DD3B114">
        <w:rPr>
          <w:rFonts w:ascii="Arial" w:hAnsi="Arial" w:cs="Arial"/>
          <w:sz w:val="20"/>
          <w:szCs w:val="20"/>
          <w:lang w:val="sr-Cyrl-RS" w:bidi="en-US"/>
        </w:rPr>
        <w:t xml:space="preserve">у многим случајевима </w:t>
      </w:r>
      <w:r w:rsidR="00304320" w:rsidRPr="0DD3B114">
        <w:rPr>
          <w:rFonts w:ascii="Arial" w:hAnsi="Arial" w:cs="Arial"/>
          <w:sz w:val="20"/>
          <w:szCs w:val="20"/>
          <w:lang w:val="sr-Cyrl-RS" w:bidi="en-US"/>
        </w:rPr>
        <w:t xml:space="preserve">и </w:t>
      </w:r>
      <w:r w:rsidR="00A75850" w:rsidRPr="0DD3B114">
        <w:rPr>
          <w:rFonts w:ascii="Arial" w:hAnsi="Arial" w:cs="Arial"/>
          <w:sz w:val="20"/>
          <w:szCs w:val="20"/>
          <w:lang w:val="sr-Cyrl-RS" w:bidi="en-US"/>
        </w:rPr>
        <w:t>некорисно</w:t>
      </w:r>
      <w:r w:rsidR="00304320" w:rsidRPr="0DD3B114">
        <w:rPr>
          <w:rFonts w:ascii="Arial" w:hAnsi="Arial" w:cs="Arial"/>
          <w:sz w:val="20"/>
          <w:szCs w:val="20"/>
          <w:lang w:val="sr-Cyrl-RS" w:bidi="en-US"/>
        </w:rPr>
        <w:t>,</w:t>
      </w:r>
      <w:r w:rsidR="00A75850" w:rsidRPr="0DD3B114">
        <w:rPr>
          <w:rFonts w:ascii="Arial" w:hAnsi="Arial" w:cs="Arial"/>
          <w:sz w:val="20"/>
          <w:szCs w:val="20"/>
          <w:lang w:val="sr-Cyrl-RS" w:bidi="en-US"/>
        </w:rPr>
        <w:t xml:space="preserve"> стварати екс</w:t>
      </w:r>
      <w:r w:rsidR="00485C1E" w:rsidRPr="0DD3B114">
        <w:rPr>
          <w:rFonts w:ascii="Arial" w:hAnsi="Arial" w:cs="Arial"/>
          <w:sz w:val="20"/>
          <w:szCs w:val="20"/>
          <w:lang w:val="sr-Cyrl-RS" w:bidi="en-US"/>
        </w:rPr>
        <w:t>к</w:t>
      </w:r>
      <w:r w:rsidR="00A75850" w:rsidRPr="0DD3B114">
        <w:rPr>
          <w:rFonts w:ascii="Arial" w:hAnsi="Arial" w:cs="Arial"/>
          <w:sz w:val="20"/>
          <w:szCs w:val="20"/>
          <w:lang w:val="sr-Cyrl-RS" w:bidi="en-US"/>
        </w:rPr>
        <w:t>лузивне надлежности у оквиру једног нивоа власти. У реалности</w:t>
      </w:r>
      <w:r w:rsidR="00485C1E" w:rsidRPr="0DD3B114">
        <w:rPr>
          <w:rFonts w:ascii="Arial" w:hAnsi="Arial" w:cs="Arial"/>
          <w:sz w:val="20"/>
          <w:szCs w:val="20"/>
          <w:lang w:val="sr-Cyrl-RS" w:bidi="en-US"/>
        </w:rPr>
        <w:t>,</w:t>
      </w:r>
      <w:r w:rsidR="00A75850" w:rsidRPr="0DD3B114">
        <w:rPr>
          <w:rFonts w:ascii="Arial" w:hAnsi="Arial" w:cs="Arial"/>
          <w:sz w:val="20"/>
          <w:szCs w:val="20"/>
          <w:lang w:val="sr-Cyrl-RS" w:bidi="en-US"/>
        </w:rPr>
        <w:t xml:space="preserve"> у већини политичких и </w:t>
      </w:r>
      <w:r w:rsidR="00A75850" w:rsidRPr="0DD3B114">
        <w:rPr>
          <w:rFonts w:ascii="Arial" w:hAnsi="Arial" w:cs="Arial"/>
          <w:sz w:val="20"/>
          <w:szCs w:val="20"/>
          <w:lang w:val="sr-Cyrl-RS" w:bidi="en-US"/>
        </w:rPr>
        <w:lastRenderedPageBreak/>
        <w:t xml:space="preserve">правних система постоји подела надлежности у већини области јавне управе и децентрализација подразумева у великој мери прелазак са централног управљања на заједничко. </w:t>
      </w:r>
      <w:r w:rsidR="00765771" w:rsidRPr="0DD3B114">
        <w:rPr>
          <w:rFonts w:ascii="Arial" w:hAnsi="Arial" w:cs="Arial"/>
          <w:sz w:val="20"/>
          <w:szCs w:val="20"/>
          <w:lang w:val="sr-Cyrl-RS" w:bidi="en-US"/>
        </w:rPr>
        <w:t xml:space="preserve">Заједничко </w:t>
      </w:r>
      <w:r w:rsidR="00A75850" w:rsidRPr="0DD3B114">
        <w:rPr>
          <w:rFonts w:ascii="Arial" w:hAnsi="Arial" w:cs="Arial"/>
          <w:sz w:val="20"/>
          <w:szCs w:val="20"/>
          <w:lang w:val="sr-Cyrl-RS" w:bidi="en-US"/>
        </w:rPr>
        <w:t>управљање</w:t>
      </w:r>
      <w:r w:rsidR="00D94AA5" w:rsidRPr="0DD3B114">
        <w:rPr>
          <w:rFonts w:ascii="Arial" w:hAnsi="Arial" w:cs="Arial"/>
          <w:sz w:val="20"/>
          <w:szCs w:val="20"/>
          <w:lang w:val="sr-Cyrl-RS" w:bidi="en-US"/>
        </w:rPr>
        <w:t xml:space="preserve">, </w:t>
      </w:r>
      <w:r w:rsidR="00765771" w:rsidRPr="0DD3B114">
        <w:rPr>
          <w:rFonts w:ascii="Arial" w:hAnsi="Arial" w:cs="Arial"/>
          <w:sz w:val="20"/>
          <w:szCs w:val="20"/>
          <w:lang w:val="sr-Cyrl-RS" w:bidi="en-US"/>
        </w:rPr>
        <w:t>међутим,</w:t>
      </w:r>
      <w:r w:rsidR="00D94AA5" w:rsidRPr="0DD3B114">
        <w:rPr>
          <w:rFonts w:ascii="Arial" w:hAnsi="Arial" w:cs="Arial"/>
          <w:sz w:val="20"/>
          <w:szCs w:val="20"/>
          <w:lang w:val="sr-Cyrl-RS" w:bidi="en-US"/>
        </w:rPr>
        <w:t xml:space="preserve"> </w:t>
      </w:r>
      <w:r w:rsidR="00A75850" w:rsidRPr="0DD3B114">
        <w:rPr>
          <w:rFonts w:ascii="Arial" w:hAnsi="Arial" w:cs="Arial"/>
          <w:sz w:val="20"/>
          <w:szCs w:val="20"/>
          <w:lang w:val="sr-Cyrl-RS" w:bidi="en-US"/>
        </w:rPr>
        <w:t>претпоставља јасну поделу надлежности</w:t>
      </w:r>
      <w:r w:rsidR="00D94AA5" w:rsidRPr="0DD3B114">
        <w:rPr>
          <w:rFonts w:ascii="Arial" w:hAnsi="Arial" w:cs="Arial"/>
          <w:sz w:val="20"/>
          <w:szCs w:val="20"/>
          <w:lang w:val="sr-Cyrl-RS" w:bidi="en-US"/>
        </w:rPr>
        <w:t>,</w:t>
      </w:r>
      <w:r w:rsidR="0038673A" w:rsidRPr="0DD3B114">
        <w:rPr>
          <w:rFonts w:ascii="Arial" w:hAnsi="Arial" w:cs="Arial"/>
          <w:sz w:val="20"/>
          <w:szCs w:val="20"/>
          <w:lang w:val="sr-Cyrl-RS" w:bidi="en-US"/>
        </w:rPr>
        <w:t xml:space="preserve"> а о</w:t>
      </w:r>
      <w:r w:rsidR="003E2047" w:rsidRPr="0DD3B114">
        <w:rPr>
          <w:rFonts w:ascii="Arial" w:hAnsi="Arial" w:cs="Arial"/>
          <w:sz w:val="20"/>
          <w:szCs w:val="20"/>
          <w:lang w:val="sr-Cyrl-RS"/>
        </w:rPr>
        <w:t xml:space="preserve">во питање не </w:t>
      </w:r>
      <w:r w:rsidR="00505855" w:rsidRPr="0DD3B114">
        <w:rPr>
          <w:rFonts w:ascii="Arial" w:hAnsi="Arial" w:cs="Arial"/>
          <w:sz w:val="20"/>
          <w:szCs w:val="20"/>
          <w:lang w:val="sr-Cyrl-RS"/>
        </w:rPr>
        <w:t xml:space="preserve">треба </w:t>
      </w:r>
      <w:r w:rsidR="003E2047" w:rsidRPr="0DD3B114">
        <w:rPr>
          <w:rFonts w:ascii="Arial" w:hAnsi="Arial" w:cs="Arial"/>
          <w:sz w:val="20"/>
          <w:szCs w:val="20"/>
          <w:lang w:val="sr-Cyrl-RS"/>
        </w:rPr>
        <w:t>посматра</w:t>
      </w:r>
      <w:r w:rsidR="0038673A" w:rsidRPr="0DD3B114">
        <w:rPr>
          <w:rFonts w:ascii="Arial" w:hAnsi="Arial" w:cs="Arial"/>
          <w:sz w:val="20"/>
          <w:szCs w:val="20"/>
          <w:lang w:val="sr-Cyrl-RS"/>
        </w:rPr>
        <w:t>ти</w:t>
      </w:r>
      <w:r w:rsidR="003E2047" w:rsidRPr="0DD3B114">
        <w:rPr>
          <w:rFonts w:ascii="Arial" w:hAnsi="Arial" w:cs="Arial"/>
          <w:sz w:val="20"/>
          <w:szCs w:val="20"/>
          <w:lang w:val="sr-Cyrl-RS"/>
        </w:rPr>
        <w:t xml:space="preserve"> само у контексту изворних и поверених послова, </w:t>
      </w:r>
      <w:r w:rsidR="001E2F75" w:rsidRPr="0DD3B114">
        <w:rPr>
          <w:rFonts w:ascii="Arial" w:hAnsi="Arial" w:cs="Arial"/>
          <w:sz w:val="20"/>
          <w:szCs w:val="20"/>
          <w:lang w:val="sr-Cyrl-RS"/>
        </w:rPr>
        <w:t>него</w:t>
      </w:r>
      <w:r w:rsidR="00485C1E" w:rsidRPr="0DD3B114">
        <w:rPr>
          <w:rFonts w:ascii="Arial" w:hAnsi="Arial" w:cs="Arial"/>
          <w:sz w:val="20"/>
          <w:szCs w:val="20"/>
          <w:lang w:val="sr-Cyrl-RS"/>
        </w:rPr>
        <w:t xml:space="preserve"> и</w:t>
      </w:r>
      <w:r w:rsidR="001E2F75" w:rsidRPr="0DD3B114">
        <w:rPr>
          <w:rFonts w:ascii="Arial" w:hAnsi="Arial" w:cs="Arial"/>
          <w:sz w:val="20"/>
          <w:szCs w:val="20"/>
          <w:lang w:val="sr-Cyrl-RS"/>
        </w:rPr>
        <w:t xml:space="preserve"> </w:t>
      </w:r>
      <w:r w:rsidR="003E2047" w:rsidRPr="0DD3B114">
        <w:rPr>
          <w:rFonts w:ascii="Arial" w:hAnsi="Arial" w:cs="Arial"/>
          <w:sz w:val="20"/>
          <w:szCs w:val="20"/>
          <w:lang w:val="sr-Cyrl-RS"/>
        </w:rPr>
        <w:t xml:space="preserve">суштинске потребе да се јасно дефинишу стварне надлежности више нивоа органа управе. </w:t>
      </w:r>
      <w:r w:rsidR="0039768C" w:rsidRPr="0DD3B114">
        <w:rPr>
          <w:rFonts w:ascii="Arial" w:hAnsi="Arial" w:cs="Arial"/>
          <w:sz w:val="20"/>
          <w:szCs w:val="20"/>
          <w:lang w:val="sr-Cyrl-RS"/>
        </w:rPr>
        <w:t xml:space="preserve">Често </w:t>
      </w:r>
      <w:r w:rsidR="00FE0BDD" w:rsidRPr="0DD3B114">
        <w:rPr>
          <w:rFonts w:ascii="Arial" w:hAnsi="Arial" w:cs="Arial"/>
          <w:sz w:val="20"/>
          <w:szCs w:val="20"/>
          <w:lang w:val="sr-Cyrl-RS"/>
        </w:rPr>
        <w:t xml:space="preserve">је случај да конкретне животне ситуације и проблеми не могу да се разреше управо због нејасне, неутврђене надлежности за поступање. </w:t>
      </w:r>
      <w:r w:rsidR="003E2047" w:rsidRPr="0DD3B114">
        <w:rPr>
          <w:rFonts w:ascii="Arial" w:hAnsi="Arial" w:cs="Arial"/>
          <w:sz w:val="20"/>
          <w:szCs w:val="20"/>
          <w:lang w:val="sr-Cyrl-RS"/>
        </w:rPr>
        <w:t>Један пример нежељене ситуације представља решење</w:t>
      </w:r>
      <w:r w:rsidR="00485C1E" w:rsidRPr="0DD3B114">
        <w:rPr>
          <w:rFonts w:ascii="Arial" w:hAnsi="Arial" w:cs="Arial"/>
          <w:sz w:val="20"/>
          <w:szCs w:val="20"/>
          <w:lang w:val="sr-Cyrl-RS"/>
        </w:rPr>
        <w:t>,</w:t>
      </w:r>
      <w:r w:rsidR="003E2047" w:rsidRPr="0DD3B114">
        <w:rPr>
          <w:rFonts w:ascii="Arial" w:hAnsi="Arial" w:cs="Arial"/>
          <w:sz w:val="20"/>
          <w:szCs w:val="20"/>
          <w:lang w:val="sr-Cyrl-RS"/>
        </w:rPr>
        <w:t xml:space="preserve"> прописано </w:t>
      </w:r>
      <w:r w:rsidR="001E2F75" w:rsidRPr="0DD3B114">
        <w:rPr>
          <w:rFonts w:ascii="Arial" w:hAnsi="Arial" w:cs="Arial"/>
          <w:sz w:val="20"/>
          <w:szCs w:val="20"/>
          <w:lang w:val="sr-Cyrl-RS"/>
        </w:rPr>
        <w:t>чл</w:t>
      </w:r>
      <w:r w:rsidR="0039768C" w:rsidRPr="0DD3B114">
        <w:rPr>
          <w:rFonts w:ascii="Arial" w:hAnsi="Arial" w:cs="Arial"/>
          <w:sz w:val="20"/>
          <w:szCs w:val="20"/>
          <w:lang w:val="sr-Cyrl-RS"/>
        </w:rPr>
        <w:t>ан</w:t>
      </w:r>
      <w:r w:rsidR="000543A1" w:rsidRPr="0DD3B114">
        <w:rPr>
          <w:rFonts w:ascii="Arial" w:hAnsi="Arial" w:cs="Arial"/>
          <w:sz w:val="20"/>
          <w:szCs w:val="20"/>
          <w:lang w:val="sr-Cyrl-RS"/>
        </w:rPr>
        <w:t>ом</w:t>
      </w:r>
      <w:r w:rsidR="001E2F75" w:rsidRPr="0DD3B114">
        <w:rPr>
          <w:rFonts w:ascii="Arial" w:hAnsi="Arial" w:cs="Arial"/>
          <w:sz w:val="20"/>
          <w:szCs w:val="20"/>
          <w:lang w:val="sr-Cyrl-RS"/>
        </w:rPr>
        <w:t xml:space="preserve"> </w:t>
      </w:r>
      <w:r w:rsidR="003E2047" w:rsidRPr="0DD3B114">
        <w:rPr>
          <w:rFonts w:ascii="Arial" w:hAnsi="Arial" w:cs="Arial"/>
          <w:sz w:val="20"/>
          <w:szCs w:val="20"/>
          <w:lang w:val="sr-Cyrl-RS"/>
        </w:rPr>
        <w:t>196. Закона о водама</w:t>
      </w:r>
      <w:r w:rsidR="001E2F75" w:rsidRPr="0DD3B114">
        <w:rPr>
          <w:rFonts w:ascii="Arial" w:hAnsi="Arial" w:cs="Arial"/>
          <w:sz w:val="20"/>
          <w:szCs w:val="20"/>
          <w:lang w:val="sr-Cyrl-RS"/>
        </w:rPr>
        <w:t>,</w:t>
      </w:r>
      <w:r w:rsidR="003E2047" w:rsidRPr="0DD3B114">
        <w:rPr>
          <w:rFonts w:ascii="Arial" w:hAnsi="Arial" w:cs="Arial"/>
          <w:sz w:val="20"/>
          <w:szCs w:val="20"/>
          <w:lang w:val="sr-Cyrl-RS"/>
        </w:rPr>
        <w:t xml:space="preserve"> да инспекцијски надзор који се односи на квалитет отпадних вода које се испуштају у реципијент врши министарство надлежно за послове заштите животне средине преко инспектора за заштиту животне средине. Проблем настаје када се у пракси појави недоумица да ли је дошло до испуштања отпадних вода у реципијент или још увек није, што доводи до недоумице да ли је реч о надлежности инспекције министарства надлежног за послове животне средине или инспекције за заштиту животне средине ЈЛС, </w:t>
      </w:r>
      <w:r w:rsidR="00485C1E" w:rsidRPr="0DD3B114">
        <w:rPr>
          <w:rFonts w:ascii="Arial" w:hAnsi="Arial" w:cs="Arial"/>
          <w:sz w:val="20"/>
          <w:szCs w:val="20"/>
          <w:lang w:val="sr-Cyrl-RS"/>
        </w:rPr>
        <w:t xml:space="preserve">при чему је </w:t>
      </w:r>
      <w:r w:rsidR="003E2047" w:rsidRPr="0DD3B114">
        <w:rPr>
          <w:rFonts w:ascii="Arial" w:hAnsi="Arial" w:cs="Arial"/>
          <w:sz w:val="20"/>
          <w:szCs w:val="20"/>
          <w:lang w:val="sr-Cyrl-RS"/>
        </w:rPr>
        <w:t xml:space="preserve">очигледно да је хитно поступање у оваквим ситуацијама нужно, </w:t>
      </w:r>
      <w:r w:rsidR="001218C8" w:rsidRPr="0DD3B114">
        <w:rPr>
          <w:rFonts w:ascii="Arial" w:hAnsi="Arial" w:cs="Arial"/>
          <w:sz w:val="20"/>
          <w:szCs w:val="20"/>
          <w:lang w:val="sr-Cyrl-RS"/>
        </w:rPr>
        <w:t xml:space="preserve">а </w:t>
      </w:r>
      <w:r w:rsidR="003E2047" w:rsidRPr="0DD3B114">
        <w:rPr>
          <w:rFonts w:ascii="Arial" w:hAnsi="Arial" w:cs="Arial"/>
          <w:sz w:val="20"/>
          <w:szCs w:val="20"/>
          <w:lang w:val="sr-Cyrl-RS"/>
        </w:rPr>
        <w:t>из описаног разлога изостаје.</w:t>
      </w:r>
      <w:r w:rsidRPr="0DD3B114">
        <w:rPr>
          <w:rFonts w:ascii="Arial" w:hAnsi="Arial" w:cs="Arial"/>
          <w:sz w:val="20"/>
          <w:szCs w:val="20"/>
          <w:lang w:val="sr-Cyrl-RS"/>
        </w:rPr>
        <w:t xml:space="preserve"> </w:t>
      </w:r>
      <w:r w:rsidR="003E2047" w:rsidRPr="0DD3B114">
        <w:rPr>
          <w:rFonts w:ascii="Arial" w:hAnsi="Arial" w:cs="Arial"/>
          <w:sz w:val="20"/>
          <w:szCs w:val="20"/>
          <w:lang w:val="sr-Cyrl-RS"/>
        </w:rPr>
        <w:t xml:space="preserve">Пример </w:t>
      </w:r>
      <w:r w:rsidR="004E0F08" w:rsidRPr="0DD3B114">
        <w:rPr>
          <w:rFonts w:ascii="Arial" w:hAnsi="Arial" w:cs="Arial"/>
          <w:sz w:val="20"/>
          <w:szCs w:val="20"/>
          <w:lang w:val="sr-Cyrl-RS"/>
        </w:rPr>
        <w:t xml:space="preserve">се </w:t>
      </w:r>
      <w:r w:rsidR="003E2047" w:rsidRPr="0DD3B114">
        <w:rPr>
          <w:rFonts w:ascii="Arial" w:hAnsi="Arial" w:cs="Arial"/>
          <w:sz w:val="20"/>
          <w:szCs w:val="20"/>
          <w:lang w:val="sr-Cyrl-RS"/>
        </w:rPr>
        <w:t xml:space="preserve">може наћи </w:t>
      </w:r>
      <w:r w:rsidR="00FE0BDD" w:rsidRPr="0DD3B114">
        <w:rPr>
          <w:rFonts w:ascii="Arial" w:hAnsi="Arial" w:cs="Arial"/>
          <w:sz w:val="20"/>
          <w:szCs w:val="20"/>
          <w:lang w:val="sr-Cyrl-RS"/>
        </w:rPr>
        <w:t xml:space="preserve">и </w:t>
      </w:r>
      <w:r w:rsidR="003E2047" w:rsidRPr="0DD3B114">
        <w:rPr>
          <w:rFonts w:ascii="Arial" w:hAnsi="Arial" w:cs="Arial"/>
          <w:sz w:val="20"/>
          <w:szCs w:val="20"/>
          <w:lang w:val="sr-Cyrl-RS"/>
        </w:rPr>
        <w:t xml:space="preserve">упоређивањем надлежности републичког и комуналног инспектора приликом инспекцијског надзора </w:t>
      </w:r>
      <w:r w:rsidR="00485C1E" w:rsidRPr="0DD3B114">
        <w:rPr>
          <w:rFonts w:ascii="Arial" w:hAnsi="Arial" w:cs="Arial"/>
          <w:sz w:val="20"/>
          <w:szCs w:val="20"/>
          <w:lang w:val="sr-Cyrl-RS"/>
        </w:rPr>
        <w:t xml:space="preserve">над </w:t>
      </w:r>
      <w:r w:rsidR="003E2047" w:rsidRPr="0DD3B114">
        <w:rPr>
          <w:rFonts w:ascii="Arial" w:hAnsi="Arial" w:cs="Arial"/>
          <w:sz w:val="20"/>
          <w:szCs w:val="20"/>
          <w:lang w:val="sr-Cyrl-RS"/>
        </w:rPr>
        <w:t>испуњењ</w:t>
      </w:r>
      <w:r w:rsidR="00485C1E" w:rsidRPr="0DD3B114">
        <w:rPr>
          <w:rFonts w:ascii="Arial" w:hAnsi="Arial" w:cs="Arial"/>
          <w:sz w:val="20"/>
          <w:szCs w:val="20"/>
          <w:lang w:val="sr-Cyrl-RS"/>
        </w:rPr>
        <w:t>ем</w:t>
      </w:r>
      <w:r w:rsidR="003E2047" w:rsidRPr="0DD3B114">
        <w:rPr>
          <w:rFonts w:ascii="Arial" w:hAnsi="Arial" w:cs="Arial"/>
          <w:sz w:val="20"/>
          <w:szCs w:val="20"/>
          <w:lang w:val="sr-Cyrl-RS"/>
        </w:rPr>
        <w:t xml:space="preserve"> услова за обављање комуналних делатности. У складу са Законом о комуналним делатностима, републички комунални инспектор је овлашћен да „наложи решењем да се комунална делатност обавља у складу са законом и републичким прописом донетим на основу овог закона</w:t>
      </w:r>
      <w:r w:rsidR="004E0F08" w:rsidRPr="0DD3B114">
        <w:rPr>
          <w:rFonts w:ascii="Arial" w:hAnsi="Arial" w:cs="Arial"/>
          <w:sz w:val="20"/>
          <w:szCs w:val="20"/>
          <w:lang w:val="sr-Cyrl-RS"/>
        </w:rPr>
        <w:t>.</w:t>
      </w:r>
      <w:r w:rsidR="0074037A" w:rsidRPr="0DD3B114">
        <w:rPr>
          <w:rFonts w:ascii="Arial" w:hAnsi="Arial" w:cs="Arial"/>
          <w:sz w:val="20"/>
          <w:szCs w:val="20"/>
          <w:lang w:val="sr-Cyrl-RS"/>
        </w:rPr>
        <w:t>”</w:t>
      </w:r>
      <w:r w:rsidR="003E2047" w:rsidRPr="0DD3B114">
        <w:rPr>
          <w:rFonts w:ascii="Arial" w:hAnsi="Arial" w:cs="Arial"/>
          <w:sz w:val="20"/>
          <w:szCs w:val="20"/>
          <w:lang w:val="sr-Cyrl-RS"/>
        </w:rPr>
        <w:t xml:space="preserve"> Међутим, идентична надлежност се предвиђа и за локалног комуналног инспектора</w:t>
      </w:r>
      <w:r w:rsidR="0085042D" w:rsidRPr="0DD3B114">
        <w:rPr>
          <w:rFonts w:ascii="Arial" w:hAnsi="Arial" w:cs="Arial"/>
          <w:sz w:val="20"/>
          <w:szCs w:val="20"/>
          <w:lang w:val="sr-Cyrl-RS"/>
        </w:rPr>
        <w:t>,</w:t>
      </w:r>
      <w:r w:rsidR="003E2047" w:rsidRPr="0DD3B114">
        <w:rPr>
          <w:rFonts w:ascii="Arial" w:hAnsi="Arial" w:cs="Arial"/>
          <w:sz w:val="20"/>
          <w:szCs w:val="20"/>
          <w:lang w:val="sr-Cyrl-RS"/>
        </w:rPr>
        <w:t xml:space="preserve"> чиме се отвара питање критеријума поделе надлежности, као и касније неуједначене праксе приликом одлучивања који ће орган поступити. Тек прецизне и заокружене надлежности омогућавају јасну одговорност за обављање послова. Поред наведеног, треба указати и на проблеме где су границе надлежности јасне и у пракси не стварају недоумице по овом питању, али где је поступање једног нивоа власти условљено сагласношћу другог, што доводи до неефикасности у поступању. Један од примера јесте сагласност вишег нивоа власти за именовање управних органа односно директора појединих установа чији је оснивач локална самоуправа (нпр. </w:t>
      </w:r>
      <w:r w:rsidR="008D515D" w:rsidRPr="0DD3B114">
        <w:rPr>
          <w:rFonts w:ascii="Arial" w:hAnsi="Arial" w:cs="Arial"/>
          <w:sz w:val="20"/>
          <w:szCs w:val="20"/>
          <w:lang w:val="sr-Cyrl-RS"/>
        </w:rPr>
        <w:t xml:space="preserve">центра </w:t>
      </w:r>
      <w:r w:rsidR="003E2047" w:rsidRPr="0DD3B114">
        <w:rPr>
          <w:rFonts w:ascii="Arial" w:hAnsi="Arial" w:cs="Arial"/>
          <w:sz w:val="20"/>
          <w:szCs w:val="20"/>
          <w:lang w:val="sr-Cyrl-RS"/>
        </w:rPr>
        <w:t>за социјални рад).</w:t>
      </w:r>
    </w:p>
    <w:p w14:paraId="5936BC73" w14:textId="77777777" w:rsidR="00CD552B" w:rsidRPr="00A021B7" w:rsidRDefault="00CD552B" w:rsidP="0DD3B114">
      <w:pPr>
        <w:autoSpaceDE w:val="0"/>
        <w:autoSpaceDN w:val="0"/>
        <w:adjustRightInd w:val="0"/>
        <w:ind w:firstLine="720"/>
        <w:jc w:val="both"/>
        <w:rPr>
          <w:rFonts w:ascii="Arial" w:hAnsi="Arial" w:cs="Arial"/>
          <w:sz w:val="20"/>
          <w:szCs w:val="20"/>
          <w:lang w:val="sr-Cyrl-RS"/>
        </w:rPr>
      </w:pPr>
    </w:p>
    <w:p w14:paraId="25C17BAF" w14:textId="3002C797" w:rsidR="003E2047" w:rsidRPr="00A021B7" w:rsidRDefault="003E2047" w:rsidP="0DD3B114">
      <w:pPr>
        <w:ind w:firstLine="720"/>
        <w:jc w:val="both"/>
        <w:rPr>
          <w:rFonts w:ascii="Arial" w:hAnsi="Arial" w:cs="Arial"/>
          <w:sz w:val="20"/>
          <w:szCs w:val="20"/>
          <w:lang w:val="sr-Cyrl-RS"/>
        </w:rPr>
      </w:pPr>
      <w:bookmarkStart w:id="52" w:name="_Toc52865776"/>
      <w:bookmarkStart w:id="53" w:name="_Toc52866187"/>
      <w:bookmarkStart w:id="54" w:name="_Toc52866611"/>
      <w:r w:rsidRPr="0DD3B114">
        <w:rPr>
          <w:rFonts w:ascii="Arial" w:hAnsi="Arial" w:cs="Arial"/>
          <w:sz w:val="20"/>
          <w:szCs w:val="20"/>
          <w:lang w:val="sr-Cyrl-RS"/>
        </w:rPr>
        <w:t>Проблем представља и неадекватна организациј</w:t>
      </w:r>
      <w:r w:rsidR="00C16BCA" w:rsidRPr="0DD3B114">
        <w:rPr>
          <w:rFonts w:ascii="Arial" w:hAnsi="Arial" w:cs="Arial"/>
          <w:sz w:val="20"/>
          <w:szCs w:val="20"/>
          <w:lang w:val="sr-Cyrl-RS"/>
        </w:rPr>
        <w:t>а</w:t>
      </w:r>
      <w:r w:rsidRPr="0DD3B114">
        <w:rPr>
          <w:rFonts w:ascii="Arial" w:hAnsi="Arial" w:cs="Arial"/>
          <w:sz w:val="20"/>
          <w:szCs w:val="20"/>
          <w:lang w:val="sr-Cyrl-RS"/>
        </w:rPr>
        <w:t xml:space="preserve"> унутар појединих ЈЛС</w:t>
      </w:r>
      <w:r w:rsidR="00147469" w:rsidRPr="0DD3B114">
        <w:rPr>
          <w:rFonts w:ascii="Arial" w:hAnsi="Arial" w:cs="Arial"/>
          <w:sz w:val="20"/>
          <w:szCs w:val="20"/>
          <w:lang w:val="sr-Cyrl-RS"/>
        </w:rPr>
        <w:t>,</w:t>
      </w:r>
      <w:r w:rsidRPr="0DD3B114">
        <w:rPr>
          <w:rFonts w:ascii="Arial" w:hAnsi="Arial" w:cs="Arial"/>
          <w:sz w:val="20"/>
          <w:szCs w:val="20"/>
          <w:lang w:val="sr-Cyrl-RS"/>
        </w:rPr>
        <w:t xml:space="preserve"> која није у потпуности прилагођена за пружање услуга грађанима и привреди, услед неефикасног управљања и укупно ниских управних капацитета и недостатка ресурса (људских, техничких и финансијских). У значајном броју ЈЛС предузимани су кораци да се рад локалне управе прилагоди потребама грађана, почев од отварања услужних центара, информисања о надлежностима и процедурама за остваривање појединих права и обавеза, информисања о раду локалне управе, позитивних промена у култури опхођења са грађанима и других мера. На другој страни, то није чињено у свим ЈЛС</w:t>
      </w:r>
      <w:r w:rsidR="00B95518" w:rsidRPr="0DD3B114">
        <w:rPr>
          <w:rFonts w:ascii="Arial" w:hAnsi="Arial" w:cs="Arial"/>
          <w:sz w:val="20"/>
          <w:szCs w:val="20"/>
          <w:lang w:val="sr-Cyrl-RS"/>
        </w:rPr>
        <w:t>, а</w:t>
      </w:r>
      <w:r w:rsidRPr="0DD3B114">
        <w:rPr>
          <w:rFonts w:ascii="Arial" w:hAnsi="Arial" w:cs="Arial"/>
          <w:sz w:val="20"/>
          <w:szCs w:val="20"/>
          <w:lang w:val="sr-Cyrl-RS"/>
        </w:rPr>
        <w:t xml:space="preserve"> бројне анализе показују да и даље постоје значајни проблеми у ефикасности административног поступања, као и разлике међу ЈЛС у </w:t>
      </w:r>
      <w:r w:rsidR="00254EE1" w:rsidRPr="0DD3B114">
        <w:rPr>
          <w:rFonts w:ascii="Arial" w:hAnsi="Arial" w:cs="Arial"/>
          <w:sz w:val="20"/>
          <w:szCs w:val="20"/>
          <w:lang w:val="sr-Cyrl-RS"/>
        </w:rPr>
        <w:t xml:space="preserve">трајању </w:t>
      </w:r>
      <w:r w:rsidRPr="0DD3B114">
        <w:rPr>
          <w:rFonts w:ascii="Arial" w:hAnsi="Arial" w:cs="Arial"/>
          <w:sz w:val="20"/>
          <w:szCs w:val="20"/>
          <w:lang w:val="sr-Cyrl-RS"/>
        </w:rPr>
        <w:t xml:space="preserve">или </w:t>
      </w:r>
      <w:r w:rsidR="00254EE1" w:rsidRPr="0DD3B114">
        <w:rPr>
          <w:rFonts w:ascii="Arial" w:hAnsi="Arial" w:cs="Arial"/>
          <w:sz w:val="20"/>
          <w:szCs w:val="20"/>
          <w:lang w:val="sr-Cyrl-RS"/>
        </w:rPr>
        <w:t xml:space="preserve">садржини </w:t>
      </w:r>
      <w:r w:rsidRPr="0DD3B114">
        <w:rPr>
          <w:rFonts w:ascii="Arial" w:hAnsi="Arial" w:cs="Arial"/>
          <w:sz w:val="20"/>
          <w:szCs w:val="20"/>
          <w:lang w:val="sr-Cyrl-RS"/>
        </w:rPr>
        <w:t xml:space="preserve">процедура. Знатан број извора посебно указује, као на опште место, на недостатак капацитета за вршење послова локалне управе (недовољан број запослених, неодговарајућа стручна заступљеност у вршењу специфичних послова, неодговарајућа техничка опремљеност, проблеми у финансирању и сл.). Велики број општина, посебно у крајевима који су </w:t>
      </w:r>
      <w:r w:rsidR="005C7840" w:rsidRPr="0DD3B114">
        <w:rPr>
          <w:rFonts w:ascii="Arial" w:hAnsi="Arial" w:cs="Arial"/>
          <w:sz w:val="20"/>
          <w:szCs w:val="20"/>
          <w:lang w:val="sr-Cyrl-RS"/>
        </w:rPr>
        <w:t xml:space="preserve">и </w:t>
      </w:r>
      <w:r w:rsidRPr="0DD3B114">
        <w:rPr>
          <w:rFonts w:ascii="Arial" w:hAnsi="Arial" w:cs="Arial"/>
          <w:sz w:val="20"/>
          <w:szCs w:val="20"/>
          <w:lang w:val="sr-Cyrl-RS"/>
        </w:rPr>
        <w:t xml:space="preserve">иначе недовољно економски развијени и погођени одливом становништва, има крупне проблеме, како у обезбеђивању кадрова за обављање високостручних послова, тако и у </w:t>
      </w:r>
      <w:r w:rsidR="00262FCC" w:rsidRPr="0DD3B114">
        <w:rPr>
          <w:rFonts w:ascii="Arial" w:hAnsi="Arial" w:cs="Arial"/>
          <w:sz w:val="20"/>
          <w:szCs w:val="20"/>
          <w:lang w:val="sr-Cyrl-RS"/>
        </w:rPr>
        <w:t xml:space="preserve">финансирању </w:t>
      </w:r>
      <w:r w:rsidRPr="0DD3B114">
        <w:rPr>
          <w:rFonts w:ascii="Arial" w:hAnsi="Arial" w:cs="Arial"/>
          <w:sz w:val="20"/>
          <w:szCs w:val="20"/>
          <w:lang w:val="sr-Cyrl-RS"/>
        </w:rPr>
        <w:t>обављања својих функција. Мале ЈЛС једноставно немају довољно средстава и капацитета за извршавање свих датих надлежности, које уређуј</w:t>
      </w:r>
      <w:r w:rsidR="00485C1E" w:rsidRPr="0DD3B114">
        <w:rPr>
          <w:rFonts w:ascii="Arial" w:hAnsi="Arial" w:cs="Arial"/>
          <w:sz w:val="20"/>
          <w:szCs w:val="20"/>
          <w:lang w:val="sr-Cyrl-RS"/>
        </w:rPr>
        <w:t>е</w:t>
      </w:r>
      <w:r w:rsidRPr="0DD3B114">
        <w:rPr>
          <w:rFonts w:ascii="Arial" w:hAnsi="Arial" w:cs="Arial"/>
          <w:sz w:val="20"/>
          <w:szCs w:val="20"/>
          <w:lang w:val="sr-Cyrl-RS"/>
        </w:rPr>
        <w:t xml:space="preserve"> више</w:t>
      </w:r>
      <w:r w:rsidR="001A01C0" w:rsidRPr="0DD3B114">
        <w:rPr>
          <w:rFonts w:ascii="Arial" w:hAnsi="Arial" w:cs="Arial"/>
          <w:sz w:val="20"/>
          <w:szCs w:val="20"/>
          <w:lang w:val="sr-Cyrl-RS"/>
        </w:rPr>
        <w:t xml:space="preserve"> </w:t>
      </w:r>
      <w:r w:rsidRPr="0DD3B114">
        <w:rPr>
          <w:rFonts w:ascii="Arial" w:hAnsi="Arial" w:cs="Arial"/>
          <w:sz w:val="20"/>
          <w:szCs w:val="20"/>
          <w:lang w:val="sr-Cyrl-RS"/>
        </w:rPr>
        <w:t>стотин</w:t>
      </w:r>
      <w:r w:rsidR="001A01C0" w:rsidRPr="0DD3B114">
        <w:rPr>
          <w:rFonts w:ascii="Arial" w:hAnsi="Arial" w:cs="Arial"/>
          <w:sz w:val="20"/>
          <w:szCs w:val="20"/>
          <w:lang w:val="sr-Cyrl-RS"/>
        </w:rPr>
        <w:t>а</w:t>
      </w:r>
      <w:r w:rsidRPr="0DD3B114">
        <w:rPr>
          <w:rFonts w:ascii="Arial" w:hAnsi="Arial" w:cs="Arial"/>
          <w:sz w:val="20"/>
          <w:szCs w:val="20"/>
          <w:lang w:val="sr-Cyrl-RS"/>
        </w:rPr>
        <w:t xml:space="preserve"> закона и подзаконских аката. Управни капацитети општина и градова су неуједначени, </w:t>
      </w:r>
      <w:r w:rsidR="00485C1E" w:rsidRPr="0DD3B114">
        <w:rPr>
          <w:rFonts w:ascii="Arial" w:hAnsi="Arial" w:cs="Arial"/>
          <w:sz w:val="20"/>
          <w:szCs w:val="20"/>
          <w:lang w:val="sr-Cyrl-RS"/>
        </w:rPr>
        <w:t>п</w:t>
      </w:r>
      <w:r w:rsidRPr="0DD3B114">
        <w:rPr>
          <w:rFonts w:ascii="Arial" w:hAnsi="Arial" w:cs="Arial"/>
          <w:sz w:val="20"/>
          <w:szCs w:val="20"/>
          <w:lang w:val="sr-Cyrl-RS"/>
        </w:rPr>
        <w:t xml:space="preserve">а градови углавном имају </w:t>
      </w:r>
      <w:r w:rsidR="006545ED" w:rsidRPr="0DD3B114">
        <w:rPr>
          <w:rFonts w:ascii="Arial" w:hAnsi="Arial" w:cs="Arial"/>
          <w:sz w:val="20"/>
          <w:szCs w:val="20"/>
          <w:lang w:val="sr-Cyrl-RS"/>
        </w:rPr>
        <w:t xml:space="preserve">одговарајуће </w:t>
      </w:r>
      <w:r w:rsidRPr="0DD3B114">
        <w:rPr>
          <w:rFonts w:ascii="Arial" w:hAnsi="Arial" w:cs="Arial"/>
          <w:sz w:val="20"/>
          <w:szCs w:val="20"/>
          <w:lang w:val="sr-Cyrl-RS"/>
        </w:rPr>
        <w:t xml:space="preserve">управне капацитете, док у већем броју општина то није случај. Из тих и других разлога, извршавање надлежности и послова локалне самоуправе није увек обезбеђено на одговарајући начин, </w:t>
      </w:r>
      <w:r w:rsidR="00485C1E" w:rsidRPr="0DD3B114">
        <w:rPr>
          <w:rFonts w:ascii="Arial" w:hAnsi="Arial" w:cs="Arial"/>
          <w:sz w:val="20"/>
          <w:szCs w:val="20"/>
          <w:lang w:val="sr-Cyrl-RS"/>
        </w:rPr>
        <w:t>п</w:t>
      </w:r>
      <w:r w:rsidRPr="0DD3B114">
        <w:rPr>
          <w:rFonts w:ascii="Arial" w:hAnsi="Arial" w:cs="Arial"/>
          <w:sz w:val="20"/>
          <w:szCs w:val="20"/>
          <w:lang w:val="sr-Cyrl-RS"/>
        </w:rPr>
        <w:t>а се у значајном броју ЈЛС поједине надлежности уопште не извршавају или се извршавају делимично.</w:t>
      </w:r>
      <w:bookmarkEnd w:id="52"/>
      <w:bookmarkEnd w:id="53"/>
      <w:bookmarkEnd w:id="54"/>
    </w:p>
    <w:p w14:paraId="0AB2B830" w14:textId="77777777" w:rsidR="003E2047" w:rsidRPr="00A021B7" w:rsidRDefault="003E2047" w:rsidP="1A8E6423">
      <w:pPr>
        <w:ind w:firstLine="720"/>
        <w:jc w:val="both"/>
        <w:rPr>
          <w:rFonts w:ascii="Arial" w:hAnsi="Arial" w:cs="Arial"/>
          <w:sz w:val="20"/>
          <w:szCs w:val="20"/>
          <w:lang w:val="sr-Cyrl-RS"/>
        </w:rPr>
      </w:pPr>
    </w:p>
    <w:p w14:paraId="0550CFD6" w14:textId="5257E7E9" w:rsidR="009C44FF" w:rsidRPr="00A021B7" w:rsidRDefault="003E2047"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За систем локалне самоуправе у целини </w:t>
      </w:r>
      <w:r w:rsidR="00A72A72" w:rsidRPr="1A8E6423">
        <w:rPr>
          <w:rFonts w:ascii="Arial" w:hAnsi="Arial" w:cs="Arial"/>
          <w:sz w:val="20"/>
          <w:szCs w:val="20"/>
          <w:lang w:val="sr-Cyrl-RS"/>
        </w:rPr>
        <w:t>посебно су</w:t>
      </w:r>
      <w:r w:rsidRPr="1A8E6423">
        <w:rPr>
          <w:rFonts w:ascii="Arial" w:hAnsi="Arial" w:cs="Arial"/>
          <w:sz w:val="20"/>
          <w:szCs w:val="20"/>
          <w:lang w:val="sr-Cyrl-RS"/>
        </w:rPr>
        <w:t xml:space="preserve"> значајни проблеми у </w:t>
      </w:r>
      <w:r w:rsidR="00485C1E" w:rsidRPr="1A8E6423">
        <w:rPr>
          <w:rFonts w:ascii="Arial" w:hAnsi="Arial" w:cs="Arial"/>
          <w:sz w:val="20"/>
          <w:szCs w:val="20"/>
          <w:lang w:val="sr-Cyrl-RS"/>
        </w:rPr>
        <w:t xml:space="preserve">испуњавању </w:t>
      </w:r>
      <w:r w:rsidRPr="1A8E6423">
        <w:rPr>
          <w:rFonts w:ascii="Arial" w:hAnsi="Arial" w:cs="Arial"/>
          <w:sz w:val="20"/>
          <w:szCs w:val="20"/>
          <w:lang w:val="sr-Cyrl-RS"/>
        </w:rPr>
        <w:t>кључних одговорности ЈЛС, као што су</w:t>
      </w:r>
      <w:r w:rsidR="00116C60" w:rsidRPr="1A8E6423">
        <w:rPr>
          <w:rFonts w:ascii="Arial" w:hAnsi="Arial" w:cs="Arial"/>
          <w:sz w:val="20"/>
          <w:szCs w:val="20"/>
          <w:lang w:val="sr-Cyrl-RS"/>
        </w:rPr>
        <w:t xml:space="preserve"> адекватно развојно планирање,</w:t>
      </w:r>
      <w:r w:rsidR="00AE10F6" w:rsidRPr="1A8E6423">
        <w:rPr>
          <w:rFonts w:ascii="Arial" w:hAnsi="Arial" w:cs="Arial"/>
          <w:sz w:val="20"/>
          <w:szCs w:val="20"/>
          <w:lang w:val="sr-Cyrl-RS"/>
        </w:rPr>
        <w:t xml:space="preserve"> </w:t>
      </w:r>
      <w:r w:rsidR="00A03FBA" w:rsidRPr="1A8E6423">
        <w:rPr>
          <w:rFonts w:ascii="Arial" w:hAnsi="Arial" w:cs="Arial"/>
          <w:sz w:val="20"/>
          <w:szCs w:val="20"/>
          <w:lang w:val="sr-Cyrl-RS"/>
        </w:rPr>
        <w:t>управне</w:t>
      </w:r>
      <w:r w:rsidR="00B33236" w:rsidRPr="1A8E6423">
        <w:rPr>
          <w:rFonts w:ascii="Arial" w:hAnsi="Arial" w:cs="Arial"/>
          <w:sz w:val="20"/>
          <w:szCs w:val="20"/>
          <w:lang w:val="sr-Cyrl-RS"/>
        </w:rPr>
        <w:t xml:space="preserve"> или административне</w:t>
      </w:r>
      <w:r w:rsidR="00A03FBA" w:rsidRPr="1A8E6423">
        <w:rPr>
          <w:rFonts w:ascii="Arial" w:hAnsi="Arial" w:cs="Arial"/>
          <w:sz w:val="20"/>
          <w:szCs w:val="20"/>
          <w:lang w:val="sr-Cyrl-RS"/>
        </w:rPr>
        <w:t xml:space="preserve"> услуге,</w:t>
      </w:r>
      <w:r w:rsidR="00116C60" w:rsidRPr="1A8E6423">
        <w:rPr>
          <w:rFonts w:ascii="Arial" w:hAnsi="Arial" w:cs="Arial"/>
          <w:sz w:val="20"/>
          <w:szCs w:val="20"/>
          <w:lang w:val="sr-Cyrl-RS"/>
        </w:rPr>
        <w:t xml:space="preserve"> </w:t>
      </w:r>
      <w:r w:rsidRPr="1A8E6423">
        <w:rPr>
          <w:rFonts w:ascii="Arial" w:hAnsi="Arial" w:cs="Arial"/>
          <w:sz w:val="20"/>
          <w:szCs w:val="20"/>
          <w:lang w:val="sr-Cyrl-RS"/>
        </w:rPr>
        <w:t>комуналне делатности, остваривање јавног интереса преко функционисања локалних установа (у области образовања, социјалне и здравствене заштите, културе или спорта)</w:t>
      </w:r>
      <w:r w:rsidR="00B33236" w:rsidRPr="1A8E6423">
        <w:rPr>
          <w:rFonts w:ascii="Arial" w:hAnsi="Arial" w:cs="Arial"/>
          <w:sz w:val="20"/>
          <w:szCs w:val="20"/>
          <w:lang w:val="sr-Cyrl-RS"/>
        </w:rPr>
        <w:t xml:space="preserve">, </w:t>
      </w:r>
      <w:r w:rsidRPr="1A8E6423">
        <w:rPr>
          <w:rFonts w:ascii="Arial" w:hAnsi="Arial" w:cs="Arial"/>
          <w:sz w:val="20"/>
          <w:szCs w:val="20"/>
          <w:lang w:val="sr-Cyrl-RS"/>
        </w:rPr>
        <w:t>локални економски развој</w:t>
      </w:r>
      <w:r w:rsidR="00B33236" w:rsidRPr="1A8E6423">
        <w:rPr>
          <w:rFonts w:ascii="Arial" w:hAnsi="Arial" w:cs="Arial"/>
          <w:sz w:val="20"/>
          <w:szCs w:val="20"/>
          <w:lang w:val="sr-Cyrl-RS"/>
        </w:rPr>
        <w:t xml:space="preserve"> и др</w:t>
      </w:r>
      <w:r w:rsidRPr="1A8E6423">
        <w:rPr>
          <w:rFonts w:ascii="Arial" w:hAnsi="Arial" w:cs="Arial"/>
          <w:sz w:val="20"/>
          <w:szCs w:val="20"/>
          <w:lang w:val="sr-Cyrl-RS"/>
        </w:rPr>
        <w:t>.</w:t>
      </w:r>
    </w:p>
    <w:p w14:paraId="0841FE07" w14:textId="77777777" w:rsidR="00116C60" w:rsidRPr="00A021B7" w:rsidRDefault="00116C60" w:rsidP="1A8E6423">
      <w:pPr>
        <w:ind w:firstLine="720"/>
        <w:jc w:val="both"/>
        <w:rPr>
          <w:rFonts w:ascii="Arial" w:hAnsi="Arial" w:cs="Arial"/>
          <w:sz w:val="20"/>
          <w:szCs w:val="20"/>
          <w:lang w:val="sr-Cyrl-RS"/>
        </w:rPr>
      </w:pPr>
    </w:p>
    <w:p w14:paraId="66BB13FE" w14:textId="7ECBE937" w:rsidR="007F6C81" w:rsidRPr="004826D6" w:rsidRDefault="3D573E71" w:rsidP="1A8E6423">
      <w:pPr>
        <w:ind w:firstLine="720"/>
        <w:jc w:val="both"/>
        <w:rPr>
          <w:rFonts w:ascii="Arial" w:hAnsi="Arial" w:cs="Arial"/>
          <w:sz w:val="20"/>
          <w:szCs w:val="20"/>
          <w:lang w:val="sr-Cyrl-RS"/>
        </w:rPr>
      </w:pPr>
      <w:r w:rsidRPr="00A021B7">
        <w:rPr>
          <w:rFonts w:ascii="Arial" w:hAnsi="Arial" w:cs="Arial"/>
          <w:sz w:val="20"/>
          <w:szCs w:val="20"/>
          <w:lang w:val="sr-Cyrl-RS"/>
        </w:rPr>
        <w:t>У недостатку прецизног стратешког и законодавног оквира за припрему развојних јавних политика, ЈЛС су у претходне две деценије</w:t>
      </w:r>
      <w:r w:rsidR="00485C1E">
        <w:rPr>
          <w:rFonts w:ascii="Arial" w:hAnsi="Arial" w:cs="Arial"/>
          <w:sz w:val="20"/>
          <w:szCs w:val="20"/>
          <w:lang w:val="sr-Cyrl-RS"/>
        </w:rPr>
        <w:t>,</w:t>
      </w:r>
      <w:r w:rsidRPr="00A021B7">
        <w:rPr>
          <w:rFonts w:ascii="Arial" w:hAnsi="Arial" w:cs="Arial"/>
          <w:sz w:val="20"/>
          <w:szCs w:val="20"/>
          <w:lang w:val="sr-Cyrl-RS"/>
        </w:rPr>
        <w:t xml:space="preserve"> уз велику помоћ међународних партнера</w:t>
      </w:r>
      <w:r w:rsidR="00485C1E">
        <w:rPr>
          <w:rFonts w:ascii="Arial" w:hAnsi="Arial" w:cs="Arial"/>
          <w:sz w:val="20"/>
          <w:szCs w:val="20"/>
          <w:lang w:val="sr-Cyrl-RS"/>
        </w:rPr>
        <w:t>,</w:t>
      </w:r>
      <w:r w:rsidRPr="00A021B7">
        <w:rPr>
          <w:rFonts w:ascii="Arial" w:hAnsi="Arial" w:cs="Arial"/>
          <w:sz w:val="20"/>
          <w:szCs w:val="20"/>
          <w:lang w:val="sr-Cyrl-RS"/>
        </w:rPr>
        <w:t xml:space="preserve"> радиле на изради локалних стратегија одрживог развоја</w:t>
      </w:r>
      <w:r w:rsidR="00485C1E">
        <w:rPr>
          <w:rFonts w:ascii="Arial" w:hAnsi="Arial" w:cs="Arial"/>
          <w:sz w:val="20"/>
          <w:szCs w:val="20"/>
          <w:lang w:val="sr-Cyrl-RS"/>
        </w:rPr>
        <w:t>,</w:t>
      </w:r>
      <w:r w:rsidRPr="00A021B7">
        <w:rPr>
          <w:rFonts w:ascii="Arial" w:hAnsi="Arial" w:cs="Arial"/>
          <w:sz w:val="20"/>
          <w:szCs w:val="20"/>
          <w:lang w:val="sr-Cyrl-RS"/>
        </w:rPr>
        <w:t xml:space="preserve"> као и секторских стратегија и акционих планова. </w:t>
      </w:r>
      <w:r w:rsidR="0050174B" w:rsidRPr="00A021B7">
        <w:rPr>
          <w:rFonts w:ascii="Arial" w:hAnsi="Arial" w:cs="Arial"/>
          <w:sz w:val="20"/>
          <w:szCs w:val="20"/>
          <w:lang w:val="sr-Cyrl-RS"/>
        </w:rPr>
        <w:t xml:space="preserve">Већина градова и општина у Србији доносила је свеобухватне (кровне, интегралне) стратегије </w:t>
      </w:r>
      <w:r w:rsidR="0050174B" w:rsidRPr="00A021B7">
        <w:rPr>
          <w:rFonts w:ascii="Arial" w:hAnsi="Arial" w:cs="Arial"/>
          <w:sz w:val="20"/>
          <w:szCs w:val="20"/>
          <w:lang w:val="sr-Cyrl-RS"/>
        </w:rPr>
        <w:lastRenderedPageBreak/>
        <w:t>развоја (које укључују и тзв. стратегије одрживог развоја), углавном на период 5</w:t>
      </w:r>
      <w:r w:rsidR="00485C1E">
        <w:rPr>
          <w:rFonts w:ascii="Arial" w:hAnsi="Arial" w:cs="Arial"/>
          <w:sz w:val="20"/>
          <w:szCs w:val="20"/>
          <w:lang w:val="sr-Cyrl-RS"/>
        </w:rPr>
        <w:t>–</w:t>
      </w:r>
      <w:r w:rsidR="0050174B" w:rsidRPr="00A021B7">
        <w:rPr>
          <w:rFonts w:ascii="Arial" w:hAnsi="Arial" w:cs="Arial"/>
          <w:sz w:val="20"/>
          <w:szCs w:val="20"/>
          <w:lang w:val="sr-Cyrl-RS"/>
        </w:rPr>
        <w:t>10 година и мање или више у складу са препорученом (али не обавезном) методологијом</w:t>
      </w:r>
      <w:r w:rsidR="00485C1E">
        <w:rPr>
          <w:rFonts w:ascii="Arial" w:hAnsi="Arial" w:cs="Arial"/>
          <w:sz w:val="20"/>
          <w:szCs w:val="20"/>
          <w:lang w:val="sr-Cyrl-RS"/>
        </w:rPr>
        <w:t>,</w:t>
      </w:r>
      <w:r w:rsidR="0050174B" w:rsidRPr="00A021B7">
        <w:rPr>
          <w:rFonts w:ascii="Arial" w:hAnsi="Arial" w:cs="Arial"/>
          <w:sz w:val="20"/>
          <w:szCs w:val="20"/>
          <w:lang w:val="sr-Cyrl-RS"/>
        </w:rPr>
        <w:t xml:space="preserve"> коју су посебно министарства надлежна за локалну самоуправу и финансије и СКГО промовисал</w:t>
      </w:r>
      <w:r w:rsidR="00485C1E">
        <w:rPr>
          <w:rFonts w:ascii="Arial" w:hAnsi="Arial" w:cs="Arial"/>
          <w:sz w:val="20"/>
          <w:szCs w:val="20"/>
          <w:lang w:val="sr-Cyrl-RS"/>
        </w:rPr>
        <w:t>и</w:t>
      </w:r>
      <w:r w:rsidR="0050174B" w:rsidRPr="00A021B7">
        <w:rPr>
          <w:rFonts w:ascii="Arial" w:hAnsi="Arial" w:cs="Arial"/>
          <w:sz w:val="20"/>
          <w:szCs w:val="20"/>
          <w:lang w:val="sr-Cyrl-RS"/>
        </w:rPr>
        <w:t xml:space="preserve"> у оквиру пројеката развојне помоћи. </w:t>
      </w:r>
      <w:r w:rsidRPr="00A021B7">
        <w:rPr>
          <w:rFonts w:ascii="Arial" w:hAnsi="Arial" w:cs="Arial"/>
          <w:sz w:val="20"/>
          <w:szCs w:val="20"/>
          <w:lang w:val="sr-Cyrl-RS"/>
        </w:rPr>
        <w:t xml:space="preserve">Иако су све ове активности биле веома значајне за развој локалне заједнице, процес развојног планирања у претходном периоду имао је и значајне слабости и недостатке. Једна од кључних слабости била је хиперпродукција планских документа (неке процене указују да их је у просеку било </w:t>
      </w:r>
      <w:r w:rsidR="5FCBC303" w:rsidRPr="00A021B7">
        <w:rPr>
          <w:rFonts w:ascii="Arial" w:hAnsi="Arial" w:cs="Arial"/>
          <w:sz w:val="20"/>
          <w:szCs w:val="20"/>
          <w:lang w:val="sr-Cyrl-RS"/>
        </w:rPr>
        <w:t xml:space="preserve">пет </w:t>
      </w:r>
      <w:r w:rsidRPr="00A021B7">
        <w:rPr>
          <w:rFonts w:ascii="Arial" w:hAnsi="Arial" w:cs="Arial"/>
          <w:sz w:val="20"/>
          <w:szCs w:val="20"/>
          <w:lang w:val="sr-Cyrl-RS"/>
        </w:rPr>
        <w:t xml:space="preserve">по ЈЛС) и њихова међусобна неконзистентност. </w:t>
      </w:r>
      <w:r w:rsidR="46BBFEE1" w:rsidRPr="00A021B7">
        <w:rPr>
          <w:rFonts w:ascii="Arial" w:hAnsi="Arial" w:cs="Arial"/>
          <w:sz w:val="20"/>
          <w:szCs w:val="20"/>
          <w:lang w:val="sr-Cyrl-RS"/>
        </w:rPr>
        <w:t>И</w:t>
      </w:r>
      <w:r w:rsidRPr="00A021B7">
        <w:rPr>
          <w:rFonts w:ascii="Arial" w:hAnsi="Arial" w:cs="Arial"/>
          <w:sz w:val="20"/>
          <w:szCs w:val="20"/>
          <w:lang w:val="sr-Cyrl-RS"/>
        </w:rPr>
        <w:t xml:space="preserve">ако је </w:t>
      </w:r>
      <w:r w:rsidRPr="00A021B7">
        <w:rPr>
          <w:rFonts w:ascii="Arial" w:hAnsi="Arial" w:cs="Arial"/>
          <w:sz w:val="20"/>
          <w:szCs w:val="20"/>
          <w:shd w:val="clear" w:color="auto" w:fill="FFFFFF"/>
          <w:lang w:val="sr-Cyrl-RS"/>
        </w:rPr>
        <w:t>углавном процес израде стратешких документа био партиципативан на почетку, најчешће је изостајало праћење и извештавање о ефектима усвојених докумената и мера.</w:t>
      </w:r>
      <w:r w:rsidRPr="00A021B7">
        <w:rPr>
          <w:rFonts w:ascii="Arial" w:hAnsi="Arial" w:cs="Arial"/>
          <w:sz w:val="20"/>
          <w:szCs w:val="20"/>
          <w:lang w:val="sr-Cyrl-RS"/>
        </w:rPr>
        <w:t xml:space="preserve"> Коначно, једна од слабости била је и одсуство везе стратешких докумената и акционих планова са издвајањима из локалних буџета за имплементацију ових докумената или финансирање области које су они обухватали. Ове и друге слабости</w:t>
      </w:r>
      <w:r w:rsidR="75024479" w:rsidRPr="00A021B7">
        <w:rPr>
          <w:rFonts w:ascii="Arial" w:hAnsi="Arial" w:cs="Arial"/>
          <w:sz w:val="20"/>
          <w:szCs w:val="20"/>
          <w:lang w:val="sr-Cyrl-RS"/>
        </w:rPr>
        <w:t>,</w:t>
      </w:r>
      <w:r w:rsidRPr="00A021B7">
        <w:rPr>
          <w:rFonts w:ascii="Arial" w:hAnsi="Arial" w:cs="Arial"/>
          <w:sz w:val="20"/>
          <w:szCs w:val="20"/>
          <w:lang w:val="sr-Cyrl-RS"/>
        </w:rPr>
        <w:t xml:space="preserve"> не само локалног</w:t>
      </w:r>
      <w:r w:rsidR="00485C1E">
        <w:rPr>
          <w:rFonts w:ascii="Arial" w:hAnsi="Arial" w:cs="Arial"/>
          <w:sz w:val="20"/>
          <w:szCs w:val="20"/>
          <w:lang w:val="sr-Cyrl-RS"/>
        </w:rPr>
        <w:t xml:space="preserve"> процеса планирања</w:t>
      </w:r>
      <w:r w:rsidR="75024479" w:rsidRPr="00A021B7">
        <w:rPr>
          <w:rFonts w:ascii="Arial" w:hAnsi="Arial" w:cs="Arial"/>
          <w:sz w:val="20"/>
          <w:szCs w:val="20"/>
          <w:lang w:val="sr-Cyrl-RS"/>
        </w:rPr>
        <w:t>,</w:t>
      </w:r>
      <w:r w:rsidRPr="00A021B7">
        <w:rPr>
          <w:rFonts w:ascii="Arial" w:hAnsi="Arial" w:cs="Arial"/>
          <w:sz w:val="20"/>
          <w:szCs w:val="20"/>
          <w:lang w:val="sr-Cyrl-RS"/>
        </w:rPr>
        <w:t xml:space="preserve"> већ и процеса планирања јавних политика уопште, већ су раније препознате, што је резултирало усвајањем Закона о планском систему Републике Србије </w:t>
      </w:r>
      <w:r w:rsidR="38F86AEB" w:rsidRPr="00A021B7">
        <w:rPr>
          <w:rFonts w:ascii="Arial" w:hAnsi="Arial" w:cs="Arial"/>
          <w:sz w:val="20"/>
          <w:szCs w:val="20"/>
          <w:lang w:val="sr-Cyrl-RS"/>
        </w:rPr>
        <w:t xml:space="preserve">(„Службени гласник РС”, број 30/18) </w:t>
      </w:r>
      <w:r w:rsidRPr="00A021B7">
        <w:rPr>
          <w:rFonts w:ascii="Arial" w:hAnsi="Arial" w:cs="Arial"/>
          <w:sz w:val="20"/>
          <w:szCs w:val="20"/>
          <w:lang w:val="sr-Cyrl-RS"/>
        </w:rPr>
        <w:t xml:space="preserve">и подзаконских аката за његову </w:t>
      </w:r>
      <w:r w:rsidR="3516CC27" w:rsidRPr="00A021B7">
        <w:rPr>
          <w:rFonts w:ascii="Arial" w:hAnsi="Arial" w:cs="Arial"/>
          <w:sz w:val="20"/>
          <w:szCs w:val="20"/>
          <w:lang w:val="sr-Cyrl-RS"/>
        </w:rPr>
        <w:t>примену</w:t>
      </w:r>
      <w:r w:rsidRPr="00A021B7">
        <w:rPr>
          <w:rFonts w:ascii="Arial" w:hAnsi="Arial" w:cs="Arial"/>
          <w:sz w:val="20"/>
          <w:szCs w:val="20"/>
          <w:lang w:val="sr-Cyrl-RS"/>
        </w:rPr>
        <w:t xml:space="preserve">. </w:t>
      </w:r>
      <w:r w:rsidR="00C36124" w:rsidRPr="00A021B7">
        <w:rPr>
          <w:rFonts w:ascii="Arial" w:hAnsi="Arial" w:cs="Arial"/>
          <w:sz w:val="20"/>
          <w:szCs w:val="20"/>
          <w:lang w:val="sr-Cyrl-RS"/>
        </w:rPr>
        <w:t>Нови</w:t>
      </w:r>
      <w:r w:rsidRPr="00A021B7">
        <w:rPr>
          <w:rFonts w:ascii="Arial" w:hAnsi="Arial" w:cs="Arial"/>
          <w:sz w:val="20"/>
          <w:szCs w:val="20"/>
          <w:lang w:val="sr-Cyrl-RS"/>
        </w:rPr>
        <w:t xml:space="preserve"> пакет прописа системски уређује ову област и предвиђа обавезу ЈЛС да усвоје </w:t>
      </w:r>
      <w:r w:rsidR="3CAF473B" w:rsidRPr="00A021B7">
        <w:rPr>
          <w:rFonts w:ascii="Arial" w:hAnsi="Arial" w:cs="Arial"/>
          <w:sz w:val="20"/>
          <w:szCs w:val="20"/>
          <w:lang w:val="sr-Cyrl-RS"/>
        </w:rPr>
        <w:t xml:space="preserve">планове </w:t>
      </w:r>
      <w:r w:rsidRPr="00A021B7">
        <w:rPr>
          <w:rFonts w:ascii="Arial" w:hAnsi="Arial" w:cs="Arial"/>
          <w:sz w:val="20"/>
          <w:szCs w:val="20"/>
          <w:lang w:val="sr-Cyrl-RS"/>
        </w:rPr>
        <w:t>развоја и да сва своја планска документа ускладе са овим законом</w:t>
      </w:r>
      <w:r w:rsidR="00865358" w:rsidRPr="00A021B7">
        <w:rPr>
          <w:rStyle w:val="FootnoteReference"/>
          <w:rFonts w:ascii="Arial" w:hAnsi="Arial" w:cs="Arial"/>
          <w:sz w:val="20"/>
          <w:szCs w:val="20"/>
          <w:lang w:val="sr-Cyrl-RS"/>
        </w:rPr>
        <w:footnoteReference w:id="30"/>
      </w:r>
      <w:r w:rsidR="00A273A8">
        <w:rPr>
          <w:lang w:val="sr-Cyrl-RS"/>
        </w:rPr>
        <w:t>.</w:t>
      </w:r>
      <w:r w:rsidRPr="00A021B7">
        <w:rPr>
          <w:rFonts w:ascii="Arial" w:hAnsi="Arial" w:cs="Arial"/>
          <w:sz w:val="20"/>
          <w:szCs w:val="20"/>
          <w:lang w:val="sr-Cyrl-RS"/>
        </w:rPr>
        <w:t xml:space="preserve"> </w:t>
      </w:r>
      <w:r w:rsidR="3154C592" w:rsidRPr="00A021B7">
        <w:rPr>
          <w:rFonts w:ascii="Arial" w:hAnsi="Arial" w:cs="Arial"/>
          <w:sz w:val="20"/>
          <w:szCs w:val="20"/>
          <w:lang w:val="sr-Cyrl-RS"/>
        </w:rPr>
        <w:t xml:space="preserve">Међутим нормативно уређење ове области само је први корак ка реформи процеса планирања локалног (и националног) развоја. У наредном </w:t>
      </w:r>
      <w:r w:rsidR="3154C592" w:rsidRPr="00A021B7" w:rsidDel="00900090">
        <w:rPr>
          <w:rFonts w:ascii="Arial" w:hAnsi="Arial" w:cs="Arial"/>
          <w:sz w:val="20"/>
          <w:szCs w:val="20"/>
          <w:lang w:val="sr-Cyrl-RS"/>
        </w:rPr>
        <w:t>периоду</w:t>
      </w:r>
      <w:r w:rsidR="61032A76" w:rsidRPr="00A021B7">
        <w:rPr>
          <w:rFonts w:ascii="Arial" w:hAnsi="Arial" w:cs="Arial"/>
          <w:sz w:val="20"/>
          <w:szCs w:val="20"/>
          <w:lang w:val="sr-Cyrl-RS"/>
        </w:rPr>
        <w:t xml:space="preserve"> ће бити </w:t>
      </w:r>
      <w:r w:rsidRPr="00A021B7">
        <w:rPr>
          <w:rFonts w:ascii="Arial" w:hAnsi="Arial" w:cs="Arial"/>
          <w:sz w:val="20"/>
          <w:szCs w:val="20"/>
          <w:lang w:val="sr-Cyrl-RS"/>
        </w:rPr>
        <w:t xml:space="preserve">потребно да ЈЛС уложе значајне напоре у </w:t>
      </w:r>
      <w:r w:rsidR="649B869A" w:rsidRPr="00A021B7">
        <w:rPr>
          <w:rFonts w:ascii="Arial" w:hAnsi="Arial" w:cs="Arial"/>
          <w:sz w:val="20"/>
          <w:szCs w:val="20"/>
          <w:lang w:val="sr-Cyrl-RS"/>
        </w:rPr>
        <w:t>израд</w:t>
      </w:r>
      <w:r w:rsidR="00A273A8">
        <w:rPr>
          <w:rFonts w:ascii="Arial" w:hAnsi="Arial" w:cs="Arial"/>
          <w:sz w:val="20"/>
          <w:szCs w:val="20"/>
          <w:lang w:val="sr-Cyrl-RS"/>
        </w:rPr>
        <w:t>у</w:t>
      </w:r>
      <w:r w:rsidR="649B869A" w:rsidRPr="00A021B7">
        <w:rPr>
          <w:rFonts w:ascii="Arial" w:hAnsi="Arial" w:cs="Arial"/>
          <w:sz w:val="20"/>
          <w:szCs w:val="20"/>
          <w:lang w:val="sr-Cyrl-RS"/>
        </w:rPr>
        <w:t xml:space="preserve"> </w:t>
      </w:r>
      <w:r w:rsidRPr="00A021B7">
        <w:rPr>
          <w:rFonts w:ascii="Arial" w:hAnsi="Arial" w:cs="Arial"/>
          <w:sz w:val="20"/>
          <w:szCs w:val="20"/>
          <w:lang w:val="sr-Cyrl-RS"/>
        </w:rPr>
        <w:t xml:space="preserve">локалних </w:t>
      </w:r>
      <w:r w:rsidR="4D754A17" w:rsidRPr="00A021B7">
        <w:rPr>
          <w:rFonts w:ascii="Arial" w:hAnsi="Arial" w:cs="Arial"/>
          <w:sz w:val="20"/>
          <w:szCs w:val="20"/>
          <w:lang w:val="sr-Cyrl-RS"/>
        </w:rPr>
        <w:t>п</w:t>
      </w:r>
      <w:r w:rsidRPr="00A021B7">
        <w:rPr>
          <w:rFonts w:ascii="Arial" w:hAnsi="Arial" w:cs="Arial"/>
          <w:sz w:val="20"/>
          <w:szCs w:val="20"/>
          <w:lang w:val="sr-Cyrl-RS"/>
        </w:rPr>
        <w:t>ланова развоја, за шта ће им бити неопходн</w:t>
      </w:r>
      <w:r w:rsidR="00A273A8">
        <w:rPr>
          <w:rFonts w:ascii="Arial" w:hAnsi="Arial" w:cs="Arial"/>
          <w:sz w:val="20"/>
          <w:szCs w:val="20"/>
          <w:lang w:val="sr-Cyrl-RS"/>
        </w:rPr>
        <w:t>и</w:t>
      </w:r>
      <w:r w:rsidRPr="00A021B7">
        <w:rPr>
          <w:rFonts w:ascii="Arial" w:hAnsi="Arial" w:cs="Arial"/>
          <w:sz w:val="20"/>
          <w:szCs w:val="20"/>
          <w:lang w:val="sr-Cyrl-RS"/>
        </w:rPr>
        <w:t xml:space="preserve"> зна</w:t>
      </w:r>
      <w:r w:rsidR="00A273A8">
        <w:rPr>
          <w:rFonts w:ascii="Arial" w:hAnsi="Arial" w:cs="Arial"/>
          <w:sz w:val="20"/>
          <w:szCs w:val="20"/>
          <w:lang w:val="sr-Cyrl-RS"/>
        </w:rPr>
        <w:t>т</w:t>
      </w:r>
      <w:r w:rsidRPr="00A021B7">
        <w:rPr>
          <w:rFonts w:ascii="Arial" w:hAnsi="Arial" w:cs="Arial"/>
          <w:sz w:val="20"/>
          <w:szCs w:val="20"/>
          <w:lang w:val="sr-Cyrl-RS"/>
        </w:rPr>
        <w:t>на подршка и ресурси.</w:t>
      </w:r>
      <w:r w:rsidRPr="00A021B7">
        <w:rPr>
          <w:rFonts w:ascii="Arial" w:eastAsia="Calibri" w:hAnsi="Arial" w:cs="Arial"/>
          <w:lang w:val="sr-Cyrl-RS"/>
        </w:rPr>
        <w:t xml:space="preserve"> </w:t>
      </w:r>
      <w:r w:rsidRPr="00A021B7">
        <w:rPr>
          <w:rFonts w:ascii="Arial" w:hAnsi="Arial" w:cs="Arial"/>
          <w:sz w:val="20"/>
          <w:szCs w:val="20"/>
          <w:lang w:val="sr-Cyrl-RS"/>
        </w:rPr>
        <w:t xml:space="preserve">Осим нових аспеката у погледу </w:t>
      </w:r>
      <w:r w:rsidR="4D754A17" w:rsidRPr="00A021B7">
        <w:rPr>
          <w:rFonts w:ascii="Arial" w:hAnsi="Arial" w:cs="Arial"/>
          <w:sz w:val="20"/>
          <w:szCs w:val="20"/>
          <w:lang w:val="sr-Cyrl-RS"/>
        </w:rPr>
        <w:t xml:space="preserve">планова </w:t>
      </w:r>
      <w:r w:rsidRPr="00A021B7">
        <w:rPr>
          <w:rFonts w:ascii="Arial" w:hAnsi="Arial" w:cs="Arial"/>
          <w:sz w:val="20"/>
          <w:szCs w:val="20"/>
          <w:lang w:val="sr-Cyrl-RS"/>
        </w:rPr>
        <w:t>развоја, са становишта ЈЛС од нарочитог интереса јесте дефинисање улога и обавеза овим пакетом прописа, посебно у погледу садржаја докумен</w:t>
      </w:r>
      <w:r w:rsidR="00A273A8">
        <w:rPr>
          <w:rFonts w:ascii="Arial" w:hAnsi="Arial" w:cs="Arial"/>
          <w:sz w:val="20"/>
          <w:szCs w:val="20"/>
          <w:lang w:val="sr-Cyrl-RS"/>
        </w:rPr>
        <w:t>а</w:t>
      </w:r>
      <w:r w:rsidRPr="00A021B7">
        <w:rPr>
          <w:rFonts w:ascii="Arial" w:hAnsi="Arial" w:cs="Arial"/>
          <w:sz w:val="20"/>
          <w:szCs w:val="20"/>
          <w:lang w:val="sr-Cyrl-RS"/>
        </w:rPr>
        <w:t>та јавних политика и њихове усклађености у оквиру планског система на свим нивоима</w:t>
      </w:r>
      <w:r w:rsidR="00A273A8">
        <w:rPr>
          <w:rFonts w:ascii="Arial" w:hAnsi="Arial" w:cs="Arial"/>
          <w:sz w:val="20"/>
          <w:szCs w:val="20"/>
          <w:lang w:val="sr-Cyrl-RS"/>
        </w:rPr>
        <w:t>,</w:t>
      </w:r>
      <w:r w:rsidRPr="00A021B7">
        <w:rPr>
          <w:rFonts w:ascii="Arial" w:hAnsi="Arial" w:cs="Arial"/>
          <w:sz w:val="20"/>
          <w:szCs w:val="20"/>
          <w:lang w:val="sr-Cyrl-RS"/>
        </w:rPr>
        <w:t xml:space="preserve"> унапређења </w:t>
      </w:r>
      <w:r w:rsidRPr="004826D6">
        <w:rPr>
          <w:rFonts w:ascii="Arial" w:hAnsi="Arial" w:cs="Arial"/>
          <w:sz w:val="20"/>
          <w:szCs w:val="20"/>
          <w:lang w:val="sr-Cyrl-RS"/>
        </w:rPr>
        <w:t xml:space="preserve">транспарентности и партиципативности у утврђивању и спровођењу јавних политика </w:t>
      </w:r>
      <w:r w:rsidR="0426CCD6" w:rsidRPr="004826D6">
        <w:rPr>
          <w:rFonts w:ascii="Arial" w:hAnsi="Arial" w:cs="Arial"/>
          <w:sz w:val="20"/>
          <w:szCs w:val="20"/>
          <w:lang w:val="sr-Cyrl-RS"/>
        </w:rPr>
        <w:t xml:space="preserve">и </w:t>
      </w:r>
      <w:r w:rsidRPr="004826D6">
        <w:rPr>
          <w:rFonts w:ascii="Arial" w:hAnsi="Arial" w:cs="Arial"/>
          <w:sz w:val="20"/>
          <w:szCs w:val="20"/>
          <w:lang w:val="sr-Cyrl-RS"/>
        </w:rPr>
        <w:t xml:space="preserve">средњорочног планирања и извештавања о спровођењу планских докумената. </w:t>
      </w:r>
      <w:r w:rsidR="00A273A8" w:rsidRPr="004826D6">
        <w:rPr>
          <w:rFonts w:ascii="Arial" w:hAnsi="Arial" w:cs="Arial"/>
          <w:sz w:val="20"/>
          <w:szCs w:val="20"/>
          <w:lang w:val="sr-Cyrl-RS"/>
        </w:rPr>
        <w:t>С обзиром на</w:t>
      </w:r>
      <w:r w:rsidRPr="004826D6">
        <w:rPr>
          <w:rFonts w:ascii="Arial" w:hAnsi="Arial" w:cs="Arial"/>
          <w:sz w:val="20"/>
          <w:szCs w:val="20"/>
          <w:lang w:val="sr-Cyrl-RS"/>
        </w:rPr>
        <w:t xml:space="preserve"> </w:t>
      </w:r>
      <w:r w:rsidR="00A273A8" w:rsidRPr="004826D6">
        <w:rPr>
          <w:rFonts w:ascii="Arial" w:hAnsi="Arial" w:cs="Arial"/>
          <w:sz w:val="20"/>
          <w:szCs w:val="20"/>
          <w:lang w:val="sr-Cyrl-RS"/>
        </w:rPr>
        <w:t>з</w:t>
      </w:r>
      <w:r w:rsidRPr="004826D6">
        <w:rPr>
          <w:rFonts w:ascii="Arial" w:hAnsi="Arial" w:cs="Arial"/>
          <w:sz w:val="20"/>
          <w:szCs w:val="20"/>
          <w:lang w:val="sr-Cyrl-RS"/>
        </w:rPr>
        <w:t xml:space="preserve">аконом прописану непосредну везу </w:t>
      </w:r>
      <w:r w:rsidR="4D754A17" w:rsidRPr="004826D6">
        <w:rPr>
          <w:rFonts w:ascii="Arial" w:hAnsi="Arial" w:cs="Arial"/>
          <w:sz w:val="20"/>
          <w:szCs w:val="20"/>
          <w:lang w:val="sr-Cyrl-RS"/>
        </w:rPr>
        <w:t xml:space="preserve">планова </w:t>
      </w:r>
      <w:r w:rsidRPr="004826D6">
        <w:rPr>
          <w:rFonts w:ascii="Arial" w:hAnsi="Arial" w:cs="Arial"/>
          <w:sz w:val="20"/>
          <w:szCs w:val="20"/>
          <w:lang w:val="sr-Cyrl-RS"/>
        </w:rPr>
        <w:t xml:space="preserve">развоја и других планских докумената ЈЛС са буџетским процесима и </w:t>
      </w:r>
      <w:r w:rsidR="009B1F9F" w:rsidRPr="004826D6">
        <w:rPr>
          <w:rFonts w:ascii="Arial" w:hAnsi="Arial" w:cs="Arial"/>
          <w:sz w:val="20"/>
          <w:szCs w:val="20"/>
          <w:lang w:val="sr-Cyrl-RS"/>
        </w:rPr>
        <w:t>документима</w:t>
      </w:r>
      <w:r w:rsidRPr="004826D6">
        <w:rPr>
          <w:rFonts w:ascii="Arial" w:hAnsi="Arial" w:cs="Arial"/>
          <w:sz w:val="20"/>
          <w:szCs w:val="20"/>
          <w:lang w:val="sr-Cyrl-RS"/>
        </w:rPr>
        <w:t xml:space="preserve"> (пре свега усклађивање са програмским буџетирањем и програмским информацијама), подршка ЈЛС за нови плански систем и израду/ревизију локалних планских докумената се мора осмислити и синхронизовати са подршком за програмско буџетирање.</w:t>
      </w:r>
      <w:r w:rsidRPr="004826D6">
        <w:rPr>
          <w:rFonts w:ascii="Arial" w:hAnsi="Arial" w:cs="Arial"/>
          <w:b/>
          <w:bCs/>
          <w:sz w:val="20"/>
          <w:szCs w:val="20"/>
          <w:lang w:val="sr-Cyrl-RS"/>
        </w:rPr>
        <w:t xml:space="preserve"> </w:t>
      </w:r>
      <w:r w:rsidRPr="004826D6">
        <w:rPr>
          <w:rFonts w:ascii="Arial" w:hAnsi="Arial" w:cs="Arial"/>
          <w:sz w:val="20"/>
          <w:szCs w:val="20"/>
          <w:lang w:val="sr-Cyrl-RS"/>
        </w:rPr>
        <w:t xml:space="preserve">Посебно захтеван подухват у реформисању локалних планских процеса и осигуравању њихове органске повезаности поставља средњорочно </w:t>
      </w:r>
      <w:r w:rsidR="4A527C1A" w:rsidRPr="004826D6">
        <w:rPr>
          <w:rFonts w:ascii="Arial" w:hAnsi="Arial" w:cs="Arial"/>
          <w:sz w:val="20"/>
          <w:szCs w:val="20"/>
          <w:lang w:val="sr-Cyrl-RS"/>
        </w:rPr>
        <w:t>планирање</w:t>
      </w:r>
      <w:r w:rsidRPr="004826D6">
        <w:rPr>
          <w:rFonts w:ascii="Arial" w:hAnsi="Arial" w:cs="Arial"/>
          <w:sz w:val="20"/>
          <w:szCs w:val="20"/>
          <w:lang w:val="sr-Cyrl-RS"/>
        </w:rPr>
        <w:t>.</w:t>
      </w:r>
      <w:r w:rsidR="5CF7A982" w:rsidRPr="004826D6">
        <w:rPr>
          <w:rFonts w:ascii="Arial" w:hAnsi="Arial" w:cs="Arial"/>
          <w:sz w:val="20"/>
          <w:szCs w:val="20"/>
          <w:lang w:val="sr-Cyrl-RS"/>
        </w:rPr>
        <w:t xml:space="preserve"> </w:t>
      </w:r>
      <w:r w:rsidR="009B1F9F" w:rsidRPr="004826D6">
        <w:rPr>
          <w:rFonts w:ascii="Arial" w:hAnsi="Arial" w:cs="Arial"/>
          <w:sz w:val="20"/>
          <w:szCs w:val="20"/>
          <w:lang w:val="sr-Cyrl-RS"/>
        </w:rPr>
        <w:t xml:space="preserve">Један од </w:t>
      </w:r>
      <w:r w:rsidR="00D664E7" w:rsidRPr="004826D6">
        <w:rPr>
          <w:rFonts w:ascii="Arial" w:hAnsi="Arial" w:cs="Arial"/>
          <w:sz w:val="20"/>
          <w:szCs w:val="20"/>
          <w:lang w:val="sr-Cyrl-RS"/>
        </w:rPr>
        <w:t>изазов</w:t>
      </w:r>
      <w:r w:rsidR="009B1F9F" w:rsidRPr="004826D6">
        <w:rPr>
          <w:rFonts w:ascii="Arial" w:hAnsi="Arial" w:cs="Arial"/>
          <w:sz w:val="20"/>
          <w:szCs w:val="20"/>
          <w:lang w:val="sr-Cyrl-RS"/>
        </w:rPr>
        <w:t>а</w:t>
      </w:r>
      <w:r w:rsidR="5A81D22C" w:rsidRPr="004826D6">
        <w:rPr>
          <w:rFonts w:ascii="Arial" w:hAnsi="Arial" w:cs="Arial"/>
          <w:sz w:val="20"/>
          <w:szCs w:val="20"/>
          <w:lang w:val="sr-Cyrl-RS"/>
        </w:rPr>
        <w:t xml:space="preserve"> у систему планирања развоја </w:t>
      </w:r>
      <w:r w:rsidR="009B1F9F" w:rsidRPr="004826D6">
        <w:rPr>
          <w:rFonts w:ascii="Arial" w:hAnsi="Arial" w:cs="Arial"/>
          <w:sz w:val="20"/>
          <w:szCs w:val="20"/>
          <w:lang w:val="sr-Cyrl-RS"/>
        </w:rPr>
        <w:t xml:space="preserve">ЈЛС </w:t>
      </w:r>
      <w:r w:rsidR="5A81D22C" w:rsidRPr="004826D6">
        <w:rPr>
          <w:rFonts w:ascii="Arial" w:hAnsi="Arial" w:cs="Arial"/>
          <w:sz w:val="20"/>
          <w:szCs w:val="20"/>
          <w:lang w:val="sr-Cyrl-RS"/>
        </w:rPr>
        <w:t xml:space="preserve">представља непостојање планова развоја </w:t>
      </w:r>
      <w:r w:rsidR="007761EF" w:rsidRPr="004826D6">
        <w:rPr>
          <w:rFonts w:ascii="Arial" w:hAnsi="Arial" w:cs="Arial"/>
          <w:sz w:val="20"/>
          <w:szCs w:val="20"/>
          <w:lang w:val="sr-Cyrl-RS"/>
        </w:rPr>
        <w:t xml:space="preserve">на </w:t>
      </w:r>
      <w:r w:rsidR="009B1F9F" w:rsidRPr="004826D6">
        <w:rPr>
          <w:rFonts w:ascii="Arial" w:hAnsi="Arial" w:cs="Arial"/>
          <w:sz w:val="20"/>
          <w:szCs w:val="20"/>
          <w:lang w:val="sr-Cyrl-RS"/>
        </w:rPr>
        <w:t xml:space="preserve">хијерархијски вишим </w:t>
      </w:r>
      <w:r w:rsidR="007761EF" w:rsidRPr="004826D6">
        <w:rPr>
          <w:rFonts w:ascii="Arial" w:hAnsi="Arial" w:cs="Arial"/>
          <w:sz w:val="20"/>
          <w:szCs w:val="20"/>
          <w:lang w:val="sr-Cyrl-RS"/>
        </w:rPr>
        <w:t xml:space="preserve">нивоима управе (покрајинском, а пре свега </w:t>
      </w:r>
      <w:r w:rsidR="00B025EF" w:rsidRPr="00A021B7">
        <w:rPr>
          <w:rFonts w:ascii="Arial" w:hAnsi="Arial" w:cs="Arial"/>
          <w:color w:val="000000"/>
          <w:sz w:val="20"/>
          <w:szCs w:val="20"/>
          <w:lang w:val="sr-Cyrl-RS"/>
        </w:rPr>
        <w:t>националном нивоу)</w:t>
      </w:r>
      <w:r w:rsidR="00CD1F82" w:rsidRPr="00A021B7">
        <w:rPr>
          <w:rFonts w:ascii="Arial" w:hAnsi="Arial" w:cs="Arial"/>
          <w:color w:val="000000"/>
          <w:sz w:val="20"/>
          <w:szCs w:val="20"/>
          <w:lang w:val="sr-Cyrl-RS"/>
        </w:rPr>
        <w:t xml:space="preserve">, </w:t>
      </w:r>
      <w:r w:rsidR="00CD1F82" w:rsidRPr="004826D6">
        <w:rPr>
          <w:rFonts w:ascii="Arial" w:hAnsi="Arial" w:cs="Arial"/>
          <w:sz w:val="20"/>
          <w:szCs w:val="20"/>
          <w:lang w:val="sr-Cyrl-RS"/>
        </w:rPr>
        <w:t xml:space="preserve">те се </w:t>
      </w:r>
      <w:r w:rsidR="009B1F9F" w:rsidRPr="004826D6">
        <w:rPr>
          <w:rFonts w:ascii="Arial" w:hAnsi="Arial" w:cs="Arial"/>
          <w:sz w:val="20"/>
          <w:szCs w:val="20"/>
          <w:lang w:val="sr-Cyrl-RS"/>
        </w:rPr>
        <w:t xml:space="preserve">још увек </w:t>
      </w:r>
      <w:r w:rsidR="00BE35BA" w:rsidRPr="004826D6">
        <w:rPr>
          <w:rFonts w:ascii="Arial" w:hAnsi="Arial" w:cs="Arial"/>
          <w:sz w:val="20"/>
          <w:szCs w:val="20"/>
          <w:lang w:val="sr-Cyrl-RS"/>
        </w:rPr>
        <w:t>не може директно вршити</w:t>
      </w:r>
      <w:r w:rsidR="00D664E7" w:rsidRPr="004826D6">
        <w:rPr>
          <w:rFonts w:ascii="Arial" w:hAnsi="Arial" w:cs="Arial"/>
          <w:sz w:val="20"/>
          <w:szCs w:val="20"/>
          <w:lang w:val="sr-Cyrl-RS"/>
        </w:rPr>
        <w:t xml:space="preserve"> вертикало усклађивање </w:t>
      </w:r>
      <w:r w:rsidR="002C562C" w:rsidRPr="004826D6">
        <w:rPr>
          <w:rFonts w:ascii="Arial" w:hAnsi="Arial" w:cs="Arial"/>
          <w:sz w:val="20"/>
          <w:szCs w:val="20"/>
          <w:lang w:val="sr-Cyrl-RS"/>
        </w:rPr>
        <w:t xml:space="preserve">приликом израде </w:t>
      </w:r>
      <w:r w:rsidR="00E018B1" w:rsidRPr="004826D6">
        <w:rPr>
          <w:rFonts w:ascii="Arial" w:hAnsi="Arial" w:cs="Arial"/>
          <w:sz w:val="20"/>
          <w:szCs w:val="20"/>
          <w:lang w:val="sr-Cyrl-RS"/>
        </w:rPr>
        <w:t>п</w:t>
      </w:r>
      <w:r w:rsidR="002C562C" w:rsidRPr="004826D6">
        <w:rPr>
          <w:rFonts w:ascii="Arial" w:hAnsi="Arial" w:cs="Arial"/>
          <w:sz w:val="20"/>
          <w:szCs w:val="20"/>
          <w:lang w:val="sr-Cyrl-RS"/>
        </w:rPr>
        <w:t>ланова развоја ЈЛС</w:t>
      </w:r>
      <w:r w:rsidR="0081482E" w:rsidRPr="004826D6">
        <w:rPr>
          <w:rFonts w:ascii="Arial" w:hAnsi="Arial" w:cs="Arial"/>
          <w:sz w:val="20"/>
          <w:szCs w:val="20"/>
          <w:lang w:val="sr-Cyrl-RS"/>
        </w:rPr>
        <w:t xml:space="preserve"> како је Законом предвиђено.</w:t>
      </w:r>
      <w:r w:rsidR="00960D9D" w:rsidRPr="004826D6">
        <w:rPr>
          <w:rFonts w:ascii="Arial" w:hAnsi="Arial" w:cs="Arial"/>
          <w:sz w:val="20"/>
          <w:szCs w:val="20"/>
          <w:lang w:val="sr-Cyrl-RS"/>
        </w:rPr>
        <w:t xml:space="preserve"> Стога се </w:t>
      </w:r>
      <w:r w:rsidR="00335B49" w:rsidRPr="004826D6">
        <w:rPr>
          <w:rFonts w:ascii="Arial" w:hAnsi="Arial" w:cs="Arial"/>
          <w:sz w:val="20"/>
          <w:szCs w:val="20"/>
          <w:lang w:val="sr-Cyrl-RS"/>
        </w:rPr>
        <w:t xml:space="preserve">приликом израде </w:t>
      </w:r>
      <w:r w:rsidR="00E018B1" w:rsidRPr="004826D6">
        <w:rPr>
          <w:rFonts w:ascii="Arial" w:hAnsi="Arial" w:cs="Arial"/>
          <w:sz w:val="20"/>
          <w:szCs w:val="20"/>
          <w:lang w:val="sr-Cyrl-RS"/>
        </w:rPr>
        <w:t>п</w:t>
      </w:r>
      <w:r w:rsidR="00335B49" w:rsidRPr="004826D6">
        <w:rPr>
          <w:rFonts w:ascii="Arial" w:hAnsi="Arial" w:cs="Arial"/>
          <w:sz w:val="20"/>
          <w:szCs w:val="20"/>
          <w:lang w:val="sr-Cyrl-RS"/>
        </w:rPr>
        <w:t>ланова развоја</w:t>
      </w:r>
      <w:r w:rsidR="00BF2618" w:rsidRPr="004826D6">
        <w:rPr>
          <w:rFonts w:ascii="Arial" w:hAnsi="Arial" w:cs="Arial"/>
          <w:sz w:val="20"/>
          <w:szCs w:val="20"/>
          <w:lang w:val="sr-Cyrl-RS"/>
        </w:rPr>
        <w:t>,</w:t>
      </w:r>
      <w:r w:rsidR="00335B49" w:rsidRPr="004826D6">
        <w:rPr>
          <w:rFonts w:ascii="Arial" w:hAnsi="Arial" w:cs="Arial"/>
          <w:sz w:val="20"/>
          <w:szCs w:val="20"/>
          <w:lang w:val="sr-Cyrl-RS"/>
        </w:rPr>
        <w:t xml:space="preserve"> ЈЛС </w:t>
      </w:r>
      <w:r w:rsidR="007061B4" w:rsidRPr="004826D6">
        <w:rPr>
          <w:rFonts w:ascii="Arial" w:hAnsi="Arial" w:cs="Arial"/>
          <w:sz w:val="20"/>
          <w:szCs w:val="20"/>
          <w:lang w:val="sr-Cyrl-RS"/>
        </w:rPr>
        <w:t>фокусирају на локално идентификован</w:t>
      </w:r>
      <w:r w:rsidR="00DB6F0B" w:rsidRPr="004826D6">
        <w:rPr>
          <w:rFonts w:ascii="Arial" w:hAnsi="Arial" w:cs="Arial"/>
          <w:sz w:val="20"/>
          <w:szCs w:val="20"/>
          <w:lang w:val="sr-Cyrl-RS"/>
        </w:rPr>
        <w:t>е развојне потребе и приоритете</w:t>
      </w:r>
      <w:r w:rsidR="005B1A35" w:rsidRPr="004826D6">
        <w:rPr>
          <w:rFonts w:ascii="Arial" w:hAnsi="Arial" w:cs="Arial"/>
          <w:sz w:val="20"/>
          <w:szCs w:val="20"/>
          <w:lang w:val="sr-Cyrl-RS"/>
        </w:rPr>
        <w:t xml:space="preserve"> и </w:t>
      </w:r>
      <w:r w:rsidR="009B1F9F" w:rsidRPr="004826D6">
        <w:rPr>
          <w:rFonts w:ascii="Arial" w:hAnsi="Arial" w:cs="Arial"/>
          <w:sz w:val="20"/>
          <w:szCs w:val="20"/>
          <w:lang w:val="sr-Cyrl-RS"/>
        </w:rPr>
        <w:t>узимају у обзир постоје</w:t>
      </w:r>
      <w:r w:rsidR="008D46E6" w:rsidRPr="004826D6">
        <w:rPr>
          <w:rFonts w:ascii="Arial" w:hAnsi="Arial" w:cs="Arial"/>
          <w:sz w:val="20"/>
          <w:szCs w:val="20"/>
          <w:lang w:val="sr-Cyrl-RS"/>
        </w:rPr>
        <w:t>ћ</w:t>
      </w:r>
      <w:r w:rsidR="009B1F9F" w:rsidRPr="004826D6">
        <w:rPr>
          <w:rFonts w:ascii="Arial" w:hAnsi="Arial" w:cs="Arial"/>
          <w:sz w:val="20"/>
          <w:szCs w:val="20"/>
          <w:lang w:val="sr-Cyrl-RS"/>
        </w:rPr>
        <w:t>а секторска</w:t>
      </w:r>
      <w:r w:rsidR="005B1A35" w:rsidRPr="004826D6">
        <w:rPr>
          <w:rFonts w:ascii="Arial" w:hAnsi="Arial" w:cs="Arial"/>
          <w:sz w:val="20"/>
          <w:szCs w:val="20"/>
          <w:lang w:val="sr-Cyrl-RS"/>
        </w:rPr>
        <w:t xml:space="preserve"> </w:t>
      </w:r>
      <w:r w:rsidR="009B1F9F" w:rsidRPr="004826D6">
        <w:rPr>
          <w:rFonts w:ascii="Arial" w:hAnsi="Arial" w:cs="Arial"/>
          <w:sz w:val="20"/>
          <w:szCs w:val="20"/>
          <w:lang w:val="sr-Cyrl-RS"/>
        </w:rPr>
        <w:t>планска документа</w:t>
      </w:r>
      <w:r w:rsidR="00340419" w:rsidRPr="004826D6">
        <w:rPr>
          <w:rFonts w:ascii="Arial" w:hAnsi="Arial" w:cs="Arial"/>
          <w:sz w:val="20"/>
          <w:szCs w:val="20"/>
          <w:lang w:val="sr-Cyrl-RS"/>
        </w:rPr>
        <w:t xml:space="preserve"> на </w:t>
      </w:r>
      <w:r w:rsidR="008D46E6" w:rsidRPr="004826D6">
        <w:rPr>
          <w:rFonts w:ascii="Arial" w:hAnsi="Arial" w:cs="Arial"/>
          <w:sz w:val="20"/>
          <w:szCs w:val="20"/>
          <w:lang w:val="sr-Cyrl-RS"/>
        </w:rPr>
        <w:t>вишим</w:t>
      </w:r>
      <w:r w:rsidR="00340419" w:rsidRPr="004826D6">
        <w:rPr>
          <w:rFonts w:ascii="Arial" w:hAnsi="Arial" w:cs="Arial"/>
          <w:sz w:val="20"/>
          <w:szCs w:val="20"/>
          <w:lang w:val="sr-Cyrl-RS"/>
        </w:rPr>
        <w:t xml:space="preserve"> нивоима управе</w:t>
      </w:r>
      <w:r w:rsidR="0017179E" w:rsidRPr="004826D6">
        <w:rPr>
          <w:rFonts w:ascii="Arial" w:hAnsi="Arial" w:cs="Arial"/>
          <w:sz w:val="20"/>
          <w:szCs w:val="20"/>
          <w:lang w:val="sr-Cyrl-RS"/>
        </w:rPr>
        <w:t>, али се у перспективи</w:t>
      </w:r>
      <w:r w:rsidR="00C9269E" w:rsidRPr="004826D6">
        <w:rPr>
          <w:rFonts w:ascii="Arial" w:hAnsi="Arial" w:cs="Arial"/>
          <w:sz w:val="20"/>
          <w:szCs w:val="20"/>
          <w:lang w:val="sr-Cyrl-RS"/>
        </w:rPr>
        <w:t>, по усвајању Плана развоја РС (и АП),</w:t>
      </w:r>
      <w:r w:rsidR="00340419" w:rsidRPr="004826D6">
        <w:rPr>
          <w:rFonts w:ascii="Arial" w:hAnsi="Arial" w:cs="Arial"/>
          <w:sz w:val="20"/>
          <w:szCs w:val="20"/>
          <w:lang w:val="sr-Cyrl-RS"/>
        </w:rPr>
        <w:t xml:space="preserve"> може </w:t>
      </w:r>
      <w:r w:rsidR="008D46E6" w:rsidRPr="004826D6">
        <w:rPr>
          <w:rFonts w:ascii="Arial" w:hAnsi="Arial" w:cs="Arial"/>
          <w:sz w:val="20"/>
          <w:szCs w:val="20"/>
          <w:lang w:val="sr-Cyrl-RS"/>
        </w:rPr>
        <w:t>предвидети потреба</w:t>
      </w:r>
      <w:r w:rsidR="00EC2335" w:rsidRPr="004826D6">
        <w:rPr>
          <w:rFonts w:ascii="Arial" w:hAnsi="Arial" w:cs="Arial"/>
          <w:sz w:val="20"/>
          <w:szCs w:val="20"/>
          <w:lang w:val="sr-Cyrl-RS"/>
        </w:rPr>
        <w:t xml:space="preserve"> ревизије </w:t>
      </w:r>
      <w:r w:rsidR="00E018B1" w:rsidRPr="004826D6">
        <w:rPr>
          <w:rFonts w:ascii="Arial" w:hAnsi="Arial" w:cs="Arial"/>
          <w:sz w:val="20"/>
          <w:szCs w:val="20"/>
          <w:lang w:val="sr-Cyrl-RS"/>
        </w:rPr>
        <w:t>п</w:t>
      </w:r>
      <w:r w:rsidR="00EC2335" w:rsidRPr="004826D6">
        <w:rPr>
          <w:rFonts w:ascii="Arial" w:hAnsi="Arial" w:cs="Arial"/>
          <w:sz w:val="20"/>
          <w:szCs w:val="20"/>
          <w:lang w:val="sr-Cyrl-RS"/>
        </w:rPr>
        <w:t>ланова развоја ЈЛС</w:t>
      </w:r>
      <w:r w:rsidR="00A71943" w:rsidRPr="004826D6">
        <w:rPr>
          <w:rFonts w:ascii="Arial" w:hAnsi="Arial" w:cs="Arial"/>
          <w:sz w:val="20"/>
          <w:szCs w:val="20"/>
          <w:lang w:val="sr-Cyrl-RS"/>
        </w:rPr>
        <w:t xml:space="preserve"> како би се осигурала </w:t>
      </w:r>
      <w:r w:rsidR="00255BA2" w:rsidRPr="004826D6">
        <w:rPr>
          <w:rFonts w:ascii="Arial" w:hAnsi="Arial" w:cs="Arial"/>
          <w:sz w:val="20"/>
          <w:szCs w:val="20"/>
          <w:lang w:val="sr-Cyrl-RS"/>
        </w:rPr>
        <w:t xml:space="preserve">њихова усклађеност и </w:t>
      </w:r>
      <w:r w:rsidR="008D46E6" w:rsidRPr="004826D6">
        <w:rPr>
          <w:rFonts w:ascii="Arial" w:hAnsi="Arial" w:cs="Arial"/>
          <w:sz w:val="20"/>
          <w:szCs w:val="20"/>
          <w:lang w:val="sr-Cyrl-RS"/>
        </w:rPr>
        <w:t>са планирањем</w:t>
      </w:r>
      <w:r w:rsidR="00255BA2" w:rsidRPr="004826D6">
        <w:rPr>
          <w:rFonts w:ascii="Arial" w:hAnsi="Arial" w:cs="Arial"/>
          <w:sz w:val="20"/>
          <w:szCs w:val="20"/>
          <w:lang w:val="sr-Cyrl-RS"/>
        </w:rPr>
        <w:t xml:space="preserve"> </w:t>
      </w:r>
      <w:r w:rsidR="008D46E6" w:rsidRPr="004826D6">
        <w:rPr>
          <w:rFonts w:ascii="Arial" w:hAnsi="Arial" w:cs="Arial"/>
          <w:sz w:val="20"/>
          <w:szCs w:val="20"/>
          <w:lang w:val="sr-Cyrl-RS"/>
        </w:rPr>
        <w:t xml:space="preserve">развоја на републичком </w:t>
      </w:r>
      <w:r w:rsidR="00255BA2" w:rsidRPr="004826D6">
        <w:rPr>
          <w:rFonts w:ascii="Arial" w:hAnsi="Arial" w:cs="Arial"/>
          <w:sz w:val="20"/>
          <w:szCs w:val="20"/>
          <w:lang w:val="sr-Cyrl-RS"/>
        </w:rPr>
        <w:t>нивоу.</w:t>
      </w:r>
      <w:r w:rsidR="008374EB" w:rsidRPr="004826D6">
        <w:rPr>
          <w:rFonts w:ascii="Arial" w:hAnsi="Arial" w:cs="Arial"/>
          <w:sz w:val="20"/>
          <w:szCs w:val="20"/>
          <w:lang w:val="sr-Cyrl-RS"/>
        </w:rPr>
        <w:t xml:space="preserve"> Треба имати у виду </w:t>
      </w:r>
      <w:r w:rsidR="00510487" w:rsidRPr="004826D6">
        <w:rPr>
          <w:rFonts w:ascii="Arial" w:hAnsi="Arial" w:cs="Arial"/>
          <w:sz w:val="20"/>
          <w:szCs w:val="20"/>
          <w:lang w:val="sr-Cyrl-RS"/>
        </w:rPr>
        <w:t>и</w:t>
      </w:r>
      <w:r w:rsidR="00A273A8" w:rsidRPr="004826D6">
        <w:rPr>
          <w:rFonts w:ascii="Arial" w:hAnsi="Arial" w:cs="Arial"/>
          <w:sz w:val="20"/>
          <w:szCs w:val="20"/>
          <w:lang w:val="sr-Cyrl-RS"/>
        </w:rPr>
        <w:t xml:space="preserve"> то</w:t>
      </w:r>
      <w:r w:rsidR="00510487" w:rsidRPr="004826D6">
        <w:rPr>
          <w:rFonts w:ascii="Arial" w:hAnsi="Arial" w:cs="Arial"/>
          <w:sz w:val="20"/>
          <w:szCs w:val="20"/>
          <w:lang w:val="sr-Cyrl-RS"/>
        </w:rPr>
        <w:t xml:space="preserve"> да је Закон </w:t>
      </w:r>
      <w:r w:rsidR="00080378" w:rsidRPr="004826D6">
        <w:rPr>
          <w:rFonts w:ascii="Arial" w:hAnsi="Arial" w:cs="Arial"/>
          <w:sz w:val="20"/>
          <w:szCs w:val="20"/>
          <w:lang w:val="sr-Cyrl-RS"/>
        </w:rPr>
        <w:t xml:space="preserve">предвидео </w:t>
      </w:r>
      <w:r w:rsidR="00C45ECB" w:rsidRPr="004826D6">
        <w:rPr>
          <w:rFonts w:ascii="Arial" w:hAnsi="Arial" w:cs="Arial"/>
          <w:sz w:val="20"/>
          <w:szCs w:val="20"/>
          <w:lang w:val="sr-Cyrl-RS"/>
        </w:rPr>
        <w:t xml:space="preserve">усклађивање </w:t>
      </w:r>
      <w:r w:rsidR="008D4315" w:rsidRPr="004826D6">
        <w:rPr>
          <w:rFonts w:ascii="Arial" w:hAnsi="Arial" w:cs="Arial"/>
          <w:sz w:val="20"/>
          <w:szCs w:val="20"/>
          <w:lang w:val="sr-Cyrl-RS"/>
        </w:rPr>
        <w:t xml:space="preserve">посебних (секторских) прописа </w:t>
      </w:r>
      <w:r w:rsidR="008C6EE0" w:rsidRPr="004826D6">
        <w:rPr>
          <w:rFonts w:ascii="Arial" w:hAnsi="Arial" w:cs="Arial"/>
          <w:sz w:val="20"/>
          <w:szCs w:val="20"/>
          <w:lang w:val="sr-Cyrl-RS"/>
        </w:rPr>
        <w:t xml:space="preserve">и </w:t>
      </w:r>
      <w:r w:rsidR="00E17ED7" w:rsidRPr="004826D6">
        <w:rPr>
          <w:rFonts w:ascii="Arial" w:hAnsi="Arial" w:cs="Arial"/>
          <w:sz w:val="20"/>
          <w:szCs w:val="20"/>
          <w:lang w:val="sr-Cyrl-RS"/>
        </w:rPr>
        <w:t>начина</w:t>
      </w:r>
      <w:r w:rsidR="008C6EE0" w:rsidRPr="004826D6">
        <w:rPr>
          <w:rFonts w:ascii="Arial" w:hAnsi="Arial" w:cs="Arial"/>
          <w:sz w:val="20"/>
          <w:szCs w:val="20"/>
          <w:lang w:val="sr-Cyrl-RS"/>
        </w:rPr>
        <w:t xml:space="preserve"> доношења </w:t>
      </w:r>
      <w:r w:rsidR="002C5A3C" w:rsidRPr="004826D6">
        <w:rPr>
          <w:rFonts w:ascii="Arial" w:hAnsi="Arial" w:cs="Arial"/>
          <w:sz w:val="20"/>
          <w:szCs w:val="20"/>
          <w:lang w:val="sr-Cyrl-RS"/>
        </w:rPr>
        <w:t xml:space="preserve">докумената јавних политика </w:t>
      </w:r>
      <w:r w:rsidR="0079602B" w:rsidRPr="004826D6">
        <w:rPr>
          <w:rFonts w:ascii="Arial" w:hAnsi="Arial" w:cs="Arial"/>
          <w:sz w:val="20"/>
          <w:szCs w:val="20"/>
          <w:lang w:val="sr-Cyrl-RS"/>
        </w:rPr>
        <w:t>сходно тим прописима</w:t>
      </w:r>
      <w:r w:rsidR="00E86C74" w:rsidRPr="004826D6">
        <w:rPr>
          <w:rFonts w:ascii="Arial" w:hAnsi="Arial" w:cs="Arial"/>
          <w:sz w:val="20"/>
          <w:szCs w:val="20"/>
          <w:lang w:val="sr-Cyrl-RS"/>
        </w:rPr>
        <w:t xml:space="preserve"> са </w:t>
      </w:r>
      <w:r w:rsidR="00E17ED7" w:rsidRPr="004826D6">
        <w:rPr>
          <w:rFonts w:ascii="Arial" w:hAnsi="Arial" w:cs="Arial"/>
          <w:sz w:val="20"/>
          <w:szCs w:val="20"/>
          <w:lang w:val="sr-Cyrl-RS"/>
        </w:rPr>
        <w:t>прописима којима се уређује нови плански систем</w:t>
      </w:r>
      <w:r w:rsidR="00E86C74" w:rsidRPr="004826D6">
        <w:rPr>
          <w:rFonts w:ascii="Arial" w:hAnsi="Arial" w:cs="Arial"/>
          <w:sz w:val="20"/>
          <w:szCs w:val="20"/>
          <w:lang w:val="sr-Cyrl-RS"/>
        </w:rPr>
        <w:t>.</w:t>
      </w:r>
      <w:r w:rsidR="006C08E1" w:rsidRPr="004826D6">
        <w:rPr>
          <w:rFonts w:ascii="Arial" w:hAnsi="Arial" w:cs="Arial"/>
          <w:sz w:val="20"/>
          <w:szCs w:val="20"/>
          <w:lang w:val="sr-Cyrl-RS"/>
        </w:rPr>
        <w:t xml:space="preserve"> Усклађивање се у овом погледу одвија </w:t>
      </w:r>
      <w:r w:rsidR="00AF632C" w:rsidRPr="004826D6">
        <w:rPr>
          <w:rFonts w:ascii="Arial" w:hAnsi="Arial" w:cs="Arial"/>
          <w:sz w:val="20"/>
          <w:szCs w:val="20"/>
          <w:lang w:val="sr-Cyrl-RS"/>
        </w:rPr>
        <w:t>успорено</w:t>
      </w:r>
      <w:r w:rsidR="003D111C" w:rsidRPr="004826D6">
        <w:rPr>
          <w:rFonts w:ascii="Arial" w:hAnsi="Arial" w:cs="Arial"/>
          <w:sz w:val="20"/>
          <w:szCs w:val="20"/>
          <w:lang w:val="sr-Cyrl-RS"/>
        </w:rPr>
        <w:t xml:space="preserve">, а </w:t>
      </w:r>
      <w:r w:rsidR="005F77E7" w:rsidRPr="004826D6">
        <w:rPr>
          <w:rFonts w:ascii="Arial" w:hAnsi="Arial" w:cs="Arial"/>
          <w:sz w:val="20"/>
          <w:szCs w:val="20"/>
          <w:lang w:val="sr-Cyrl-RS"/>
        </w:rPr>
        <w:t xml:space="preserve">како </w:t>
      </w:r>
      <w:r w:rsidR="00E17ED7" w:rsidRPr="004826D6">
        <w:rPr>
          <w:rFonts w:ascii="Arial" w:hAnsi="Arial" w:cs="Arial"/>
          <w:sz w:val="20"/>
          <w:szCs w:val="20"/>
          <w:lang w:val="sr-Cyrl-RS"/>
        </w:rPr>
        <w:t>се до усклађивања примењују</w:t>
      </w:r>
      <w:r w:rsidR="005F77E7" w:rsidRPr="004826D6">
        <w:rPr>
          <w:rFonts w:ascii="Arial" w:hAnsi="Arial" w:cs="Arial"/>
          <w:sz w:val="20"/>
          <w:szCs w:val="20"/>
          <w:lang w:val="sr-Cyrl-RS"/>
        </w:rPr>
        <w:t xml:space="preserve"> </w:t>
      </w:r>
      <w:r w:rsidR="00E17ED7" w:rsidRPr="004826D6">
        <w:rPr>
          <w:rFonts w:ascii="Arial" w:hAnsi="Arial" w:cs="Arial"/>
          <w:sz w:val="20"/>
          <w:szCs w:val="20"/>
          <w:lang w:val="sr-Cyrl-RS"/>
        </w:rPr>
        <w:t>посебни прописи</w:t>
      </w:r>
      <w:r w:rsidR="003F0681" w:rsidRPr="004826D6">
        <w:rPr>
          <w:rFonts w:ascii="Arial" w:hAnsi="Arial" w:cs="Arial"/>
          <w:sz w:val="20"/>
          <w:szCs w:val="20"/>
          <w:lang w:val="sr-Cyrl-RS"/>
        </w:rPr>
        <w:t xml:space="preserve">, то </w:t>
      </w:r>
      <w:r w:rsidR="00E17ED7" w:rsidRPr="004826D6">
        <w:rPr>
          <w:rFonts w:ascii="Arial" w:hAnsi="Arial" w:cs="Arial"/>
          <w:sz w:val="20"/>
          <w:szCs w:val="20"/>
          <w:lang w:val="sr-Cyrl-RS"/>
        </w:rPr>
        <w:t>ЈЛС</w:t>
      </w:r>
      <w:r w:rsidR="003F0681" w:rsidRPr="004826D6">
        <w:rPr>
          <w:rFonts w:ascii="Arial" w:hAnsi="Arial" w:cs="Arial"/>
          <w:sz w:val="20"/>
          <w:szCs w:val="20"/>
          <w:lang w:val="sr-Cyrl-RS"/>
        </w:rPr>
        <w:t xml:space="preserve"> </w:t>
      </w:r>
      <w:r w:rsidR="00670F70" w:rsidRPr="004826D6">
        <w:rPr>
          <w:rFonts w:ascii="Arial" w:hAnsi="Arial" w:cs="Arial"/>
          <w:sz w:val="20"/>
          <w:szCs w:val="20"/>
          <w:lang w:val="sr-Cyrl-RS"/>
        </w:rPr>
        <w:t xml:space="preserve">сходно секторским прописима </w:t>
      </w:r>
      <w:r w:rsidR="00707EED" w:rsidRPr="004826D6">
        <w:rPr>
          <w:rFonts w:ascii="Arial" w:hAnsi="Arial" w:cs="Arial"/>
          <w:sz w:val="20"/>
          <w:szCs w:val="20"/>
          <w:lang w:val="sr-Cyrl-RS"/>
        </w:rPr>
        <w:t>раде и на планским документима</w:t>
      </w:r>
      <w:r w:rsidR="00EE1242" w:rsidRPr="004826D6">
        <w:rPr>
          <w:rFonts w:ascii="Arial" w:hAnsi="Arial" w:cs="Arial"/>
          <w:sz w:val="20"/>
          <w:szCs w:val="20"/>
          <w:lang w:val="sr-Cyrl-RS"/>
        </w:rPr>
        <w:t xml:space="preserve"> у појединим областима надлежности</w:t>
      </w:r>
      <w:r w:rsidR="001B0843" w:rsidRPr="004826D6">
        <w:rPr>
          <w:rFonts w:ascii="Arial" w:hAnsi="Arial" w:cs="Arial"/>
          <w:sz w:val="20"/>
          <w:szCs w:val="20"/>
          <w:lang w:val="sr-Cyrl-RS"/>
        </w:rPr>
        <w:t xml:space="preserve"> </w:t>
      </w:r>
      <w:r w:rsidR="00E17ED7" w:rsidRPr="004826D6">
        <w:rPr>
          <w:rFonts w:ascii="Arial" w:hAnsi="Arial" w:cs="Arial"/>
          <w:sz w:val="20"/>
          <w:szCs w:val="20"/>
          <w:lang w:val="sr-Cyrl-RS"/>
        </w:rPr>
        <w:t>са одређеним одступањима</w:t>
      </w:r>
      <w:r w:rsidR="00EB2A50" w:rsidRPr="004826D6">
        <w:rPr>
          <w:rFonts w:ascii="Arial" w:hAnsi="Arial" w:cs="Arial"/>
          <w:sz w:val="20"/>
          <w:szCs w:val="20"/>
          <w:lang w:val="sr-Cyrl-RS"/>
        </w:rPr>
        <w:t xml:space="preserve"> и недоследности</w:t>
      </w:r>
      <w:r w:rsidR="00E17ED7" w:rsidRPr="004826D6">
        <w:rPr>
          <w:rFonts w:ascii="Arial" w:hAnsi="Arial" w:cs="Arial"/>
          <w:sz w:val="20"/>
          <w:szCs w:val="20"/>
          <w:lang w:val="sr-Cyrl-RS"/>
        </w:rPr>
        <w:t>ма</w:t>
      </w:r>
      <w:r w:rsidR="00EB2A50" w:rsidRPr="004826D6">
        <w:rPr>
          <w:rFonts w:ascii="Arial" w:hAnsi="Arial" w:cs="Arial"/>
          <w:sz w:val="20"/>
          <w:szCs w:val="20"/>
          <w:lang w:val="sr-Cyrl-RS"/>
        </w:rPr>
        <w:t xml:space="preserve"> </w:t>
      </w:r>
      <w:r w:rsidR="00EE2EA8" w:rsidRPr="004826D6">
        <w:rPr>
          <w:rFonts w:ascii="Arial" w:hAnsi="Arial" w:cs="Arial"/>
          <w:sz w:val="20"/>
          <w:szCs w:val="20"/>
          <w:lang w:val="sr-Cyrl-RS"/>
        </w:rPr>
        <w:t>у односу на системски Закон.</w:t>
      </w:r>
      <w:r w:rsidR="00D3574E" w:rsidRPr="004826D6">
        <w:rPr>
          <w:rFonts w:ascii="Arial" w:hAnsi="Arial" w:cs="Arial"/>
          <w:sz w:val="20"/>
          <w:szCs w:val="20"/>
          <w:lang w:val="sr-Cyrl-RS"/>
        </w:rPr>
        <w:t xml:space="preserve"> У том смислу је </w:t>
      </w:r>
      <w:r w:rsidR="001C79A7" w:rsidRPr="004826D6">
        <w:rPr>
          <w:rFonts w:ascii="Arial" w:hAnsi="Arial" w:cs="Arial"/>
          <w:sz w:val="20"/>
          <w:szCs w:val="20"/>
          <w:lang w:val="sr-Cyrl-RS"/>
        </w:rPr>
        <w:t xml:space="preserve">у предстојећем периоду </w:t>
      </w:r>
      <w:r w:rsidR="00D3574E" w:rsidRPr="004826D6">
        <w:rPr>
          <w:rFonts w:ascii="Arial" w:hAnsi="Arial" w:cs="Arial"/>
          <w:sz w:val="20"/>
          <w:szCs w:val="20"/>
          <w:lang w:val="sr-Cyrl-RS"/>
        </w:rPr>
        <w:t>нужно</w:t>
      </w:r>
      <w:r w:rsidR="001C79A7" w:rsidRPr="004826D6">
        <w:rPr>
          <w:rFonts w:ascii="Arial" w:hAnsi="Arial" w:cs="Arial"/>
          <w:sz w:val="20"/>
          <w:szCs w:val="20"/>
          <w:lang w:val="sr-Cyrl-RS"/>
        </w:rPr>
        <w:t xml:space="preserve"> </w:t>
      </w:r>
      <w:r w:rsidR="00B70789" w:rsidRPr="004826D6">
        <w:rPr>
          <w:rFonts w:ascii="Arial" w:hAnsi="Arial" w:cs="Arial"/>
          <w:sz w:val="20"/>
          <w:szCs w:val="20"/>
          <w:lang w:val="sr-Cyrl-RS"/>
        </w:rPr>
        <w:t>наставити</w:t>
      </w:r>
      <w:r w:rsidR="00E17ED7" w:rsidRPr="004826D6">
        <w:rPr>
          <w:rFonts w:ascii="Arial" w:hAnsi="Arial" w:cs="Arial"/>
          <w:sz w:val="20"/>
          <w:szCs w:val="20"/>
          <w:lang w:val="sr-Cyrl-RS"/>
        </w:rPr>
        <w:t xml:space="preserve"> са усклађивањем</w:t>
      </w:r>
      <w:r w:rsidR="00B70789" w:rsidRPr="004826D6">
        <w:rPr>
          <w:rFonts w:ascii="Arial" w:hAnsi="Arial" w:cs="Arial"/>
          <w:sz w:val="20"/>
          <w:szCs w:val="20"/>
          <w:lang w:val="sr-Cyrl-RS"/>
        </w:rPr>
        <w:t xml:space="preserve"> правног оквира </w:t>
      </w:r>
      <w:r w:rsidR="0022399B" w:rsidRPr="004826D6">
        <w:rPr>
          <w:rFonts w:ascii="Arial" w:hAnsi="Arial" w:cs="Arial"/>
          <w:sz w:val="20"/>
          <w:szCs w:val="20"/>
          <w:lang w:val="sr-Cyrl-RS"/>
        </w:rPr>
        <w:t>и посеб</w:t>
      </w:r>
      <w:r w:rsidR="00B06501" w:rsidRPr="004826D6">
        <w:rPr>
          <w:rFonts w:ascii="Arial" w:hAnsi="Arial" w:cs="Arial"/>
          <w:sz w:val="20"/>
          <w:szCs w:val="20"/>
          <w:lang w:val="sr-Cyrl-RS"/>
        </w:rPr>
        <w:t>н</w:t>
      </w:r>
      <w:r w:rsidR="0022399B" w:rsidRPr="004826D6">
        <w:rPr>
          <w:rFonts w:ascii="Arial" w:hAnsi="Arial" w:cs="Arial"/>
          <w:sz w:val="20"/>
          <w:szCs w:val="20"/>
          <w:lang w:val="sr-Cyrl-RS"/>
        </w:rPr>
        <w:t>у пажњу посветити</w:t>
      </w:r>
      <w:r w:rsidR="00B06501" w:rsidRPr="004826D6">
        <w:rPr>
          <w:rFonts w:ascii="Arial" w:hAnsi="Arial" w:cs="Arial"/>
          <w:sz w:val="20"/>
          <w:szCs w:val="20"/>
          <w:lang w:val="sr-Cyrl-RS"/>
        </w:rPr>
        <w:t xml:space="preserve"> сагледавању и рационализац</w:t>
      </w:r>
      <w:r w:rsidR="00CA51B8" w:rsidRPr="004826D6">
        <w:rPr>
          <w:rFonts w:ascii="Arial" w:hAnsi="Arial" w:cs="Arial"/>
          <w:sz w:val="20"/>
          <w:szCs w:val="20"/>
          <w:lang w:val="sr-Cyrl-RS"/>
        </w:rPr>
        <w:t>и</w:t>
      </w:r>
      <w:r w:rsidR="00B06501" w:rsidRPr="004826D6">
        <w:rPr>
          <w:rFonts w:ascii="Arial" w:hAnsi="Arial" w:cs="Arial"/>
          <w:sz w:val="20"/>
          <w:szCs w:val="20"/>
          <w:lang w:val="sr-Cyrl-RS"/>
        </w:rPr>
        <w:t>ји планских докумената</w:t>
      </w:r>
      <w:r w:rsidR="00E17ED7" w:rsidRPr="004826D6">
        <w:rPr>
          <w:rFonts w:ascii="Arial" w:hAnsi="Arial" w:cs="Arial"/>
          <w:sz w:val="20"/>
          <w:szCs w:val="20"/>
          <w:lang w:val="sr-Cyrl-RS"/>
        </w:rPr>
        <w:t xml:space="preserve"> ЈЛС чије је</w:t>
      </w:r>
      <w:r w:rsidR="00B06501" w:rsidRPr="004826D6">
        <w:rPr>
          <w:rFonts w:ascii="Arial" w:hAnsi="Arial" w:cs="Arial"/>
          <w:sz w:val="20"/>
          <w:szCs w:val="20"/>
          <w:lang w:val="sr-Cyrl-RS"/>
        </w:rPr>
        <w:t xml:space="preserve"> доношење </w:t>
      </w:r>
      <w:r w:rsidR="00CA51B8" w:rsidRPr="004826D6">
        <w:rPr>
          <w:rFonts w:ascii="Arial" w:hAnsi="Arial" w:cs="Arial"/>
          <w:sz w:val="20"/>
          <w:szCs w:val="20"/>
          <w:lang w:val="sr-Cyrl-RS"/>
        </w:rPr>
        <w:t xml:space="preserve">и примена </w:t>
      </w:r>
      <w:r w:rsidR="00E17ED7" w:rsidRPr="004826D6">
        <w:rPr>
          <w:rFonts w:ascii="Arial" w:hAnsi="Arial" w:cs="Arial"/>
          <w:sz w:val="20"/>
          <w:szCs w:val="20"/>
          <w:lang w:val="sr-Cyrl-RS"/>
        </w:rPr>
        <w:t>утврђена посебним законима</w:t>
      </w:r>
      <w:r w:rsidR="004A0745" w:rsidRPr="004826D6">
        <w:rPr>
          <w:rFonts w:ascii="Arial" w:hAnsi="Arial" w:cs="Arial"/>
          <w:sz w:val="20"/>
          <w:szCs w:val="20"/>
          <w:lang w:val="sr-Cyrl-RS"/>
        </w:rPr>
        <w:t xml:space="preserve">. </w:t>
      </w:r>
      <w:r w:rsidR="00E17ED7" w:rsidRPr="004826D6">
        <w:rPr>
          <w:rFonts w:ascii="Arial" w:hAnsi="Arial" w:cs="Arial"/>
          <w:sz w:val="20"/>
          <w:szCs w:val="20"/>
          <w:lang w:val="sr-Cyrl-RS"/>
        </w:rPr>
        <w:t>Такође, имајући у виду изразито</w:t>
      </w:r>
      <w:r w:rsidR="00A273A8" w:rsidRPr="004826D6">
        <w:rPr>
          <w:rFonts w:ascii="Arial" w:hAnsi="Arial" w:cs="Arial"/>
          <w:sz w:val="20"/>
          <w:szCs w:val="20"/>
          <w:lang w:val="sr-Cyrl-RS"/>
        </w:rPr>
        <w:t xml:space="preserve"> </w:t>
      </w:r>
      <w:r w:rsidR="005A1D69" w:rsidRPr="004826D6">
        <w:rPr>
          <w:rFonts w:ascii="Arial" w:hAnsi="Arial" w:cs="Arial"/>
          <w:sz w:val="20"/>
          <w:szCs w:val="20"/>
          <w:lang w:val="sr-Cyrl-RS"/>
        </w:rPr>
        <w:t xml:space="preserve">отежане околности за одвијање процеса развојног планирања </w:t>
      </w:r>
      <w:r w:rsidR="00212D34" w:rsidRPr="004826D6">
        <w:rPr>
          <w:rFonts w:ascii="Arial" w:hAnsi="Arial" w:cs="Arial"/>
          <w:sz w:val="20"/>
          <w:szCs w:val="20"/>
          <w:lang w:val="sr-Cyrl-RS"/>
        </w:rPr>
        <w:t xml:space="preserve">током 2020. године услед </w:t>
      </w:r>
      <w:r w:rsidR="00EC416E" w:rsidRPr="004826D6">
        <w:rPr>
          <w:rFonts w:ascii="Arial" w:hAnsi="Arial" w:cs="Arial"/>
          <w:sz w:val="20"/>
          <w:szCs w:val="20"/>
          <w:lang w:val="sr-Cyrl-RS"/>
        </w:rPr>
        <w:t>поремећаја у функционисању</w:t>
      </w:r>
      <w:r w:rsidR="0028446E" w:rsidRPr="004826D6">
        <w:rPr>
          <w:rFonts w:ascii="Arial" w:hAnsi="Arial" w:cs="Arial"/>
          <w:sz w:val="20"/>
          <w:szCs w:val="20"/>
          <w:lang w:val="sr-Cyrl-RS"/>
        </w:rPr>
        <w:t xml:space="preserve"> и приоритизацији активности у складу са потребама</w:t>
      </w:r>
      <w:r w:rsidR="00EC416E" w:rsidRPr="004826D6">
        <w:rPr>
          <w:rFonts w:ascii="Arial" w:hAnsi="Arial" w:cs="Arial"/>
          <w:sz w:val="20"/>
          <w:szCs w:val="20"/>
          <w:lang w:val="sr-Cyrl-RS"/>
        </w:rPr>
        <w:t xml:space="preserve"> које је условила </w:t>
      </w:r>
      <w:r w:rsidR="00561876" w:rsidRPr="004826D6">
        <w:rPr>
          <w:rFonts w:ascii="Arial" w:hAnsi="Arial" w:cs="Arial"/>
          <w:sz w:val="20"/>
          <w:szCs w:val="20"/>
          <w:lang w:val="sr-Cyrl-RS"/>
        </w:rPr>
        <w:t>криза</w:t>
      </w:r>
      <w:r w:rsidR="00E17ED7" w:rsidRPr="004826D6">
        <w:rPr>
          <w:rFonts w:ascii="Arial" w:hAnsi="Arial" w:cs="Arial"/>
          <w:sz w:val="20"/>
          <w:szCs w:val="20"/>
          <w:lang w:val="sr-Cyrl-RS"/>
        </w:rPr>
        <w:t xml:space="preserve"> изазвана пандемијом корона вируса,</w:t>
      </w:r>
      <w:r w:rsidR="00FF397B" w:rsidRPr="004826D6">
        <w:rPr>
          <w:rFonts w:ascii="Arial" w:hAnsi="Arial" w:cs="Arial"/>
          <w:sz w:val="20"/>
          <w:szCs w:val="20"/>
          <w:lang w:val="sr-Cyrl-RS"/>
        </w:rPr>
        <w:t xml:space="preserve"> на свим нивоима управе,</w:t>
      </w:r>
      <w:r w:rsidR="00EC55A1" w:rsidRPr="004826D6">
        <w:rPr>
          <w:rFonts w:ascii="Arial" w:hAnsi="Arial" w:cs="Arial"/>
          <w:sz w:val="20"/>
          <w:szCs w:val="20"/>
          <w:lang w:val="sr-Cyrl-RS"/>
        </w:rPr>
        <w:t xml:space="preserve"> већина локалних власти није покренула процес припреме својих планова развоја</w:t>
      </w:r>
      <w:r w:rsidR="00DF2E57" w:rsidRPr="004826D6">
        <w:rPr>
          <w:rFonts w:ascii="Arial" w:hAnsi="Arial" w:cs="Arial"/>
          <w:sz w:val="20"/>
          <w:szCs w:val="20"/>
          <w:lang w:val="sr-Cyrl-RS"/>
        </w:rPr>
        <w:t xml:space="preserve">. У складу са овим околностима, </w:t>
      </w:r>
      <w:r w:rsidR="00E17ED7" w:rsidRPr="004826D6">
        <w:rPr>
          <w:rFonts w:ascii="Arial" w:hAnsi="Arial" w:cs="Arial"/>
          <w:sz w:val="20"/>
          <w:szCs w:val="20"/>
          <w:lang w:val="sr-Cyrl-RS"/>
        </w:rPr>
        <w:t>треба размотрити измене</w:t>
      </w:r>
      <w:r w:rsidR="00D92465" w:rsidRPr="004826D6">
        <w:rPr>
          <w:rFonts w:ascii="Arial" w:hAnsi="Arial" w:cs="Arial"/>
          <w:sz w:val="20"/>
          <w:szCs w:val="20"/>
          <w:lang w:val="sr-Cyrl-RS"/>
        </w:rPr>
        <w:t xml:space="preserve"> Закон</w:t>
      </w:r>
      <w:r w:rsidR="00E17ED7" w:rsidRPr="004826D6">
        <w:rPr>
          <w:rFonts w:ascii="Arial" w:hAnsi="Arial" w:cs="Arial"/>
          <w:sz w:val="20"/>
          <w:szCs w:val="20"/>
          <w:lang w:val="sr-Cyrl-RS"/>
        </w:rPr>
        <w:t>а</w:t>
      </w:r>
      <w:r w:rsidR="00D92465" w:rsidRPr="004826D6">
        <w:rPr>
          <w:rFonts w:ascii="Arial" w:hAnsi="Arial" w:cs="Arial"/>
          <w:sz w:val="20"/>
          <w:szCs w:val="20"/>
          <w:lang w:val="sr-Cyrl-RS"/>
        </w:rPr>
        <w:t xml:space="preserve"> о планском систему </w:t>
      </w:r>
      <w:r w:rsidR="0016071C" w:rsidRPr="004826D6">
        <w:rPr>
          <w:rFonts w:ascii="Arial" w:hAnsi="Arial" w:cs="Arial"/>
          <w:sz w:val="20"/>
          <w:szCs w:val="20"/>
          <w:lang w:val="sr-Cyrl-RS"/>
        </w:rPr>
        <w:t>у погледу прописаних рокова</w:t>
      </w:r>
      <w:r w:rsidR="004E406B" w:rsidRPr="004826D6">
        <w:rPr>
          <w:rFonts w:ascii="Arial" w:hAnsi="Arial" w:cs="Arial"/>
          <w:sz w:val="20"/>
          <w:szCs w:val="20"/>
          <w:lang w:val="sr-Cyrl-RS"/>
        </w:rPr>
        <w:t xml:space="preserve"> за доношење </w:t>
      </w:r>
      <w:r w:rsidR="00271DD9" w:rsidRPr="004826D6">
        <w:rPr>
          <w:rFonts w:ascii="Arial" w:hAnsi="Arial" w:cs="Arial"/>
          <w:sz w:val="20"/>
          <w:szCs w:val="20"/>
          <w:lang w:val="sr-Cyrl-RS"/>
        </w:rPr>
        <w:t>планских докуменат</w:t>
      </w:r>
      <w:r w:rsidR="006A3B8D" w:rsidRPr="004826D6">
        <w:rPr>
          <w:rFonts w:ascii="Arial" w:hAnsi="Arial" w:cs="Arial"/>
          <w:sz w:val="20"/>
          <w:szCs w:val="20"/>
          <w:lang w:val="sr-Cyrl-RS"/>
        </w:rPr>
        <w:t xml:space="preserve">а, </w:t>
      </w:r>
      <w:r w:rsidR="00271DD9" w:rsidRPr="004826D6">
        <w:rPr>
          <w:rFonts w:ascii="Arial" w:hAnsi="Arial" w:cs="Arial"/>
          <w:sz w:val="20"/>
          <w:szCs w:val="20"/>
          <w:lang w:val="sr-Cyrl-RS"/>
        </w:rPr>
        <w:t>за усклађивање</w:t>
      </w:r>
      <w:r w:rsidR="00226E0E" w:rsidRPr="004826D6">
        <w:rPr>
          <w:rFonts w:ascii="Arial" w:hAnsi="Arial" w:cs="Arial"/>
          <w:sz w:val="20"/>
          <w:szCs w:val="20"/>
          <w:lang w:val="sr-Cyrl-RS"/>
        </w:rPr>
        <w:t xml:space="preserve"> прописа и</w:t>
      </w:r>
      <w:r w:rsidR="006A3B8D" w:rsidRPr="004826D6">
        <w:rPr>
          <w:rFonts w:ascii="Arial" w:hAnsi="Arial" w:cs="Arial"/>
          <w:sz w:val="20"/>
          <w:szCs w:val="20"/>
          <w:lang w:val="sr-Cyrl-RS"/>
        </w:rPr>
        <w:t xml:space="preserve"> др</w:t>
      </w:r>
      <w:r w:rsidR="00A273A8" w:rsidRPr="004826D6">
        <w:rPr>
          <w:rFonts w:ascii="Arial" w:hAnsi="Arial" w:cs="Arial"/>
          <w:sz w:val="20"/>
          <w:szCs w:val="20"/>
          <w:lang w:val="sr-Cyrl-RS"/>
        </w:rPr>
        <w:t>.</w:t>
      </w:r>
      <w:r w:rsidR="006A3B8D" w:rsidRPr="004826D6">
        <w:rPr>
          <w:rFonts w:ascii="Arial" w:hAnsi="Arial" w:cs="Arial"/>
          <w:sz w:val="20"/>
          <w:szCs w:val="20"/>
          <w:lang w:val="sr-Cyrl-RS"/>
        </w:rPr>
        <w:t xml:space="preserve">, јер ће </w:t>
      </w:r>
      <w:r w:rsidR="00E17ED7" w:rsidRPr="004826D6">
        <w:rPr>
          <w:rFonts w:ascii="Arial" w:hAnsi="Arial" w:cs="Arial"/>
          <w:sz w:val="20"/>
          <w:szCs w:val="20"/>
          <w:lang w:val="sr-Cyrl-RS"/>
        </w:rPr>
        <w:t>важећи рокови</w:t>
      </w:r>
      <w:r w:rsidR="006A3B8D" w:rsidRPr="004826D6">
        <w:rPr>
          <w:rFonts w:ascii="Arial" w:hAnsi="Arial" w:cs="Arial"/>
          <w:sz w:val="20"/>
          <w:szCs w:val="20"/>
          <w:lang w:val="sr-Cyrl-RS"/>
        </w:rPr>
        <w:t xml:space="preserve"> веома тешко бити </w:t>
      </w:r>
      <w:r w:rsidR="00AA42D3" w:rsidRPr="004826D6">
        <w:rPr>
          <w:rFonts w:ascii="Arial" w:hAnsi="Arial" w:cs="Arial"/>
          <w:sz w:val="20"/>
          <w:szCs w:val="20"/>
          <w:lang w:val="sr-Cyrl-RS"/>
        </w:rPr>
        <w:t>достигнути</w:t>
      </w:r>
      <w:r w:rsidR="006A3B8D" w:rsidRPr="004826D6">
        <w:rPr>
          <w:rFonts w:ascii="Arial" w:hAnsi="Arial" w:cs="Arial"/>
          <w:sz w:val="20"/>
          <w:szCs w:val="20"/>
          <w:lang w:val="sr-Cyrl-RS"/>
        </w:rPr>
        <w:t>.</w:t>
      </w:r>
    </w:p>
    <w:p w14:paraId="31FAD75F" w14:textId="77777777" w:rsidR="000621D9" w:rsidRPr="00A021B7" w:rsidRDefault="000621D9" w:rsidP="1A8E6423">
      <w:pPr>
        <w:ind w:firstLine="720"/>
        <w:jc w:val="both"/>
        <w:rPr>
          <w:rFonts w:ascii="Arial" w:hAnsi="Arial" w:cs="Arial"/>
          <w:color w:val="000000"/>
          <w:sz w:val="20"/>
          <w:szCs w:val="20"/>
          <w:lang w:val="sr-Cyrl-RS"/>
        </w:rPr>
      </w:pPr>
    </w:p>
    <w:p w14:paraId="7F251C71" w14:textId="13F91AA5" w:rsidR="00A72A72" w:rsidRPr="00A021B7" w:rsidRDefault="00A72A72" w:rsidP="1A8E6423">
      <w:pPr>
        <w:ind w:firstLine="720"/>
        <w:jc w:val="both"/>
        <w:rPr>
          <w:rFonts w:ascii="Arial" w:hAnsi="Arial" w:cs="Arial"/>
          <w:color w:val="000000"/>
          <w:lang w:val="sr-Cyrl-RS"/>
        </w:rPr>
      </w:pPr>
      <w:r w:rsidRPr="1A8E6423">
        <w:rPr>
          <w:rFonts w:ascii="Arial" w:hAnsi="Arial" w:cs="Arial"/>
          <w:color w:val="000000" w:themeColor="text1"/>
          <w:sz w:val="20"/>
          <w:szCs w:val="20"/>
          <w:lang w:val="sr-Cyrl-RS"/>
        </w:rPr>
        <w:t xml:space="preserve">У области управних услуга, важна чињеница јесте усвајање новог Закона о управном поступку и покретање поједностављивања и дигитализације управних поступака. </w:t>
      </w:r>
      <w:r w:rsidR="00A273A8" w:rsidRPr="1A8E6423">
        <w:rPr>
          <w:rFonts w:ascii="Arial" w:hAnsi="Arial" w:cs="Arial"/>
          <w:color w:val="000000" w:themeColor="text1"/>
          <w:sz w:val="20"/>
          <w:szCs w:val="20"/>
          <w:lang w:val="sr-Cyrl-RS"/>
        </w:rPr>
        <w:t xml:space="preserve">С </w:t>
      </w:r>
      <w:r w:rsidRPr="1A8E6423">
        <w:rPr>
          <w:rFonts w:ascii="Arial" w:hAnsi="Arial" w:cs="Arial"/>
          <w:color w:val="000000" w:themeColor="text1"/>
          <w:sz w:val="20"/>
          <w:szCs w:val="20"/>
          <w:lang w:val="sr-Cyrl-RS"/>
        </w:rPr>
        <w:t>циљ</w:t>
      </w:r>
      <w:r w:rsidR="00A273A8" w:rsidRPr="1A8E6423">
        <w:rPr>
          <w:rFonts w:ascii="Arial" w:hAnsi="Arial" w:cs="Arial"/>
          <w:color w:val="000000" w:themeColor="text1"/>
          <w:sz w:val="20"/>
          <w:szCs w:val="20"/>
          <w:lang w:val="sr-Cyrl-RS"/>
        </w:rPr>
        <w:t>ем</w:t>
      </w:r>
      <w:r w:rsidRPr="1A8E6423">
        <w:rPr>
          <w:rFonts w:ascii="Arial" w:hAnsi="Arial" w:cs="Arial"/>
          <w:color w:val="000000" w:themeColor="text1"/>
          <w:sz w:val="20"/>
          <w:szCs w:val="20"/>
          <w:lang w:val="sr-Cyrl-RS"/>
        </w:rPr>
        <w:t xml:space="preserve"> мапирања и уједначавања административних поступака, СКГО и МДУЛС су у сарадњи са ресорним министарствима израдили </w:t>
      </w:r>
      <w:r w:rsidR="1E6DC18E" w:rsidRPr="1A8E6423">
        <w:rPr>
          <w:rFonts w:ascii="Arial" w:hAnsi="Arial" w:cs="Arial"/>
          <w:color w:val="000000" w:themeColor="text1"/>
          <w:sz w:val="20"/>
          <w:szCs w:val="20"/>
          <w:lang w:val="sr-Cyrl-RS"/>
        </w:rPr>
        <w:t xml:space="preserve">188 </w:t>
      </w:r>
      <w:r w:rsidRPr="1A8E6423">
        <w:rPr>
          <w:rFonts w:ascii="Arial" w:hAnsi="Arial" w:cs="Arial"/>
          <w:color w:val="000000" w:themeColor="text1"/>
          <w:sz w:val="20"/>
          <w:szCs w:val="20"/>
          <w:lang w:val="sr-Cyrl-RS"/>
        </w:rPr>
        <w:t xml:space="preserve">модела административних поступака којима </w:t>
      </w:r>
      <w:r w:rsidR="002A477F" w:rsidRPr="1A8E6423">
        <w:rPr>
          <w:rFonts w:ascii="Arial" w:hAnsi="Arial" w:cs="Arial"/>
          <w:color w:val="000000" w:themeColor="text1"/>
          <w:sz w:val="20"/>
          <w:szCs w:val="20"/>
          <w:lang w:val="sr-Cyrl-RS"/>
        </w:rPr>
        <w:t>с</w:t>
      </w:r>
      <w:r w:rsidRPr="1A8E6423">
        <w:rPr>
          <w:rFonts w:ascii="Arial" w:hAnsi="Arial" w:cs="Arial"/>
          <w:color w:val="000000" w:themeColor="text1"/>
          <w:sz w:val="20"/>
          <w:szCs w:val="20"/>
          <w:lang w:val="sr-Cyrl-RS"/>
        </w:rPr>
        <w:t xml:space="preserve">е ЈЛС </w:t>
      </w:r>
      <w:r w:rsidRPr="1A8E6423">
        <w:rPr>
          <w:rFonts w:ascii="Arial" w:hAnsi="Arial" w:cs="Arial"/>
          <w:color w:val="000000" w:themeColor="text1"/>
          <w:sz w:val="20"/>
          <w:szCs w:val="20"/>
          <w:lang w:val="sr-Cyrl-RS"/>
        </w:rPr>
        <w:lastRenderedPageBreak/>
        <w:t>указа</w:t>
      </w:r>
      <w:r w:rsidR="002A477F" w:rsidRPr="1A8E6423">
        <w:rPr>
          <w:rFonts w:ascii="Arial" w:hAnsi="Arial" w:cs="Arial"/>
          <w:color w:val="000000" w:themeColor="text1"/>
          <w:sz w:val="20"/>
          <w:szCs w:val="20"/>
          <w:lang w:val="sr-Cyrl-RS"/>
        </w:rPr>
        <w:t>л</w:t>
      </w:r>
      <w:r w:rsidRPr="1A8E6423">
        <w:rPr>
          <w:rFonts w:ascii="Arial" w:hAnsi="Arial" w:cs="Arial"/>
          <w:color w:val="000000" w:themeColor="text1"/>
          <w:sz w:val="20"/>
          <w:szCs w:val="20"/>
          <w:lang w:val="sr-Cyrl-RS"/>
        </w:rPr>
        <w:t xml:space="preserve">о на садржај и процес спровођења поступака које оне </w:t>
      </w:r>
      <w:r w:rsidR="002A477F" w:rsidRPr="1A8E6423">
        <w:rPr>
          <w:rFonts w:ascii="Arial" w:hAnsi="Arial" w:cs="Arial"/>
          <w:color w:val="000000" w:themeColor="text1"/>
          <w:sz w:val="20"/>
          <w:szCs w:val="20"/>
          <w:lang w:val="sr-Cyrl-RS"/>
        </w:rPr>
        <w:t xml:space="preserve">иначе </w:t>
      </w:r>
      <w:r w:rsidRPr="1A8E6423">
        <w:rPr>
          <w:rFonts w:ascii="Arial" w:hAnsi="Arial" w:cs="Arial"/>
          <w:color w:val="000000" w:themeColor="text1"/>
          <w:sz w:val="20"/>
          <w:szCs w:val="20"/>
          <w:lang w:val="sr-Cyrl-RS"/>
        </w:rPr>
        <w:t>спроводе</w:t>
      </w:r>
      <w:r w:rsidR="002A477F" w:rsidRPr="1A8E6423">
        <w:rPr>
          <w:rFonts w:ascii="Arial" w:hAnsi="Arial" w:cs="Arial"/>
          <w:color w:val="000000" w:themeColor="text1"/>
          <w:sz w:val="20"/>
          <w:szCs w:val="20"/>
          <w:lang w:val="sr-Cyrl-RS"/>
        </w:rPr>
        <w:t xml:space="preserve"> и дати су им предлози у вези са тим</w:t>
      </w:r>
      <w:r w:rsidRPr="1A8E6423">
        <w:rPr>
          <w:rFonts w:ascii="Arial" w:hAnsi="Arial" w:cs="Arial"/>
          <w:color w:val="000000" w:themeColor="text1"/>
          <w:sz w:val="20"/>
          <w:szCs w:val="20"/>
          <w:lang w:val="sr-Cyrl-RS"/>
        </w:rPr>
        <w:t>.</w:t>
      </w:r>
      <w:r w:rsidR="00A273A8"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Посебно је значајна примена</w:t>
      </w:r>
      <w:r w:rsidR="004D500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 xml:space="preserve">модела административних поступака у систему електронске размене података између органа, </w:t>
      </w:r>
      <w:r w:rsidR="002A477F" w:rsidRPr="1A8E6423">
        <w:rPr>
          <w:rFonts w:ascii="Arial" w:hAnsi="Arial" w:cs="Arial"/>
          <w:color w:val="000000" w:themeColor="text1"/>
          <w:sz w:val="20"/>
          <w:szCs w:val="20"/>
          <w:lang w:val="sr-Cyrl-RS"/>
        </w:rPr>
        <w:t>чији су</w:t>
      </w:r>
      <w:r w:rsidRPr="1A8E6423">
        <w:rPr>
          <w:rFonts w:ascii="Arial" w:hAnsi="Arial" w:cs="Arial"/>
          <w:color w:val="000000" w:themeColor="text1"/>
          <w:sz w:val="20"/>
          <w:szCs w:val="20"/>
          <w:lang w:val="sr-Cyrl-RS"/>
        </w:rPr>
        <w:t xml:space="preserve"> циљ ефикасније услуге и смањењ</w:t>
      </w:r>
      <w:r w:rsidR="000621D9" w:rsidRPr="1A8E6423">
        <w:rPr>
          <w:rFonts w:ascii="Arial" w:hAnsi="Arial" w:cs="Arial"/>
          <w:color w:val="000000" w:themeColor="text1"/>
          <w:sz w:val="20"/>
          <w:szCs w:val="20"/>
          <w:lang w:val="sr-Cyrl-RS"/>
        </w:rPr>
        <w:t>е</w:t>
      </w:r>
      <w:r w:rsidRPr="1A8E6423">
        <w:rPr>
          <w:rFonts w:ascii="Arial" w:hAnsi="Arial" w:cs="Arial"/>
          <w:color w:val="000000" w:themeColor="text1"/>
          <w:sz w:val="20"/>
          <w:szCs w:val="20"/>
          <w:lang w:val="sr-Cyrl-RS"/>
        </w:rPr>
        <w:t xml:space="preserve"> административних терета за грађане и привреду. </w:t>
      </w:r>
      <w:r w:rsidR="00B33236" w:rsidRPr="1A8E6423">
        <w:rPr>
          <w:rFonts w:ascii="Arial" w:hAnsi="Arial" w:cs="Arial"/>
          <w:color w:val="000000" w:themeColor="text1"/>
          <w:sz w:val="20"/>
          <w:szCs w:val="20"/>
          <w:lang w:val="sr-Cyrl-RS"/>
        </w:rPr>
        <w:t xml:space="preserve">Реформама које су спроведене </w:t>
      </w:r>
      <w:r w:rsidRPr="1A8E6423">
        <w:rPr>
          <w:rFonts w:ascii="Arial" w:hAnsi="Arial" w:cs="Arial"/>
          <w:color w:val="000000" w:themeColor="text1"/>
          <w:sz w:val="20"/>
          <w:szCs w:val="20"/>
          <w:lang w:val="sr-Cyrl-RS"/>
        </w:rPr>
        <w:t>омогућ</w:t>
      </w:r>
      <w:r w:rsidR="00B33236" w:rsidRPr="1A8E6423">
        <w:rPr>
          <w:rFonts w:ascii="Arial" w:hAnsi="Arial" w:cs="Arial"/>
          <w:color w:val="000000" w:themeColor="text1"/>
          <w:sz w:val="20"/>
          <w:szCs w:val="20"/>
          <w:lang w:val="sr-Cyrl-RS"/>
        </w:rPr>
        <w:t>ено је</w:t>
      </w:r>
      <w:r w:rsidRPr="1A8E6423">
        <w:rPr>
          <w:rFonts w:ascii="Arial" w:hAnsi="Arial" w:cs="Arial"/>
          <w:color w:val="000000" w:themeColor="text1"/>
          <w:sz w:val="20"/>
          <w:szCs w:val="20"/>
          <w:lang w:val="sr-Cyrl-RS"/>
        </w:rPr>
        <w:t xml:space="preserve"> градовима и општинама у Србији да уместо </w:t>
      </w:r>
      <w:r w:rsidR="002A477F" w:rsidRPr="1A8E6423">
        <w:rPr>
          <w:rFonts w:ascii="Arial" w:hAnsi="Arial" w:cs="Arial"/>
          <w:color w:val="000000" w:themeColor="text1"/>
          <w:sz w:val="20"/>
          <w:szCs w:val="20"/>
          <w:lang w:val="sr-Cyrl-RS"/>
        </w:rPr>
        <w:t>странака</w:t>
      </w:r>
      <w:r w:rsidRPr="1A8E6423">
        <w:rPr>
          <w:rFonts w:ascii="Arial" w:hAnsi="Arial" w:cs="Arial"/>
          <w:color w:val="000000" w:themeColor="text1"/>
          <w:sz w:val="20"/>
          <w:szCs w:val="20"/>
          <w:lang w:val="sr-Cyrl-RS"/>
        </w:rPr>
        <w:t xml:space="preserve"> бесплатно прибављају податке из званичних евиденција,</w:t>
      </w:r>
      <w:r w:rsidR="002A477F" w:rsidRPr="1A8E6423">
        <w:rPr>
          <w:rFonts w:ascii="Arial" w:hAnsi="Arial" w:cs="Arial"/>
          <w:color w:val="000000" w:themeColor="text1"/>
          <w:sz w:val="20"/>
          <w:szCs w:val="20"/>
          <w:lang w:val="sr-Cyrl-RS"/>
        </w:rPr>
        <w:t xml:space="preserve"> преко</w:t>
      </w:r>
      <w:r w:rsidRPr="1A8E6423">
        <w:rPr>
          <w:rFonts w:ascii="Arial" w:hAnsi="Arial" w:cs="Arial"/>
          <w:color w:val="000000" w:themeColor="text1"/>
          <w:sz w:val="20"/>
          <w:szCs w:val="20"/>
          <w:lang w:val="sr-Cyrl-RS"/>
        </w:rPr>
        <w:t xml:space="preserve"> </w:t>
      </w:r>
      <w:r w:rsidR="0025443B" w:rsidRPr="1A8E6423">
        <w:rPr>
          <w:rFonts w:ascii="Arial" w:hAnsi="Arial" w:cs="Arial"/>
          <w:color w:val="000000" w:themeColor="text1"/>
          <w:sz w:val="20"/>
          <w:szCs w:val="20"/>
          <w:lang w:val="sr-Cyrl-RS"/>
        </w:rPr>
        <w:t>систем</w:t>
      </w:r>
      <w:r w:rsidR="002A477F" w:rsidRPr="1A8E6423">
        <w:rPr>
          <w:rFonts w:ascii="Arial" w:hAnsi="Arial" w:cs="Arial"/>
          <w:color w:val="000000" w:themeColor="text1"/>
          <w:sz w:val="20"/>
          <w:szCs w:val="20"/>
          <w:lang w:val="sr-Cyrl-RS"/>
        </w:rPr>
        <w:t>а</w:t>
      </w:r>
      <w:r w:rsidR="0025443B"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за електронску размену података између органа, сервисне магистрале органа (тзв.</w:t>
      </w:r>
      <w:r w:rsidR="004D500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еЗУП).</w:t>
      </w:r>
      <w:r w:rsidR="00AD4637"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Важно је напоменути да</w:t>
      </w:r>
      <w:r w:rsidR="004D500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су ЈЛС</w:t>
      </w:r>
      <w:r w:rsidR="004D500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до маја 2020</w:t>
      </w:r>
      <w:r w:rsidR="007F6C81"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године бесплатно прибавиле од других органа уместо странака више од 1,5 милиона податка.</w:t>
      </w:r>
      <w:r w:rsidR="004D500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Посебан резултат постигну</w:t>
      </w:r>
      <w:r w:rsidR="00AD4637" w:rsidRPr="1A8E6423">
        <w:rPr>
          <w:rFonts w:ascii="Arial" w:hAnsi="Arial" w:cs="Arial"/>
          <w:color w:val="000000" w:themeColor="text1"/>
          <w:sz w:val="20"/>
          <w:szCs w:val="20"/>
          <w:lang w:val="sr-Cyrl-RS"/>
        </w:rPr>
        <w:t>т</w:t>
      </w:r>
      <w:r w:rsidR="002A477F"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је кроз дигитализацију процеса издавања грађевинских дозвола</w:t>
      </w:r>
      <w:r w:rsidR="002A477F"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коју је спровело </w:t>
      </w:r>
      <w:r w:rsidR="005304A0" w:rsidRPr="1A8E6423">
        <w:rPr>
          <w:rFonts w:ascii="Arial" w:hAnsi="Arial" w:cs="Arial"/>
          <w:color w:val="000000" w:themeColor="text1"/>
          <w:sz w:val="20"/>
          <w:szCs w:val="20"/>
          <w:lang w:val="sr-Cyrl-RS"/>
        </w:rPr>
        <w:t xml:space="preserve">МГСИ </w:t>
      </w:r>
      <w:r w:rsidRPr="1A8E6423">
        <w:rPr>
          <w:rFonts w:ascii="Arial" w:hAnsi="Arial" w:cs="Arial"/>
          <w:color w:val="000000" w:themeColor="text1"/>
          <w:sz w:val="20"/>
          <w:szCs w:val="20"/>
          <w:lang w:val="sr-Cyrl-RS"/>
        </w:rPr>
        <w:t xml:space="preserve">у сарадњи са НАЛЕД-ом, што је </w:t>
      </w:r>
      <w:r w:rsidR="002A477F" w:rsidRPr="1A8E6423">
        <w:rPr>
          <w:rFonts w:ascii="Arial" w:hAnsi="Arial" w:cs="Arial"/>
          <w:color w:val="000000" w:themeColor="text1"/>
          <w:sz w:val="20"/>
          <w:szCs w:val="20"/>
          <w:lang w:val="sr-Cyrl-RS"/>
        </w:rPr>
        <w:t>к</w:t>
      </w:r>
      <w:r w:rsidRPr="1A8E6423">
        <w:rPr>
          <w:rFonts w:ascii="Arial" w:hAnsi="Arial" w:cs="Arial"/>
          <w:color w:val="000000" w:themeColor="text1"/>
          <w:sz w:val="20"/>
          <w:szCs w:val="20"/>
          <w:lang w:val="sr-Cyrl-RS"/>
        </w:rPr>
        <w:t>а</w:t>
      </w:r>
      <w:r w:rsidR="002A477F" w:rsidRPr="1A8E6423">
        <w:rPr>
          <w:rFonts w:ascii="Arial" w:hAnsi="Arial" w:cs="Arial"/>
          <w:color w:val="000000" w:themeColor="text1"/>
          <w:sz w:val="20"/>
          <w:szCs w:val="20"/>
          <w:lang w:val="sr-Cyrl-RS"/>
        </w:rPr>
        <w:t>о</w:t>
      </w:r>
      <w:r w:rsidRPr="1A8E6423">
        <w:rPr>
          <w:rFonts w:ascii="Arial" w:hAnsi="Arial" w:cs="Arial"/>
          <w:color w:val="000000" w:themeColor="text1"/>
          <w:sz w:val="20"/>
          <w:szCs w:val="20"/>
          <w:lang w:val="sr-Cyrl-RS"/>
        </w:rPr>
        <w:t xml:space="preserve"> резултат имало</w:t>
      </w:r>
      <w:r w:rsidR="004D500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једноставније и брже издавања дозвола</w:t>
      </w:r>
      <w:r w:rsidR="008D1905"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а тиме и веће приходе ЈЛС. Део ЈЛС </w:t>
      </w:r>
      <w:r w:rsidR="006F145F" w:rsidRPr="1A8E6423">
        <w:rPr>
          <w:rFonts w:ascii="Arial" w:hAnsi="Arial" w:cs="Arial"/>
          <w:color w:val="000000" w:themeColor="text1"/>
          <w:sz w:val="20"/>
          <w:szCs w:val="20"/>
          <w:lang w:val="sr-Cyrl-RS"/>
        </w:rPr>
        <w:t>је</w:t>
      </w:r>
      <w:r w:rsidR="002A477F" w:rsidRPr="1A8E6423">
        <w:rPr>
          <w:rFonts w:ascii="Arial" w:hAnsi="Arial" w:cs="Arial"/>
          <w:color w:val="000000" w:themeColor="text1"/>
          <w:sz w:val="20"/>
          <w:szCs w:val="20"/>
          <w:lang w:val="sr-Cyrl-RS"/>
        </w:rPr>
        <w:t>,</w:t>
      </w:r>
      <w:r w:rsidR="006F145F" w:rsidRPr="1A8E6423">
        <w:rPr>
          <w:rFonts w:ascii="Arial" w:hAnsi="Arial" w:cs="Arial"/>
          <w:color w:val="000000" w:themeColor="text1"/>
          <w:sz w:val="20"/>
          <w:szCs w:val="20"/>
          <w:lang w:val="sr-Cyrl-RS"/>
        </w:rPr>
        <w:t xml:space="preserve"> </w:t>
      </w:r>
      <w:r w:rsidR="002A477F" w:rsidRPr="1A8E6423">
        <w:rPr>
          <w:rFonts w:ascii="Arial" w:hAnsi="Arial" w:cs="Arial"/>
          <w:color w:val="000000" w:themeColor="text1"/>
          <w:sz w:val="20"/>
          <w:szCs w:val="20"/>
          <w:lang w:val="sr-Cyrl-RS"/>
        </w:rPr>
        <w:t>ради</w:t>
      </w:r>
      <w:r w:rsidRPr="1A8E6423">
        <w:rPr>
          <w:rFonts w:ascii="Arial" w:hAnsi="Arial" w:cs="Arial"/>
          <w:color w:val="000000" w:themeColor="text1"/>
          <w:sz w:val="20"/>
          <w:szCs w:val="20"/>
          <w:lang w:val="sr-Cyrl-RS"/>
        </w:rPr>
        <w:t xml:space="preserve"> повећања оптимизације, ефикасности и доступности управних услуга,</w:t>
      </w:r>
      <w:r w:rsidR="004D500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покренуо процес унапређења рада кроз</w:t>
      </w:r>
      <w:r w:rsidR="006F145F"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 xml:space="preserve">реформу административних поступака (по моделима СКГО и МДУЛС), </w:t>
      </w:r>
      <w:r w:rsidR="002A477F" w:rsidRPr="1A8E6423">
        <w:rPr>
          <w:rFonts w:ascii="Arial" w:hAnsi="Arial" w:cs="Arial"/>
          <w:color w:val="000000" w:themeColor="text1"/>
          <w:sz w:val="20"/>
          <w:szCs w:val="20"/>
          <w:lang w:val="sr-Cyrl-RS"/>
        </w:rPr>
        <w:t>унапређење</w:t>
      </w:r>
      <w:r w:rsidRPr="1A8E6423">
        <w:rPr>
          <w:rFonts w:ascii="Arial" w:hAnsi="Arial" w:cs="Arial"/>
          <w:color w:val="000000" w:themeColor="text1"/>
          <w:sz w:val="20"/>
          <w:szCs w:val="20"/>
          <w:lang w:val="sr-Cyrl-RS"/>
        </w:rPr>
        <w:t xml:space="preserve"> постојећих или увођење нових услужних центара за рад са грађанима </w:t>
      </w:r>
      <w:r w:rsidR="00300CBB" w:rsidRPr="1A8E6423">
        <w:rPr>
          <w:rFonts w:ascii="Arial" w:hAnsi="Arial" w:cs="Arial"/>
          <w:color w:val="000000" w:themeColor="text1"/>
          <w:sz w:val="20"/>
          <w:szCs w:val="20"/>
          <w:lang w:val="sr-Cyrl-RS"/>
        </w:rPr>
        <w:t>(</w:t>
      </w:r>
      <w:r w:rsidR="00174447" w:rsidRPr="1A8E6423">
        <w:rPr>
          <w:rFonts w:ascii="Arial" w:hAnsi="Arial" w:cs="Arial"/>
          <w:color w:val="000000" w:themeColor="text1"/>
          <w:sz w:val="20"/>
          <w:szCs w:val="20"/>
          <w:lang w:val="sr-Cyrl-RS"/>
        </w:rPr>
        <w:t>ус</w:t>
      </w:r>
      <w:r w:rsidRPr="1A8E6423">
        <w:rPr>
          <w:rFonts w:ascii="Arial" w:hAnsi="Arial" w:cs="Arial"/>
          <w:color w:val="000000" w:themeColor="text1"/>
          <w:sz w:val="20"/>
          <w:szCs w:val="20"/>
          <w:lang w:val="sr-Cyrl-RS"/>
        </w:rPr>
        <w:t>постављање јединствених управних места</w:t>
      </w:r>
      <w:r w:rsidR="00300CBB"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постављање електронских регистара административних поступака на интернет странама и др. </w:t>
      </w:r>
      <w:r w:rsidR="00D609F8" w:rsidRPr="1A8E6423">
        <w:rPr>
          <w:rFonts w:ascii="Arial" w:hAnsi="Arial" w:cs="Arial"/>
          <w:color w:val="000000" w:themeColor="text1"/>
          <w:sz w:val="20"/>
          <w:szCs w:val="20"/>
          <w:lang w:val="sr-Cyrl-RS"/>
        </w:rPr>
        <w:t xml:space="preserve">И </w:t>
      </w:r>
      <w:r w:rsidRPr="1A8E6423">
        <w:rPr>
          <w:rFonts w:ascii="Arial" w:hAnsi="Arial" w:cs="Arial"/>
          <w:color w:val="000000" w:themeColor="text1"/>
          <w:sz w:val="20"/>
          <w:szCs w:val="20"/>
          <w:lang w:val="sr-Cyrl-RS"/>
        </w:rPr>
        <w:t>даље</w:t>
      </w:r>
      <w:r w:rsidR="00D609F8" w:rsidRPr="1A8E6423">
        <w:rPr>
          <w:rFonts w:ascii="Arial" w:hAnsi="Arial" w:cs="Arial"/>
          <w:color w:val="000000" w:themeColor="text1"/>
          <w:sz w:val="20"/>
          <w:szCs w:val="20"/>
          <w:lang w:val="sr-Cyrl-RS"/>
        </w:rPr>
        <w:t>, међутим,</w:t>
      </w:r>
      <w:r w:rsidRPr="1A8E6423">
        <w:rPr>
          <w:rFonts w:ascii="Arial" w:hAnsi="Arial" w:cs="Arial"/>
          <w:color w:val="000000" w:themeColor="text1"/>
          <w:sz w:val="20"/>
          <w:szCs w:val="20"/>
          <w:lang w:val="sr-Cyrl-RS"/>
        </w:rPr>
        <w:t xml:space="preserve"> постоје значајни проблеми у ефикасности административног поступања, као и разлике </w:t>
      </w:r>
      <w:r w:rsidR="002A477F" w:rsidRPr="1A8E6423">
        <w:rPr>
          <w:rFonts w:ascii="Arial" w:hAnsi="Arial" w:cs="Arial"/>
          <w:color w:val="000000" w:themeColor="text1"/>
          <w:sz w:val="20"/>
          <w:szCs w:val="20"/>
          <w:lang w:val="sr-Cyrl-RS"/>
        </w:rPr>
        <w:t>из</w:t>
      </w:r>
      <w:r w:rsidRPr="1A8E6423">
        <w:rPr>
          <w:rFonts w:ascii="Arial" w:hAnsi="Arial" w:cs="Arial"/>
          <w:color w:val="000000" w:themeColor="text1"/>
          <w:sz w:val="20"/>
          <w:szCs w:val="20"/>
          <w:lang w:val="sr-Cyrl-RS"/>
        </w:rPr>
        <w:t xml:space="preserve">међу ЈЛС у погледу трајања или садржине управних поступака. Процес </w:t>
      </w:r>
      <w:r w:rsidR="00E73690" w:rsidRPr="1A8E6423">
        <w:rPr>
          <w:rFonts w:ascii="Arial" w:hAnsi="Arial" w:cs="Arial"/>
          <w:color w:val="000000" w:themeColor="text1"/>
          <w:sz w:val="20"/>
          <w:szCs w:val="20"/>
          <w:lang w:val="sr-Cyrl-RS"/>
        </w:rPr>
        <w:t>даље реформе</w:t>
      </w:r>
      <w:r w:rsidRPr="1A8E6423">
        <w:rPr>
          <w:rFonts w:ascii="Arial" w:hAnsi="Arial" w:cs="Arial"/>
          <w:color w:val="000000" w:themeColor="text1"/>
          <w:sz w:val="20"/>
          <w:szCs w:val="20"/>
          <w:lang w:val="sr-Cyrl-RS"/>
        </w:rPr>
        <w:t xml:space="preserve"> локалне управе подразумева наставак интензивног развоја електронске управе и дигитализације јавних услуга, јер су то кључни алати за знатно већу ефикасност јавне управе и за „локализацију” јавних услуга. Разлози за неефикасно административно поступање леже у ниским или неуједначеним организационим и управним капацитетима, као и недостатку адекватних људских, финансијских</w:t>
      </w:r>
      <w:r w:rsidR="000E00B4" w:rsidRPr="1A8E6423">
        <w:rPr>
          <w:rFonts w:ascii="Arial" w:hAnsi="Arial" w:cs="Arial"/>
          <w:color w:val="000000" w:themeColor="text1"/>
          <w:sz w:val="20"/>
          <w:szCs w:val="20"/>
          <w:lang w:val="sr-Cyrl-RS"/>
        </w:rPr>
        <w:t xml:space="preserve"> и техничких</w:t>
      </w:r>
      <w:r w:rsidRPr="1A8E6423">
        <w:rPr>
          <w:rFonts w:ascii="Arial" w:hAnsi="Arial" w:cs="Arial"/>
          <w:color w:val="000000" w:themeColor="text1"/>
          <w:sz w:val="20"/>
          <w:szCs w:val="20"/>
          <w:lang w:val="sr-Cyrl-RS"/>
        </w:rPr>
        <w:t xml:space="preserve"> ресурса ЈЛС</w:t>
      </w:r>
      <w:r w:rsidR="004E0663" w:rsidRPr="1A8E6423">
        <w:rPr>
          <w:rFonts w:ascii="Arial" w:hAnsi="Arial" w:cs="Arial"/>
          <w:color w:val="000000" w:themeColor="text1"/>
          <w:sz w:val="20"/>
          <w:szCs w:val="20"/>
          <w:lang w:val="sr-Cyrl-RS"/>
        </w:rPr>
        <w:t>, који су претпоставка за даљу трансформацију административних услуга, посебно за дигитализацију</w:t>
      </w:r>
      <w:r w:rsidR="00E73690" w:rsidRPr="1A8E6423">
        <w:rPr>
          <w:rFonts w:ascii="Arial" w:hAnsi="Arial" w:cs="Arial"/>
          <w:sz w:val="20"/>
          <w:szCs w:val="20"/>
          <w:lang w:val="sr-Cyrl-RS"/>
        </w:rPr>
        <w:t>.</w:t>
      </w:r>
    </w:p>
    <w:p w14:paraId="4DC11F73" w14:textId="77777777" w:rsidR="00A27249" w:rsidRPr="00A021B7" w:rsidRDefault="00A27249" w:rsidP="1A8E6423">
      <w:pPr>
        <w:ind w:firstLine="720"/>
        <w:jc w:val="both"/>
        <w:rPr>
          <w:rFonts w:ascii="Arial" w:hAnsi="Arial" w:cs="Arial"/>
          <w:sz w:val="20"/>
          <w:szCs w:val="20"/>
          <w:lang w:val="sr-Cyrl-RS"/>
        </w:rPr>
      </w:pPr>
    </w:p>
    <w:p w14:paraId="04E0571F" w14:textId="5FBE8997" w:rsidR="003E2047" w:rsidRPr="00A021B7" w:rsidRDefault="302EFDE1"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Јавна комунална предузећа </w:t>
      </w:r>
      <w:r w:rsidR="13059180" w:rsidRPr="00A021B7">
        <w:rPr>
          <w:rFonts w:ascii="Arial" w:hAnsi="Arial" w:cs="Arial"/>
          <w:sz w:val="20"/>
          <w:szCs w:val="20"/>
          <w:lang w:val="sr-Cyrl-RS"/>
        </w:rPr>
        <w:t xml:space="preserve">(ЈКП) </w:t>
      </w:r>
      <w:r w:rsidRPr="00A021B7">
        <w:rPr>
          <w:rFonts w:ascii="Arial" w:hAnsi="Arial" w:cs="Arial"/>
          <w:sz w:val="20"/>
          <w:szCs w:val="20"/>
          <w:lang w:val="sr-Cyrl-RS"/>
        </w:rPr>
        <w:t xml:space="preserve">још увек нису </w:t>
      </w:r>
      <w:r w:rsidR="58A30ABF" w:rsidRPr="00A021B7">
        <w:rPr>
          <w:rFonts w:ascii="Arial" w:hAnsi="Arial" w:cs="Arial"/>
          <w:sz w:val="20"/>
          <w:szCs w:val="20"/>
          <w:lang w:val="sr-Cyrl-RS"/>
        </w:rPr>
        <w:t>у</w:t>
      </w:r>
      <w:r w:rsidR="002A477F">
        <w:rPr>
          <w:rFonts w:ascii="Arial" w:hAnsi="Arial" w:cs="Arial"/>
          <w:sz w:val="20"/>
          <w:szCs w:val="20"/>
          <w:lang w:val="sr-Cyrl-RS"/>
        </w:rPr>
        <w:t xml:space="preserve"> </w:t>
      </w:r>
      <w:r w:rsidR="58A30ABF" w:rsidRPr="00A021B7">
        <w:rPr>
          <w:rFonts w:ascii="Arial" w:hAnsi="Arial" w:cs="Arial"/>
          <w:sz w:val="20"/>
          <w:szCs w:val="20"/>
          <w:lang w:val="sr-Cyrl-RS"/>
        </w:rPr>
        <w:t>свим ЈЛС</w:t>
      </w:r>
      <w:r w:rsidRPr="00A021B7">
        <w:rPr>
          <w:rFonts w:ascii="Arial" w:hAnsi="Arial" w:cs="Arial"/>
          <w:sz w:val="20"/>
          <w:szCs w:val="20"/>
          <w:lang w:val="sr-Cyrl-RS"/>
        </w:rPr>
        <w:t xml:space="preserve"> реформисана и још увек постоје значајни проблеми у </w:t>
      </w:r>
      <w:r w:rsidR="00F4035C">
        <w:rPr>
          <w:rFonts w:ascii="Arial" w:hAnsi="Arial" w:cs="Arial"/>
          <w:sz w:val="20"/>
          <w:szCs w:val="20"/>
          <w:lang w:val="sr-Cyrl-RS"/>
        </w:rPr>
        <w:t>пружању</w:t>
      </w:r>
      <w:r w:rsidR="00F4035C" w:rsidRPr="00A021B7">
        <w:rPr>
          <w:rFonts w:ascii="Arial" w:hAnsi="Arial" w:cs="Arial"/>
          <w:sz w:val="20"/>
          <w:szCs w:val="20"/>
          <w:lang w:val="sr-Cyrl-RS"/>
        </w:rPr>
        <w:t xml:space="preserve"> </w:t>
      </w:r>
      <w:r w:rsidRPr="00A021B7">
        <w:rPr>
          <w:rFonts w:ascii="Arial" w:hAnsi="Arial" w:cs="Arial"/>
          <w:sz w:val="20"/>
          <w:szCs w:val="20"/>
          <w:lang w:val="sr-Cyrl-RS"/>
        </w:rPr>
        <w:t xml:space="preserve">кључних комуналних услуга. Реформе у области комуналних делатности дуго се најављују, али још нису започете у пуној мери. Комуналне делатности су и даље оптерећене наслеђеним проблемима, који обухватају застарелост инфраструктуре и опреме, недостатак средстава за инвестиције, нерешен статус имовине </w:t>
      </w:r>
      <w:r w:rsidR="703B6520" w:rsidRPr="00A021B7">
        <w:rPr>
          <w:rFonts w:ascii="Arial" w:hAnsi="Arial" w:cs="Arial"/>
          <w:sz w:val="20"/>
          <w:szCs w:val="20"/>
          <w:lang w:val="sr-Cyrl-RS"/>
        </w:rPr>
        <w:t>ЈКП</w:t>
      </w:r>
      <w:r w:rsidRPr="00A021B7">
        <w:rPr>
          <w:rFonts w:ascii="Arial" w:hAnsi="Arial" w:cs="Arial"/>
          <w:sz w:val="20"/>
          <w:szCs w:val="20"/>
          <w:lang w:val="sr-Cyrl-RS"/>
        </w:rPr>
        <w:t>, неефикасно управљање, неадекватн</w:t>
      </w:r>
      <w:r w:rsidR="63BB4D1A" w:rsidRPr="00A021B7">
        <w:rPr>
          <w:rFonts w:ascii="Arial" w:hAnsi="Arial" w:cs="Arial"/>
          <w:sz w:val="20"/>
          <w:szCs w:val="20"/>
          <w:lang w:val="sr-Cyrl-RS"/>
        </w:rPr>
        <w:t>е</w:t>
      </w:r>
      <w:r w:rsidRPr="00A021B7">
        <w:rPr>
          <w:rFonts w:ascii="Arial" w:hAnsi="Arial" w:cs="Arial"/>
          <w:sz w:val="20"/>
          <w:szCs w:val="20"/>
          <w:lang w:val="sr-Cyrl-RS"/>
        </w:rPr>
        <w:t xml:space="preserve"> паритет</w:t>
      </w:r>
      <w:r w:rsidR="63BB4D1A" w:rsidRPr="00A021B7">
        <w:rPr>
          <w:rFonts w:ascii="Arial" w:hAnsi="Arial" w:cs="Arial"/>
          <w:sz w:val="20"/>
          <w:szCs w:val="20"/>
          <w:lang w:val="sr-Cyrl-RS"/>
        </w:rPr>
        <w:t>е</w:t>
      </w:r>
      <w:r w:rsidRPr="00A021B7">
        <w:rPr>
          <w:rFonts w:ascii="Arial" w:hAnsi="Arial" w:cs="Arial"/>
          <w:sz w:val="20"/>
          <w:szCs w:val="20"/>
          <w:lang w:val="sr-Cyrl-RS"/>
        </w:rPr>
        <w:t xml:space="preserve"> цена комуналних услуга и политички утицај на рад </w:t>
      </w:r>
      <w:r w:rsidR="703B6520" w:rsidRPr="00A021B7">
        <w:rPr>
          <w:rFonts w:ascii="Arial" w:hAnsi="Arial" w:cs="Arial"/>
          <w:sz w:val="20"/>
          <w:szCs w:val="20"/>
          <w:lang w:val="sr-Cyrl-RS"/>
        </w:rPr>
        <w:t>ЈКП</w:t>
      </w:r>
      <w:r w:rsidRPr="00A021B7">
        <w:rPr>
          <w:rFonts w:ascii="Arial" w:hAnsi="Arial" w:cs="Arial"/>
          <w:sz w:val="20"/>
          <w:szCs w:val="20"/>
          <w:lang w:val="sr-Cyrl-RS"/>
        </w:rPr>
        <w:t>. Због дотрајалости или непостојања комуналне инфраструктуре, као што су санитарне депоније или канализациони системи и постројења за пречишћавање отпадних вода, негативан утицај на животну средину додатно је појачан, што угрожава здравље становништва, погоршава квалитет живота и утиче на неравномеран регионални развој</w:t>
      </w:r>
      <w:r w:rsidR="405F8A0A" w:rsidRPr="00A021B7">
        <w:rPr>
          <w:rFonts w:ascii="Arial" w:hAnsi="Arial" w:cs="Arial"/>
          <w:sz w:val="20"/>
          <w:szCs w:val="20"/>
          <w:lang w:val="sr-Cyrl-RS"/>
        </w:rPr>
        <w:t>.</w:t>
      </w:r>
      <w:r w:rsidR="003E2047" w:rsidRPr="00A021B7">
        <w:rPr>
          <w:rStyle w:val="FootnoteReference"/>
          <w:rFonts w:ascii="Arial" w:hAnsi="Arial" w:cs="Arial"/>
          <w:sz w:val="20"/>
          <w:szCs w:val="20"/>
          <w:lang w:val="sr-Cyrl-RS"/>
        </w:rPr>
        <w:footnoteReference w:id="31"/>
      </w:r>
      <w:r w:rsidRPr="00A021B7">
        <w:rPr>
          <w:rFonts w:ascii="Arial" w:hAnsi="Arial" w:cs="Arial"/>
          <w:sz w:val="20"/>
          <w:szCs w:val="20"/>
          <w:lang w:val="sr-Cyrl-RS"/>
        </w:rPr>
        <w:t xml:space="preserve"> </w:t>
      </w:r>
      <w:r w:rsidR="0746CD25" w:rsidRPr="00A021B7">
        <w:rPr>
          <w:rFonts w:ascii="Arial" w:hAnsi="Arial" w:cs="Arial"/>
          <w:sz w:val="20"/>
          <w:szCs w:val="20"/>
          <w:lang w:val="sr-Cyrl-RS"/>
        </w:rPr>
        <w:t>Недо</w:t>
      </w:r>
      <w:r w:rsidR="5B70FBB7" w:rsidRPr="00A021B7">
        <w:rPr>
          <w:rFonts w:ascii="Arial" w:hAnsi="Arial" w:cs="Arial"/>
          <w:sz w:val="20"/>
          <w:szCs w:val="20"/>
          <w:lang w:val="sr-Cyrl-RS"/>
        </w:rPr>
        <w:t>в</w:t>
      </w:r>
      <w:r w:rsidR="0746CD25" w:rsidRPr="00A021B7">
        <w:rPr>
          <w:rFonts w:ascii="Arial" w:hAnsi="Arial" w:cs="Arial"/>
          <w:sz w:val="20"/>
          <w:szCs w:val="20"/>
          <w:lang w:val="sr-Cyrl-RS"/>
        </w:rPr>
        <w:t xml:space="preserve">ољан обим, обухват и квалитет комуналних услуга остаје </w:t>
      </w:r>
      <w:r w:rsidR="3E76231B" w:rsidRPr="00A021B7">
        <w:rPr>
          <w:rFonts w:ascii="Arial" w:hAnsi="Arial" w:cs="Arial"/>
          <w:sz w:val="20"/>
          <w:szCs w:val="20"/>
          <w:lang w:val="sr-Cyrl-RS"/>
        </w:rPr>
        <w:t>посебно важан изазов</w:t>
      </w:r>
      <w:r w:rsidR="0090073A">
        <w:rPr>
          <w:rFonts w:ascii="Arial" w:hAnsi="Arial" w:cs="Arial"/>
          <w:sz w:val="20"/>
          <w:szCs w:val="20"/>
          <w:lang w:val="sr-Cyrl-RS"/>
        </w:rPr>
        <w:t>,</w:t>
      </w:r>
      <w:r w:rsidR="3E76231B" w:rsidRPr="00A021B7">
        <w:rPr>
          <w:rFonts w:ascii="Arial" w:hAnsi="Arial" w:cs="Arial"/>
          <w:sz w:val="20"/>
          <w:szCs w:val="20"/>
          <w:lang w:val="sr-Cyrl-RS"/>
        </w:rPr>
        <w:t xml:space="preserve"> од чије</w:t>
      </w:r>
      <w:r w:rsidR="0090073A">
        <w:rPr>
          <w:rFonts w:ascii="Arial" w:hAnsi="Arial" w:cs="Arial"/>
          <w:sz w:val="20"/>
          <w:szCs w:val="20"/>
          <w:lang w:val="sr-Cyrl-RS"/>
        </w:rPr>
        <w:t>г</w:t>
      </w:r>
      <w:r w:rsidR="3E76231B" w:rsidRPr="00A021B7">
        <w:rPr>
          <w:rFonts w:ascii="Arial" w:hAnsi="Arial" w:cs="Arial"/>
          <w:sz w:val="20"/>
          <w:szCs w:val="20"/>
          <w:lang w:val="sr-Cyrl-RS"/>
        </w:rPr>
        <w:t xml:space="preserve"> разрешења зависти укупан квалитет живота грађана у локалним заједницама. </w:t>
      </w:r>
      <w:r w:rsidRPr="00A021B7">
        <w:rPr>
          <w:rFonts w:ascii="Arial" w:hAnsi="Arial" w:cs="Arial"/>
          <w:sz w:val="20"/>
          <w:szCs w:val="20"/>
          <w:lang w:val="sr-Cyrl-RS"/>
        </w:rPr>
        <w:t>Према подацима Републичког завода за статистику</w:t>
      </w:r>
      <w:r w:rsidR="405F8A0A" w:rsidRPr="00A021B7">
        <w:rPr>
          <w:rFonts w:ascii="Arial" w:hAnsi="Arial" w:cs="Arial"/>
          <w:sz w:val="20"/>
          <w:szCs w:val="20"/>
          <w:lang w:val="sr-Cyrl-RS"/>
        </w:rPr>
        <w:t>,</w:t>
      </w:r>
      <w:r w:rsidRPr="00A021B7">
        <w:rPr>
          <w:rFonts w:ascii="Arial" w:hAnsi="Arial" w:cs="Arial"/>
          <w:sz w:val="20"/>
          <w:szCs w:val="20"/>
          <w:lang w:val="sr-Cyrl-RS"/>
        </w:rPr>
        <w:t xml:space="preserve"> на водоводну мрежу у Србији је, у 2017. години, било прикључено 84,8% домаћинстава, а проценат је у последњих неколико година додатно растао. Ипак, овај податак не говори и о био-хемијској исправности воде, која није увек на задовољавајућем нивоу. На канализациону мрежу прикључено је 60,6% домаћинстава, а у 2018. прерађивано је само 12,9% прикупљених отпадних вода. Организованом услугом управљања отпадом покривено је 87,2% становништва, док 11 санитарних регионалних депонија</w:t>
      </w:r>
      <w:r w:rsidR="003E2047" w:rsidRPr="00A021B7">
        <w:rPr>
          <w:rStyle w:val="FootnoteReference"/>
          <w:rFonts w:ascii="Arial" w:hAnsi="Arial" w:cs="Arial"/>
          <w:sz w:val="20"/>
          <w:szCs w:val="20"/>
          <w:lang w:val="sr-Cyrl-RS"/>
        </w:rPr>
        <w:footnoteReference w:id="32"/>
      </w:r>
      <w:r w:rsidRPr="00A021B7">
        <w:rPr>
          <w:rFonts w:ascii="Arial" w:hAnsi="Arial" w:cs="Arial"/>
          <w:sz w:val="20"/>
          <w:szCs w:val="20"/>
          <w:lang w:val="sr-Cyrl-RS"/>
        </w:rPr>
        <w:t xml:space="preserve"> </w:t>
      </w:r>
      <w:r w:rsidR="214EE97D" w:rsidRPr="00A021B7">
        <w:rPr>
          <w:rFonts w:ascii="Arial" w:hAnsi="Arial" w:cs="Arial"/>
          <w:sz w:val="20"/>
          <w:szCs w:val="20"/>
          <w:lang w:val="sr-Cyrl-RS"/>
        </w:rPr>
        <w:t xml:space="preserve">покрива </w:t>
      </w:r>
      <w:r w:rsidRPr="00A021B7">
        <w:rPr>
          <w:rFonts w:ascii="Arial" w:hAnsi="Arial" w:cs="Arial"/>
          <w:sz w:val="20"/>
          <w:szCs w:val="20"/>
          <w:lang w:val="sr-Cyrl-RS"/>
        </w:rPr>
        <w:t xml:space="preserve">око 24% </w:t>
      </w:r>
      <w:r w:rsidR="214EE97D" w:rsidRPr="00A021B7">
        <w:rPr>
          <w:rFonts w:ascii="Arial" w:hAnsi="Arial" w:cs="Arial"/>
          <w:sz w:val="20"/>
          <w:szCs w:val="20"/>
          <w:lang w:val="sr-Cyrl-RS"/>
        </w:rPr>
        <w:t>становништва</w:t>
      </w:r>
      <w:r w:rsidR="003E2047" w:rsidRPr="00A021B7">
        <w:rPr>
          <w:rStyle w:val="FootnoteReference"/>
          <w:rFonts w:ascii="Arial" w:hAnsi="Arial" w:cs="Arial"/>
          <w:sz w:val="20"/>
          <w:szCs w:val="20"/>
          <w:lang w:val="sr-Cyrl-RS"/>
        </w:rPr>
        <w:footnoteReference w:id="33"/>
      </w:r>
      <w:r w:rsidRPr="00A021B7">
        <w:rPr>
          <w:rFonts w:ascii="Arial" w:hAnsi="Arial" w:cs="Arial"/>
          <w:sz w:val="20"/>
          <w:szCs w:val="20"/>
          <w:lang w:val="sr-Cyrl-RS"/>
        </w:rPr>
        <w:t xml:space="preserve"> Републике Србије. </w:t>
      </w:r>
      <w:r w:rsidR="00CF62E9" w:rsidRPr="00A021B7">
        <w:rPr>
          <w:rFonts w:ascii="Arial" w:hAnsi="Arial" w:cs="Arial"/>
          <w:sz w:val="20"/>
          <w:szCs w:val="20"/>
          <w:lang w:val="sr-Cyrl-RS"/>
        </w:rPr>
        <w:t xml:space="preserve">Стога је </w:t>
      </w:r>
      <w:r w:rsidRPr="00A021B7">
        <w:rPr>
          <w:rFonts w:ascii="Arial" w:hAnsi="Arial" w:cs="Arial"/>
          <w:sz w:val="20"/>
          <w:szCs w:val="20"/>
          <w:lang w:val="sr-Cyrl-RS"/>
        </w:rPr>
        <w:t xml:space="preserve">јасно да су потребна значајна улагања у комуналну инфраструктуру у предстојећем периоду, поготово када се има у виду да је заштита животне средине једна од основних тековина ЕУ, те да је у процесу приступања Србија у обавези да додатно повећа </w:t>
      </w:r>
      <w:r w:rsidR="06395CD5" w:rsidRPr="00A021B7">
        <w:rPr>
          <w:rFonts w:ascii="Arial" w:hAnsi="Arial" w:cs="Arial"/>
          <w:sz w:val="20"/>
          <w:szCs w:val="20"/>
          <w:lang w:val="sr-Cyrl-RS"/>
        </w:rPr>
        <w:t xml:space="preserve">улагања </w:t>
      </w:r>
      <w:r w:rsidRPr="00A021B7">
        <w:rPr>
          <w:rFonts w:ascii="Arial" w:hAnsi="Arial" w:cs="Arial"/>
          <w:sz w:val="20"/>
          <w:szCs w:val="20"/>
          <w:lang w:val="sr-Cyrl-RS"/>
        </w:rPr>
        <w:t>у ову област</w:t>
      </w:r>
      <w:r w:rsidR="06395CD5" w:rsidRPr="00A021B7">
        <w:rPr>
          <w:rFonts w:ascii="Arial" w:hAnsi="Arial" w:cs="Arial"/>
          <w:sz w:val="20"/>
          <w:szCs w:val="20"/>
          <w:lang w:val="sr-Cyrl-RS"/>
        </w:rPr>
        <w:t>,</w:t>
      </w:r>
      <w:r w:rsidR="2F290F4A" w:rsidRPr="00A021B7">
        <w:rPr>
          <w:rFonts w:ascii="Arial" w:hAnsi="Arial" w:cs="Arial"/>
          <w:sz w:val="20"/>
          <w:szCs w:val="20"/>
          <w:lang w:val="sr-Cyrl-RS"/>
        </w:rPr>
        <w:t xml:space="preserve"> а процене тог износа су</w:t>
      </w:r>
      <w:r w:rsidRPr="00A021B7">
        <w:rPr>
          <w:rFonts w:ascii="Arial" w:hAnsi="Arial" w:cs="Arial"/>
          <w:sz w:val="20"/>
          <w:szCs w:val="20"/>
          <w:lang w:val="sr-Cyrl-RS"/>
        </w:rPr>
        <w:t xml:space="preserve"> у распону од </w:t>
      </w:r>
      <w:r w:rsidR="401F85DA" w:rsidRPr="00A021B7">
        <w:rPr>
          <w:rFonts w:ascii="Arial" w:hAnsi="Arial" w:cs="Arial"/>
          <w:sz w:val="20"/>
          <w:szCs w:val="20"/>
          <w:lang w:val="sr-Cyrl-RS"/>
        </w:rPr>
        <w:t>7</w:t>
      </w:r>
      <w:r w:rsidR="2F290F4A" w:rsidRPr="00A021B7">
        <w:rPr>
          <w:rFonts w:ascii="Arial" w:hAnsi="Arial" w:cs="Arial"/>
          <w:sz w:val="20"/>
          <w:szCs w:val="20"/>
          <w:lang w:val="sr-Cyrl-RS"/>
        </w:rPr>
        <w:t>,</w:t>
      </w:r>
      <w:r w:rsidR="401F85DA" w:rsidRPr="00A021B7">
        <w:rPr>
          <w:rFonts w:ascii="Arial" w:hAnsi="Arial" w:cs="Arial"/>
          <w:sz w:val="20"/>
          <w:szCs w:val="20"/>
          <w:lang w:val="sr-Cyrl-RS"/>
        </w:rPr>
        <w:t>3</w:t>
      </w:r>
      <w:r w:rsidRPr="00A021B7">
        <w:rPr>
          <w:rFonts w:ascii="Arial" w:hAnsi="Arial" w:cs="Arial"/>
          <w:sz w:val="20"/>
          <w:szCs w:val="20"/>
          <w:lang w:val="sr-Cyrl-RS"/>
        </w:rPr>
        <w:t xml:space="preserve"> до </w:t>
      </w:r>
      <w:r w:rsidR="401F85DA" w:rsidRPr="00A021B7">
        <w:rPr>
          <w:rFonts w:ascii="Arial" w:hAnsi="Arial" w:cs="Arial"/>
          <w:sz w:val="20"/>
          <w:szCs w:val="20"/>
          <w:lang w:val="sr-Cyrl-RS"/>
        </w:rPr>
        <w:t>10</w:t>
      </w:r>
      <w:r w:rsidR="2F290F4A" w:rsidRPr="00A021B7">
        <w:rPr>
          <w:rFonts w:ascii="Arial" w:hAnsi="Arial" w:cs="Arial"/>
          <w:sz w:val="20"/>
          <w:szCs w:val="20"/>
          <w:lang w:val="sr-Cyrl-RS"/>
        </w:rPr>
        <w:t>,</w:t>
      </w:r>
      <w:r w:rsidR="401F85DA" w:rsidRPr="00A021B7">
        <w:rPr>
          <w:rFonts w:ascii="Arial" w:hAnsi="Arial" w:cs="Arial"/>
          <w:sz w:val="20"/>
          <w:szCs w:val="20"/>
          <w:lang w:val="sr-Cyrl-RS"/>
        </w:rPr>
        <w:t>5</w:t>
      </w:r>
      <w:r w:rsidR="5DF120B2" w:rsidRPr="00A021B7">
        <w:rPr>
          <w:rFonts w:ascii="Arial" w:hAnsi="Arial" w:cs="Arial"/>
          <w:sz w:val="20"/>
          <w:szCs w:val="20"/>
          <w:lang w:val="sr-Cyrl-RS"/>
        </w:rPr>
        <w:t xml:space="preserve"> милијарди евра,</w:t>
      </w:r>
      <w:r w:rsidR="401F85DA" w:rsidRPr="00A021B7">
        <w:rPr>
          <w:rFonts w:ascii="Arial" w:hAnsi="Arial" w:cs="Arial"/>
          <w:sz w:val="20"/>
          <w:szCs w:val="20"/>
          <w:lang w:val="sr-Cyrl-RS"/>
        </w:rPr>
        <w:t xml:space="preserve"> па и више</w:t>
      </w:r>
      <w:r w:rsidRPr="00A021B7">
        <w:rPr>
          <w:rFonts w:ascii="Arial" w:hAnsi="Arial" w:cs="Arial"/>
          <w:sz w:val="20"/>
          <w:szCs w:val="20"/>
          <w:lang w:val="sr-Cyrl-RS"/>
        </w:rPr>
        <w:t>.</w:t>
      </w:r>
      <w:r w:rsidR="00222C1E" w:rsidRPr="00A021B7">
        <w:rPr>
          <w:rStyle w:val="FootnoteReference"/>
          <w:rFonts w:ascii="Arial" w:hAnsi="Arial" w:cs="Arial"/>
          <w:sz w:val="20"/>
          <w:szCs w:val="20"/>
          <w:lang w:val="sr-Cyrl-RS"/>
        </w:rPr>
        <w:footnoteReference w:id="34"/>
      </w:r>
    </w:p>
    <w:p w14:paraId="2D7AF9A9" w14:textId="77777777" w:rsidR="00511414" w:rsidRPr="00A021B7" w:rsidRDefault="00511414" w:rsidP="1A8E6423">
      <w:pPr>
        <w:ind w:firstLine="720"/>
        <w:jc w:val="both"/>
        <w:rPr>
          <w:rFonts w:ascii="Arial" w:hAnsi="Arial" w:cs="Arial"/>
          <w:sz w:val="20"/>
          <w:szCs w:val="20"/>
          <w:lang w:val="sr-Cyrl-RS"/>
        </w:rPr>
      </w:pPr>
    </w:p>
    <w:p w14:paraId="61C8811D" w14:textId="709F3228" w:rsidR="003E2047" w:rsidRPr="00A021B7" w:rsidRDefault="003E2047"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Посебно </w:t>
      </w:r>
      <w:r w:rsidR="00844783" w:rsidRPr="1A8E6423">
        <w:rPr>
          <w:rFonts w:ascii="Arial" w:hAnsi="Arial" w:cs="Arial"/>
          <w:sz w:val="20"/>
          <w:szCs w:val="20"/>
          <w:lang w:val="sr-Cyrl-RS"/>
        </w:rPr>
        <w:t xml:space="preserve">је </w:t>
      </w:r>
      <w:r w:rsidRPr="1A8E6423">
        <w:rPr>
          <w:rFonts w:ascii="Arial" w:hAnsi="Arial" w:cs="Arial"/>
          <w:sz w:val="20"/>
          <w:szCs w:val="20"/>
          <w:lang w:val="sr-Cyrl-RS"/>
        </w:rPr>
        <w:t xml:space="preserve">важно питање услуге локалних установа, где је </w:t>
      </w:r>
      <w:r w:rsidR="003F6F4A" w:rsidRPr="1A8E6423">
        <w:rPr>
          <w:rFonts w:ascii="Arial" w:hAnsi="Arial" w:cs="Arial"/>
          <w:sz w:val="20"/>
          <w:szCs w:val="20"/>
          <w:lang w:val="sr-Cyrl-RS"/>
        </w:rPr>
        <w:t xml:space="preserve">највидљивији проблем </w:t>
      </w:r>
      <w:r w:rsidRPr="1A8E6423">
        <w:rPr>
          <w:rFonts w:ascii="Arial" w:hAnsi="Arial" w:cs="Arial"/>
          <w:sz w:val="20"/>
          <w:szCs w:val="20"/>
          <w:lang w:val="sr-Cyrl-RS"/>
        </w:rPr>
        <w:t xml:space="preserve">недостатак квалитета инфраструктуре (нпр. број вртића, застарелост објеката), али у суштини </w:t>
      </w:r>
      <w:r w:rsidRPr="1A8E6423">
        <w:rPr>
          <w:rFonts w:ascii="Arial" w:hAnsi="Arial" w:cs="Arial"/>
          <w:sz w:val="20"/>
          <w:szCs w:val="20"/>
          <w:lang w:val="sr-Cyrl-RS"/>
        </w:rPr>
        <w:lastRenderedPageBreak/>
        <w:t>кључни проблеми леже у постојећем систему организовања и управљања радом установа (нпр. двојна одговорност дела локалних установа</w:t>
      </w:r>
      <w:r w:rsidR="00771EA6" w:rsidRPr="1A8E6423">
        <w:rPr>
          <w:rFonts w:ascii="Arial" w:hAnsi="Arial" w:cs="Arial"/>
          <w:sz w:val="20"/>
          <w:szCs w:val="20"/>
          <w:lang w:val="sr-Cyrl-RS"/>
        </w:rPr>
        <w:t xml:space="preserve">, </w:t>
      </w:r>
      <w:r w:rsidRPr="1A8E6423">
        <w:rPr>
          <w:rFonts w:ascii="Arial" w:hAnsi="Arial" w:cs="Arial"/>
          <w:sz w:val="20"/>
          <w:szCs w:val="20"/>
          <w:lang w:val="sr-Cyrl-RS"/>
        </w:rPr>
        <w:t>недостатак капацитета јавне управе за надзор, а тиме и унапређење њиховог рада</w:t>
      </w:r>
      <w:r w:rsidR="00B14B3E" w:rsidRPr="1A8E6423">
        <w:rPr>
          <w:rFonts w:ascii="Arial" w:hAnsi="Arial" w:cs="Arial"/>
          <w:sz w:val="20"/>
          <w:szCs w:val="20"/>
          <w:lang w:val="sr-Cyrl-RS"/>
        </w:rPr>
        <w:t>,</w:t>
      </w:r>
      <w:r w:rsidRPr="1A8E6423">
        <w:rPr>
          <w:rFonts w:ascii="Arial" w:hAnsi="Arial" w:cs="Arial"/>
          <w:sz w:val="20"/>
          <w:szCs w:val="20"/>
          <w:lang w:val="sr-Cyrl-RS"/>
        </w:rPr>
        <w:t xml:space="preserve"> доминација формалног и одсуство стварног управљања локалних органа</w:t>
      </w:r>
      <w:r w:rsidR="00B14B3E" w:rsidRPr="1A8E6423">
        <w:rPr>
          <w:rFonts w:ascii="Arial" w:hAnsi="Arial" w:cs="Arial"/>
          <w:sz w:val="20"/>
          <w:szCs w:val="20"/>
          <w:lang w:val="sr-Cyrl-RS"/>
        </w:rPr>
        <w:t>,</w:t>
      </w:r>
      <w:r w:rsidRPr="1A8E6423">
        <w:rPr>
          <w:rFonts w:ascii="Arial" w:hAnsi="Arial" w:cs="Arial"/>
          <w:sz w:val="20"/>
          <w:szCs w:val="20"/>
          <w:lang w:val="sr-Cyrl-RS"/>
        </w:rPr>
        <w:t xml:space="preserve"> експериментисање са начином организовања</w:t>
      </w:r>
      <w:r w:rsidR="00B14B3E" w:rsidRPr="1A8E6423">
        <w:rPr>
          <w:rFonts w:ascii="Arial" w:hAnsi="Arial" w:cs="Arial"/>
          <w:sz w:val="20"/>
          <w:szCs w:val="20"/>
          <w:lang w:val="sr-Cyrl-RS"/>
        </w:rPr>
        <w:t>,</w:t>
      </w:r>
      <w:r w:rsidRPr="1A8E6423">
        <w:rPr>
          <w:rFonts w:ascii="Arial" w:hAnsi="Arial" w:cs="Arial"/>
          <w:sz w:val="20"/>
          <w:szCs w:val="20"/>
          <w:lang w:val="sr-Cyrl-RS"/>
        </w:rPr>
        <w:t xml:space="preserve"> недостатак и све лошија старосна структура кадрова или изостанак међуопштинске сарадње). Код једног броја локалних власти недостај</w:t>
      </w:r>
      <w:r w:rsidR="0002664F" w:rsidRPr="1A8E6423">
        <w:rPr>
          <w:rFonts w:ascii="Arial" w:hAnsi="Arial" w:cs="Arial"/>
          <w:sz w:val="20"/>
          <w:szCs w:val="20"/>
          <w:lang w:val="sr-Cyrl-RS"/>
        </w:rPr>
        <w:t>у</w:t>
      </w:r>
      <w:r w:rsidRPr="1A8E6423">
        <w:rPr>
          <w:rFonts w:ascii="Arial" w:hAnsi="Arial" w:cs="Arial"/>
          <w:sz w:val="20"/>
          <w:szCs w:val="20"/>
          <w:lang w:val="sr-Cyrl-RS"/>
        </w:rPr>
        <w:t xml:space="preserve"> и потребан степен „власништва” над неким од јавних услуга и „идеја и план” у ком правцу </w:t>
      </w:r>
      <w:r w:rsidR="0002664F" w:rsidRPr="1A8E6423">
        <w:rPr>
          <w:rFonts w:ascii="Arial" w:hAnsi="Arial" w:cs="Arial"/>
          <w:sz w:val="20"/>
          <w:szCs w:val="20"/>
          <w:lang w:val="sr-Cyrl-RS"/>
        </w:rPr>
        <w:t xml:space="preserve">оне </w:t>
      </w:r>
      <w:r w:rsidRPr="1A8E6423">
        <w:rPr>
          <w:rFonts w:ascii="Arial" w:hAnsi="Arial" w:cs="Arial"/>
          <w:sz w:val="20"/>
          <w:szCs w:val="20"/>
          <w:lang w:val="sr-Cyrl-RS"/>
        </w:rPr>
        <w:t>треба да се развијају, шта треба да буде стварна улога и допринос локалних јавних установа и како те функције могу допринети укупном развоју локалне заједнице.</w:t>
      </w:r>
    </w:p>
    <w:p w14:paraId="640E22A1" w14:textId="77777777" w:rsidR="003E2047" w:rsidRPr="00A021B7" w:rsidRDefault="003E2047" w:rsidP="1A8E6423">
      <w:pPr>
        <w:ind w:firstLine="720"/>
        <w:jc w:val="both"/>
        <w:rPr>
          <w:rFonts w:ascii="Arial" w:hAnsi="Arial" w:cs="Arial"/>
          <w:sz w:val="20"/>
          <w:szCs w:val="20"/>
          <w:lang w:val="sr-Cyrl-RS"/>
        </w:rPr>
      </w:pPr>
    </w:p>
    <w:p w14:paraId="0D536650" w14:textId="1E905EEF" w:rsidR="00907074" w:rsidRPr="00A021B7" w:rsidRDefault="2A9DAE59" w:rsidP="1A8E6423">
      <w:pPr>
        <w:ind w:firstLine="720"/>
        <w:jc w:val="both"/>
        <w:rPr>
          <w:rFonts w:ascii="Arial" w:hAnsi="Arial" w:cs="Arial"/>
          <w:sz w:val="20"/>
          <w:szCs w:val="20"/>
          <w:lang w:val="sr-Cyrl-RS"/>
        </w:rPr>
      </w:pPr>
      <w:r w:rsidRPr="00A021B7">
        <w:rPr>
          <w:rFonts w:ascii="Arial" w:hAnsi="Arial" w:cs="Arial"/>
          <w:sz w:val="20"/>
          <w:szCs w:val="20"/>
          <w:lang w:val="sr-Cyrl-RS"/>
        </w:rPr>
        <w:t>Иако са становишта укупног економског развоја једне земље није пресудно ко је носилац и реализатор одређене инвестиционе идеје и пројекта</w:t>
      </w:r>
      <w:r w:rsidR="3A383A61" w:rsidRPr="00A021B7">
        <w:rPr>
          <w:rFonts w:ascii="Arial" w:hAnsi="Arial" w:cs="Arial"/>
          <w:sz w:val="20"/>
          <w:szCs w:val="20"/>
          <w:lang w:val="sr-Cyrl-RS"/>
        </w:rPr>
        <w:t>,</w:t>
      </w:r>
      <w:r w:rsidRPr="00A021B7">
        <w:rPr>
          <w:rFonts w:ascii="Arial" w:hAnsi="Arial" w:cs="Arial"/>
          <w:sz w:val="20"/>
          <w:szCs w:val="20"/>
          <w:lang w:val="sr-Cyrl-RS"/>
        </w:rPr>
        <w:t xml:space="preserve"> тј. да ли је то држава или сама ЈЛС, пошто се сваки пројекат реализује у неком локалну просторном оквиру, локални економски развој </w:t>
      </w:r>
      <w:r w:rsidR="58A30ABF" w:rsidRPr="00A021B7">
        <w:rPr>
          <w:rFonts w:ascii="Arial" w:hAnsi="Arial" w:cs="Arial"/>
          <w:sz w:val="20"/>
          <w:szCs w:val="20"/>
          <w:lang w:val="sr-Cyrl-RS"/>
        </w:rPr>
        <w:t xml:space="preserve">(ЛЕР) </w:t>
      </w:r>
      <w:r w:rsidRPr="00A021B7">
        <w:rPr>
          <w:rFonts w:ascii="Arial" w:hAnsi="Arial" w:cs="Arial"/>
          <w:sz w:val="20"/>
          <w:szCs w:val="20"/>
          <w:lang w:val="sr-Cyrl-RS"/>
        </w:rPr>
        <w:t>свакако</w:t>
      </w:r>
      <w:r w:rsidR="0002664F">
        <w:rPr>
          <w:rFonts w:ascii="Arial" w:hAnsi="Arial" w:cs="Arial"/>
          <w:sz w:val="20"/>
          <w:szCs w:val="20"/>
          <w:lang w:val="sr-Cyrl-RS"/>
        </w:rPr>
        <w:t xml:space="preserve"> јесте</w:t>
      </w:r>
      <w:r w:rsidRPr="00A021B7">
        <w:rPr>
          <w:rFonts w:ascii="Arial" w:hAnsi="Arial" w:cs="Arial"/>
          <w:sz w:val="20"/>
          <w:szCs w:val="20"/>
          <w:lang w:val="sr-Cyrl-RS"/>
        </w:rPr>
        <w:t xml:space="preserve"> једна од кључних локалних надлежности. Према подацима СКГО из 2020. </w:t>
      </w:r>
      <w:r w:rsidR="2A1B8925" w:rsidRPr="00A021B7">
        <w:rPr>
          <w:rFonts w:ascii="Arial" w:hAnsi="Arial" w:cs="Arial"/>
          <w:sz w:val="20"/>
          <w:szCs w:val="20"/>
          <w:lang w:val="sr-Cyrl-RS"/>
        </w:rPr>
        <w:t xml:space="preserve">године, </w:t>
      </w:r>
      <w:r w:rsidRPr="00A021B7">
        <w:rPr>
          <w:rFonts w:ascii="Arial" w:hAnsi="Arial" w:cs="Arial"/>
          <w:sz w:val="20"/>
          <w:szCs w:val="20"/>
          <w:lang w:val="sr-Cyrl-RS"/>
        </w:rPr>
        <w:t>постоји 117 организационих јединица за ЛЕР</w:t>
      </w:r>
      <w:r w:rsidR="6D172D77" w:rsidRPr="00A021B7">
        <w:rPr>
          <w:rFonts w:ascii="Arial" w:hAnsi="Arial" w:cs="Arial"/>
          <w:sz w:val="20"/>
          <w:szCs w:val="20"/>
          <w:lang w:val="sr-Cyrl-RS"/>
        </w:rPr>
        <w:t xml:space="preserve"> (ЈЛЕР)</w:t>
      </w:r>
      <w:r w:rsidRPr="00A021B7">
        <w:rPr>
          <w:rFonts w:ascii="Arial" w:hAnsi="Arial" w:cs="Arial"/>
          <w:sz w:val="20"/>
          <w:szCs w:val="20"/>
          <w:lang w:val="sr-Cyrl-RS"/>
        </w:rPr>
        <w:t xml:space="preserve">. Међутим, различит положај и улога ЈЛЕР у градовима и општинама представља значајан изазов за уједначене могућности деловања локалних власти и за даљи локални економски развој у целој земљи. Положај и улога </w:t>
      </w:r>
      <w:r w:rsidR="51DB5BC3" w:rsidRPr="00A021B7">
        <w:rPr>
          <w:rFonts w:ascii="Arial" w:hAnsi="Arial" w:cs="Arial"/>
          <w:sz w:val="20"/>
          <w:szCs w:val="20"/>
          <w:lang w:val="sr-Cyrl-RS"/>
        </w:rPr>
        <w:t xml:space="preserve">ЈЛЕР </w:t>
      </w:r>
      <w:r w:rsidRPr="00A021B7">
        <w:rPr>
          <w:rFonts w:ascii="Arial" w:hAnsi="Arial" w:cs="Arial"/>
          <w:sz w:val="20"/>
          <w:szCs w:val="20"/>
          <w:lang w:val="sr-Cyrl-RS"/>
        </w:rPr>
        <w:t>завис</w:t>
      </w:r>
      <w:r w:rsidR="0002664F">
        <w:rPr>
          <w:rFonts w:ascii="Arial" w:hAnsi="Arial" w:cs="Arial"/>
          <w:sz w:val="20"/>
          <w:szCs w:val="20"/>
          <w:lang w:val="sr-Cyrl-RS"/>
        </w:rPr>
        <w:t>е</w:t>
      </w:r>
      <w:r w:rsidRPr="00A021B7">
        <w:rPr>
          <w:rFonts w:ascii="Arial" w:hAnsi="Arial" w:cs="Arial"/>
          <w:sz w:val="20"/>
          <w:szCs w:val="20"/>
          <w:lang w:val="sr-Cyrl-RS"/>
        </w:rPr>
        <w:t xml:space="preserve"> од политичке ситуације </w:t>
      </w:r>
      <w:r w:rsidR="10A173C7" w:rsidRPr="00A021B7">
        <w:rPr>
          <w:rFonts w:ascii="Arial" w:hAnsi="Arial" w:cs="Arial"/>
          <w:sz w:val="20"/>
          <w:szCs w:val="20"/>
          <w:lang w:val="sr-Cyrl-RS"/>
        </w:rPr>
        <w:t>у ЈЛС</w:t>
      </w:r>
      <w:r w:rsidRPr="00A021B7">
        <w:rPr>
          <w:rFonts w:ascii="Arial" w:hAnsi="Arial" w:cs="Arial"/>
          <w:sz w:val="20"/>
          <w:szCs w:val="20"/>
          <w:lang w:val="sr-Cyrl-RS"/>
        </w:rPr>
        <w:t>, начина организовања</w:t>
      </w:r>
      <w:r w:rsidR="00A715AF" w:rsidRPr="00A021B7">
        <w:rPr>
          <w:rStyle w:val="FootnoteReference"/>
          <w:rFonts w:ascii="Arial" w:hAnsi="Arial" w:cs="Arial"/>
          <w:sz w:val="20"/>
          <w:szCs w:val="20"/>
          <w:lang w:val="sr-Cyrl-RS"/>
        </w:rPr>
        <w:footnoteReference w:id="35"/>
      </w:r>
      <w:r w:rsidR="0002664F">
        <w:rPr>
          <w:rFonts w:ascii="Arial" w:hAnsi="Arial" w:cs="Arial"/>
          <w:sz w:val="20"/>
          <w:szCs w:val="20"/>
          <w:lang w:val="sr-Cyrl-RS"/>
        </w:rPr>
        <w:t>,</w:t>
      </w:r>
      <w:r w:rsidRPr="00A021B7">
        <w:rPr>
          <w:rFonts w:ascii="Arial" w:hAnsi="Arial" w:cs="Arial"/>
          <w:sz w:val="20"/>
          <w:szCs w:val="20"/>
          <w:lang w:val="sr-Cyrl-RS"/>
        </w:rPr>
        <w:t xml:space="preserve"> броја запослених у ЈЛЕР</w:t>
      </w:r>
      <w:r w:rsidR="4F2BD36A" w:rsidRPr="00A021B7">
        <w:rPr>
          <w:rFonts w:ascii="Arial" w:hAnsi="Arial" w:cs="Arial"/>
          <w:sz w:val="20"/>
          <w:szCs w:val="20"/>
          <w:lang w:val="sr-Cyrl-RS"/>
        </w:rPr>
        <w:t xml:space="preserve"> и</w:t>
      </w:r>
      <w:r w:rsidRPr="00A021B7">
        <w:rPr>
          <w:rFonts w:ascii="Arial" w:hAnsi="Arial" w:cs="Arial"/>
          <w:sz w:val="20"/>
          <w:szCs w:val="20"/>
          <w:lang w:val="sr-Cyrl-RS"/>
        </w:rPr>
        <w:t xml:space="preserve"> обима и врсте послова које обављају. Осим различитог положаја и улоге које ЈЛЕР у Србији имају, оне су суочене и са недовољним бројем запослених, великом флуктуацијом кадрова и недостатком институционалног памћења и искуства.</w:t>
      </w:r>
      <w:r w:rsidR="655A4BF2" w:rsidRPr="00A021B7">
        <w:rPr>
          <w:rFonts w:ascii="Arial" w:hAnsi="Arial" w:cs="Arial"/>
          <w:sz w:val="20"/>
          <w:szCs w:val="20"/>
          <w:lang w:val="sr-Cyrl-RS"/>
        </w:rPr>
        <w:t xml:space="preserve"> </w:t>
      </w:r>
      <w:r w:rsidRPr="00A021B7">
        <w:rPr>
          <w:rFonts w:ascii="Arial" w:hAnsi="Arial" w:cs="Arial"/>
          <w:sz w:val="20"/>
          <w:szCs w:val="20"/>
          <w:lang w:val="sr-Cyrl-RS"/>
        </w:rPr>
        <w:t>Истраживања показују и да ЈЛЕР као свој примарни посао имају припрему и спровођење пројекат</w:t>
      </w:r>
      <w:r w:rsidR="1D3110C8" w:rsidRPr="00A021B7">
        <w:rPr>
          <w:rFonts w:ascii="Arial" w:hAnsi="Arial" w:cs="Arial"/>
          <w:sz w:val="20"/>
          <w:szCs w:val="20"/>
          <w:lang w:val="sr-Cyrl-RS"/>
        </w:rPr>
        <w:t>а</w:t>
      </w:r>
      <w:r w:rsidRPr="00A021B7">
        <w:rPr>
          <w:rFonts w:ascii="Arial" w:hAnsi="Arial" w:cs="Arial"/>
          <w:sz w:val="20"/>
          <w:szCs w:val="20"/>
          <w:lang w:val="sr-Cyrl-RS"/>
        </w:rPr>
        <w:t xml:space="preserve"> које финансирају</w:t>
      </w:r>
      <w:r w:rsidR="512CDFFD" w:rsidRPr="00A021B7">
        <w:rPr>
          <w:rFonts w:ascii="Arial" w:hAnsi="Arial" w:cs="Arial"/>
          <w:sz w:val="20"/>
          <w:szCs w:val="20"/>
          <w:lang w:val="sr-Cyrl-RS"/>
        </w:rPr>
        <w:t xml:space="preserve"> </w:t>
      </w:r>
      <w:r w:rsidRPr="00A021B7">
        <w:rPr>
          <w:rFonts w:ascii="Arial" w:hAnsi="Arial" w:cs="Arial"/>
          <w:sz w:val="20"/>
          <w:szCs w:val="20"/>
          <w:lang w:val="sr-Cyrl-RS"/>
        </w:rPr>
        <w:t xml:space="preserve">домаћи или инострани донатори из свих области друштвеног и економског живота (социјална политика, спорт, здравство, образовање...), а да су мање ангажоване на пословима развоја привредних активности на територији својих </w:t>
      </w:r>
      <w:r w:rsidR="3651A2B7" w:rsidRPr="00A021B7">
        <w:rPr>
          <w:rFonts w:ascii="Arial" w:hAnsi="Arial" w:cs="Arial"/>
          <w:sz w:val="20"/>
          <w:szCs w:val="20"/>
          <w:lang w:val="sr-Cyrl-RS"/>
        </w:rPr>
        <w:t>ЈЛС</w:t>
      </w:r>
      <w:r w:rsidRPr="00A021B7">
        <w:rPr>
          <w:rFonts w:ascii="Arial" w:hAnsi="Arial" w:cs="Arial"/>
          <w:sz w:val="20"/>
          <w:szCs w:val="20"/>
          <w:lang w:val="sr-Cyrl-RS"/>
        </w:rPr>
        <w:t>. Такође, мали број ЈЛЕР обухвата стручне послове везане за: анализу тренутне економске ситуације и привредних кретања; припрему различитих сценарија за</w:t>
      </w:r>
      <w:r w:rsidR="357F1408" w:rsidRPr="00A021B7">
        <w:rPr>
          <w:rFonts w:ascii="Arial" w:hAnsi="Arial" w:cs="Arial"/>
          <w:sz w:val="20"/>
          <w:szCs w:val="20"/>
          <w:lang w:val="sr-Cyrl-RS"/>
        </w:rPr>
        <w:t xml:space="preserve"> доносиоце одлука</w:t>
      </w:r>
      <w:r w:rsidR="7FE237B6" w:rsidRPr="00A021B7">
        <w:rPr>
          <w:rFonts w:ascii="Arial" w:hAnsi="Arial" w:cs="Arial"/>
          <w:sz w:val="20"/>
          <w:szCs w:val="20"/>
          <w:lang w:val="sr-Cyrl-RS"/>
        </w:rPr>
        <w:t xml:space="preserve">; </w:t>
      </w:r>
      <w:r w:rsidRPr="00A021B7">
        <w:rPr>
          <w:rFonts w:ascii="Arial" w:hAnsi="Arial" w:cs="Arial"/>
          <w:sz w:val="20"/>
          <w:szCs w:val="20"/>
          <w:lang w:val="sr-Cyrl-RS"/>
        </w:rPr>
        <w:t xml:space="preserve">учествовање у </w:t>
      </w:r>
      <w:r w:rsidR="3E912F17" w:rsidRPr="00A021B7">
        <w:rPr>
          <w:rFonts w:ascii="Arial" w:hAnsi="Arial" w:cs="Arial"/>
          <w:sz w:val="20"/>
          <w:szCs w:val="20"/>
          <w:lang w:val="sr-Cyrl-RS"/>
        </w:rPr>
        <w:t xml:space="preserve">изради </w:t>
      </w:r>
      <w:r w:rsidRPr="00A021B7">
        <w:rPr>
          <w:rFonts w:ascii="Arial" w:hAnsi="Arial" w:cs="Arial"/>
          <w:sz w:val="20"/>
          <w:szCs w:val="20"/>
          <w:lang w:val="sr-Cyrl-RS"/>
        </w:rPr>
        <w:t xml:space="preserve">инструмената подршке привреди; </w:t>
      </w:r>
      <w:r w:rsidR="752DA25F" w:rsidRPr="00A021B7">
        <w:rPr>
          <w:rFonts w:ascii="Arial" w:hAnsi="Arial" w:cs="Arial"/>
          <w:sz w:val="20"/>
          <w:szCs w:val="20"/>
          <w:lang w:val="sr-Cyrl-RS"/>
        </w:rPr>
        <w:t xml:space="preserve">спровођење </w:t>
      </w:r>
      <w:r w:rsidRPr="00A021B7">
        <w:rPr>
          <w:rFonts w:ascii="Arial" w:hAnsi="Arial" w:cs="Arial"/>
          <w:sz w:val="20"/>
          <w:szCs w:val="20"/>
          <w:lang w:val="sr-Cyrl-RS"/>
        </w:rPr>
        <w:t>програма подршке локалној привреди.</w:t>
      </w:r>
      <w:r w:rsidR="00A715AF" w:rsidRPr="00A021B7">
        <w:rPr>
          <w:rStyle w:val="FootnoteReference"/>
          <w:rFonts w:ascii="Arial" w:hAnsi="Arial" w:cs="Arial"/>
          <w:sz w:val="20"/>
          <w:szCs w:val="20"/>
          <w:lang w:val="sr-Cyrl-RS"/>
        </w:rPr>
        <w:footnoteReference w:id="36"/>
      </w:r>
      <w:r w:rsidRPr="00A021B7">
        <w:rPr>
          <w:rFonts w:ascii="Arial" w:hAnsi="Arial" w:cs="Arial"/>
          <w:sz w:val="20"/>
          <w:szCs w:val="20"/>
          <w:lang w:val="sr-Cyrl-RS"/>
        </w:rPr>
        <w:t xml:space="preserve"> Одређени број ЈЛС настоји да сарађује са пословном заједницом и да укључује њене представнике у процес доношења одлука које имају утицај </w:t>
      </w:r>
      <w:r w:rsidR="00F618C2">
        <w:rPr>
          <w:rFonts w:ascii="Arial" w:hAnsi="Arial" w:cs="Arial"/>
          <w:sz w:val="20"/>
          <w:szCs w:val="20"/>
          <w:lang w:val="sr-Cyrl-RS"/>
        </w:rPr>
        <w:t xml:space="preserve">на </w:t>
      </w:r>
      <w:r w:rsidRPr="00A021B7">
        <w:rPr>
          <w:rFonts w:ascii="Arial" w:hAnsi="Arial" w:cs="Arial"/>
          <w:sz w:val="20"/>
          <w:szCs w:val="20"/>
          <w:lang w:val="sr-Cyrl-RS"/>
        </w:rPr>
        <w:t xml:space="preserve">привреду. </w:t>
      </w:r>
      <w:r w:rsidR="3E912F17" w:rsidRPr="00A021B7">
        <w:rPr>
          <w:rFonts w:ascii="Arial" w:hAnsi="Arial" w:cs="Arial"/>
          <w:sz w:val="20"/>
          <w:szCs w:val="20"/>
          <w:lang w:val="sr-Cyrl-RS"/>
        </w:rPr>
        <w:t xml:space="preserve">Та </w:t>
      </w:r>
      <w:r w:rsidRPr="00A021B7">
        <w:rPr>
          <w:rFonts w:ascii="Arial" w:hAnsi="Arial" w:cs="Arial"/>
          <w:sz w:val="20"/>
          <w:szCs w:val="20"/>
          <w:lang w:val="sr-Cyrl-RS"/>
        </w:rPr>
        <w:t xml:space="preserve">сарадња </w:t>
      </w:r>
      <w:r w:rsidR="574A5516" w:rsidRPr="00A021B7">
        <w:rPr>
          <w:rFonts w:ascii="Arial" w:hAnsi="Arial" w:cs="Arial"/>
          <w:sz w:val="20"/>
          <w:szCs w:val="20"/>
          <w:lang w:val="sr-Cyrl-RS"/>
        </w:rPr>
        <w:t xml:space="preserve">ипак </w:t>
      </w:r>
      <w:r w:rsidRPr="00A021B7">
        <w:rPr>
          <w:rFonts w:ascii="Arial" w:hAnsi="Arial" w:cs="Arial"/>
          <w:sz w:val="20"/>
          <w:szCs w:val="20"/>
          <w:lang w:val="sr-Cyrl-RS"/>
        </w:rPr>
        <w:t>није конзистентна, институционализована и одржива у пракси.</w:t>
      </w:r>
      <w:r w:rsidR="00A715AF" w:rsidRPr="00A021B7">
        <w:rPr>
          <w:rStyle w:val="FootnoteReference"/>
          <w:rFonts w:ascii="Arial" w:hAnsi="Arial" w:cs="Arial"/>
          <w:sz w:val="20"/>
          <w:szCs w:val="20"/>
          <w:lang w:val="sr-Cyrl-RS"/>
        </w:rPr>
        <w:footnoteReference w:id="37"/>
      </w:r>
      <w:r w:rsidRPr="00A021B7">
        <w:rPr>
          <w:rFonts w:ascii="Arial" w:hAnsi="Arial" w:cs="Arial"/>
          <w:sz w:val="20"/>
          <w:szCs w:val="20"/>
          <w:lang w:val="sr-Cyrl-RS"/>
        </w:rPr>
        <w:t xml:space="preserve"> Бројне анализе на тему локалног економског развоја и капацитета ЈЛС у овој области урађене у претходних неколико година указују на често недовољне капацитете ЈЛС, али и других актера на локалном нивоу (удружења привредника, привредне коморе, невладиног сектора, регионалних развојних агенција) у области ЛЕР-а да решавају кључне локалне економске проблеме</w:t>
      </w:r>
      <w:r w:rsidR="0E0838A0" w:rsidRPr="00A021B7">
        <w:rPr>
          <w:rFonts w:ascii="Arial" w:hAnsi="Arial" w:cs="Arial"/>
          <w:sz w:val="20"/>
          <w:szCs w:val="20"/>
          <w:lang w:val="sr-Cyrl-RS"/>
        </w:rPr>
        <w:t>. Т</w:t>
      </w:r>
      <w:r w:rsidRPr="00A021B7">
        <w:rPr>
          <w:rFonts w:ascii="Arial" w:hAnsi="Arial" w:cs="Arial"/>
          <w:sz w:val="20"/>
          <w:szCs w:val="20"/>
          <w:lang w:val="sr-Cyrl-RS"/>
        </w:rPr>
        <w:t xml:space="preserve">о </w:t>
      </w:r>
      <w:r w:rsidR="0E0838A0" w:rsidRPr="00A021B7">
        <w:rPr>
          <w:rFonts w:ascii="Arial" w:hAnsi="Arial" w:cs="Arial"/>
          <w:sz w:val="20"/>
          <w:szCs w:val="20"/>
          <w:lang w:val="sr-Cyrl-RS"/>
        </w:rPr>
        <w:t xml:space="preserve">је </w:t>
      </w:r>
      <w:r w:rsidRPr="00A021B7">
        <w:rPr>
          <w:rFonts w:ascii="Arial" w:hAnsi="Arial" w:cs="Arial"/>
          <w:sz w:val="20"/>
          <w:szCs w:val="20"/>
          <w:lang w:val="sr-Cyrl-RS"/>
        </w:rPr>
        <w:t xml:space="preserve">сасвим извесно један од узрока недостатка потребног нивоа сарадње у локалној заједници у спровођењу локалних економских (па и укупних развојних) политика. Поред недостатака капацитета код заинтересованих страна, </w:t>
      </w:r>
      <w:r w:rsidR="00F618C2" w:rsidRPr="00A021B7">
        <w:rPr>
          <w:rFonts w:ascii="Arial" w:hAnsi="Arial" w:cs="Arial"/>
          <w:sz w:val="20"/>
          <w:szCs w:val="20"/>
          <w:lang w:val="sr-Cyrl-RS"/>
        </w:rPr>
        <w:t>бројне</w:t>
      </w:r>
      <w:r w:rsidRPr="00A021B7">
        <w:rPr>
          <w:rFonts w:ascii="Arial" w:hAnsi="Arial" w:cs="Arial"/>
          <w:sz w:val="20"/>
          <w:szCs w:val="20"/>
          <w:lang w:val="sr-Cyrl-RS"/>
        </w:rPr>
        <w:t xml:space="preserve"> анализ</w:t>
      </w:r>
      <w:r w:rsidR="1D3110C8" w:rsidRPr="00A021B7">
        <w:rPr>
          <w:rFonts w:ascii="Arial" w:hAnsi="Arial" w:cs="Arial"/>
          <w:sz w:val="20"/>
          <w:szCs w:val="20"/>
          <w:lang w:val="sr-Cyrl-RS"/>
        </w:rPr>
        <w:t>е</w:t>
      </w:r>
      <w:r w:rsidRPr="00A021B7">
        <w:rPr>
          <w:rFonts w:ascii="Arial" w:hAnsi="Arial" w:cs="Arial"/>
          <w:sz w:val="20"/>
          <w:szCs w:val="20"/>
          <w:lang w:val="sr-Cyrl-RS"/>
        </w:rPr>
        <w:t xml:space="preserve"> подвлаче и </w:t>
      </w:r>
      <w:r w:rsidR="3656789A" w:rsidRPr="00A021B7">
        <w:rPr>
          <w:rFonts w:ascii="Arial" w:hAnsi="Arial" w:cs="Arial"/>
          <w:sz w:val="20"/>
          <w:szCs w:val="20"/>
          <w:lang w:val="sr-Cyrl-RS"/>
        </w:rPr>
        <w:t xml:space="preserve">друге </w:t>
      </w:r>
      <w:r w:rsidRPr="00A021B7">
        <w:rPr>
          <w:rFonts w:ascii="Arial" w:hAnsi="Arial" w:cs="Arial"/>
          <w:sz w:val="20"/>
          <w:szCs w:val="20"/>
          <w:lang w:val="sr-Cyrl-RS"/>
        </w:rPr>
        <w:t>изазове</w:t>
      </w:r>
      <w:r w:rsidR="3656789A" w:rsidRPr="00A021B7">
        <w:rPr>
          <w:rFonts w:ascii="Arial" w:hAnsi="Arial" w:cs="Arial"/>
          <w:sz w:val="20"/>
          <w:szCs w:val="20"/>
          <w:lang w:val="sr-Cyrl-RS"/>
        </w:rPr>
        <w:t xml:space="preserve"> за </w:t>
      </w:r>
      <w:r w:rsidR="5B54D76B" w:rsidRPr="00A021B7">
        <w:rPr>
          <w:rFonts w:ascii="Arial" w:hAnsi="Arial" w:cs="Arial"/>
          <w:sz w:val="20"/>
          <w:szCs w:val="20"/>
          <w:lang w:val="sr-Cyrl-RS"/>
        </w:rPr>
        <w:t>ЛЕР,</w:t>
      </w:r>
      <w:r w:rsidRPr="00A021B7">
        <w:rPr>
          <w:rFonts w:ascii="Arial" w:hAnsi="Arial" w:cs="Arial"/>
          <w:sz w:val="20"/>
          <w:szCs w:val="20"/>
          <w:lang w:val="sr-Cyrl-RS"/>
        </w:rPr>
        <w:t xml:space="preserve"> као што су: (не)равнотежа на тржишту рада</w:t>
      </w:r>
      <w:r w:rsidR="1763693A" w:rsidRPr="00A021B7">
        <w:rPr>
          <w:rFonts w:ascii="Arial" w:hAnsi="Arial" w:cs="Arial"/>
          <w:sz w:val="20"/>
          <w:szCs w:val="20"/>
          <w:lang w:val="sr-Cyrl-RS"/>
        </w:rPr>
        <w:t xml:space="preserve">, </w:t>
      </w:r>
      <w:r w:rsidRPr="00A021B7">
        <w:rPr>
          <w:rFonts w:ascii="Arial" w:hAnsi="Arial" w:cs="Arial"/>
          <w:sz w:val="20"/>
          <w:szCs w:val="20"/>
          <w:lang w:val="sr-Cyrl-RS"/>
        </w:rPr>
        <w:t>рад инспекцијских служби</w:t>
      </w:r>
      <w:r w:rsidR="1763693A" w:rsidRPr="00A021B7">
        <w:rPr>
          <w:rFonts w:ascii="Arial" w:hAnsi="Arial" w:cs="Arial"/>
          <w:sz w:val="20"/>
          <w:szCs w:val="20"/>
          <w:lang w:val="sr-Cyrl-RS"/>
        </w:rPr>
        <w:t xml:space="preserve">, </w:t>
      </w:r>
      <w:r w:rsidRPr="00A021B7">
        <w:rPr>
          <w:rFonts w:ascii="Arial" w:hAnsi="Arial" w:cs="Arial"/>
          <w:sz w:val="20"/>
          <w:szCs w:val="20"/>
          <w:lang w:val="sr-Cyrl-RS"/>
        </w:rPr>
        <w:t>разлике у цени комуналних услуга за грађане и привреду</w:t>
      </w:r>
      <w:r w:rsidR="1763693A" w:rsidRPr="00A021B7">
        <w:rPr>
          <w:rFonts w:ascii="Arial" w:hAnsi="Arial" w:cs="Arial"/>
          <w:sz w:val="20"/>
          <w:szCs w:val="20"/>
          <w:lang w:val="sr-Cyrl-RS"/>
        </w:rPr>
        <w:t xml:space="preserve">, </w:t>
      </w:r>
      <w:r w:rsidRPr="00A021B7">
        <w:rPr>
          <w:rFonts w:ascii="Arial" w:hAnsi="Arial" w:cs="Arial"/>
          <w:sz w:val="20"/>
          <w:szCs w:val="20"/>
          <w:lang w:val="sr-Cyrl-RS"/>
        </w:rPr>
        <w:t>нелојална конкуренциј</w:t>
      </w:r>
      <w:r w:rsidR="2ED4B0FC" w:rsidRPr="00A021B7">
        <w:rPr>
          <w:rFonts w:ascii="Arial" w:hAnsi="Arial" w:cs="Arial"/>
          <w:sz w:val="20"/>
          <w:szCs w:val="20"/>
          <w:lang w:val="sr-Cyrl-RS"/>
        </w:rPr>
        <w:t>а</w:t>
      </w:r>
      <w:r w:rsidR="1763693A" w:rsidRPr="00A021B7">
        <w:rPr>
          <w:rFonts w:ascii="Arial" w:hAnsi="Arial" w:cs="Arial"/>
          <w:sz w:val="20"/>
          <w:szCs w:val="20"/>
          <w:lang w:val="sr-Cyrl-RS"/>
        </w:rPr>
        <w:t xml:space="preserve">, </w:t>
      </w:r>
      <w:r w:rsidRPr="00A021B7">
        <w:rPr>
          <w:rFonts w:ascii="Arial" w:hAnsi="Arial" w:cs="Arial"/>
          <w:sz w:val="20"/>
          <w:szCs w:val="20"/>
          <w:lang w:val="sr-Cyrl-RS"/>
        </w:rPr>
        <w:t>недостатак изума и иновација</w:t>
      </w:r>
      <w:r w:rsidR="1763693A" w:rsidRPr="00A021B7">
        <w:rPr>
          <w:rFonts w:ascii="Arial" w:hAnsi="Arial" w:cs="Arial"/>
          <w:sz w:val="20"/>
          <w:szCs w:val="20"/>
          <w:lang w:val="sr-Cyrl-RS"/>
        </w:rPr>
        <w:t xml:space="preserve">, </w:t>
      </w:r>
      <w:r w:rsidRPr="00A021B7">
        <w:rPr>
          <w:rFonts w:ascii="Arial" w:hAnsi="Arial" w:cs="Arial"/>
          <w:sz w:val="20"/>
          <w:szCs w:val="20"/>
          <w:lang w:val="sr-Cyrl-RS"/>
        </w:rPr>
        <w:t>инфраструктурни проблеми</w:t>
      </w:r>
      <w:r w:rsidR="1763693A" w:rsidRPr="00A021B7">
        <w:rPr>
          <w:rFonts w:ascii="Arial" w:hAnsi="Arial" w:cs="Arial"/>
          <w:sz w:val="20"/>
          <w:szCs w:val="20"/>
          <w:lang w:val="sr-Cyrl-RS"/>
        </w:rPr>
        <w:t xml:space="preserve">, </w:t>
      </w:r>
      <w:r w:rsidRPr="00A021B7">
        <w:rPr>
          <w:rFonts w:ascii="Arial" w:hAnsi="Arial" w:cs="Arial"/>
          <w:sz w:val="20"/>
          <w:szCs w:val="20"/>
          <w:lang w:val="sr-Cyrl-RS"/>
        </w:rPr>
        <w:t>нерешени имовинск</w:t>
      </w:r>
      <w:r w:rsidR="2A51ACF1" w:rsidRPr="00A021B7">
        <w:rPr>
          <w:rFonts w:ascii="Arial" w:hAnsi="Arial" w:cs="Arial"/>
          <w:sz w:val="20"/>
          <w:szCs w:val="20"/>
          <w:lang w:val="sr-Cyrl-RS"/>
        </w:rPr>
        <w:t>и</w:t>
      </w:r>
      <w:r w:rsidRPr="00A021B7">
        <w:rPr>
          <w:rFonts w:ascii="Arial" w:hAnsi="Arial" w:cs="Arial"/>
          <w:sz w:val="20"/>
          <w:szCs w:val="20"/>
          <w:lang w:val="sr-Cyrl-RS"/>
        </w:rPr>
        <w:t xml:space="preserve"> односи и недостатак стручног кадра</w:t>
      </w:r>
      <w:r w:rsidR="0728B844" w:rsidRPr="00A021B7">
        <w:rPr>
          <w:rFonts w:ascii="Arial" w:hAnsi="Arial" w:cs="Arial"/>
          <w:sz w:val="20"/>
          <w:szCs w:val="20"/>
          <w:lang w:val="sr-Cyrl-RS"/>
        </w:rPr>
        <w:t xml:space="preserve"> у локалним срединама</w:t>
      </w:r>
      <w:r w:rsidRPr="00A021B7">
        <w:rPr>
          <w:rFonts w:ascii="Arial" w:hAnsi="Arial" w:cs="Arial"/>
          <w:sz w:val="20"/>
          <w:szCs w:val="20"/>
          <w:lang w:val="sr-Cyrl-RS"/>
        </w:rPr>
        <w:t>.</w:t>
      </w:r>
      <w:r w:rsidR="00A715AF" w:rsidRPr="00A021B7">
        <w:rPr>
          <w:rStyle w:val="FootnoteReference"/>
          <w:rFonts w:ascii="Arial" w:hAnsi="Arial" w:cs="Arial"/>
          <w:sz w:val="20"/>
          <w:szCs w:val="20"/>
          <w:lang w:val="sr-Cyrl-RS"/>
        </w:rPr>
        <w:footnoteReference w:id="38"/>
      </w:r>
      <w:r w:rsidR="568099C0" w:rsidRPr="00A021B7">
        <w:rPr>
          <w:rFonts w:ascii="Arial" w:hAnsi="Arial" w:cs="Arial"/>
          <w:sz w:val="20"/>
          <w:szCs w:val="20"/>
          <w:lang w:val="sr-Cyrl-RS"/>
        </w:rPr>
        <w:t xml:space="preserve"> </w:t>
      </w:r>
      <w:r w:rsidR="1763693A" w:rsidRPr="00A021B7">
        <w:rPr>
          <w:rFonts w:ascii="Arial" w:hAnsi="Arial" w:cs="Arial"/>
          <w:sz w:val="20"/>
          <w:szCs w:val="20"/>
          <w:lang w:val="sr-Cyrl-RS"/>
        </w:rPr>
        <w:t>У</w:t>
      </w:r>
      <w:r w:rsidR="1146F75F" w:rsidRPr="00A021B7">
        <w:rPr>
          <w:rFonts w:ascii="Arial" w:hAnsi="Arial" w:cs="Arial"/>
          <w:sz w:val="20"/>
          <w:szCs w:val="20"/>
          <w:lang w:val="sr-Cyrl-RS"/>
        </w:rPr>
        <w:t>пркос свим изазовима са којима се суочава</w:t>
      </w:r>
      <w:r w:rsidR="00F618C2">
        <w:rPr>
          <w:rFonts w:ascii="Arial" w:hAnsi="Arial" w:cs="Arial"/>
          <w:sz w:val="20"/>
          <w:szCs w:val="20"/>
          <w:lang w:val="sr-Cyrl-RS"/>
        </w:rPr>
        <w:t>ју</w:t>
      </w:r>
      <w:r w:rsidR="1146F75F" w:rsidRPr="00A021B7">
        <w:rPr>
          <w:rFonts w:ascii="Arial" w:hAnsi="Arial" w:cs="Arial"/>
          <w:sz w:val="20"/>
          <w:szCs w:val="20"/>
          <w:lang w:val="sr-Cyrl-RS"/>
        </w:rPr>
        <w:t xml:space="preserve"> локални економски развој и саме локалне власти, важно је нагласити да су општине и градови у претходних 15 година, самостално или уз стручну и финансијску подршку међународних пројеката</w:t>
      </w:r>
      <w:r w:rsidR="74B7421C" w:rsidRPr="00A021B7">
        <w:rPr>
          <w:rFonts w:ascii="Arial" w:hAnsi="Arial" w:cs="Arial"/>
          <w:sz w:val="20"/>
          <w:szCs w:val="20"/>
          <w:lang w:val="sr-Cyrl-RS"/>
        </w:rPr>
        <w:t>,</w:t>
      </w:r>
      <w:r w:rsidR="1146F75F" w:rsidRPr="00A021B7">
        <w:rPr>
          <w:rFonts w:ascii="Arial" w:hAnsi="Arial" w:cs="Arial"/>
          <w:sz w:val="20"/>
          <w:szCs w:val="20"/>
          <w:lang w:val="sr-Cyrl-RS"/>
        </w:rPr>
        <w:t xml:space="preserve"> односно </w:t>
      </w:r>
      <w:r w:rsidR="1146F75F" w:rsidRPr="00A021B7">
        <w:rPr>
          <w:rFonts w:ascii="Arial" w:hAnsi="Arial" w:cs="Arial"/>
          <w:sz w:val="20"/>
          <w:szCs w:val="20"/>
          <w:lang w:val="sr-Cyrl-RS"/>
        </w:rPr>
        <w:lastRenderedPageBreak/>
        <w:t xml:space="preserve">финансирање из националног буџета, </w:t>
      </w:r>
      <w:r w:rsidR="568099C0" w:rsidRPr="00A021B7">
        <w:rPr>
          <w:rFonts w:ascii="Arial" w:hAnsi="Arial" w:cs="Arial"/>
          <w:sz w:val="20"/>
          <w:szCs w:val="20"/>
          <w:lang w:val="sr-Cyrl-RS"/>
        </w:rPr>
        <w:t xml:space="preserve">оствариле велики напредак у овој области и </w:t>
      </w:r>
      <w:r w:rsidR="74B7421C" w:rsidRPr="00A021B7">
        <w:rPr>
          <w:rFonts w:ascii="Arial" w:hAnsi="Arial" w:cs="Arial"/>
          <w:sz w:val="20"/>
          <w:szCs w:val="20"/>
          <w:lang w:val="sr-Cyrl-RS"/>
        </w:rPr>
        <w:t xml:space="preserve">спровеле </w:t>
      </w:r>
      <w:r w:rsidR="1146F75F" w:rsidRPr="00A021B7">
        <w:rPr>
          <w:rFonts w:ascii="Arial" w:hAnsi="Arial" w:cs="Arial"/>
          <w:sz w:val="20"/>
          <w:szCs w:val="20"/>
          <w:lang w:val="sr-Cyrl-RS"/>
        </w:rPr>
        <w:t xml:space="preserve">бројне </w:t>
      </w:r>
      <w:r w:rsidR="568099C0" w:rsidRPr="00A021B7">
        <w:rPr>
          <w:rFonts w:ascii="Arial" w:hAnsi="Arial" w:cs="Arial"/>
          <w:sz w:val="20"/>
          <w:szCs w:val="20"/>
          <w:lang w:val="sr-Cyrl-RS"/>
        </w:rPr>
        <w:t>мере локалног економског развоја.</w:t>
      </w:r>
      <w:r w:rsidR="00A519E1" w:rsidRPr="00A021B7">
        <w:rPr>
          <w:rStyle w:val="FootnoteReference"/>
          <w:rFonts w:ascii="Arial" w:hAnsi="Arial" w:cs="Arial"/>
          <w:sz w:val="20"/>
          <w:szCs w:val="20"/>
          <w:lang w:val="sr-Cyrl-RS"/>
        </w:rPr>
        <w:footnoteReference w:id="39"/>
      </w:r>
    </w:p>
    <w:p w14:paraId="5388CD26" w14:textId="77777777" w:rsidR="002D6746" w:rsidRPr="00A021B7" w:rsidRDefault="002D6746" w:rsidP="1A8E6423">
      <w:pPr>
        <w:ind w:firstLine="720"/>
        <w:jc w:val="both"/>
        <w:rPr>
          <w:rFonts w:ascii="Arial" w:hAnsi="Arial" w:cs="Arial"/>
          <w:sz w:val="20"/>
          <w:szCs w:val="20"/>
          <w:lang w:val="sr-Cyrl-RS"/>
        </w:rPr>
      </w:pPr>
    </w:p>
    <w:p w14:paraId="42330C96" w14:textId="246BD4C6" w:rsidR="009536E5" w:rsidRPr="00A021B7" w:rsidRDefault="003E2047" w:rsidP="1A8E6423">
      <w:pPr>
        <w:ind w:firstLine="720"/>
        <w:jc w:val="both"/>
        <w:rPr>
          <w:rFonts w:ascii="Arial" w:hAnsi="Arial" w:cs="Arial"/>
          <w:sz w:val="20"/>
          <w:szCs w:val="20"/>
          <w:lang w:val="sr-Cyrl-RS"/>
        </w:rPr>
      </w:pPr>
      <w:r w:rsidRPr="1A8E6423">
        <w:rPr>
          <w:rFonts w:ascii="Arial" w:hAnsi="Arial" w:cs="Arial"/>
          <w:sz w:val="20"/>
          <w:szCs w:val="20"/>
          <w:lang w:val="sr-Cyrl-RS"/>
        </w:rPr>
        <w:t>Сумира</w:t>
      </w:r>
      <w:r w:rsidR="00682825" w:rsidRPr="1A8E6423">
        <w:rPr>
          <w:rFonts w:ascii="Arial" w:hAnsi="Arial" w:cs="Arial"/>
          <w:sz w:val="20"/>
          <w:szCs w:val="20"/>
          <w:lang w:val="sr-Cyrl-RS"/>
        </w:rPr>
        <w:t>њем</w:t>
      </w:r>
      <w:r w:rsidRPr="1A8E6423">
        <w:rPr>
          <w:rFonts w:ascii="Arial" w:hAnsi="Arial" w:cs="Arial"/>
          <w:sz w:val="20"/>
          <w:szCs w:val="20"/>
          <w:lang w:val="sr-Cyrl-RS"/>
        </w:rPr>
        <w:t xml:space="preserve"> кључн</w:t>
      </w:r>
      <w:r w:rsidR="00682825" w:rsidRPr="1A8E6423">
        <w:rPr>
          <w:rFonts w:ascii="Arial" w:hAnsi="Arial" w:cs="Arial"/>
          <w:sz w:val="20"/>
          <w:szCs w:val="20"/>
          <w:lang w:val="sr-Cyrl-RS"/>
        </w:rPr>
        <w:t>их</w:t>
      </w:r>
      <w:r w:rsidRPr="1A8E6423">
        <w:rPr>
          <w:rFonts w:ascii="Arial" w:hAnsi="Arial" w:cs="Arial"/>
          <w:sz w:val="20"/>
          <w:szCs w:val="20"/>
          <w:lang w:val="sr-Cyrl-RS"/>
        </w:rPr>
        <w:t xml:space="preserve"> одредниц</w:t>
      </w:r>
      <w:r w:rsidR="00682825" w:rsidRPr="1A8E6423">
        <w:rPr>
          <w:rFonts w:ascii="Arial" w:hAnsi="Arial" w:cs="Arial"/>
          <w:sz w:val="20"/>
          <w:szCs w:val="20"/>
          <w:lang w:val="sr-Cyrl-RS"/>
        </w:rPr>
        <w:t>а</w:t>
      </w:r>
      <w:r w:rsidRPr="1A8E6423">
        <w:rPr>
          <w:rFonts w:ascii="Arial" w:hAnsi="Arial" w:cs="Arial"/>
          <w:sz w:val="20"/>
          <w:szCs w:val="20"/>
          <w:lang w:val="sr-Cyrl-RS"/>
        </w:rPr>
        <w:t xml:space="preserve"> постојећег стања у вези са надлежности</w:t>
      </w:r>
      <w:r w:rsidR="00DC7E8A" w:rsidRPr="1A8E6423">
        <w:rPr>
          <w:rFonts w:ascii="Arial" w:hAnsi="Arial" w:cs="Arial"/>
          <w:sz w:val="20"/>
          <w:szCs w:val="20"/>
          <w:lang w:val="sr-Cyrl-RS"/>
        </w:rPr>
        <w:t>ма</w:t>
      </w:r>
      <w:r w:rsidRPr="1A8E6423">
        <w:rPr>
          <w:rFonts w:ascii="Arial" w:hAnsi="Arial" w:cs="Arial"/>
          <w:sz w:val="20"/>
          <w:szCs w:val="20"/>
          <w:lang w:val="sr-Cyrl-RS"/>
        </w:rPr>
        <w:t xml:space="preserve"> и послов</w:t>
      </w:r>
      <w:r w:rsidR="00DC7E8A" w:rsidRPr="1A8E6423">
        <w:rPr>
          <w:rFonts w:ascii="Arial" w:hAnsi="Arial" w:cs="Arial"/>
          <w:sz w:val="20"/>
          <w:szCs w:val="20"/>
          <w:lang w:val="sr-Cyrl-RS"/>
        </w:rPr>
        <w:t>има</w:t>
      </w:r>
      <w:r w:rsidRPr="1A8E6423">
        <w:rPr>
          <w:rFonts w:ascii="Arial" w:hAnsi="Arial" w:cs="Arial"/>
          <w:sz w:val="20"/>
          <w:szCs w:val="20"/>
          <w:lang w:val="sr-Cyrl-RS"/>
        </w:rPr>
        <w:t xml:space="preserve"> локалне самоуправе, може </w:t>
      </w:r>
      <w:r w:rsidR="003D7763" w:rsidRPr="1A8E6423">
        <w:rPr>
          <w:rFonts w:ascii="Arial" w:hAnsi="Arial" w:cs="Arial"/>
          <w:sz w:val="20"/>
          <w:szCs w:val="20"/>
          <w:lang w:val="sr-Cyrl-RS"/>
        </w:rPr>
        <w:t xml:space="preserve">се </w:t>
      </w:r>
      <w:r w:rsidRPr="1A8E6423">
        <w:rPr>
          <w:rFonts w:ascii="Arial" w:hAnsi="Arial" w:cs="Arial"/>
          <w:sz w:val="20"/>
          <w:szCs w:val="20"/>
          <w:lang w:val="sr-Cyrl-RS"/>
        </w:rPr>
        <w:t>закључити да</w:t>
      </w:r>
      <w:r w:rsidR="003D7763" w:rsidRPr="1A8E6423">
        <w:rPr>
          <w:rFonts w:ascii="Arial" w:hAnsi="Arial" w:cs="Arial"/>
          <w:sz w:val="20"/>
          <w:szCs w:val="20"/>
          <w:lang w:val="sr-Cyrl-RS"/>
        </w:rPr>
        <w:t>,</w:t>
      </w:r>
      <w:r w:rsidRPr="1A8E6423">
        <w:rPr>
          <w:rFonts w:ascii="Arial" w:hAnsi="Arial" w:cs="Arial"/>
          <w:sz w:val="20"/>
          <w:szCs w:val="20"/>
          <w:lang w:val="sr-Cyrl-RS"/>
        </w:rPr>
        <w:t xml:space="preserve"> </w:t>
      </w:r>
      <w:r w:rsidR="00034156" w:rsidRPr="1A8E6423">
        <w:rPr>
          <w:rFonts w:ascii="Arial" w:hAnsi="Arial" w:cs="Arial"/>
          <w:sz w:val="20"/>
          <w:szCs w:val="20"/>
          <w:lang w:val="sr-Cyrl-RS"/>
        </w:rPr>
        <w:t>и</w:t>
      </w:r>
      <w:r w:rsidR="00AC064C" w:rsidRPr="1A8E6423">
        <w:rPr>
          <w:rFonts w:ascii="Arial" w:hAnsi="Arial" w:cs="Arial"/>
          <w:sz w:val="20"/>
          <w:szCs w:val="20"/>
          <w:lang w:val="sr-Cyrl-RS"/>
        </w:rPr>
        <w:t>ако</w:t>
      </w:r>
      <w:r w:rsidR="009217E4" w:rsidRPr="1A8E6423">
        <w:rPr>
          <w:rFonts w:ascii="Arial" w:hAnsi="Arial" w:cs="Arial"/>
          <w:sz w:val="20"/>
          <w:szCs w:val="20"/>
          <w:lang w:val="sr-Cyrl-RS"/>
        </w:rPr>
        <w:t xml:space="preserve"> свакако</w:t>
      </w:r>
      <w:r w:rsidR="00AC064C" w:rsidRPr="1A8E6423">
        <w:rPr>
          <w:rFonts w:ascii="Arial" w:hAnsi="Arial" w:cs="Arial"/>
          <w:sz w:val="20"/>
          <w:szCs w:val="20"/>
          <w:lang w:val="sr-Cyrl-RS"/>
        </w:rPr>
        <w:t xml:space="preserve"> постоји простор за разматрање даљих корака у децентрализацији (нпр.</w:t>
      </w:r>
      <w:r w:rsidR="00A40831" w:rsidRPr="1A8E6423">
        <w:rPr>
          <w:rFonts w:ascii="Arial" w:hAnsi="Arial" w:cs="Arial"/>
          <w:sz w:val="20"/>
          <w:szCs w:val="20"/>
          <w:lang w:val="sr-Cyrl-RS"/>
        </w:rPr>
        <w:t xml:space="preserve"> </w:t>
      </w:r>
      <w:r w:rsidR="00AC064C" w:rsidRPr="1A8E6423">
        <w:rPr>
          <w:rFonts w:ascii="Arial" w:hAnsi="Arial" w:cs="Arial"/>
          <w:sz w:val="20"/>
          <w:szCs w:val="20"/>
          <w:lang w:val="sr-Cyrl-RS"/>
        </w:rPr>
        <w:t>додељивање нових послова у појединим областим</w:t>
      </w:r>
      <w:r w:rsidR="00D83D87" w:rsidRPr="1A8E6423">
        <w:rPr>
          <w:rFonts w:ascii="Arial" w:hAnsi="Arial" w:cs="Arial"/>
          <w:sz w:val="20"/>
          <w:szCs w:val="20"/>
          <w:lang w:val="sr-Cyrl-RS"/>
        </w:rPr>
        <w:t>а</w:t>
      </w:r>
      <w:r w:rsidR="006E29E4" w:rsidRPr="1A8E6423">
        <w:rPr>
          <w:rFonts w:ascii="Arial" w:hAnsi="Arial" w:cs="Arial"/>
          <w:sz w:val="20"/>
          <w:szCs w:val="20"/>
          <w:lang w:val="sr-Cyrl-RS"/>
        </w:rPr>
        <w:t>,</w:t>
      </w:r>
      <w:r w:rsidR="004D5004" w:rsidRPr="1A8E6423">
        <w:rPr>
          <w:rFonts w:ascii="Arial" w:hAnsi="Arial" w:cs="Arial"/>
          <w:sz w:val="20"/>
          <w:szCs w:val="20"/>
          <w:lang w:val="sr-Cyrl-RS"/>
        </w:rPr>
        <w:t xml:space="preserve"> </w:t>
      </w:r>
      <w:r w:rsidR="00384289" w:rsidRPr="1A8E6423">
        <w:rPr>
          <w:rFonts w:ascii="Arial" w:hAnsi="Arial" w:cs="Arial"/>
          <w:sz w:val="20"/>
          <w:szCs w:val="20"/>
          <w:lang w:val="sr-Cyrl-RS"/>
        </w:rPr>
        <w:t>трансформациј</w:t>
      </w:r>
      <w:r w:rsidR="00682825" w:rsidRPr="1A8E6423">
        <w:rPr>
          <w:rFonts w:ascii="Arial" w:hAnsi="Arial" w:cs="Arial"/>
          <w:sz w:val="20"/>
          <w:szCs w:val="20"/>
          <w:lang w:val="sr-Cyrl-RS"/>
        </w:rPr>
        <w:t>а</w:t>
      </w:r>
      <w:r w:rsidR="00384289" w:rsidRPr="1A8E6423">
        <w:rPr>
          <w:rFonts w:ascii="Arial" w:hAnsi="Arial" w:cs="Arial"/>
          <w:sz w:val="20"/>
          <w:szCs w:val="20"/>
          <w:lang w:val="sr-Cyrl-RS"/>
        </w:rPr>
        <w:t xml:space="preserve"> функција</w:t>
      </w:r>
      <w:r w:rsidR="009217E4" w:rsidRPr="1A8E6423">
        <w:rPr>
          <w:rFonts w:ascii="Arial" w:hAnsi="Arial" w:cs="Arial"/>
          <w:sz w:val="20"/>
          <w:szCs w:val="20"/>
          <w:lang w:val="sr-Cyrl-RS"/>
        </w:rPr>
        <w:t xml:space="preserve"> ЈЛС у појединим областима, преношење неких поверених послова у изворне послове ЈЛС</w:t>
      </w:r>
      <w:r w:rsidR="000C2922" w:rsidRPr="1A8E6423">
        <w:rPr>
          <w:rFonts w:ascii="Arial" w:hAnsi="Arial" w:cs="Arial"/>
          <w:sz w:val="20"/>
          <w:szCs w:val="20"/>
          <w:lang w:val="sr-Cyrl-RS"/>
        </w:rPr>
        <w:t xml:space="preserve"> и др.</w:t>
      </w:r>
      <w:r w:rsidR="009217E4" w:rsidRPr="1A8E6423">
        <w:rPr>
          <w:rFonts w:ascii="Arial" w:hAnsi="Arial" w:cs="Arial"/>
          <w:sz w:val="20"/>
          <w:szCs w:val="20"/>
          <w:lang w:val="sr-Cyrl-RS"/>
        </w:rPr>
        <w:t>)</w:t>
      </w:r>
      <w:r w:rsidR="00682825" w:rsidRPr="1A8E6423">
        <w:rPr>
          <w:rFonts w:ascii="Arial" w:hAnsi="Arial" w:cs="Arial"/>
          <w:sz w:val="20"/>
          <w:szCs w:val="20"/>
          <w:lang w:val="sr-Cyrl-RS"/>
        </w:rPr>
        <w:t>,</w:t>
      </w:r>
      <w:r w:rsidR="00384289" w:rsidRPr="1A8E6423">
        <w:rPr>
          <w:rFonts w:ascii="Arial" w:hAnsi="Arial" w:cs="Arial"/>
          <w:sz w:val="20"/>
          <w:szCs w:val="20"/>
          <w:lang w:val="sr-Cyrl-RS"/>
        </w:rPr>
        <w:t xml:space="preserve"> </w:t>
      </w:r>
      <w:r w:rsidR="009217E4" w:rsidRPr="1A8E6423">
        <w:rPr>
          <w:rFonts w:ascii="Arial" w:hAnsi="Arial" w:cs="Arial"/>
          <w:sz w:val="20"/>
          <w:szCs w:val="20"/>
          <w:lang w:val="sr-Cyrl-RS"/>
        </w:rPr>
        <w:t>г</w:t>
      </w:r>
      <w:r w:rsidR="009C2FC1" w:rsidRPr="1A8E6423">
        <w:rPr>
          <w:rFonts w:ascii="Arial" w:hAnsi="Arial" w:cs="Arial"/>
          <w:sz w:val="20"/>
          <w:szCs w:val="20"/>
          <w:lang w:val="sr-Cyrl-RS"/>
        </w:rPr>
        <w:t>лавни изазови нису у вези са недовољним ниво</w:t>
      </w:r>
      <w:r w:rsidR="00D83D87" w:rsidRPr="1A8E6423">
        <w:rPr>
          <w:rFonts w:ascii="Arial" w:hAnsi="Arial" w:cs="Arial"/>
          <w:sz w:val="20"/>
          <w:szCs w:val="20"/>
          <w:lang w:val="sr-Cyrl-RS"/>
        </w:rPr>
        <w:t>о</w:t>
      </w:r>
      <w:r w:rsidR="009C2FC1" w:rsidRPr="1A8E6423">
        <w:rPr>
          <w:rFonts w:ascii="Arial" w:hAnsi="Arial" w:cs="Arial"/>
          <w:sz w:val="20"/>
          <w:szCs w:val="20"/>
          <w:lang w:val="sr-Cyrl-RS"/>
        </w:rPr>
        <w:t xml:space="preserve">м децентрализације </w:t>
      </w:r>
      <w:r w:rsidR="002A4415" w:rsidRPr="1A8E6423">
        <w:rPr>
          <w:rFonts w:ascii="Arial" w:hAnsi="Arial" w:cs="Arial"/>
          <w:sz w:val="20"/>
          <w:szCs w:val="20"/>
          <w:lang w:val="sr-Cyrl-RS"/>
        </w:rPr>
        <w:t xml:space="preserve">надлежности и </w:t>
      </w:r>
      <w:r w:rsidR="009C2FC1" w:rsidRPr="1A8E6423">
        <w:rPr>
          <w:rFonts w:ascii="Arial" w:hAnsi="Arial" w:cs="Arial"/>
          <w:sz w:val="20"/>
          <w:szCs w:val="20"/>
          <w:lang w:val="sr-Cyrl-RS"/>
        </w:rPr>
        <w:t>послова</w:t>
      </w:r>
      <w:r w:rsidR="00E00DAB" w:rsidRPr="1A8E6423">
        <w:rPr>
          <w:rFonts w:ascii="Arial" w:hAnsi="Arial" w:cs="Arial"/>
          <w:sz w:val="20"/>
          <w:szCs w:val="20"/>
          <w:lang w:val="sr-Cyrl-RS"/>
        </w:rPr>
        <w:t>. Упоредно посматра</w:t>
      </w:r>
      <w:r w:rsidR="00682825" w:rsidRPr="1A8E6423">
        <w:rPr>
          <w:rFonts w:ascii="Arial" w:hAnsi="Arial" w:cs="Arial"/>
          <w:sz w:val="20"/>
          <w:szCs w:val="20"/>
          <w:lang w:val="sr-Cyrl-RS"/>
        </w:rPr>
        <w:t>но</w:t>
      </w:r>
      <w:r w:rsidR="003D7763" w:rsidRPr="1A8E6423">
        <w:rPr>
          <w:rFonts w:ascii="Arial" w:hAnsi="Arial" w:cs="Arial"/>
          <w:sz w:val="20"/>
          <w:szCs w:val="20"/>
          <w:lang w:val="sr-Cyrl-RS"/>
        </w:rPr>
        <w:t>,</w:t>
      </w:r>
      <w:r w:rsidR="00E00DAB" w:rsidRPr="1A8E6423">
        <w:rPr>
          <w:rFonts w:ascii="Arial" w:hAnsi="Arial" w:cs="Arial"/>
          <w:sz w:val="20"/>
          <w:szCs w:val="20"/>
          <w:lang w:val="sr-Cyrl-RS"/>
        </w:rPr>
        <w:t xml:space="preserve"> локална самоуправа у Србији има значајне надлежности и </w:t>
      </w:r>
      <w:r w:rsidR="003D7763" w:rsidRPr="1A8E6423">
        <w:rPr>
          <w:rFonts w:ascii="Arial" w:hAnsi="Arial" w:cs="Arial"/>
          <w:sz w:val="20"/>
          <w:szCs w:val="20"/>
          <w:lang w:val="sr-Cyrl-RS"/>
        </w:rPr>
        <w:t xml:space="preserve">обавља </w:t>
      </w:r>
      <w:r w:rsidR="00E00DAB" w:rsidRPr="1A8E6423">
        <w:rPr>
          <w:rFonts w:ascii="Arial" w:hAnsi="Arial" w:cs="Arial"/>
          <w:sz w:val="20"/>
          <w:szCs w:val="20"/>
          <w:lang w:val="sr-Cyrl-RS"/>
        </w:rPr>
        <w:t>бројне важне послове за локалну заједницу.</w:t>
      </w:r>
      <w:r w:rsidR="00A40831" w:rsidRPr="1A8E6423">
        <w:rPr>
          <w:rFonts w:ascii="Arial" w:hAnsi="Arial" w:cs="Arial"/>
          <w:sz w:val="20"/>
          <w:szCs w:val="20"/>
          <w:lang w:val="sr-Cyrl-RS"/>
        </w:rPr>
        <w:t xml:space="preserve"> </w:t>
      </w:r>
      <w:r w:rsidR="009C1D7C" w:rsidRPr="1A8E6423">
        <w:rPr>
          <w:rFonts w:ascii="Arial" w:hAnsi="Arial" w:cs="Arial"/>
          <w:sz w:val="20"/>
          <w:szCs w:val="20"/>
          <w:lang w:val="sr-Cyrl-RS"/>
        </w:rPr>
        <w:t>Очекивано је</w:t>
      </w:r>
      <w:r w:rsidR="00A40831" w:rsidRPr="1A8E6423">
        <w:rPr>
          <w:rFonts w:ascii="Arial" w:hAnsi="Arial" w:cs="Arial"/>
          <w:sz w:val="20"/>
          <w:szCs w:val="20"/>
          <w:lang w:val="sr-Cyrl-RS"/>
        </w:rPr>
        <w:t xml:space="preserve"> да ће децентрализација наставити да се развија</w:t>
      </w:r>
      <w:r w:rsidR="00490827" w:rsidRPr="1A8E6423">
        <w:rPr>
          <w:rFonts w:ascii="Arial" w:hAnsi="Arial" w:cs="Arial"/>
          <w:sz w:val="20"/>
          <w:szCs w:val="20"/>
          <w:lang w:val="sr-Cyrl-RS"/>
        </w:rPr>
        <w:t>,</w:t>
      </w:r>
      <w:r w:rsidR="00A40831" w:rsidRPr="1A8E6423">
        <w:rPr>
          <w:rFonts w:ascii="Arial" w:hAnsi="Arial" w:cs="Arial"/>
          <w:sz w:val="20"/>
          <w:szCs w:val="20"/>
          <w:lang w:val="sr-Cyrl-RS"/>
        </w:rPr>
        <w:t xml:space="preserve"> али и да ће се суочавати са изазовима који ће тражити другачија решења (нпр. техничка модернизација, дигитализација или строжи професионал</w:t>
      </w:r>
      <w:r w:rsidR="1415285D" w:rsidRPr="1A8E6423">
        <w:rPr>
          <w:rFonts w:ascii="Arial" w:hAnsi="Arial" w:cs="Arial"/>
          <w:sz w:val="20"/>
          <w:szCs w:val="20"/>
          <w:lang w:val="sr-Cyrl-RS"/>
        </w:rPr>
        <w:t>н</w:t>
      </w:r>
      <w:r w:rsidR="00A40831" w:rsidRPr="1A8E6423">
        <w:rPr>
          <w:rFonts w:ascii="Arial" w:hAnsi="Arial" w:cs="Arial"/>
          <w:sz w:val="20"/>
          <w:szCs w:val="20"/>
          <w:lang w:val="sr-Cyrl-RS"/>
        </w:rPr>
        <w:t xml:space="preserve">и стандарди у некој области могу </w:t>
      </w:r>
      <w:r w:rsidR="00682825" w:rsidRPr="1A8E6423">
        <w:rPr>
          <w:rFonts w:ascii="Arial" w:hAnsi="Arial" w:cs="Arial"/>
          <w:sz w:val="20"/>
          <w:szCs w:val="20"/>
          <w:lang w:val="sr-Cyrl-RS"/>
        </w:rPr>
        <w:t>као</w:t>
      </w:r>
      <w:r w:rsidR="00A40831" w:rsidRPr="1A8E6423">
        <w:rPr>
          <w:rFonts w:ascii="Arial" w:hAnsi="Arial" w:cs="Arial"/>
          <w:sz w:val="20"/>
          <w:szCs w:val="20"/>
          <w:lang w:val="sr-Cyrl-RS"/>
        </w:rPr>
        <w:t xml:space="preserve"> последицу имати смањење овлашћења локалне самоуправе или креирање међуопштинског нивоа управљања). </w:t>
      </w:r>
      <w:r w:rsidR="002050FC" w:rsidRPr="1A8E6423">
        <w:rPr>
          <w:rFonts w:ascii="Arial" w:hAnsi="Arial" w:cs="Arial"/>
          <w:sz w:val="20"/>
          <w:szCs w:val="20"/>
          <w:lang w:val="sr-Cyrl-RS"/>
        </w:rPr>
        <w:t xml:space="preserve">У наредној </w:t>
      </w:r>
      <w:r w:rsidR="00B3080F" w:rsidRPr="1A8E6423">
        <w:rPr>
          <w:rFonts w:ascii="Arial" w:hAnsi="Arial" w:cs="Arial"/>
          <w:sz w:val="20"/>
          <w:szCs w:val="20"/>
          <w:lang w:val="sr-Cyrl-RS"/>
        </w:rPr>
        <w:t>деценији</w:t>
      </w:r>
      <w:r w:rsidR="002050FC" w:rsidRPr="1A8E6423">
        <w:rPr>
          <w:rFonts w:ascii="Arial" w:hAnsi="Arial" w:cs="Arial"/>
          <w:sz w:val="20"/>
          <w:szCs w:val="20"/>
          <w:lang w:val="sr-Cyrl-RS"/>
        </w:rPr>
        <w:t xml:space="preserve">, садржај локалне самоуправе треба развијати тако да локалне власти буду у могућности да </w:t>
      </w:r>
      <w:r w:rsidR="009C1D7C" w:rsidRPr="1A8E6423">
        <w:rPr>
          <w:rFonts w:ascii="Arial" w:hAnsi="Arial" w:cs="Arial"/>
          <w:sz w:val="20"/>
          <w:szCs w:val="20"/>
          <w:lang w:val="sr-Cyrl-RS"/>
        </w:rPr>
        <w:t xml:space="preserve">одговоре на различите приоритете заједнице, укључујући </w:t>
      </w:r>
      <w:r w:rsidR="002050FC" w:rsidRPr="1A8E6423">
        <w:rPr>
          <w:rFonts w:ascii="Arial" w:hAnsi="Arial" w:cs="Arial"/>
          <w:sz w:val="20"/>
          <w:szCs w:val="20"/>
          <w:lang w:val="sr-Cyrl-RS"/>
        </w:rPr>
        <w:t xml:space="preserve">и </w:t>
      </w:r>
      <w:r w:rsidR="009C1D7C" w:rsidRPr="1A8E6423">
        <w:rPr>
          <w:rFonts w:ascii="Arial" w:hAnsi="Arial" w:cs="Arial"/>
          <w:sz w:val="20"/>
          <w:szCs w:val="20"/>
          <w:lang w:val="sr-Cyrl-RS"/>
        </w:rPr>
        <w:t>преуз</w:t>
      </w:r>
      <w:r w:rsidR="002050FC" w:rsidRPr="1A8E6423">
        <w:rPr>
          <w:rFonts w:ascii="Arial" w:hAnsi="Arial" w:cs="Arial"/>
          <w:sz w:val="20"/>
          <w:szCs w:val="20"/>
          <w:lang w:val="sr-Cyrl-RS"/>
        </w:rPr>
        <w:t>имање</w:t>
      </w:r>
      <w:r w:rsidR="009C1D7C" w:rsidRPr="1A8E6423">
        <w:rPr>
          <w:rFonts w:ascii="Arial" w:hAnsi="Arial" w:cs="Arial"/>
          <w:sz w:val="20"/>
          <w:szCs w:val="20"/>
          <w:lang w:val="sr-Cyrl-RS"/>
        </w:rPr>
        <w:t xml:space="preserve"> нов</w:t>
      </w:r>
      <w:r w:rsidR="002050FC" w:rsidRPr="1A8E6423">
        <w:rPr>
          <w:rFonts w:ascii="Arial" w:hAnsi="Arial" w:cs="Arial"/>
          <w:sz w:val="20"/>
          <w:szCs w:val="20"/>
          <w:lang w:val="sr-Cyrl-RS"/>
        </w:rPr>
        <w:t>их</w:t>
      </w:r>
      <w:r w:rsidR="009C1D7C" w:rsidRPr="1A8E6423">
        <w:rPr>
          <w:rFonts w:ascii="Arial" w:hAnsi="Arial" w:cs="Arial"/>
          <w:sz w:val="20"/>
          <w:szCs w:val="20"/>
          <w:lang w:val="sr-Cyrl-RS"/>
        </w:rPr>
        <w:t xml:space="preserve"> задат</w:t>
      </w:r>
      <w:r w:rsidR="002050FC" w:rsidRPr="1A8E6423">
        <w:rPr>
          <w:rFonts w:ascii="Arial" w:hAnsi="Arial" w:cs="Arial"/>
          <w:sz w:val="20"/>
          <w:szCs w:val="20"/>
          <w:lang w:val="sr-Cyrl-RS"/>
        </w:rPr>
        <w:t xml:space="preserve">ака, </w:t>
      </w:r>
      <w:r w:rsidR="009C1D7C" w:rsidRPr="1A8E6423">
        <w:rPr>
          <w:rFonts w:ascii="Arial" w:hAnsi="Arial" w:cs="Arial"/>
          <w:sz w:val="20"/>
          <w:szCs w:val="20"/>
          <w:lang w:val="sr-Cyrl-RS"/>
        </w:rPr>
        <w:t xml:space="preserve">као одговор на локалне специфичности и </w:t>
      </w:r>
      <w:r w:rsidR="00514AEB" w:rsidRPr="1A8E6423">
        <w:rPr>
          <w:rFonts w:ascii="Arial" w:hAnsi="Arial" w:cs="Arial"/>
          <w:sz w:val="20"/>
          <w:szCs w:val="20"/>
          <w:lang w:val="sr-Cyrl-RS"/>
        </w:rPr>
        <w:t>пратећи</w:t>
      </w:r>
      <w:r w:rsidR="009C1D7C" w:rsidRPr="1A8E6423">
        <w:rPr>
          <w:rFonts w:ascii="Arial" w:hAnsi="Arial" w:cs="Arial"/>
          <w:sz w:val="20"/>
          <w:szCs w:val="20"/>
          <w:lang w:val="sr-Cyrl-RS"/>
        </w:rPr>
        <w:t xml:space="preserve"> развој локалних потреба и склоности грађана.</w:t>
      </w:r>
    </w:p>
    <w:p w14:paraId="3B76B1E8" w14:textId="77777777" w:rsidR="00393720" w:rsidRPr="00A021B7" w:rsidRDefault="00393720" w:rsidP="1A8E6423">
      <w:pPr>
        <w:ind w:firstLine="720"/>
        <w:jc w:val="both"/>
        <w:rPr>
          <w:rFonts w:ascii="Arial" w:hAnsi="Arial" w:cs="Arial"/>
          <w:sz w:val="20"/>
          <w:szCs w:val="20"/>
          <w:lang w:val="sr-Cyrl-RS"/>
        </w:rPr>
      </w:pPr>
    </w:p>
    <w:p w14:paraId="1B7B14C0" w14:textId="37CA03D1" w:rsidR="00A4573E" w:rsidRPr="00A021B7" w:rsidRDefault="00682825"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Ако се </w:t>
      </w:r>
      <w:r w:rsidR="00917FC9" w:rsidRPr="1A8E6423">
        <w:rPr>
          <w:rFonts w:ascii="Arial" w:hAnsi="Arial" w:cs="Arial"/>
          <w:sz w:val="20"/>
          <w:szCs w:val="20"/>
          <w:lang w:val="sr-Cyrl-RS"/>
        </w:rPr>
        <w:t>све то</w:t>
      </w:r>
      <w:r w:rsidRPr="1A8E6423">
        <w:rPr>
          <w:rFonts w:ascii="Arial" w:hAnsi="Arial" w:cs="Arial"/>
          <w:sz w:val="20"/>
          <w:szCs w:val="20"/>
          <w:lang w:val="sr-Cyrl-RS"/>
        </w:rPr>
        <w:t xml:space="preserve"> има</w:t>
      </w:r>
      <w:r w:rsidR="00917FC9" w:rsidRPr="1A8E6423">
        <w:rPr>
          <w:rFonts w:ascii="Arial" w:hAnsi="Arial" w:cs="Arial"/>
          <w:sz w:val="20"/>
          <w:szCs w:val="20"/>
          <w:lang w:val="sr-Cyrl-RS"/>
        </w:rPr>
        <w:t xml:space="preserve"> у виду, </w:t>
      </w:r>
      <w:r w:rsidRPr="1A8E6423">
        <w:rPr>
          <w:rFonts w:ascii="Arial" w:hAnsi="Arial" w:cs="Arial"/>
          <w:sz w:val="20"/>
          <w:szCs w:val="20"/>
          <w:lang w:val="sr-Cyrl-RS"/>
        </w:rPr>
        <w:t xml:space="preserve">у </w:t>
      </w:r>
      <w:r w:rsidR="00514AEB" w:rsidRPr="1A8E6423">
        <w:rPr>
          <w:rFonts w:ascii="Arial" w:hAnsi="Arial" w:cs="Arial"/>
          <w:sz w:val="20"/>
          <w:szCs w:val="20"/>
          <w:lang w:val="sr-Cyrl-RS"/>
        </w:rPr>
        <w:t xml:space="preserve">кратком року </w:t>
      </w:r>
      <w:r w:rsidR="00917FC9" w:rsidRPr="1A8E6423">
        <w:rPr>
          <w:rFonts w:ascii="Arial" w:hAnsi="Arial" w:cs="Arial"/>
          <w:sz w:val="20"/>
          <w:szCs w:val="20"/>
          <w:lang w:val="sr-Cyrl-RS"/>
        </w:rPr>
        <w:t xml:space="preserve">приоритет за реформу </w:t>
      </w:r>
      <w:r w:rsidR="00034156" w:rsidRPr="1A8E6423">
        <w:rPr>
          <w:rFonts w:ascii="Arial" w:hAnsi="Arial" w:cs="Arial"/>
          <w:sz w:val="20"/>
          <w:szCs w:val="20"/>
          <w:lang w:val="sr-Cyrl-RS"/>
        </w:rPr>
        <w:t>систем</w:t>
      </w:r>
      <w:r w:rsidR="00917FC9" w:rsidRPr="1A8E6423">
        <w:rPr>
          <w:rFonts w:ascii="Arial" w:hAnsi="Arial" w:cs="Arial"/>
          <w:sz w:val="20"/>
          <w:szCs w:val="20"/>
          <w:lang w:val="sr-Cyrl-RS"/>
        </w:rPr>
        <w:t>а</w:t>
      </w:r>
      <w:r w:rsidR="00034156" w:rsidRPr="1A8E6423">
        <w:rPr>
          <w:rFonts w:ascii="Arial" w:hAnsi="Arial" w:cs="Arial"/>
          <w:sz w:val="20"/>
          <w:szCs w:val="20"/>
          <w:lang w:val="sr-Cyrl-RS"/>
        </w:rPr>
        <w:t xml:space="preserve"> локалне самоуправе</w:t>
      </w:r>
      <w:r w:rsidR="00845825" w:rsidRPr="1A8E6423">
        <w:rPr>
          <w:rFonts w:ascii="Arial" w:hAnsi="Arial" w:cs="Arial"/>
          <w:sz w:val="20"/>
          <w:szCs w:val="20"/>
          <w:lang w:val="sr-Cyrl-RS"/>
        </w:rPr>
        <w:t>, у вези са надлежностима и пословима локалне самоуправе,</w:t>
      </w:r>
      <w:r w:rsidR="00034156" w:rsidRPr="1A8E6423">
        <w:rPr>
          <w:rFonts w:ascii="Arial" w:hAnsi="Arial" w:cs="Arial"/>
          <w:sz w:val="20"/>
          <w:szCs w:val="20"/>
          <w:lang w:val="sr-Cyrl-RS"/>
        </w:rPr>
        <w:t xml:space="preserve"> </w:t>
      </w:r>
      <w:r w:rsidR="00917FC9" w:rsidRPr="1A8E6423">
        <w:rPr>
          <w:rFonts w:ascii="Arial" w:hAnsi="Arial" w:cs="Arial"/>
          <w:sz w:val="20"/>
          <w:szCs w:val="20"/>
          <w:lang w:val="sr-Cyrl-RS"/>
        </w:rPr>
        <w:t>јесте превазилаж</w:t>
      </w:r>
      <w:r w:rsidR="00D83D87" w:rsidRPr="1A8E6423">
        <w:rPr>
          <w:rFonts w:ascii="Arial" w:hAnsi="Arial" w:cs="Arial"/>
          <w:sz w:val="20"/>
          <w:szCs w:val="20"/>
          <w:lang w:val="sr-Cyrl-RS"/>
        </w:rPr>
        <w:t>е</w:t>
      </w:r>
      <w:r w:rsidR="00917FC9" w:rsidRPr="1A8E6423">
        <w:rPr>
          <w:rFonts w:ascii="Arial" w:hAnsi="Arial" w:cs="Arial"/>
          <w:sz w:val="20"/>
          <w:szCs w:val="20"/>
          <w:lang w:val="sr-Cyrl-RS"/>
        </w:rPr>
        <w:t xml:space="preserve">ње </w:t>
      </w:r>
      <w:r w:rsidR="00034156" w:rsidRPr="1A8E6423">
        <w:rPr>
          <w:rFonts w:ascii="Arial" w:hAnsi="Arial" w:cs="Arial"/>
          <w:sz w:val="20"/>
          <w:szCs w:val="20"/>
          <w:lang w:val="sr-Cyrl-RS"/>
        </w:rPr>
        <w:t>одређен</w:t>
      </w:r>
      <w:r w:rsidR="00917FC9" w:rsidRPr="1A8E6423">
        <w:rPr>
          <w:rFonts w:ascii="Arial" w:hAnsi="Arial" w:cs="Arial"/>
          <w:sz w:val="20"/>
          <w:szCs w:val="20"/>
          <w:lang w:val="sr-Cyrl-RS"/>
        </w:rPr>
        <w:t>их</w:t>
      </w:r>
      <w:r w:rsidR="00034156" w:rsidRPr="1A8E6423">
        <w:rPr>
          <w:rFonts w:ascii="Arial" w:hAnsi="Arial" w:cs="Arial"/>
          <w:sz w:val="20"/>
          <w:szCs w:val="20"/>
          <w:lang w:val="sr-Cyrl-RS"/>
        </w:rPr>
        <w:t xml:space="preserve"> системски</w:t>
      </w:r>
      <w:r w:rsidR="00917FC9" w:rsidRPr="1A8E6423">
        <w:rPr>
          <w:rFonts w:ascii="Arial" w:hAnsi="Arial" w:cs="Arial"/>
          <w:sz w:val="20"/>
          <w:szCs w:val="20"/>
          <w:lang w:val="sr-Cyrl-RS"/>
        </w:rPr>
        <w:t>х</w:t>
      </w:r>
      <w:r w:rsidR="00034156" w:rsidRPr="1A8E6423">
        <w:rPr>
          <w:rFonts w:ascii="Arial" w:hAnsi="Arial" w:cs="Arial"/>
          <w:sz w:val="20"/>
          <w:szCs w:val="20"/>
          <w:lang w:val="sr-Cyrl-RS"/>
        </w:rPr>
        <w:t xml:space="preserve"> тач</w:t>
      </w:r>
      <w:r w:rsidR="00917FC9" w:rsidRPr="1A8E6423">
        <w:rPr>
          <w:rFonts w:ascii="Arial" w:hAnsi="Arial" w:cs="Arial"/>
          <w:sz w:val="20"/>
          <w:szCs w:val="20"/>
          <w:lang w:val="sr-Cyrl-RS"/>
        </w:rPr>
        <w:t>ака</w:t>
      </w:r>
      <w:r w:rsidR="00034156" w:rsidRPr="1A8E6423">
        <w:rPr>
          <w:rFonts w:ascii="Arial" w:hAnsi="Arial" w:cs="Arial"/>
          <w:sz w:val="20"/>
          <w:szCs w:val="20"/>
          <w:lang w:val="sr-Cyrl-RS"/>
        </w:rPr>
        <w:t xml:space="preserve"> спотицања</w:t>
      </w:r>
      <w:r w:rsidR="004D7D88" w:rsidRPr="1A8E6423">
        <w:rPr>
          <w:rFonts w:ascii="Arial" w:hAnsi="Arial" w:cs="Arial"/>
          <w:sz w:val="20"/>
          <w:szCs w:val="20"/>
          <w:lang w:val="sr-Cyrl-RS"/>
        </w:rPr>
        <w:t>,</w:t>
      </w:r>
      <w:r w:rsidR="00846254" w:rsidRPr="1A8E6423">
        <w:rPr>
          <w:rFonts w:ascii="Arial" w:hAnsi="Arial" w:cs="Arial"/>
          <w:sz w:val="20"/>
          <w:szCs w:val="20"/>
          <w:lang w:val="sr-Cyrl-RS"/>
        </w:rPr>
        <w:t xml:space="preserve"> како би се постојећи ниво </w:t>
      </w:r>
      <w:r w:rsidR="00D3222F" w:rsidRPr="1A8E6423">
        <w:rPr>
          <w:rFonts w:ascii="Arial" w:hAnsi="Arial" w:cs="Arial"/>
          <w:sz w:val="20"/>
          <w:szCs w:val="20"/>
          <w:lang w:val="sr-Cyrl-RS"/>
        </w:rPr>
        <w:t>локалне самоупр</w:t>
      </w:r>
      <w:r w:rsidR="35C01357" w:rsidRPr="1A8E6423">
        <w:rPr>
          <w:rFonts w:ascii="Arial" w:hAnsi="Arial" w:cs="Arial"/>
          <w:sz w:val="20"/>
          <w:szCs w:val="20"/>
          <w:lang w:val="sr-Cyrl-RS"/>
        </w:rPr>
        <w:t>а</w:t>
      </w:r>
      <w:r w:rsidR="00D3222F" w:rsidRPr="1A8E6423">
        <w:rPr>
          <w:rFonts w:ascii="Arial" w:hAnsi="Arial" w:cs="Arial"/>
          <w:sz w:val="20"/>
          <w:szCs w:val="20"/>
          <w:lang w:val="sr-Cyrl-RS"/>
        </w:rPr>
        <w:t>ве остваривао у потпуности</w:t>
      </w:r>
      <w:r w:rsidR="004D7D88" w:rsidRPr="1A8E6423">
        <w:rPr>
          <w:rFonts w:ascii="Arial" w:hAnsi="Arial" w:cs="Arial"/>
          <w:sz w:val="20"/>
          <w:szCs w:val="20"/>
          <w:lang w:val="sr-Cyrl-RS"/>
        </w:rPr>
        <w:t>,</w:t>
      </w:r>
      <w:r w:rsidR="00D3222F" w:rsidRPr="1A8E6423">
        <w:rPr>
          <w:rFonts w:ascii="Arial" w:hAnsi="Arial" w:cs="Arial"/>
          <w:sz w:val="20"/>
          <w:szCs w:val="20"/>
          <w:lang w:val="sr-Cyrl-RS"/>
        </w:rPr>
        <w:t xml:space="preserve"> односно како би се успоставила одржива децентрализација</w:t>
      </w:r>
      <w:r w:rsidR="00034156" w:rsidRPr="1A8E6423">
        <w:rPr>
          <w:rFonts w:ascii="Arial" w:hAnsi="Arial" w:cs="Arial"/>
          <w:sz w:val="20"/>
          <w:szCs w:val="20"/>
          <w:lang w:val="sr-Cyrl-RS"/>
        </w:rPr>
        <w:t xml:space="preserve">. </w:t>
      </w:r>
      <w:r w:rsidR="003E2047" w:rsidRPr="1A8E6423">
        <w:rPr>
          <w:rFonts w:ascii="Arial" w:hAnsi="Arial" w:cs="Arial"/>
          <w:sz w:val="20"/>
          <w:szCs w:val="20"/>
          <w:lang w:val="sr-Cyrl-RS"/>
        </w:rPr>
        <w:t>Прв</w:t>
      </w:r>
      <w:r w:rsidRPr="1A8E6423">
        <w:rPr>
          <w:rFonts w:ascii="Arial" w:hAnsi="Arial" w:cs="Arial"/>
          <w:sz w:val="20"/>
          <w:szCs w:val="20"/>
          <w:lang w:val="sr-Cyrl-RS"/>
        </w:rPr>
        <w:t>а</w:t>
      </w:r>
      <w:r w:rsidR="003E2047" w:rsidRPr="1A8E6423">
        <w:rPr>
          <w:rFonts w:ascii="Arial" w:hAnsi="Arial" w:cs="Arial"/>
          <w:sz w:val="20"/>
          <w:szCs w:val="20"/>
          <w:lang w:val="sr-Cyrl-RS"/>
        </w:rPr>
        <w:t xml:space="preserve"> од њих јесте нејасно разграничење изворних и поверених послова и често непрепознавање разлике између </w:t>
      </w:r>
      <w:r w:rsidR="00C25687" w:rsidRPr="1A8E6423">
        <w:rPr>
          <w:rFonts w:ascii="Arial" w:hAnsi="Arial" w:cs="Arial"/>
          <w:sz w:val="20"/>
          <w:szCs w:val="20"/>
          <w:lang w:val="sr-Cyrl-RS"/>
        </w:rPr>
        <w:t>њих</w:t>
      </w:r>
      <w:r w:rsidR="003E2047" w:rsidRPr="1A8E6423">
        <w:rPr>
          <w:rFonts w:ascii="Arial" w:hAnsi="Arial" w:cs="Arial"/>
          <w:sz w:val="20"/>
          <w:szCs w:val="20"/>
          <w:lang w:val="sr-Cyrl-RS"/>
        </w:rPr>
        <w:t>, упркос евидентним последицама које ова подела ствара. Присутни су различити критеријуми за ову поделу,</w:t>
      </w:r>
      <w:r w:rsidR="0002518B" w:rsidRPr="1A8E6423">
        <w:rPr>
          <w:rFonts w:ascii="Arial" w:hAnsi="Arial" w:cs="Arial"/>
          <w:sz w:val="20"/>
          <w:szCs w:val="20"/>
          <w:lang w:val="sr-Cyrl-RS"/>
        </w:rPr>
        <w:t xml:space="preserve"> </w:t>
      </w:r>
      <w:r w:rsidR="00727369" w:rsidRPr="1A8E6423">
        <w:rPr>
          <w:rFonts w:ascii="Arial" w:hAnsi="Arial" w:cs="Arial"/>
          <w:sz w:val="20"/>
          <w:szCs w:val="20"/>
          <w:lang w:val="sr-Cyrl-RS"/>
        </w:rPr>
        <w:t>првенствено су то критеријум финансирања (</w:t>
      </w:r>
      <w:r w:rsidR="008179C3" w:rsidRPr="1A8E6423">
        <w:rPr>
          <w:rFonts w:ascii="Arial" w:hAnsi="Arial" w:cs="Arial"/>
          <w:sz w:val="20"/>
          <w:szCs w:val="20"/>
          <w:lang w:val="sr-Cyrl-RS"/>
        </w:rPr>
        <w:t>по правилу</w:t>
      </w:r>
      <w:r w:rsidRPr="1A8E6423">
        <w:rPr>
          <w:rFonts w:ascii="Arial" w:hAnsi="Arial" w:cs="Arial"/>
          <w:sz w:val="20"/>
          <w:szCs w:val="20"/>
          <w:lang w:val="sr-Cyrl-RS"/>
        </w:rPr>
        <w:t>,</w:t>
      </w:r>
      <w:r w:rsidR="008179C3" w:rsidRPr="1A8E6423">
        <w:rPr>
          <w:rFonts w:ascii="Arial" w:hAnsi="Arial" w:cs="Arial"/>
          <w:sz w:val="20"/>
          <w:szCs w:val="20"/>
          <w:lang w:val="sr-Cyrl-RS"/>
        </w:rPr>
        <w:t xml:space="preserve"> </w:t>
      </w:r>
      <w:r w:rsidR="00147A54" w:rsidRPr="1A8E6423">
        <w:rPr>
          <w:rFonts w:ascii="Arial" w:hAnsi="Arial" w:cs="Arial"/>
          <w:sz w:val="20"/>
          <w:szCs w:val="20"/>
          <w:lang w:val="sr-Cyrl-RS"/>
        </w:rPr>
        <w:t xml:space="preserve">изворне послове треба </w:t>
      </w:r>
      <w:r w:rsidR="008179C3" w:rsidRPr="1A8E6423">
        <w:rPr>
          <w:rFonts w:ascii="Arial" w:hAnsi="Arial" w:cs="Arial"/>
          <w:sz w:val="20"/>
          <w:szCs w:val="20"/>
          <w:lang w:val="sr-Cyrl-RS"/>
        </w:rPr>
        <w:t>искључиво да</w:t>
      </w:r>
      <w:r w:rsidR="00147A54" w:rsidRPr="1A8E6423">
        <w:rPr>
          <w:rFonts w:ascii="Arial" w:hAnsi="Arial" w:cs="Arial"/>
          <w:sz w:val="20"/>
          <w:szCs w:val="20"/>
          <w:lang w:val="sr-Cyrl-RS"/>
        </w:rPr>
        <w:t xml:space="preserve"> финансирају ЈЛС) или</w:t>
      </w:r>
      <w:r w:rsidR="008179C3" w:rsidRPr="1A8E6423">
        <w:rPr>
          <w:rFonts w:ascii="Arial" w:hAnsi="Arial" w:cs="Arial"/>
          <w:sz w:val="20"/>
          <w:szCs w:val="20"/>
          <w:lang w:val="sr-Cyrl-RS"/>
        </w:rPr>
        <w:t xml:space="preserve"> критеријум</w:t>
      </w:r>
      <w:r w:rsidR="00147A54" w:rsidRPr="1A8E6423">
        <w:rPr>
          <w:rFonts w:ascii="Arial" w:hAnsi="Arial" w:cs="Arial"/>
          <w:sz w:val="20"/>
          <w:szCs w:val="20"/>
          <w:lang w:val="sr-Cyrl-RS"/>
        </w:rPr>
        <w:t xml:space="preserve"> надлежност</w:t>
      </w:r>
      <w:r w:rsidR="008179C3" w:rsidRPr="1A8E6423">
        <w:rPr>
          <w:rFonts w:ascii="Arial" w:hAnsi="Arial" w:cs="Arial"/>
          <w:sz w:val="20"/>
          <w:szCs w:val="20"/>
          <w:lang w:val="sr-Cyrl-RS"/>
        </w:rPr>
        <w:t>и</w:t>
      </w:r>
      <w:r w:rsidR="00147A54" w:rsidRPr="1A8E6423">
        <w:rPr>
          <w:rFonts w:ascii="Arial" w:hAnsi="Arial" w:cs="Arial"/>
          <w:sz w:val="20"/>
          <w:szCs w:val="20"/>
          <w:lang w:val="sr-Cyrl-RS"/>
        </w:rPr>
        <w:t xml:space="preserve"> у управном поступку </w:t>
      </w:r>
      <w:r w:rsidR="0050124D" w:rsidRPr="1A8E6423">
        <w:rPr>
          <w:rFonts w:ascii="Arial" w:hAnsi="Arial" w:cs="Arial"/>
          <w:sz w:val="20"/>
          <w:szCs w:val="20"/>
          <w:lang w:val="sr-Cyrl-RS"/>
        </w:rPr>
        <w:t xml:space="preserve">(ако је ЈЛС надлежна и </w:t>
      </w:r>
      <w:r w:rsidR="00147A54" w:rsidRPr="1A8E6423">
        <w:rPr>
          <w:rFonts w:ascii="Arial" w:hAnsi="Arial" w:cs="Arial"/>
          <w:sz w:val="20"/>
          <w:szCs w:val="20"/>
          <w:lang w:val="sr-Cyrl-RS"/>
        </w:rPr>
        <w:t>у другом степен</w:t>
      </w:r>
      <w:r w:rsidR="0050124D" w:rsidRPr="1A8E6423">
        <w:rPr>
          <w:rFonts w:ascii="Arial" w:hAnsi="Arial" w:cs="Arial"/>
          <w:sz w:val="20"/>
          <w:szCs w:val="20"/>
          <w:lang w:val="sr-Cyrl-RS"/>
        </w:rPr>
        <w:t xml:space="preserve">у управног поступка </w:t>
      </w:r>
      <w:r w:rsidR="002F3981" w:rsidRPr="1A8E6423">
        <w:rPr>
          <w:rFonts w:ascii="Arial" w:hAnsi="Arial" w:cs="Arial"/>
          <w:sz w:val="20"/>
          <w:szCs w:val="20"/>
          <w:lang w:val="sr-Cyrl-RS"/>
        </w:rPr>
        <w:t xml:space="preserve">приликом </w:t>
      </w:r>
      <w:r w:rsidR="0050124D" w:rsidRPr="1A8E6423">
        <w:rPr>
          <w:rFonts w:ascii="Arial" w:hAnsi="Arial" w:cs="Arial"/>
          <w:sz w:val="20"/>
          <w:szCs w:val="20"/>
          <w:lang w:val="sr-Cyrl-RS"/>
        </w:rPr>
        <w:t>спровођењ</w:t>
      </w:r>
      <w:r w:rsidR="002F3981" w:rsidRPr="1A8E6423">
        <w:rPr>
          <w:rFonts w:ascii="Arial" w:hAnsi="Arial" w:cs="Arial"/>
          <w:sz w:val="20"/>
          <w:szCs w:val="20"/>
          <w:lang w:val="sr-Cyrl-RS"/>
        </w:rPr>
        <w:t>а</w:t>
      </w:r>
      <w:r w:rsidR="0050124D" w:rsidRPr="1A8E6423">
        <w:rPr>
          <w:rFonts w:ascii="Arial" w:hAnsi="Arial" w:cs="Arial"/>
          <w:sz w:val="20"/>
          <w:szCs w:val="20"/>
          <w:lang w:val="sr-Cyrl-RS"/>
        </w:rPr>
        <w:t xml:space="preserve"> неке надлежности</w:t>
      </w:r>
      <w:r w:rsidR="002F3981" w:rsidRPr="1A8E6423">
        <w:rPr>
          <w:rFonts w:ascii="Arial" w:hAnsi="Arial" w:cs="Arial"/>
          <w:sz w:val="20"/>
          <w:szCs w:val="20"/>
          <w:lang w:val="sr-Cyrl-RS"/>
        </w:rPr>
        <w:t>,</w:t>
      </w:r>
      <w:r w:rsidR="0050124D" w:rsidRPr="1A8E6423">
        <w:rPr>
          <w:rFonts w:ascii="Arial" w:hAnsi="Arial" w:cs="Arial"/>
          <w:sz w:val="20"/>
          <w:szCs w:val="20"/>
          <w:lang w:val="sr-Cyrl-RS"/>
        </w:rPr>
        <w:t xml:space="preserve"> та надлежност спада у изворне послове локалне самоуправе). </w:t>
      </w:r>
      <w:r w:rsidR="00147A54" w:rsidRPr="1A8E6423">
        <w:rPr>
          <w:rFonts w:ascii="Arial" w:hAnsi="Arial" w:cs="Arial"/>
          <w:sz w:val="20"/>
          <w:szCs w:val="20"/>
          <w:lang w:val="sr-Cyrl-RS"/>
        </w:rPr>
        <w:t>Међутим,</w:t>
      </w:r>
      <w:r w:rsidR="003E2047" w:rsidRPr="1A8E6423">
        <w:rPr>
          <w:rFonts w:ascii="Arial" w:hAnsi="Arial" w:cs="Arial"/>
          <w:sz w:val="20"/>
          <w:szCs w:val="20"/>
          <w:lang w:val="sr-Cyrl-RS"/>
        </w:rPr>
        <w:t xml:space="preserve"> понекад се критеријум своди на заузимање става неког органа, без основане аргументације. Друга тачка спотицања јесте постојање преклапања или правних празнина у погледу обављања послова између републичког</w:t>
      </w:r>
      <w:r w:rsidR="00700800" w:rsidRPr="1A8E6423">
        <w:rPr>
          <w:rFonts w:ascii="Arial" w:hAnsi="Arial" w:cs="Arial"/>
          <w:sz w:val="20"/>
          <w:szCs w:val="20"/>
          <w:lang w:val="sr-Cyrl-RS"/>
        </w:rPr>
        <w:t>,</w:t>
      </w:r>
      <w:r w:rsidR="003E2047" w:rsidRPr="1A8E6423">
        <w:rPr>
          <w:rFonts w:ascii="Arial" w:hAnsi="Arial" w:cs="Arial"/>
          <w:sz w:val="20"/>
          <w:szCs w:val="20"/>
          <w:lang w:val="sr-Cyrl-RS"/>
        </w:rPr>
        <w:t xml:space="preserve"> односно покрајинског нивоа и нивоа локалне самоуправе. Често је нејасно где престаје надлежност једног</w:t>
      </w:r>
      <w:r w:rsidR="00F779E2" w:rsidRPr="1A8E6423">
        <w:rPr>
          <w:rFonts w:ascii="Arial" w:hAnsi="Arial" w:cs="Arial"/>
          <w:sz w:val="20"/>
          <w:szCs w:val="20"/>
          <w:lang w:val="sr-Cyrl-RS"/>
        </w:rPr>
        <w:t xml:space="preserve"> нивоа власти</w:t>
      </w:r>
      <w:r w:rsidR="003E2047" w:rsidRPr="1A8E6423">
        <w:rPr>
          <w:rFonts w:ascii="Arial" w:hAnsi="Arial" w:cs="Arial"/>
          <w:sz w:val="20"/>
          <w:szCs w:val="20"/>
          <w:lang w:val="sr-Cyrl-RS"/>
        </w:rPr>
        <w:t xml:space="preserve">, а </w:t>
      </w:r>
      <w:r w:rsidR="00F779E2" w:rsidRPr="1A8E6423">
        <w:rPr>
          <w:rFonts w:ascii="Arial" w:hAnsi="Arial" w:cs="Arial"/>
          <w:sz w:val="20"/>
          <w:szCs w:val="20"/>
          <w:lang w:val="sr-Cyrl-RS"/>
        </w:rPr>
        <w:t xml:space="preserve">где </w:t>
      </w:r>
      <w:r w:rsidR="003E2047" w:rsidRPr="1A8E6423">
        <w:rPr>
          <w:rFonts w:ascii="Arial" w:hAnsi="Arial" w:cs="Arial"/>
          <w:sz w:val="20"/>
          <w:szCs w:val="20"/>
          <w:lang w:val="sr-Cyrl-RS"/>
        </w:rPr>
        <w:t xml:space="preserve">почиње надлежност другог. Не може се оспорити да ова подела </w:t>
      </w:r>
      <w:r w:rsidR="00845825" w:rsidRPr="1A8E6423">
        <w:rPr>
          <w:rFonts w:ascii="Arial" w:hAnsi="Arial" w:cs="Arial"/>
          <w:sz w:val="20"/>
          <w:szCs w:val="20"/>
          <w:lang w:val="sr-Cyrl-RS"/>
        </w:rPr>
        <w:t xml:space="preserve">у многим областима </w:t>
      </w:r>
      <w:r w:rsidR="003E2047" w:rsidRPr="1A8E6423">
        <w:rPr>
          <w:rFonts w:ascii="Arial" w:hAnsi="Arial" w:cs="Arial"/>
          <w:sz w:val="20"/>
          <w:szCs w:val="20"/>
          <w:lang w:val="sr-Cyrl-RS"/>
        </w:rPr>
        <w:t>мора да постоји, али неретко је та граница магловита. Последиц</w:t>
      </w:r>
      <w:r w:rsidR="00BF79A3" w:rsidRPr="1A8E6423">
        <w:rPr>
          <w:rFonts w:ascii="Arial" w:hAnsi="Arial" w:cs="Arial"/>
          <w:sz w:val="20"/>
          <w:szCs w:val="20"/>
          <w:lang w:val="sr-Cyrl-RS"/>
        </w:rPr>
        <w:t>а</w:t>
      </w:r>
      <w:r w:rsidR="003E2047" w:rsidRPr="1A8E6423">
        <w:rPr>
          <w:rFonts w:ascii="Arial" w:hAnsi="Arial" w:cs="Arial"/>
          <w:sz w:val="20"/>
          <w:szCs w:val="20"/>
          <w:lang w:val="sr-Cyrl-RS"/>
        </w:rPr>
        <w:t xml:space="preserve"> је изостанак правовременог поступања или поступања уопште. </w:t>
      </w:r>
      <w:r w:rsidR="003E2047" w:rsidRPr="1A8E6423">
        <w:rPr>
          <w:rFonts w:ascii="Arial" w:hAnsi="Arial" w:cs="Arial"/>
          <w:sz w:val="20"/>
          <w:szCs w:val="20"/>
          <w:lang w:val="sr-Cyrl-RS" w:bidi="en-US"/>
        </w:rPr>
        <w:t>Нејасноће у регулаторном оквиру (у погледу</w:t>
      </w:r>
      <w:r w:rsidR="00887F7B" w:rsidRPr="1A8E6423">
        <w:rPr>
          <w:rFonts w:ascii="Arial" w:hAnsi="Arial" w:cs="Arial"/>
          <w:sz w:val="20"/>
          <w:szCs w:val="20"/>
          <w:lang w:val="sr-Cyrl-RS" w:bidi="en-US"/>
        </w:rPr>
        <w:t>,</w:t>
      </w:r>
      <w:r w:rsidR="003E2047" w:rsidRPr="1A8E6423">
        <w:rPr>
          <w:rFonts w:ascii="Arial" w:hAnsi="Arial" w:cs="Arial"/>
          <w:sz w:val="20"/>
          <w:szCs w:val="20"/>
          <w:lang w:val="sr-Cyrl-RS" w:bidi="en-US"/>
        </w:rPr>
        <w:t xml:space="preserve"> на пример</w:t>
      </w:r>
      <w:r w:rsidR="00887F7B" w:rsidRPr="1A8E6423">
        <w:rPr>
          <w:rFonts w:ascii="Arial" w:hAnsi="Arial" w:cs="Arial"/>
          <w:sz w:val="20"/>
          <w:szCs w:val="20"/>
          <w:lang w:val="sr-Cyrl-RS" w:bidi="en-US"/>
        </w:rPr>
        <w:t>,</w:t>
      </w:r>
      <w:r w:rsidR="003E2047" w:rsidRPr="1A8E6423">
        <w:rPr>
          <w:rFonts w:ascii="Arial" w:hAnsi="Arial" w:cs="Arial"/>
          <w:sz w:val="20"/>
          <w:szCs w:val="20"/>
          <w:lang w:val="sr-Cyrl-RS" w:bidi="en-US"/>
        </w:rPr>
        <w:t xml:space="preserve"> садржине или поделе надлежности) доводе</w:t>
      </w:r>
      <w:r w:rsidR="004D5004" w:rsidRPr="1A8E6423">
        <w:rPr>
          <w:rFonts w:ascii="Arial" w:hAnsi="Arial" w:cs="Arial"/>
          <w:sz w:val="20"/>
          <w:szCs w:val="20"/>
          <w:lang w:val="sr-Cyrl-RS" w:bidi="en-US"/>
        </w:rPr>
        <w:t xml:space="preserve"> </w:t>
      </w:r>
      <w:r w:rsidR="003E2047" w:rsidRPr="1A8E6423">
        <w:rPr>
          <w:rFonts w:ascii="Arial" w:hAnsi="Arial" w:cs="Arial"/>
          <w:sz w:val="20"/>
          <w:szCs w:val="20"/>
          <w:lang w:val="sr-Cyrl-RS" w:bidi="en-US"/>
        </w:rPr>
        <w:t xml:space="preserve">до различитих решења од </w:t>
      </w:r>
      <w:r w:rsidR="00887F7B" w:rsidRPr="1A8E6423">
        <w:rPr>
          <w:rFonts w:ascii="Arial" w:hAnsi="Arial" w:cs="Arial"/>
          <w:sz w:val="20"/>
          <w:szCs w:val="20"/>
          <w:lang w:val="sr-Cyrl-RS" w:bidi="en-US"/>
        </w:rPr>
        <w:t xml:space="preserve">једне </w:t>
      </w:r>
      <w:r w:rsidR="003E2047" w:rsidRPr="1A8E6423">
        <w:rPr>
          <w:rFonts w:ascii="Arial" w:hAnsi="Arial" w:cs="Arial"/>
          <w:sz w:val="20"/>
          <w:szCs w:val="20"/>
          <w:lang w:val="sr-Cyrl-RS" w:bidi="en-US"/>
        </w:rPr>
        <w:t xml:space="preserve">до </w:t>
      </w:r>
      <w:r w:rsidR="00887F7B" w:rsidRPr="1A8E6423">
        <w:rPr>
          <w:rFonts w:ascii="Arial" w:hAnsi="Arial" w:cs="Arial"/>
          <w:sz w:val="20"/>
          <w:szCs w:val="20"/>
          <w:lang w:val="sr-Cyrl-RS" w:bidi="en-US"/>
        </w:rPr>
        <w:t xml:space="preserve">друге </w:t>
      </w:r>
      <w:r w:rsidR="003E2047" w:rsidRPr="1A8E6423">
        <w:rPr>
          <w:rFonts w:ascii="Arial" w:hAnsi="Arial" w:cs="Arial"/>
          <w:sz w:val="20"/>
          <w:szCs w:val="20"/>
          <w:lang w:val="sr-Cyrl-RS" w:bidi="en-US"/>
        </w:rPr>
        <w:t xml:space="preserve">локалне </w:t>
      </w:r>
      <w:r w:rsidR="1C599895" w:rsidRPr="1A8E6423">
        <w:rPr>
          <w:rFonts w:ascii="Arial" w:hAnsi="Arial" w:cs="Arial"/>
          <w:sz w:val="20"/>
          <w:szCs w:val="20"/>
          <w:lang w:val="sr-Cyrl-RS" w:bidi="en-US"/>
        </w:rPr>
        <w:t>само</w:t>
      </w:r>
      <w:r w:rsidR="003E2047" w:rsidRPr="1A8E6423">
        <w:rPr>
          <w:rFonts w:ascii="Arial" w:hAnsi="Arial" w:cs="Arial"/>
          <w:sz w:val="20"/>
          <w:szCs w:val="20"/>
          <w:lang w:val="sr-Cyrl-RS" w:bidi="en-US"/>
        </w:rPr>
        <w:t xml:space="preserve">управе што се манифестује у неуједначеној </w:t>
      </w:r>
      <w:r w:rsidR="00342A44" w:rsidRPr="1A8E6423">
        <w:rPr>
          <w:rFonts w:ascii="Arial" w:hAnsi="Arial" w:cs="Arial"/>
          <w:sz w:val="20"/>
          <w:szCs w:val="20"/>
          <w:lang w:val="sr-Cyrl-RS" w:bidi="en-US"/>
        </w:rPr>
        <w:t>управно-</w:t>
      </w:r>
      <w:r w:rsidR="003E2047" w:rsidRPr="1A8E6423">
        <w:rPr>
          <w:rFonts w:ascii="Arial" w:hAnsi="Arial" w:cs="Arial"/>
          <w:sz w:val="20"/>
          <w:szCs w:val="20"/>
          <w:lang w:val="sr-Cyrl-RS" w:bidi="en-US"/>
        </w:rPr>
        <w:t>правној пракси. Неуређен и несагласан правни оквир отежава рад локалне самоуправе</w:t>
      </w:r>
      <w:r w:rsidR="00342A44" w:rsidRPr="1A8E6423">
        <w:rPr>
          <w:rFonts w:ascii="Arial" w:hAnsi="Arial" w:cs="Arial"/>
          <w:sz w:val="20"/>
          <w:szCs w:val="20"/>
          <w:lang w:val="sr-Cyrl-RS" w:bidi="en-US"/>
        </w:rPr>
        <w:t>,</w:t>
      </w:r>
      <w:r w:rsidR="003E2047" w:rsidRPr="1A8E6423">
        <w:rPr>
          <w:rFonts w:ascii="Arial" w:hAnsi="Arial" w:cs="Arial"/>
          <w:sz w:val="20"/>
          <w:szCs w:val="20"/>
          <w:lang w:val="sr-Cyrl-RS" w:bidi="en-US"/>
        </w:rPr>
        <w:t xml:space="preserve"> јер доводи до проблема у примени права на конкретне управне ситуације и поступке и до ситуације да орган управе тумачи право уместо да га примењује. </w:t>
      </w:r>
      <w:r w:rsidR="003E2047" w:rsidRPr="1A8E6423">
        <w:rPr>
          <w:rFonts w:ascii="Arial" w:hAnsi="Arial" w:cs="Arial"/>
          <w:sz w:val="20"/>
          <w:szCs w:val="20"/>
          <w:lang w:val="sr-Cyrl-RS"/>
        </w:rPr>
        <w:t xml:space="preserve">Трећа препрека јесте честа превелика зависност локалних власти од претходне или накнадне сагласности, </w:t>
      </w:r>
      <w:r w:rsidRPr="1A8E6423">
        <w:rPr>
          <w:rFonts w:ascii="Arial" w:hAnsi="Arial" w:cs="Arial"/>
          <w:sz w:val="20"/>
          <w:szCs w:val="20"/>
          <w:lang w:val="sr-Cyrl-RS"/>
        </w:rPr>
        <w:t>односно</w:t>
      </w:r>
      <w:r w:rsidR="009D3FD5" w:rsidRPr="1A8E6423">
        <w:rPr>
          <w:rFonts w:ascii="Arial" w:hAnsi="Arial" w:cs="Arial"/>
          <w:sz w:val="20"/>
          <w:szCs w:val="20"/>
          <w:lang w:val="sr-Cyrl-RS"/>
        </w:rPr>
        <w:t xml:space="preserve"> </w:t>
      </w:r>
      <w:r w:rsidR="003E2047" w:rsidRPr="1A8E6423">
        <w:rPr>
          <w:rFonts w:ascii="Arial" w:hAnsi="Arial" w:cs="Arial"/>
          <w:sz w:val="20"/>
          <w:szCs w:val="20"/>
          <w:lang w:val="sr-Cyrl-RS"/>
        </w:rPr>
        <w:t xml:space="preserve">мишљења других нивоа власти. Ма колико наведено решење у знатном броју случајева било логично и оправдано, морају се имати на уму ситуације да у пракси добијање сагласности </w:t>
      </w:r>
      <w:r w:rsidR="009D3FD5" w:rsidRPr="1A8E6423">
        <w:rPr>
          <w:rFonts w:ascii="Arial" w:hAnsi="Arial" w:cs="Arial"/>
          <w:sz w:val="20"/>
          <w:szCs w:val="20"/>
          <w:lang w:val="sr-Cyrl-RS"/>
        </w:rPr>
        <w:t xml:space="preserve">или </w:t>
      </w:r>
      <w:r w:rsidR="003E2047" w:rsidRPr="1A8E6423">
        <w:rPr>
          <w:rFonts w:ascii="Arial" w:hAnsi="Arial" w:cs="Arial"/>
          <w:sz w:val="20"/>
          <w:szCs w:val="20"/>
          <w:lang w:val="sr-Cyrl-RS"/>
        </w:rPr>
        <w:t xml:space="preserve">мишљења </w:t>
      </w:r>
      <w:r w:rsidR="001A59AD" w:rsidRPr="1A8E6423">
        <w:rPr>
          <w:rFonts w:ascii="Arial" w:hAnsi="Arial" w:cs="Arial"/>
          <w:sz w:val="20"/>
          <w:szCs w:val="20"/>
          <w:lang w:val="sr-Cyrl-RS"/>
        </w:rPr>
        <w:t xml:space="preserve">може </w:t>
      </w:r>
      <w:r w:rsidR="003E2047" w:rsidRPr="1A8E6423">
        <w:rPr>
          <w:rFonts w:ascii="Arial" w:hAnsi="Arial" w:cs="Arial"/>
          <w:sz w:val="20"/>
          <w:szCs w:val="20"/>
          <w:lang w:val="sr-Cyrl-RS"/>
        </w:rPr>
        <w:t xml:space="preserve">да </w:t>
      </w:r>
      <w:r w:rsidR="001A59AD" w:rsidRPr="1A8E6423">
        <w:rPr>
          <w:rFonts w:ascii="Arial" w:hAnsi="Arial" w:cs="Arial"/>
          <w:sz w:val="20"/>
          <w:szCs w:val="20"/>
          <w:lang w:val="sr-Cyrl-RS"/>
        </w:rPr>
        <w:t>за</w:t>
      </w:r>
      <w:r w:rsidR="003E2047" w:rsidRPr="1A8E6423">
        <w:rPr>
          <w:rFonts w:ascii="Arial" w:hAnsi="Arial" w:cs="Arial"/>
          <w:sz w:val="20"/>
          <w:szCs w:val="20"/>
          <w:lang w:val="sr-Cyrl-RS"/>
        </w:rPr>
        <w:t>кочи процес (посебно када реакција другог нивоа власти није временски орочена), па некад и да изостане, што потенцијално или конкретно опструира поступање локалне самоуправе</w:t>
      </w:r>
      <w:r w:rsidR="00BD43A1" w:rsidRPr="1A8E6423">
        <w:rPr>
          <w:rFonts w:ascii="Arial" w:hAnsi="Arial" w:cs="Arial"/>
          <w:sz w:val="20"/>
          <w:szCs w:val="20"/>
          <w:lang w:val="sr-Cyrl-RS"/>
        </w:rPr>
        <w:t>,</w:t>
      </w:r>
      <w:r w:rsidR="003E2047" w:rsidRPr="1A8E6423">
        <w:rPr>
          <w:rFonts w:ascii="Arial" w:hAnsi="Arial" w:cs="Arial"/>
          <w:sz w:val="20"/>
          <w:szCs w:val="20"/>
          <w:lang w:val="sr-Cyrl-RS"/>
        </w:rPr>
        <w:t xml:space="preserve"> па чак и целих установа. </w:t>
      </w:r>
      <w:r w:rsidR="004476F2" w:rsidRPr="1A8E6423">
        <w:rPr>
          <w:rFonts w:ascii="Arial" w:hAnsi="Arial" w:cs="Arial"/>
          <w:sz w:val="20"/>
          <w:szCs w:val="20"/>
          <w:lang w:val="sr-Cyrl-RS"/>
        </w:rPr>
        <w:t xml:space="preserve">Као могуће решење намеће се могућност одређивања рока од нпр. 60 дана чекања на мишљење или сагласност и давање карактера позитивне </w:t>
      </w:r>
      <w:r w:rsidR="004476F2" w:rsidRPr="1A8E6423">
        <w:rPr>
          <w:rFonts w:ascii="Arial" w:hAnsi="Arial" w:cs="Arial"/>
          <w:sz w:val="20"/>
          <w:szCs w:val="20"/>
          <w:lang w:val="sr-Cyrl-RS"/>
        </w:rPr>
        <w:lastRenderedPageBreak/>
        <w:t xml:space="preserve">претпоставке код непоступања државног органа. Овакво решење је посебно оправдано код изворних надлежности ЈЛС. </w:t>
      </w:r>
      <w:r w:rsidR="007B5831" w:rsidRPr="1A8E6423">
        <w:rPr>
          <w:rFonts w:ascii="Arial" w:hAnsi="Arial" w:cs="Arial"/>
          <w:sz w:val="20"/>
          <w:szCs w:val="20"/>
          <w:lang w:val="sr-Cyrl-RS"/>
        </w:rPr>
        <w:t xml:space="preserve">Четврти изазов </w:t>
      </w:r>
      <w:r w:rsidR="00B5493A" w:rsidRPr="1A8E6423">
        <w:rPr>
          <w:rFonts w:ascii="Arial" w:hAnsi="Arial" w:cs="Arial"/>
          <w:sz w:val="20"/>
          <w:szCs w:val="20"/>
          <w:lang w:val="sr-Cyrl-RS"/>
        </w:rPr>
        <w:t xml:space="preserve">везан је за поједине кључне надлежности локалне самоуправе, у оквиру којих негде постоји </w:t>
      </w:r>
      <w:r w:rsidR="007B5831" w:rsidRPr="1A8E6423">
        <w:rPr>
          <w:rFonts w:ascii="Arial" w:hAnsi="Arial" w:cs="Arial"/>
          <w:sz w:val="20"/>
          <w:szCs w:val="20"/>
          <w:lang w:val="sr-Cyrl-RS"/>
        </w:rPr>
        <w:t xml:space="preserve">потреба </w:t>
      </w:r>
      <w:r w:rsidRPr="1A8E6423">
        <w:rPr>
          <w:rFonts w:ascii="Arial" w:hAnsi="Arial" w:cs="Arial"/>
          <w:sz w:val="20"/>
          <w:szCs w:val="20"/>
          <w:lang w:val="sr-Cyrl-RS"/>
        </w:rPr>
        <w:t xml:space="preserve">за </w:t>
      </w:r>
      <w:r w:rsidR="007B5831" w:rsidRPr="1A8E6423">
        <w:rPr>
          <w:rFonts w:ascii="Arial" w:hAnsi="Arial" w:cs="Arial"/>
          <w:sz w:val="20"/>
          <w:szCs w:val="20"/>
          <w:lang w:val="sr-Cyrl-RS"/>
        </w:rPr>
        <w:t>покретањ</w:t>
      </w:r>
      <w:r w:rsidRPr="1A8E6423">
        <w:rPr>
          <w:rFonts w:ascii="Arial" w:hAnsi="Arial" w:cs="Arial"/>
          <w:sz w:val="20"/>
          <w:szCs w:val="20"/>
          <w:lang w:val="sr-Cyrl-RS"/>
        </w:rPr>
        <w:t>ем</w:t>
      </w:r>
      <w:r w:rsidR="007B5831" w:rsidRPr="1A8E6423">
        <w:rPr>
          <w:rFonts w:ascii="Arial" w:hAnsi="Arial" w:cs="Arial"/>
          <w:sz w:val="20"/>
          <w:szCs w:val="20"/>
          <w:lang w:val="sr-Cyrl-RS"/>
        </w:rPr>
        <w:t xml:space="preserve"> </w:t>
      </w:r>
      <w:r w:rsidR="00B5493A" w:rsidRPr="1A8E6423">
        <w:rPr>
          <w:rFonts w:ascii="Arial" w:hAnsi="Arial" w:cs="Arial"/>
          <w:sz w:val="20"/>
          <w:szCs w:val="20"/>
          <w:lang w:val="sr-Cyrl-RS"/>
        </w:rPr>
        <w:t xml:space="preserve">посебних </w:t>
      </w:r>
      <w:r w:rsidR="007B5831" w:rsidRPr="1A8E6423">
        <w:rPr>
          <w:rFonts w:ascii="Arial" w:hAnsi="Arial" w:cs="Arial"/>
          <w:sz w:val="20"/>
          <w:szCs w:val="20"/>
          <w:lang w:val="sr-Cyrl-RS"/>
        </w:rPr>
        <w:t xml:space="preserve">системских реформи </w:t>
      </w:r>
      <w:r w:rsidR="00B5493A" w:rsidRPr="1A8E6423">
        <w:rPr>
          <w:rFonts w:ascii="Arial" w:hAnsi="Arial" w:cs="Arial"/>
          <w:sz w:val="20"/>
          <w:szCs w:val="20"/>
          <w:lang w:val="sr-Cyrl-RS"/>
        </w:rPr>
        <w:t>(</w:t>
      </w:r>
      <w:r w:rsidR="00081F79" w:rsidRPr="1A8E6423">
        <w:rPr>
          <w:rFonts w:ascii="Arial" w:hAnsi="Arial" w:cs="Arial"/>
          <w:sz w:val="20"/>
          <w:szCs w:val="20"/>
          <w:lang w:val="sr-Cyrl-RS"/>
        </w:rPr>
        <w:t>као што су комуналне делатности или поједин</w:t>
      </w:r>
      <w:r w:rsidR="002F7580" w:rsidRPr="1A8E6423">
        <w:rPr>
          <w:rFonts w:ascii="Arial" w:hAnsi="Arial" w:cs="Arial"/>
          <w:sz w:val="20"/>
          <w:szCs w:val="20"/>
          <w:lang w:val="sr-Cyrl-RS"/>
        </w:rPr>
        <w:t>е јавне службе које врше локалне установе</w:t>
      </w:r>
      <w:r w:rsidR="00B5493A" w:rsidRPr="1A8E6423">
        <w:rPr>
          <w:rFonts w:ascii="Arial" w:hAnsi="Arial" w:cs="Arial"/>
          <w:sz w:val="20"/>
          <w:szCs w:val="20"/>
          <w:lang w:val="sr-Cyrl-RS"/>
        </w:rPr>
        <w:t>)</w:t>
      </w:r>
      <w:r w:rsidR="00D53CD8" w:rsidRPr="1A8E6423">
        <w:rPr>
          <w:rFonts w:ascii="Arial" w:hAnsi="Arial" w:cs="Arial"/>
          <w:sz w:val="20"/>
          <w:szCs w:val="20"/>
          <w:lang w:val="sr-Cyrl-RS"/>
        </w:rPr>
        <w:t>,</w:t>
      </w:r>
      <w:r w:rsidR="00B626BA" w:rsidRPr="1A8E6423">
        <w:rPr>
          <w:rFonts w:ascii="Arial" w:hAnsi="Arial" w:cs="Arial"/>
          <w:sz w:val="20"/>
          <w:szCs w:val="20"/>
          <w:lang w:val="sr-Cyrl-RS"/>
        </w:rPr>
        <w:t xml:space="preserve"> односно </w:t>
      </w:r>
      <w:r w:rsidR="00D96197" w:rsidRPr="1A8E6423">
        <w:rPr>
          <w:rFonts w:ascii="Arial" w:hAnsi="Arial" w:cs="Arial"/>
          <w:sz w:val="20"/>
          <w:szCs w:val="20"/>
          <w:lang w:val="sr-Cyrl-RS"/>
        </w:rPr>
        <w:t>обезбеђивањ</w:t>
      </w:r>
      <w:r w:rsidRPr="1A8E6423">
        <w:rPr>
          <w:rFonts w:ascii="Arial" w:hAnsi="Arial" w:cs="Arial"/>
          <w:sz w:val="20"/>
          <w:szCs w:val="20"/>
          <w:lang w:val="sr-Cyrl-RS"/>
        </w:rPr>
        <w:t>ем</w:t>
      </w:r>
      <w:r w:rsidR="00D96197" w:rsidRPr="1A8E6423">
        <w:rPr>
          <w:rFonts w:ascii="Arial" w:hAnsi="Arial" w:cs="Arial"/>
          <w:sz w:val="20"/>
          <w:szCs w:val="20"/>
          <w:lang w:val="sr-Cyrl-RS"/>
        </w:rPr>
        <w:t xml:space="preserve"> </w:t>
      </w:r>
      <w:r w:rsidR="00B626BA" w:rsidRPr="1A8E6423">
        <w:rPr>
          <w:rFonts w:ascii="Arial" w:hAnsi="Arial" w:cs="Arial"/>
          <w:sz w:val="20"/>
          <w:szCs w:val="20"/>
          <w:lang w:val="sr-Cyrl-RS"/>
        </w:rPr>
        <w:t>интензивне подршке за</w:t>
      </w:r>
      <w:r w:rsidR="00D96197" w:rsidRPr="1A8E6423">
        <w:rPr>
          <w:rFonts w:ascii="Arial" w:hAnsi="Arial" w:cs="Arial"/>
          <w:sz w:val="20"/>
          <w:szCs w:val="20"/>
          <w:lang w:val="sr-Cyrl-RS"/>
        </w:rPr>
        <w:t xml:space="preserve"> </w:t>
      </w:r>
      <w:r w:rsidR="00B5493A" w:rsidRPr="1A8E6423">
        <w:rPr>
          <w:rFonts w:ascii="Arial" w:hAnsi="Arial" w:cs="Arial"/>
          <w:sz w:val="20"/>
          <w:szCs w:val="20"/>
          <w:lang w:val="sr-Cyrl-RS"/>
        </w:rPr>
        <w:t>њихово адекватно спровођење (развојно планирање, локални економски развој</w:t>
      </w:r>
      <w:r w:rsidR="00845825" w:rsidRPr="1A8E6423">
        <w:rPr>
          <w:rFonts w:ascii="Arial" w:hAnsi="Arial" w:cs="Arial"/>
          <w:sz w:val="20"/>
          <w:szCs w:val="20"/>
          <w:lang w:val="sr-Cyrl-RS"/>
        </w:rPr>
        <w:t>, ЈПП</w:t>
      </w:r>
      <w:r w:rsidR="00B5493A" w:rsidRPr="1A8E6423">
        <w:rPr>
          <w:rFonts w:ascii="Arial" w:hAnsi="Arial" w:cs="Arial"/>
          <w:sz w:val="20"/>
          <w:szCs w:val="20"/>
          <w:lang w:val="sr-Cyrl-RS"/>
        </w:rPr>
        <w:t xml:space="preserve"> и др.).</w:t>
      </w:r>
    </w:p>
    <w:p w14:paraId="01322CD6" w14:textId="77777777" w:rsidR="00A4573E" w:rsidRPr="00A021B7" w:rsidRDefault="00A4573E" w:rsidP="1A8E6423">
      <w:pPr>
        <w:ind w:firstLine="720"/>
        <w:jc w:val="both"/>
        <w:rPr>
          <w:rFonts w:ascii="Arial" w:hAnsi="Arial" w:cs="Arial"/>
          <w:sz w:val="20"/>
          <w:szCs w:val="20"/>
          <w:lang w:val="sr-Cyrl-RS"/>
        </w:rPr>
      </w:pPr>
    </w:p>
    <w:p w14:paraId="695404B3" w14:textId="207B4D5D" w:rsidR="00A15AF7" w:rsidRPr="00A021B7" w:rsidRDefault="00AE4DD5" w:rsidP="1A8E6423">
      <w:pPr>
        <w:ind w:firstLine="720"/>
        <w:jc w:val="both"/>
        <w:rPr>
          <w:rFonts w:ascii="Arial" w:hAnsi="Arial" w:cs="Arial"/>
          <w:color w:val="000000"/>
          <w:sz w:val="20"/>
          <w:szCs w:val="20"/>
          <w:lang w:val="sr-Cyrl-RS"/>
        </w:rPr>
      </w:pPr>
      <w:r w:rsidRPr="00A021B7">
        <w:rPr>
          <w:rFonts w:ascii="Arial" w:hAnsi="Arial" w:cs="Arial"/>
          <w:sz w:val="20"/>
          <w:szCs w:val="20"/>
          <w:lang w:val="sr-Cyrl-RS"/>
        </w:rPr>
        <w:t xml:space="preserve">Ипак, једна од кључних препрека за </w:t>
      </w:r>
      <w:r w:rsidR="003E2047" w:rsidRPr="00A021B7">
        <w:rPr>
          <w:rFonts w:ascii="Arial" w:hAnsi="Arial" w:cs="Arial"/>
          <w:sz w:val="20"/>
          <w:szCs w:val="20"/>
          <w:lang w:val="sr-Cyrl-RS"/>
        </w:rPr>
        <w:t>квалитетно вршење послова је</w:t>
      </w:r>
      <w:r w:rsidR="002D2CAE" w:rsidRPr="00A021B7">
        <w:rPr>
          <w:rFonts w:ascii="Arial" w:hAnsi="Arial" w:cs="Arial"/>
          <w:sz w:val="20"/>
          <w:szCs w:val="20"/>
          <w:lang w:val="sr-Cyrl-RS"/>
        </w:rPr>
        <w:t>сте и</w:t>
      </w:r>
      <w:r w:rsidR="004D5004" w:rsidRPr="00A021B7">
        <w:rPr>
          <w:rFonts w:ascii="Arial" w:hAnsi="Arial" w:cs="Arial"/>
          <w:sz w:val="20"/>
          <w:szCs w:val="20"/>
          <w:lang w:val="sr-Cyrl-RS"/>
        </w:rPr>
        <w:t xml:space="preserve"> </w:t>
      </w:r>
      <w:r w:rsidR="003D173B" w:rsidRPr="00A021B7">
        <w:rPr>
          <w:rFonts w:ascii="Arial" w:hAnsi="Arial" w:cs="Arial"/>
          <w:sz w:val="20"/>
          <w:szCs w:val="20"/>
          <w:lang w:val="sr-Cyrl-RS"/>
        </w:rPr>
        <w:t>већ помену</w:t>
      </w:r>
      <w:r w:rsidR="00E042E5" w:rsidRPr="00A021B7">
        <w:rPr>
          <w:rFonts w:ascii="Arial" w:hAnsi="Arial" w:cs="Arial"/>
          <w:sz w:val="20"/>
          <w:szCs w:val="20"/>
          <w:lang w:val="sr-Cyrl-RS"/>
        </w:rPr>
        <w:t>та ситуациј</w:t>
      </w:r>
      <w:r w:rsidR="00D0628A" w:rsidRPr="00A021B7">
        <w:rPr>
          <w:rFonts w:ascii="Arial" w:hAnsi="Arial" w:cs="Arial"/>
          <w:sz w:val="20"/>
          <w:szCs w:val="20"/>
          <w:lang w:val="sr-Cyrl-RS"/>
        </w:rPr>
        <w:t xml:space="preserve">а </w:t>
      </w:r>
      <w:r w:rsidR="00E042E5" w:rsidRPr="00A021B7">
        <w:rPr>
          <w:rFonts w:ascii="Arial" w:hAnsi="Arial" w:cs="Arial"/>
          <w:sz w:val="20"/>
          <w:szCs w:val="20"/>
          <w:lang w:val="sr-Cyrl-RS"/>
        </w:rPr>
        <w:t>у оквиру које</w:t>
      </w:r>
      <w:r w:rsidR="002D2CAE" w:rsidRPr="00A021B7">
        <w:rPr>
          <w:rFonts w:ascii="Arial" w:hAnsi="Arial" w:cs="Arial"/>
          <w:sz w:val="20"/>
          <w:szCs w:val="20"/>
          <w:lang w:val="sr-Cyrl-RS"/>
        </w:rPr>
        <w:t xml:space="preserve"> су исте </w:t>
      </w:r>
      <w:r w:rsidR="003E2047" w:rsidRPr="00A021B7">
        <w:rPr>
          <w:rFonts w:ascii="Arial" w:hAnsi="Arial" w:cs="Arial"/>
          <w:sz w:val="20"/>
          <w:szCs w:val="20"/>
          <w:shd w:val="clear" w:color="auto" w:fill="FFFFFF"/>
          <w:lang w:val="sr-Cyrl-RS"/>
        </w:rPr>
        <w:t xml:space="preserve">надлежности дате и општинама које имају </w:t>
      </w:r>
      <w:r w:rsidR="00361F38" w:rsidRPr="00A021B7">
        <w:rPr>
          <w:rFonts w:ascii="Arial" w:hAnsi="Arial" w:cs="Arial"/>
          <w:sz w:val="20"/>
          <w:szCs w:val="20"/>
          <w:shd w:val="clear" w:color="auto" w:fill="FFFFFF"/>
          <w:lang w:val="sr-Cyrl-RS"/>
        </w:rPr>
        <w:t>10.</w:t>
      </w:r>
      <w:r w:rsidR="004A3F6B" w:rsidRPr="00A021B7">
        <w:rPr>
          <w:rFonts w:ascii="Arial" w:hAnsi="Arial" w:cs="Arial"/>
          <w:sz w:val="20"/>
          <w:szCs w:val="20"/>
          <w:shd w:val="clear" w:color="auto" w:fill="FFFFFF"/>
          <w:lang w:val="sr-Cyrl-RS"/>
        </w:rPr>
        <w:t xml:space="preserve">000 </w:t>
      </w:r>
      <w:r w:rsidR="003E2047" w:rsidRPr="00A021B7">
        <w:rPr>
          <w:rFonts w:ascii="Arial" w:hAnsi="Arial" w:cs="Arial"/>
          <w:sz w:val="20"/>
          <w:szCs w:val="20"/>
          <w:shd w:val="clear" w:color="auto" w:fill="FFFFFF"/>
          <w:lang w:val="sr-Cyrl-RS"/>
        </w:rPr>
        <w:t>становника, па чак и мање, и градовима који имају преко</w:t>
      </w:r>
      <w:r w:rsidR="0021606F" w:rsidRPr="00A021B7">
        <w:rPr>
          <w:rFonts w:ascii="Arial" w:hAnsi="Arial" w:cs="Arial"/>
          <w:sz w:val="20"/>
          <w:szCs w:val="20"/>
          <w:shd w:val="clear" w:color="auto" w:fill="FFFFFF"/>
          <w:lang w:val="sr-Cyrl-RS"/>
        </w:rPr>
        <w:t xml:space="preserve"> 50.000 или</w:t>
      </w:r>
      <w:r w:rsidR="003E2047" w:rsidRPr="00A021B7">
        <w:rPr>
          <w:rFonts w:ascii="Arial" w:hAnsi="Arial" w:cs="Arial"/>
          <w:sz w:val="20"/>
          <w:szCs w:val="20"/>
          <w:shd w:val="clear" w:color="auto" w:fill="FFFFFF"/>
          <w:lang w:val="sr-Cyrl-RS"/>
        </w:rPr>
        <w:t xml:space="preserve"> </w:t>
      </w:r>
      <w:r w:rsidR="00361F38" w:rsidRPr="00A021B7">
        <w:rPr>
          <w:rFonts w:ascii="Arial" w:hAnsi="Arial" w:cs="Arial"/>
          <w:sz w:val="20"/>
          <w:szCs w:val="20"/>
          <w:shd w:val="clear" w:color="auto" w:fill="FFFFFF"/>
          <w:lang w:val="sr-Cyrl-RS"/>
        </w:rPr>
        <w:t>100.</w:t>
      </w:r>
      <w:r w:rsidR="004A3F6B" w:rsidRPr="00A021B7">
        <w:rPr>
          <w:rFonts w:ascii="Arial" w:hAnsi="Arial" w:cs="Arial"/>
          <w:sz w:val="20"/>
          <w:szCs w:val="20"/>
          <w:shd w:val="clear" w:color="auto" w:fill="FFFFFF"/>
          <w:lang w:val="sr-Cyrl-RS"/>
        </w:rPr>
        <w:t xml:space="preserve">000 </w:t>
      </w:r>
      <w:r w:rsidR="003E2047" w:rsidRPr="00A021B7">
        <w:rPr>
          <w:rFonts w:ascii="Arial" w:hAnsi="Arial" w:cs="Arial"/>
          <w:sz w:val="20"/>
          <w:szCs w:val="20"/>
          <w:shd w:val="clear" w:color="auto" w:fill="FFFFFF"/>
          <w:lang w:val="sr-Cyrl-RS"/>
        </w:rPr>
        <w:t xml:space="preserve">становника. </w:t>
      </w:r>
      <w:r w:rsidR="0021606F" w:rsidRPr="00A021B7">
        <w:rPr>
          <w:rFonts w:ascii="Arial" w:hAnsi="Arial" w:cs="Arial"/>
          <w:sz w:val="20"/>
          <w:szCs w:val="20"/>
          <w:shd w:val="clear" w:color="auto" w:fill="FFFFFF"/>
          <w:lang w:val="sr-Cyrl-RS"/>
        </w:rPr>
        <w:t>Х</w:t>
      </w:r>
      <w:r w:rsidR="003E2047" w:rsidRPr="00A021B7">
        <w:rPr>
          <w:rFonts w:ascii="Arial" w:hAnsi="Arial" w:cs="Arial"/>
          <w:sz w:val="20"/>
          <w:szCs w:val="20"/>
          <w:shd w:val="clear" w:color="auto" w:fill="FFFFFF"/>
          <w:lang w:val="sr-Cyrl-RS"/>
        </w:rPr>
        <w:t xml:space="preserve">роничан недостатак капацитета знатног броја ЈЛС, посебно </w:t>
      </w:r>
      <w:r w:rsidR="53DD2904" w:rsidRPr="00A021B7">
        <w:rPr>
          <w:rFonts w:ascii="Arial" w:hAnsi="Arial" w:cs="Arial"/>
          <w:sz w:val="20"/>
          <w:szCs w:val="20"/>
          <w:shd w:val="clear" w:color="auto" w:fill="FFFFFF"/>
          <w:lang w:val="sr-Cyrl-RS"/>
        </w:rPr>
        <w:t>ма</w:t>
      </w:r>
      <w:r w:rsidR="06C2B89C" w:rsidRPr="00A021B7">
        <w:rPr>
          <w:rFonts w:ascii="Arial" w:hAnsi="Arial" w:cs="Arial"/>
          <w:sz w:val="20"/>
          <w:szCs w:val="20"/>
          <w:shd w:val="clear" w:color="auto" w:fill="FFFFFF"/>
          <w:lang w:val="sr-Cyrl-RS"/>
        </w:rPr>
        <w:t>њ</w:t>
      </w:r>
      <w:r w:rsidR="53DD2904" w:rsidRPr="00A021B7">
        <w:rPr>
          <w:rFonts w:ascii="Arial" w:hAnsi="Arial" w:cs="Arial"/>
          <w:sz w:val="20"/>
          <w:szCs w:val="20"/>
          <w:shd w:val="clear" w:color="auto" w:fill="FFFFFF"/>
          <w:lang w:val="sr-Cyrl-RS"/>
        </w:rPr>
        <w:t>их</w:t>
      </w:r>
      <w:r w:rsidR="003E2047" w:rsidRPr="00A021B7">
        <w:rPr>
          <w:rFonts w:ascii="Arial" w:hAnsi="Arial" w:cs="Arial"/>
          <w:sz w:val="20"/>
          <w:szCs w:val="20"/>
          <w:shd w:val="clear" w:color="auto" w:fill="FFFFFF"/>
          <w:lang w:val="sr-Cyrl-RS"/>
        </w:rPr>
        <w:t xml:space="preserve"> општина</w:t>
      </w:r>
      <w:r w:rsidR="003D3F9D" w:rsidRPr="00A021B7">
        <w:rPr>
          <w:rFonts w:ascii="Arial" w:hAnsi="Arial" w:cs="Arial"/>
          <w:sz w:val="20"/>
          <w:szCs w:val="20"/>
          <w:shd w:val="clear" w:color="auto" w:fill="FFFFFF"/>
          <w:lang w:val="sr-Cyrl-RS"/>
        </w:rPr>
        <w:t>,</w:t>
      </w:r>
      <w:r w:rsidR="003E2047" w:rsidRPr="00A021B7">
        <w:rPr>
          <w:rFonts w:ascii="Arial" w:hAnsi="Arial" w:cs="Arial"/>
          <w:sz w:val="20"/>
          <w:szCs w:val="20"/>
          <w:shd w:val="clear" w:color="auto" w:fill="FFFFFF"/>
          <w:lang w:val="sr-Cyrl-RS"/>
        </w:rPr>
        <w:t xml:space="preserve"> за спровођење свих надлежности које су им додељене</w:t>
      </w:r>
      <w:r w:rsidR="0021606F" w:rsidRPr="00A021B7">
        <w:rPr>
          <w:rFonts w:ascii="Arial" w:hAnsi="Arial" w:cs="Arial"/>
          <w:sz w:val="20"/>
          <w:szCs w:val="20"/>
          <w:shd w:val="clear" w:color="auto" w:fill="FFFFFF"/>
          <w:lang w:val="sr-Cyrl-RS"/>
        </w:rPr>
        <w:t xml:space="preserve"> је </w:t>
      </w:r>
      <w:r w:rsidR="00C4652B" w:rsidRPr="00A021B7">
        <w:rPr>
          <w:rFonts w:ascii="Arial" w:hAnsi="Arial" w:cs="Arial"/>
          <w:sz w:val="20"/>
          <w:szCs w:val="20"/>
          <w:shd w:val="clear" w:color="auto" w:fill="FFFFFF"/>
          <w:lang w:val="sr-Cyrl-RS"/>
        </w:rPr>
        <w:t xml:space="preserve">једно од </w:t>
      </w:r>
      <w:r w:rsidR="009F13C9" w:rsidRPr="00A021B7">
        <w:rPr>
          <w:rFonts w:ascii="Arial" w:hAnsi="Arial" w:cs="Arial"/>
          <w:sz w:val="20"/>
          <w:szCs w:val="20"/>
          <w:shd w:val="clear" w:color="auto" w:fill="FFFFFF"/>
          <w:lang w:val="sr-Cyrl-RS"/>
        </w:rPr>
        <w:t xml:space="preserve">изузетно важних питања </w:t>
      </w:r>
      <w:r w:rsidR="00C4652B" w:rsidRPr="00A021B7">
        <w:rPr>
          <w:rFonts w:ascii="Arial" w:hAnsi="Arial" w:cs="Arial"/>
          <w:sz w:val="20"/>
          <w:szCs w:val="20"/>
          <w:shd w:val="clear" w:color="auto" w:fill="FFFFFF"/>
          <w:lang w:val="sr-Cyrl-RS"/>
        </w:rPr>
        <w:t>даље реформе система локалне самоуправе</w:t>
      </w:r>
      <w:r w:rsidR="003E2047" w:rsidRPr="00A021B7">
        <w:rPr>
          <w:rFonts w:ascii="Arial" w:hAnsi="Arial" w:cs="Arial"/>
          <w:sz w:val="20"/>
          <w:szCs w:val="20"/>
          <w:shd w:val="clear" w:color="auto" w:fill="FFFFFF"/>
          <w:lang w:val="sr-Cyrl-RS"/>
        </w:rPr>
        <w:t xml:space="preserve">. </w:t>
      </w:r>
      <w:r w:rsidR="003E2047" w:rsidRPr="00A021B7">
        <w:rPr>
          <w:rFonts w:ascii="Arial" w:hAnsi="Arial" w:cs="Arial"/>
          <w:sz w:val="20"/>
          <w:szCs w:val="20"/>
          <w:lang w:val="sr-Cyrl-RS"/>
        </w:rPr>
        <w:t xml:space="preserve">Један број послова не врши се </w:t>
      </w:r>
      <w:r w:rsidR="01C98AAF" w:rsidRPr="00A021B7">
        <w:rPr>
          <w:rFonts w:ascii="Arial" w:hAnsi="Arial" w:cs="Arial"/>
          <w:sz w:val="20"/>
          <w:szCs w:val="20"/>
          <w:lang w:val="sr-Cyrl-RS"/>
        </w:rPr>
        <w:t xml:space="preserve">у </w:t>
      </w:r>
      <w:r w:rsidR="003E2047" w:rsidRPr="00A021B7">
        <w:rPr>
          <w:rFonts w:ascii="Arial" w:hAnsi="Arial" w:cs="Arial"/>
          <w:sz w:val="20"/>
          <w:szCs w:val="20"/>
          <w:lang w:val="sr-Cyrl-RS"/>
        </w:rPr>
        <w:t xml:space="preserve">већем броју ЈЛС или се врши уз недовољан ниво квалитета, што показује да </w:t>
      </w:r>
      <w:r w:rsidR="003D3F9D" w:rsidRPr="00A021B7">
        <w:rPr>
          <w:rFonts w:ascii="Arial" w:hAnsi="Arial" w:cs="Arial"/>
          <w:sz w:val="20"/>
          <w:szCs w:val="20"/>
          <w:lang w:val="sr-Cyrl-RS"/>
        </w:rPr>
        <w:t xml:space="preserve">то </w:t>
      </w:r>
      <w:r w:rsidR="003E2047" w:rsidRPr="00A021B7">
        <w:rPr>
          <w:rFonts w:ascii="Arial" w:hAnsi="Arial" w:cs="Arial"/>
          <w:sz w:val="20"/>
          <w:szCs w:val="20"/>
          <w:lang w:val="sr-Cyrl-RS"/>
        </w:rPr>
        <w:t xml:space="preserve">није </w:t>
      </w:r>
      <w:r w:rsidR="003D3F9D" w:rsidRPr="00A021B7">
        <w:rPr>
          <w:rFonts w:ascii="Arial" w:hAnsi="Arial" w:cs="Arial"/>
          <w:sz w:val="20"/>
          <w:szCs w:val="20"/>
          <w:lang w:val="sr-Cyrl-RS"/>
        </w:rPr>
        <w:t xml:space="preserve">само </w:t>
      </w:r>
      <w:r w:rsidR="003E2047" w:rsidRPr="00A021B7">
        <w:rPr>
          <w:rFonts w:ascii="Arial" w:hAnsi="Arial" w:cs="Arial"/>
          <w:sz w:val="20"/>
          <w:szCs w:val="20"/>
          <w:lang w:val="sr-Cyrl-RS"/>
        </w:rPr>
        <w:t xml:space="preserve">последица монотипности, већ наводи на закључак да су локалне власти у целини суочене са комплексним одговорностима за које су им потребни </w:t>
      </w:r>
      <w:r w:rsidR="00B14306" w:rsidRPr="00A021B7">
        <w:rPr>
          <w:rFonts w:ascii="Arial" w:hAnsi="Arial" w:cs="Arial"/>
          <w:sz w:val="20"/>
          <w:szCs w:val="20"/>
          <w:lang w:val="sr-Cyrl-RS"/>
        </w:rPr>
        <w:t>озбиљни</w:t>
      </w:r>
      <w:r w:rsidR="003E2047" w:rsidRPr="00A021B7">
        <w:rPr>
          <w:rFonts w:ascii="Arial" w:hAnsi="Arial" w:cs="Arial"/>
          <w:sz w:val="20"/>
          <w:szCs w:val="20"/>
          <w:lang w:val="sr-Cyrl-RS"/>
        </w:rPr>
        <w:t xml:space="preserve"> финансијски, материјални</w:t>
      </w:r>
      <w:r w:rsidR="00B14306" w:rsidRPr="00A021B7">
        <w:rPr>
          <w:rFonts w:ascii="Arial" w:hAnsi="Arial" w:cs="Arial"/>
          <w:sz w:val="20"/>
          <w:szCs w:val="20"/>
          <w:lang w:val="sr-Cyrl-RS"/>
        </w:rPr>
        <w:t xml:space="preserve">, </w:t>
      </w:r>
      <w:r w:rsidR="003E2047" w:rsidRPr="00A021B7">
        <w:rPr>
          <w:rFonts w:ascii="Arial" w:hAnsi="Arial" w:cs="Arial"/>
          <w:sz w:val="20"/>
          <w:szCs w:val="20"/>
          <w:lang w:val="sr-Cyrl-RS"/>
        </w:rPr>
        <w:t>људски</w:t>
      </w:r>
      <w:r w:rsidR="00B14306" w:rsidRPr="00A021B7">
        <w:rPr>
          <w:rFonts w:ascii="Arial" w:hAnsi="Arial" w:cs="Arial"/>
          <w:sz w:val="20"/>
          <w:szCs w:val="20"/>
          <w:lang w:val="sr-Cyrl-RS"/>
        </w:rPr>
        <w:t xml:space="preserve"> и други</w:t>
      </w:r>
      <w:r w:rsidR="003E2047" w:rsidRPr="00A021B7">
        <w:rPr>
          <w:rFonts w:ascii="Arial" w:hAnsi="Arial" w:cs="Arial"/>
          <w:sz w:val="20"/>
          <w:szCs w:val="20"/>
          <w:lang w:val="sr-Cyrl-RS"/>
        </w:rPr>
        <w:t xml:space="preserve"> ресурси. </w:t>
      </w:r>
      <w:r w:rsidR="009446C3" w:rsidRPr="00A021B7">
        <w:rPr>
          <w:rFonts w:ascii="Arial" w:hAnsi="Arial" w:cs="Arial"/>
          <w:sz w:val="20"/>
          <w:szCs w:val="20"/>
          <w:lang w:val="sr-Cyrl-RS"/>
        </w:rPr>
        <w:t xml:space="preserve">Овакав закључак намеће потребу </w:t>
      </w:r>
      <w:r w:rsidR="00682825">
        <w:rPr>
          <w:rFonts w:ascii="Arial" w:hAnsi="Arial" w:cs="Arial"/>
          <w:sz w:val="20"/>
          <w:szCs w:val="20"/>
          <w:lang w:val="sr-Cyrl-RS"/>
        </w:rPr>
        <w:t xml:space="preserve">да се </w:t>
      </w:r>
      <w:r w:rsidR="009446C3" w:rsidRPr="00A021B7">
        <w:rPr>
          <w:rFonts w:ascii="Arial" w:hAnsi="Arial" w:cs="Arial"/>
          <w:sz w:val="20"/>
          <w:szCs w:val="20"/>
          <w:lang w:val="sr-Cyrl-RS"/>
        </w:rPr>
        <w:t>спров</w:t>
      </w:r>
      <w:r w:rsidR="00682825">
        <w:rPr>
          <w:rFonts w:ascii="Arial" w:hAnsi="Arial" w:cs="Arial"/>
          <w:sz w:val="20"/>
          <w:szCs w:val="20"/>
          <w:lang w:val="sr-Cyrl-RS"/>
        </w:rPr>
        <w:t>еде</w:t>
      </w:r>
      <w:r w:rsidR="009446C3" w:rsidRPr="00A021B7">
        <w:rPr>
          <w:rFonts w:ascii="Arial" w:hAnsi="Arial" w:cs="Arial"/>
          <w:sz w:val="20"/>
          <w:szCs w:val="20"/>
          <w:lang w:val="sr-Cyrl-RS"/>
        </w:rPr>
        <w:t xml:space="preserve"> посебн</w:t>
      </w:r>
      <w:r w:rsidR="00682825">
        <w:rPr>
          <w:rFonts w:ascii="Arial" w:hAnsi="Arial" w:cs="Arial"/>
          <w:sz w:val="20"/>
          <w:szCs w:val="20"/>
          <w:lang w:val="sr-Cyrl-RS"/>
        </w:rPr>
        <w:t>а</w:t>
      </w:r>
      <w:r w:rsidR="009446C3" w:rsidRPr="00A021B7">
        <w:rPr>
          <w:rFonts w:ascii="Arial" w:hAnsi="Arial" w:cs="Arial"/>
          <w:sz w:val="20"/>
          <w:szCs w:val="20"/>
          <w:lang w:val="sr-Cyrl-RS"/>
        </w:rPr>
        <w:t xml:space="preserve"> анализ</w:t>
      </w:r>
      <w:r w:rsidR="00682825">
        <w:rPr>
          <w:rFonts w:ascii="Arial" w:hAnsi="Arial" w:cs="Arial"/>
          <w:sz w:val="20"/>
          <w:szCs w:val="20"/>
          <w:lang w:val="sr-Cyrl-RS"/>
        </w:rPr>
        <w:t>а</w:t>
      </w:r>
      <w:r w:rsidR="009446C3" w:rsidRPr="00A021B7">
        <w:rPr>
          <w:rFonts w:ascii="Arial" w:hAnsi="Arial" w:cs="Arial"/>
          <w:sz w:val="20"/>
          <w:szCs w:val="20"/>
          <w:lang w:val="sr-Cyrl-RS"/>
        </w:rPr>
        <w:t xml:space="preserve"> обављања послова јединица локалне самоуправе како би се </w:t>
      </w:r>
      <w:r w:rsidR="00560E3D" w:rsidRPr="00A021B7">
        <w:rPr>
          <w:rFonts w:ascii="Arial" w:hAnsi="Arial" w:cs="Arial"/>
          <w:sz w:val="20"/>
          <w:szCs w:val="20"/>
          <w:lang w:val="sr-Cyrl-RS"/>
        </w:rPr>
        <w:t>системски оквир</w:t>
      </w:r>
      <w:r w:rsidR="009446C3" w:rsidRPr="00A021B7">
        <w:rPr>
          <w:rFonts w:ascii="Arial" w:hAnsi="Arial" w:cs="Arial"/>
          <w:sz w:val="20"/>
          <w:szCs w:val="20"/>
          <w:lang w:val="sr-Cyrl-RS"/>
        </w:rPr>
        <w:t xml:space="preserve"> прилагоди</w:t>
      </w:r>
      <w:r w:rsidR="00560E3D" w:rsidRPr="00A021B7">
        <w:rPr>
          <w:rFonts w:ascii="Arial" w:hAnsi="Arial" w:cs="Arial"/>
          <w:sz w:val="20"/>
          <w:szCs w:val="20"/>
          <w:lang w:val="sr-Cyrl-RS"/>
        </w:rPr>
        <w:t>о</w:t>
      </w:r>
      <w:r w:rsidR="009446C3" w:rsidRPr="00A021B7">
        <w:rPr>
          <w:rFonts w:ascii="Arial" w:hAnsi="Arial" w:cs="Arial"/>
          <w:sz w:val="20"/>
          <w:szCs w:val="20"/>
          <w:lang w:val="sr-Cyrl-RS"/>
        </w:rPr>
        <w:t xml:space="preserve"> реалном стању</w:t>
      </w:r>
      <w:r w:rsidR="00682825">
        <w:rPr>
          <w:rFonts w:ascii="Arial" w:hAnsi="Arial" w:cs="Arial"/>
          <w:sz w:val="20"/>
          <w:szCs w:val="20"/>
          <w:lang w:val="sr-Cyrl-RS"/>
        </w:rPr>
        <w:t>,</w:t>
      </w:r>
      <w:r w:rsidR="009446C3" w:rsidRPr="00A021B7">
        <w:rPr>
          <w:rFonts w:ascii="Arial" w:hAnsi="Arial" w:cs="Arial"/>
          <w:sz w:val="20"/>
          <w:szCs w:val="20"/>
          <w:lang w:val="sr-Cyrl-RS"/>
        </w:rPr>
        <w:t xml:space="preserve"> а у циљу </w:t>
      </w:r>
      <w:r w:rsidR="00682825">
        <w:rPr>
          <w:rFonts w:ascii="Arial" w:hAnsi="Arial" w:cs="Arial"/>
          <w:sz w:val="20"/>
          <w:szCs w:val="20"/>
          <w:lang w:val="sr-Cyrl-RS"/>
        </w:rPr>
        <w:t>испуњавања</w:t>
      </w:r>
      <w:r w:rsidR="00682825" w:rsidRPr="00A021B7">
        <w:rPr>
          <w:rFonts w:ascii="Arial" w:hAnsi="Arial" w:cs="Arial"/>
          <w:sz w:val="20"/>
          <w:szCs w:val="20"/>
          <w:lang w:val="sr-Cyrl-RS"/>
        </w:rPr>
        <w:t xml:space="preserve"> </w:t>
      </w:r>
      <w:r w:rsidR="009446C3" w:rsidRPr="00A021B7">
        <w:rPr>
          <w:rFonts w:ascii="Arial" w:hAnsi="Arial" w:cs="Arial"/>
          <w:sz w:val="20"/>
          <w:szCs w:val="20"/>
          <w:lang w:val="sr-Cyrl-RS"/>
        </w:rPr>
        <w:t>потреба локалне заједнице.</w:t>
      </w:r>
      <w:r w:rsidR="009446C3" w:rsidRPr="00A021B7">
        <w:rPr>
          <w:rFonts w:ascii="Arial" w:hAnsi="Arial" w:cs="Arial"/>
          <w:color w:val="000000"/>
          <w:sz w:val="20"/>
          <w:szCs w:val="20"/>
          <w:lang w:val="sr-Cyrl-RS"/>
        </w:rPr>
        <w:t xml:space="preserve"> </w:t>
      </w:r>
      <w:r w:rsidR="00560E3D" w:rsidRPr="00A021B7">
        <w:rPr>
          <w:rFonts w:ascii="Arial" w:hAnsi="Arial" w:cs="Arial"/>
          <w:sz w:val="20"/>
          <w:szCs w:val="20"/>
          <w:lang w:val="sr-Cyrl-RS"/>
        </w:rPr>
        <w:t xml:space="preserve">У даљим </w:t>
      </w:r>
      <w:r w:rsidR="00FC26FF" w:rsidRPr="00A021B7">
        <w:rPr>
          <w:rFonts w:ascii="Arial" w:hAnsi="Arial" w:cs="Arial"/>
          <w:sz w:val="20"/>
          <w:szCs w:val="20"/>
          <w:lang w:val="sr-Cyrl-RS"/>
        </w:rPr>
        <w:t xml:space="preserve">промишљањима системских решења у овој области, посебна пажња мора се посветити </w:t>
      </w:r>
      <w:r w:rsidR="00BE5ABE" w:rsidRPr="00A021B7">
        <w:rPr>
          <w:rFonts w:ascii="Arial" w:hAnsi="Arial" w:cs="Arial"/>
          <w:color w:val="000000"/>
          <w:sz w:val="20"/>
          <w:szCs w:val="20"/>
          <w:lang w:val="sr-Cyrl-RS"/>
        </w:rPr>
        <w:t>неразвијен</w:t>
      </w:r>
      <w:r w:rsidR="00FC26FF" w:rsidRPr="00A021B7">
        <w:rPr>
          <w:rFonts w:ascii="Arial" w:hAnsi="Arial" w:cs="Arial"/>
          <w:color w:val="000000"/>
          <w:sz w:val="20"/>
          <w:szCs w:val="20"/>
          <w:lang w:val="sr-Cyrl-RS"/>
        </w:rPr>
        <w:t>им</w:t>
      </w:r>
      <w:r w:rsidR="00BE5ABE" w:rsidRPr="00A021B7">
        <w:rPr>
          <w:rFonts w:ascii="Arial" w:hAnsi="Arial" w:cs="Arial"/>
          <w:color w:val="000000"/>
          <w:sz w:val="20"/>
          <w:szCs w:val="20"/>
          <w:lang w:val="sr-Cyrl-RS"/>
        </w:rPr>
        <w:t xml:space="preserve"> општин</w:t>
      </w:r>
      <w:r w:rsidR="00FC26FF" w:rsidRPr="00A021B7">
        <w:rPr>
          <w:rFonts w:ascii="Arial" w:hAnsi="Arial" w:cs="Arial"/>
          <w:color w:val="000000"/>
          <w:sz w:val="20"/>
          <w:szCs w:val="20"/>
          <w:lang w:val="sr-Cyrl-RS"/>
        </w:rPr>
        <w:t>ама, посебно оним</w:t>
      </w:r>
      <w:r w:rsidR="00682825">
        <w:rPr>
          <w:rFonts w:ascii="Arial" w:hAnsi="Arial" w:cs="Arial"/>
          <w:color w:val="000000"/>
          <w:sz w:val="20"/>
          <w:szCs w:val="20"/>
          <w:lang w:val="sr-Cyrl-RS"/>
        </w:rPr>
        <w:t>а</w:t>
      </w:r>
      <w:r w:rsidR="00BE5ABE" w:rsidRPr="00A021B7">
        <w:rPr>
          <w:rFonts w:ascii="Arial" w:hAnsi="Arial" w:cs="Arial"/>
          <w:color w:val="000000"/>
          <w:sz w:val="20"/>
          <w:szCs w:val="20"/>
          <w:lang w:val="sr-Cyrl-RS"/>
        </w:rPr>
        <w:t xml:space="preserve"> </w:t>
      </w:r>
      <w:r w:rsidR="00545B81" w:rsidRPr="00A021B7">
        <w:rPr>
          <w:rFonts w:ascii="Arial" w:hAnsi="Arial" w:cs="Arial"/>
          <w:color w:val="000000"/>
          <w:sz w:val="20"/>
          <w:szCs w:val="20"/>
          <w:lang w:val="sr-Cyrl-RS"/>
        </w:rPr>
        <w:t>ко</w:t>
      </w:r>
      <w:r w:rsidR="007F078D" w:rsidRPr="00A021B7">
        <w:rPr>
          <w:rFonts w:ascii="Arial" w:hAnsi="Arial" w:cs="Arial"/>
          <w:color w:val="000000"/>
          <w:sz w:val="20"/>
          <w:szCs w:val="20"/>
          <w:lang w:val="sr-Cyrl-RS"/>
        </w:rPr>
        <w:t>је</w:t>
      </w:r>
      <w:r w:rsidR="00682825">
        <w:rPr>
          <w:rFonts w:ascii="Arial" w:hAnsi="Arial" w:cs="Arial"/>
          <w:color w:val="000000"/>
          <w:sz w:val="20"/>
          <w:szCs w:val="20"/>
          <w:lang w:val="sr-Cyrl-RS"/>
        </w:rPr>
        <w:t>,</w:t>
      </w:r>
      <w:r w:rsidR="007F078D" w:rsidRPr="00A021B7">
        <w:rPr>
          <w:rFonts w:ascii="Arial" w:hAnsi="Arial" w:cs="Arial"/>
          <w:color w:val="000000"/>
          <w:sz w:val="20"/>
          <w:szCs w:val="20"/>
          <w:lang w:val="sr-Cyrl-RS"/>
        </w:rPr>
        <w:t xml:space="preserve"> поред </w:t>
      </w:r>
      <w:r w:rsidR="00545B81" w:rsidRPr="00A021B7">
        <w:rPr>
          <w:rFonts w:ascii="Arial" w:hAnsi="Arial" w:cs="Arial"/>
          <w:color w:val="000000"/>
          <w:sz w:val="20"/>
          <w:szCs w:val="20"/>
          <w:lang w:val="sr-Cyrl-RS"/>
        </w:rPr>
        <w:t>овог статуса</w:t>
      </w:r>
      <w:r w:rsidR="00740D35" w:rsidRPr="00A021B7">
        <w:rPr>
          <w:rFonts w:ascii="Arial" w:hAnsi="Arial" w:cs="Arial"/>
          <w:color w:val="000000"/>
          <w:sz w:val="20"/>
          <w:szCs w:val="20"/>
          <w:lang w:val="sr-Cyrl-RS"/>
        </w:rPr>
        <w:t xml:space="preserve">, имају и друге </w:t>
      </w:r>
      <w:r w:rsidR="00682825" w:rsidRPr="00A021B7">
        <w:rPr>
          <w:rFonts w:ascii="Arial" w:hAnsi="Arial" w:cs="Arial"/>
          <w:color w:val="000000"/>
          <w:sz w:val="20"/>
          <w:szCs w:val="20"/>
          <w:lang w:val="sr-Cyrl-RS"/>
        </w:rPr>
        <w:t>карактеристике</w:t>
      </w:r>
      <w:r w:rsidR="004F5E01" w:rsidRPr="00A021B7">
        <w:rPr>
          <w:rFonts w:ascii="Arial" w:hAnsi="Arial" w:cs="Arial"/>
          <w:color w:val="000000"/>
          <w:sz w:val="20"/>
          <w:szCs w:val="20"/>
          <w:lang w:val="sr-Cyrl-RS"/>
        </w:rPr>
        <w:t xml:space="preserve"> </w:t>
      </w:r>
      <w:r w:rsidR="00E96508" w:rsidRPr="00A021B7">
        <w:rPr>
          <w:rFonts w:ascii="Arial" w:hAnsi="Arial" w:cs="Arial"/>
          <w:color w:val="000000"/>
          <w:sz w:val="20"/>
          <w:szCs w:val="20"/>
          <w:lang w:val="sr-Cyrl-RS"/>
        </w:rPr>
        <w:t xml:space="preserve">који им </w:t>
      </w:r>
      <w:r w:rsidR="00740D35" w:rsidRPr="00A021B7">
        <w:rPr>
          <w:rFonts w:ascii="Arial" w:hAnsi="Arial" w:cs="Arial"/>
          <w:color w:val="000000"/>
          <w:sz w:val="20"/>
          <w:szCs w:val="20"/>
          <w:lang w:val="sr-Cyrl-RS"/>
        </w:rPr>
        <w:t xml:space="preserve">знатно отежавају укупан локални развој </w:t>
      </w:r>
      <w:r w:rsidR="007706DE" w:rsidRPr="00A021B7">
        <w:rPr>
          <w:rFonts w:ascii="Arial" w:hAnsi="Arial" w:cs="Arial"/>
          <w:color w:val="000000"/>
          <w:sz w:val="20"/>
          <w:szCs w:val="20"/>
          <w:lang w:val="sr-Cyrl-RS"/>
        </w:rPr>
        <w:t>па тиме</w:t>
      </w:r>
      <w:r w:rsidR="00740D35" w:rsidRPr="00A021B7">
        <w:rPr>
          <w:rFonts w:ascii="Arial" w:hAnsi="Arial" w:cs="Arial"/>
          <w:color w:val="000000"/>
          <w:sz w:val="20"/>
          <w:szCs w:val="20"/>
          <w:lang w:val="sr-Cyrl-RS"/>
        </w:rPr>
        <w:t xml:space="preserve"> и развој локалних јавних услуга</w:t>
      </w:r>
      <w:r w:rsidR="00E96508" w:rsidRPr="00A021B7">
        <w:rPr>
          <w:rFonts w:ascii="Arial" w:hAnsi="Arial" w:cs="Arial"/>
          <w:color w:val="000000"/>
          <w:sz w:val="20"/>
          <w:szCs w:val="20"/>
          <w:lang w:val="sr-Cyrl-RS"/>
        </w:rPr>
        <w:t xml:space="preserve"> </w:t>
      </w:r>
      <w:r w:rsidR="00F221C9" w:rsidRPr="00A021B7">
        <w:rPr>
          <w:rFonts w:ascii="Arial" w:hAnsi="Arial" w:cs="Arial"/>
          <w:color w:val="000000"/>
          <w:sz w:val="20"/>
          <w:szCs w:val="20"/>
          <w:lang w:val="sr-Cyrl-RS"/>
        </w:rPr>
        <w:t>(</w:t>
      </w:r>
      <w:r w:rsidR="00891D73" w:rsidRPr="00A021B7">
        <w:rPr>
          <w:rFonts w:ascii="Arial" w:hAnsi="Arial" w:cs="Arial"/>
          <w:color w:val="000000"/>
          <w:sz w:val="20"/>
          <w:szCs w:val="20"/>
          <w:lang w:val="sr-Cyrl-RS"/>
        </w:rPr>
        <w:t xml:space="preserve">знатно </w:t>
      </w:r>
      <w:r w:rsidR="007706DE" w:rsidRPr="00A021B7">
        <w:rPr>
          <w:rFonts w:ascii="Arial" w:hAnsi="Arial" w:cs="Arial"/>
          <w:color w:val="000000"/>
          <w:sz w:val="20"/>
          <w:szCs w:val="20"/>
          <w:lang w:val="sr-Cyrl-RS"/>
        </w:rPr>
        <w:t>мањ</w:t>
      </w:r>
      <w:r w:rsidR="00891D73" w:rsidRPr="00A021B7">
        <w:rPr>
          <w:rFonts w:ascii="Arial" w:hAnsi="Arial" w:cs="Arial"/>
          <w:color w:val="000000"/>
          <w:sz w:val="20"/>
          <w:szCs w:val="20"/>
          <w:lang w:val="sr-Cyrl-RS"/>
        </w:rPr>
        <w:t>и број становника</w:t>
      </w:r>
      <w:r w:rsidR="007706DE" w:rsidRPr="00A021B7">
        <w:rPr>
          <w:rFonts w:ascii="Arial" w:hAnsi="Arial" w:cs="Arial"/>
          <w:color w:val="000000"/>
          <w:sz w:val="20"/>
          <w:szCs w:val="20"/>
          <w:lang w:val="sr-Cyrl-RS"/>
        </w:rPr>
        <w:t xml:space="preserve"> од</w:t>
      </w:r>
      <w:r w:rsidR="00891D73" w:rsidRPr="00A021B7">
        <w:rPr>
          <w:rFonts w:ascii="Arial" w:hAnsi="Arial" w:cs="Arial"/>
          <w:color w:val="000000"/>
          <w:sz w:val="20"/>
          <w:szCs w:val="20"/>
          <w:lang w:val="sr-Cyrl-RS"/>
        </w:rPr>
        <w:t xml:space="preserve"> просека ЈЛС</w:t>
      </w:r>
      <w:r w:rsidR="00F221C9" w:rsidRPr="00A021B7">
        <w:rPr>
          <w:rFonts w:ascii="Arial" w:hAnsi="Arial" w:cs="Arial"/>
          <w:color w:val="000000"/>
          <w:sz w:val="20"/>
          <w:szCs w:val="20"/>
          <w:lang w:val="sr-Cyrl-RS"/>
        </w:rPr>
        <w:t xml:space="preserve">, </w:t>
      </w:r>
      <w:r w:rsidR="00BE5ABE" w:rsidRPr="00A021B7">
        <w:rPr>
          <w:rFonts w:ascii="Arial" w:hAnsi="Arial" w:cs="Arial"/>
          <w:color w:val="000000"/>
          <w:sz w:val="20"/>
          <w:szCs w:val="20"/>
          <w:lang w:val="sr-Cyrl-RS"/>
        </w:rPr>
        <w:t>приграничн</w:t>
      </w:r>
      <w:r w:rsidR="00F221C9" w:rsidRPr="00A021B7">
        <w:rPr>
          <w:rFonts w:ascii="Arial" w:hAnsi="Arial" w:cs="Arial"/>
          <w:color w:val="000000"/>
          <w:sz w:val="20"/>
          <w:szCs w:val="20"/>
          <w:lang w:val="sr-Cyrl-RS"/>
        </w:rPr>
        <w:t>е општине</w:t>
      </w:r>
      <w:r w:rsidR="00BE5ABE" w:rsidRPr="00A021B7">
        <w:rPr>
          <w:rFonts w:ascii="Arial" w:hAnsi="Arial" w:cs="Arial"/>
          <w:color w:val="000000"/>
          <w:sz w:val="20"/>
          <w:szCs w:val="20"/>
          <w:lang w:val="sr-Cyrl-RS"/>
        </w:rPr>
        <w:t>, демографски најугрожениј</w:t>
      </w:r>
      <w:r w:rsidR="00F221C9" w:rsidRPr="00A021B7">
        <w:rPr>
          <w:rFonts w:ascii="Arial" w:hAnsi="Arial" w:cs="Arial"/>
          <w:color w:val="000000"/>
          <w:sz w:val="20"/>
          <w:szCs w:val="20"/>
          <w:lang w:val="sr-Cyrl-RS"/>
        </w:rPr>
        <w:t xml:space="preserve">е </w:t>
      </w:r>
      <w:r w:rsidR="00BE5ABE" w:rsidRPr="00A021B7">
        <w:rPr>
          <w:rFonts w:ascii="Arial" w:hAnsi="Arial" w:cs="Arial"/>
          <w:color w:val="000000"/>
          <w:sz w:val="20"/>
          <w:szCs w:val="20"/>
          <w:lang w:val="sr-Cyrl-RS"/>
        </w:rPr>
        <w:t xml:space="preserve">ЈЛС). </w:t>
      </w:r>
      <w:r w:rsidR="00CE28D5" w:rsidRPr="00A021B7">
        <w:rPr>
          <w:rFonts w:ascii="Arial" w:hAnsi="Arial" w:cs="Arial"/>
          <w:color w:val="000000"/>
          <w:sz w:val="20"/>
          <w:szCs w:val="20"/>
          <w:lang w:val="sr-Cyrl-RS"/>
        </w:rPr>
        <w:t>О</w:t>
      </w:r>
      <w:r w:rsidR="003467CA" w:rsidRPr="00A021B7">
        <w:rPr>
          <w:rFonts w:ascii="Arial" w:hAnsi="Arial" w:cs="Arial"/>
          <w:color w:val="000000"/>
          <w:sz w:val="20"/>
          <w:szCs w:val="20"/>
          <w:lang w:val="sr-Cyrl-RS"/>
        </w:rPr>
        <w:t>не</w:t>
      </w:r>
      <w:r w:rsidR="00CE28D5" w:rsidRPr="00A021B7">
        <w:rPr>
          <w:rFonts w:ascii="Arial" w:hAnsi="Arial" w:cs="Arial"/>
          <w:color w:val="000000"/>
          <w:sz w:val="20"/>
          <w:szCs w:val="20"/>
          <w:lang w:val="sr-Cyrl-RS"/>
        </w:rPr>
        <w:t xml:space="preserve"> </w:t>
      </w:r>
      <w:r w:rsidR="003467CA" w:rsidRPr="00A021B7">
        <w:rPr>
          <w:rFonts w:ascii="Arial" w:hAnsi="Arial" w:cs="Arial"/>
          <w:color w:val="000000"/>
          <w:sz w:val="20"/>
          <w:szCs w:val="20"/>
          <w:lang w:val="sr-Cyrl-RS"/>
        </w:rPr>
        <w:t>су</w:t>
      </w:r>
      <w:r w:rsidR="00BE5ABE" w:rsidRPr="00A021B7">
        <w:rPr>
          <w:rFonts w:ascii="Arial" w:hAnsi="Arial" w:cs="Arial"/>
          <w:color w:val="000000"/>
          <w:sz w:val="20"/>
          <w:szCs w:val="20"/>
          <w:lang w:val="sr-Cyrl-RS"/>
        </w:rPr>
        <w:t xml:space="preserve"> суочен</w:t>
      </w:r>
      <w:r w:rsidR="00CE28D5" w:rsidRPr="00A021B7">
        <w:rPr>
          <w:rFonts w:ascii="Arial" w:hAnsi="Arial" w:cs="Arial"/>
          <w:color w:val="000000"/>
          <w:sz w:val="20"/>
          <w:szCs w:val="20"/>
          <w:lang w:val="sr-Cyrl-RS"/>
        </w:rPr>
        <w:t>е са</w:t>
      </w:r>
      <w:r w:rsidR="00891D73" w:rsidRPr="00A021B7">
        <w:rPr>
          <w:rFonts w:ascii="Arial" w:hAnsi="Arial" w:cs="Arial"/>
          <w:color w:val="000000"/>
          <w:sz w:val="20"/>
          <w:szCs w:val="20"/>
          <w:lang w:val="sr-Cyrl-RS"/>
        </w:rPr>
        <w:t xml:space="preserve"> бројним изазовима </w:t>
      </w:r>
      <w:r w:rsidR="00682825">
        <w:rPr>
          <w:rFonts w:ascii="Arial" w:hAnsi="Arial" w:cs="Arial"/>
          <w:color w:val="000000"/>
          <w:sz w:val="20"/>
          <w:szCs w:val="20"/>
          <w:lang w:val="sr-Cyrl-RS"/>
        </w:rPr>
        <w:t>–</w:t>
      </w:r>
      <w:r w:rsidR="00545B81" w:rsidRPr="00A021B7">
        <w:rPr>
          <w:rFonts w:ascii="Arial" w:hAnsi="Arial" w:cs="Arial"/>
          <w:color w:val="000000"/>
          <w:sz w:val="20"/>
          <w:szCs w:val="20"/>
          <w:lang w:val="sr-Cyrl-RS"/>
        </w:rPr>
        <w:t xml:space="preserve"> </w:t>
      </w:r>
      <w:r w:rsidR="00BE5ABE" w:rsidRPr="00A021B7">
        <w:rPr>
          <w:rFonts w:ascii="Arial" w:hAnsi="Arial" w:cs="Arial"/>
          <w:color w:val="000000"/>
          <w:sz w:val="20"/>
          <w:szCs w:val="20"/>
          <w:lang w:val="sr-Cyrl-RS"/>
        </w:rPr>
        <w:t>привредн</w:t>
      </w:r>
      <w:r w:rsidR="00545B81" w:rsidRPr="00A021B7">
        <w:rPr>
          <w:rFonts w:ascii="Arial" w:hAnsi="Arial" w:cs="Arial"/>
          <w:color w:val="000000"/>
          <w:sz w:val="20"/>
          <w:szCs w:val="20"/>
          <w:lang w:val="sr-Cyrl-RS"/>
        </w:rPr>
        <w:t>им</w:t>
      </w:r>
      <w:r w:rsidR="00BE5ABE" w:rsidRPr="00A021B7">
        <w:rPr>
          <w:rFonts w:ascii="Arial" w:hAnsi="Arial" w:cs="Arial"/>
          <w:color w:val="000000"/>
          <w:sz w:val="20"/>
          <w:szCs w:val="20"/>
          <w:lang w:val="sr-Cyrl-RS"/>
        </w:rPr>
        <w:t>, социјалн</w:t>
      </w:r>
      <w:r w:rsidR="00545B81" w:rsidRPr="00A021B7">
        <w:rPr>
          <w:rFonts w:ascii="Arial" w:hAnsi="Arial" w:cs="Arial"/>
          <w:color w:val="000000"/>
          <w:sz w:val="20"/>
          <w:szCs w:val="20"/>
          <w:lang w:val="sr-Cyrl-RS"/>
        </w:rPr>
        <w:t>им</w:t>
      </w:r>
      <w:r w:rsidR="00BE5ABE" w:rsidRPr="00A021B7">
        <w:rPr>
          <w:rFonts w:ascii="Arial" w:hAnsi="Arial" w:cs="Arial"/>
          <w:color w:val="000000"/>
          <w:sz w:val="20"/>
          <w:szCs w:val="20"/>
          <w:lang w:val="sr-Cyrl-RS"/>
        </w:rPr>
        <w:t>, инфраструктурн</w:t>
      </w:r>
      <w:r w:rsidR="00545B81" w:rsidRPr="00A021B7">
        <w:rPr>
          <w:rFonts w:ascii="Arial" w:hAnsi="Arial" w:cs="Arial"/>
          <w:color w:val="000000"/>
          <w:sz w:val="20"/>
          <w:szCs w:val="20"/>
          <w:lang w:val="sr-Cyrl-RS"/>
        </w:rPr>
        <w:t>им</w:t>
      </w:r>
      <w:r w:rsidR="005C0460" w:rsidRPr="00A021B7">
        <w:rPr>
          <w:rFonts w:ascii="Arial" w:hAnsi="Arial" w:cs="Arial"/>
          <w:color w:val="000000"/>
          <w:sz w:val="20"/>
          <w:szCs w:val="20"/>
          <w:lang w:val="sr-Cyrl-RS"/>
        </w:rPr>
        <w:t xml:space="preserve">, </w:t>
      </w:r>
      <w:r w:rsidR="00BE5ABE" w:rsidRPr="00A021B7">
        <w:rPr>
          <w:rFonts w:ascii="Arial" w:hAnsi="Arial" w:cs="Arial"/>
          <w:color w:val="000000"/>
          <w:sz w:val="20"/>
          <w:szCs w:val="20"/>
          <w:lang w:val="sr-Cyrl-RS"/>
        </w:rPr>
        <w:t>демографск</w:t>
      </w:r>
      <w:r w:rsidR="003467CA" w:rsidRPr="00A021B7">
        <w:rPr>
          <w:rFonts w:ascii="Arial" w:hAnsi="Arial" w:cs="Arial"/>
          <w:color w:val="000000"/>
          <w:sz w:val="20"/>
          <w:szCs w:val="20"/>
          <w:lang w:val="sr-Cyrl-RS"/>
        </w:rPr>
        <w:t>им</w:t>
      </w:r>
      <w:r w:rsidR="00682825">
        <w:rPr>
          <w:rFonts w:ascii="Arial" w:hAnsi="Arial" w:cs="Arial"/>
          <w:color w:val="000000"/>
          <w:sz w:val="20"/>
          <w:szCs w:val="20"/>
          <w:lang w:val="sr-Cyrl-RS"/>
        </w:rPr>
        <w:t>,</w:t>
      </w:r>
      <w:r w:rsidR="005C0460" w:rsidRPr="00A021B7">
        <w:rPr>
          <w:rFonts w:ascii="Arial" w:hAnsi="Arial" w:cs="Arial"/>
          <w:color w:val="000000"/>
          <w:sz w:val="20"/>
          <w:szCs w:val="20"/>
          <w:lang w:val="sr-Cyrl-RS"/>
        </w:rPr>
        <w:t xml:space="preserve"> због којих им је неопходна посебна подршка у наредном периоду, не само у развоју локалних јавних услуга него у укупном локалном развоју</w:t>
      </w:r>
      <w:r w:rsidR="00BE5ABE" w:rsidRPr="00A021B7">
        <w:rPr>
          <w:rFonts w:ascii="Arial" w:hAnsi="Arial" w:cs="Arial"/>
          <w:color w:val="000000"/>
          <w:sz w:val="20"/>
          <w:szCs w:val="20"/>
          <w:lang w:val="sr-Cyrl-RS"/>
        </w:rPr>
        <w:t xml:space="preserve">. </w:t>
      </w:r>
      <w:r w:rsidR="005C0460" w:rsidRPr="00A021B7">
        <w:rPr>
          <w:rFonts w:ascii="Arial" w:hAnsi="Arial" w:cs="Arial"/>
          <w:color w:val="000000"/>
          <w:sz w:val="20"/>
          <w:szCs w:val="20"/>
          <w:lang w:val="sr-Cyrl-RS"/>
        </w:rPr>
        <w:t xml:space="preserve">Иако за </w:t>
      </w:r>
      <w:r w:rsidR="00EB47A7" w:rsidRPr="00A021B7">
        <w:rPr>
          <w:rFonts w:ascii="Arial" w:hAnsi="Arial" w:cs="Arial"/>
          <w:color w:val="000000"/>
          <w:sz w:val="20"/>
          <w:szCs w:val="20"/>
          <w:lang w:val="sr-Cyrl-RS"/>
        </w:rPr>
        <w:t>решавање изазова</w:t>
      </w:r>
      <w:r w:rsidR="005344BF" w:rsidRPr="00A021B7">
        <w:rPr>
          <w:rFonts w:ascii="Arial" w:hAnsi="Arial" w:cs="Arial"/>
          <w:color w:val="000000"/>
          <w:sz w:val="20"/>
          <w:szCs w:val="20"/>
          <w:lang w:val="sr-Cyrl-RS"/>
        </w:rPr>
        <w:t xml:space="preserve"> са којима се суочавају ове ЈЛС</w:t>
      </w:r>
      <w:r w:rsidR="00EB47A7" w:rsidRPr="00A021B7">
        <w:rPr>
          <w:rFonts w:ascii="Arial" w:hAnsi="Arial" w:cs="Arial"/>
          <w:color w:val="000000"/>
          <w:sz w:val="20"/>
          <w:szCs w:val="20"/>
          <w:lang w:val="sr-Cyrl-RS"/>
        </w:rPr>
        <w:t xml:space="preserve"> нису довољне </w:t>
      </w:r>
      <w:r w:rsidR="005344BF" w:rsidRPr="00A021B7">
        <w:rPr>
          <w:rFonts w:ascii="Arial" w:hAnsi="Arial" w:cs="Arial"/>
          <w:color w:val="000000"/>
          <w:sz w:val="20"/>
          <w:szCs w:val="20"/>
          <w:lang w:val="sr-Cyrl-RS"/>
        </w:rPr>
        <w:t xml:space="preserve">само </w:t>
      </w:r>
      <w:r w:rsidR="00EB47A7" w:rsidRPr="00A021B7">
        <w:rPr>
          <w:rFonts w:ascii="Arial" w:hAnsi="Arial" w:cs="Arial"/>
          <w:color w:val="000000"/>
          <w:sz w:val="20"/>
          <w:szCs w:val="20"/>
          <w:lang w:val="sr-Cyrl-RS"/>
        </w:rPr>
        <w:t>реформе у области система локалне самоуправе, већ је нуж</w:t>
      </w:r>
      <w:r w:rsidR="00CA4FED" w:rsidRPr="00A021B7">
        <w:rPr>
          <w:rFonts w:ascii="Arial" w:hAnsi="Arial" w:cs="Arial"/>
          <w:color w:val="000000"/>
          <w:sz w:val="20"/>
          <w:szCs w:val="20"/>
          <w:lang w:val="sr-Cyrl-RS"/>
        </w:rPr>
        <w:t>но дефинисати низ различитих мера (</w:t>
      </w:r>
      <w:r w:rsidR="00955FA0" w:rsidRPr="00A021B7">
        <w:rPr>
          <w:rFonts w:ascii="Arial" w:hAnsi="Arial" w:cs="Arial"/>
          <w:color w:val="000000"/>
          <w:sz w:val="20"/>
          <w:szCs w:val="20"/>
          <w:lang w:val="sr-Cyrl-RS"/>
        </w:rPr>
        <w:t xml:space="preserve">за </w:t>
      </w:r>
      <w:r w:rsidR="00AD5DDD" w:rsidRPr="00A021B7">
        <w:rPr>
          <w:rFonts w:ascii="Arial" w:hAnsi="Arial" w:cs="Arial"/>
          <w:color w:val="000000"/>
          <w:sz w:val="20"/>
          <w:szCs w:val="20"/>
          <w:lang w:val="sr-Cyrl-RS"/>
        </w:rPr>
        <w:t xml:space="preserve">подршку изградњи </w:t>
      </w:r>
      <w:r w:rsidR="00955FA0" w:rsidRPr="00A021B7">
        <w:rPr>
          <w:rFonts w:ascii="Arial" w:hAnsi="Arial" w:cs="Arial"/>
          <w:color w:val="000000"/>
          <w:sz w:val="20"/>
          <w:szCs w:val="20"/>
          <w:lang w:val="sr-Cyrl-RS"/>
        </w:rPr>
        <w:t>локалн</w:t>
      </w:r>
      <w:r w:rsidR="00AD5DDD" w:rsidRPr="00A021B7">
        <w:rPr>
          <w:rFonts w:ascii="Arial" w:hAnsi="Arial" w:cs="Arial"/>
          <w:color w:val="000000"/>
          <w:sz w:val="20"/>
          <w:szCs w:val="20"/>
          <w:lang w:val="sr-Cyrl-RS"/>
        </w:rPr>
        <w:t>е</w:t>
      </w:r>
      <w:r w:rsidR="00955FA0" w:rsidRPr="00A021B7">
        <w:rPr>
          <w:rFonts w:ascii="Arial" w:hAnsi="Arial" w:cs="Arial"/>
          <w:color w:val="000000"/>
          <w:sz w:val="20"/>
          <w:szCs w:val="20"/>
          <w:lang w:val="sr-Cyrl-RS"/>
        </w:rPr>
        <w:t xml:space="preserve"> инфраструктур</w:t>
      </w:r>
      <w:r w:rsidR="00AD5DDD" w:rsidRPr="00A021B7">
        <w:rPr>
          <w:rFonts w:ascii="Arial" w:hAnsi="Arial" w:cs="Arial"/>
          <w:color w:val="000000"/>
          <w:sz w:val="20"/>
          <w:szCs w:val="20"/>
          <w:lang w:val="sr-Cyrl-RS"/>
        </w:rPr>
        <w:t>е</w:t>
      </w:r>
      <w:r w:rsidR="00955FA0" w:rsidRPr="00A021B7">
        <w:rPr>
          <w:rFonts w:ascii="Arial" w:hAnsi="Arial" w:cs="Arial"/>
          <w:color w:val="000000"/>
          <w:sz w:val="20"/>
          <w:szCs w:val="20"/>
          <w:lang w:val="sr-Cyrl-RS"/>
        </w:rPr>
        <w:t>, трансформацију и развој локалне привреде,</w:t>
      </w:r>
      <w:r w:rsidR="005344BF" w:rsidRPr="00A021B7">
        <w:rPr>
          <w:rFonts w:ascii="Arial" w:hAnsi="Arial" w:cs="Arial"/>
          <w:color w:val="000000"/>
          <w:sz w:val="20"/>
          <w:szCs w:val="20"/>
          <w:lang w:val="sr-Cyrl-RS"/>
        </w:rPr>
        <w:t xml:space="preserve"> </w:t>
      </w:r>
      <w:r w:rsidR="00955FA0" w:rsidRPr="00A021B7">
        <w:rPr>
          <w:rFonts w:ascii="Arial" w:hAnsi="Arial" w:cs="Arial"/>
          <w:color w:val="000000"/>
          <w:sz w:val="20"/>
          <w:szCs w:val="20"/>
          <w:lang w:val="sr-Cyrl-RS"/>
        </w:rPr>
        <w:t>пореске, финансијске и друге подстицајне мере)</w:t>
      </w:r>
      <w:r w:rsidR="006C2E42" w:rsidRPr="00A021B7">
        <w:rPr>
          <w:rFonts w:ascii="Arial" w:hAnsi="Arial" w:cs="Arial"/>
          <w:color w:val="000000"/>
          <w:sz w:val="20"/>
          <w:szCs w:val="20"/>
          <w:lang w:val="sr-Cyrl-RS"/>
        </w:rPr>
        <w:t>, приликом дефинисања мера подршке за развој локалних</w:t>
      </w:r>
      <w:r w:rsidR="00C7150E" w:rsidRPr="00A021B7">
        <w:rPr>
          <w:rFonts w:ascii="Arial" w:hAnsi="Arial" w:cs="Arial"/>
          <w:color w:val="000000"/>
          <w:sz w:val="20"/>
          <w:szCs w:val="20"/>
          <w:lang w:val="sr-Cyrl-RS"/>
        </w:rPr>
        <w:t xml:space="preserve"> услуга и капацитета за спровођење надлежности локалне самоуправе, ове ЈЛС морају бити посебно сагледане и за њих је потребно дефинисати </w:t>
      </w:r>
      <w:r w:rsidR="001972E3" w:rsidRPr="00A021B7">
        <w:rPr>
          <w:rFonts w:ascii="Arial" w:hAnsi="Arial" w:cs="Arial"/>
          <w:color w:val="000000"/>
          <w:sz w:val="20"/>
          <w:szCs w:val="20"/>
          <w:lang w:val="sr-Cyrl-RS"/>
        </w:rPr>
        <w:t>додатне мере подршке</w:t>
      </w:r>
      <w:r w:rsidR="00A765FC" w:rsidRPr="00A021B7">
        <w:rPr>
          <w:rFonts w:ascii="Arial" w:hAnsi="Arial" w:cs="Arial"/>
          <w:color w:val="000000"/>
          <w:sz w:val="20"/>
          <w:szCs w:val="20"/>
          <w:lang w:val="sr-Cyrl-RS"/>
        </w:rPr>
        <w:t>,</w:t>
      </w:r>
      <w:r w:rsidR="001972E3" w:rsidRPr="00A021B7">
        <w:rPr>
          <w:rFonts w:ascii="Arial" w:hAnsi="Arial" w:cs="Arial"/>
          <w:color w:val="000000"/>
          <w:sz w:val="20"/>
          <w:szCs w:val="20"/>
          <w:lang w:val="sr-Cyrl-RS"/>
        </w:rPr>
        <w:t xml:space="preserve"> које уважавају с</w:t>
      </w:r>
      <w:r w:rsidR="00A765FC" w:rsidRPr="00A021B7">
        <w:rPr>
          <w:rFonts w:ascii="Arial" w:hAnsi="Arial" w:cs="Arial"/>
          <w:color w:val="000000"/>
          <w:sz w:val="20"/>
          <w:szCs w:val="20"/>
          <w:lang w:val="sr-Cyrl-RS"/>
        </w:rPr>
        <w:t>в</w:t>
      </w:r>
      <w:r w:rsidR="001972E3" w:rsidRPr="00A021B7">
        <w:rPr>
          <w:rFonts w:ascii="Arial" w:hAnsi="Arial" w:cs="Arial"/>
          <w:color w:val="000000"/>
          <w:sz w:val="20"/>
          <w:szCs w:val="20"/>
          <w:lang w:val="sr-Cyrl-RS"/>
        </w:rPr>
        <w:t>е сегменте њиховог социјално-економског амбијента.</w:t>
      </w:r>
    </w:p>
    <w:p w14:paraId="6A657050" w14:textId="77777777" w:rsidR="00271815" w:rsidRPr="00A021B7" w:rsidRDefault="00271815" w:rsidP="003E7BC9">
      <w:pPr>
        <w:jc w:val="both"/>
        <w:rPr>
          <w:rFonts w:ascii="Arial" w:hAnsi="Arial" w:cs="Arial"/>
          <w:sz w:val="20"/>
          <w:szCs w:val="20"/>
          <w:lang w:val="sr-Cyrl-RS"/>
        </w:rPr>
      </w:pPr>
    </w:p>
    <w:tbl>
      <w:tblPr>
        <w:tblStyle w:val="TableGrid"/>
        <w:tblW w:w="0" w:type="auto"/>
        <w:tblLook w:val="04A0" w:firstRow="1" w:lastRow="0" w:firstColumn="1" w:lastColumn="0" w:noHBand="0" w:noVBand="1"/>
      </w:tblPr>
      <w:tblGrid>
        <w:gridCol w:w="9010"/>
      </w:tblGrid>
      <w:tr w:rsidR="00907074" w:rsidRPr="00A021B7" w14:paraId="5A8C13CA" w14:textId="77777777" w:rsidTr="1A8E6423">
        <w:tc>
          <w:tcPr>
            <w:tcW w:w="9010" w:type="dxa"/>
          </w:tcPr>
          <w:p w14:paraId="5092A985" w14:textId="262786FF" w:rsidR="00816B96" w:rsidRPr="00A021B7" w:rsidRDefault="0A8A16E8" w:rsidP="003E7BC9">
            <w:pPr>
              <w:jc w:val="both"/>
              <w:rPr>
                <w:rFonts w:ascii="Arial" w:hAnsi="Arial" w:cs="Arial"/>
                <w:b/>
                <w:bCs/>
                <w:sz w:val="20"/>
                <w:szCs w:val="20"/>
                <w:lang w:val="sr-Cyrl-RS"/>
              </w:rPr>
            </w:pPr>
            <w:r w:rsidRPr="00A021B7">
              <w:rPr>
                <w:rFonts w:ascii="Arial" w:hAnsi="Arial" w:cs="Arial"/>
                <w:b/>
                <w:bCs/>
                <w:sz w:val="20"/>
                <w:szCs w:val="20"/>
                <w:lang w:val="sr-Cyrl-RS"/>
              </w:rPr>
              <w:t xml:space="preserve">Потенцијал управних округа за боље </w:t>
            </w:r>
            <w:r w:rsidR="7AD02A11" w:rsidRPr="00A021B7">
              <w:rPr>
                <w:rFonts w:ascii="Arial" w:hAnsi="Arial" w:cs="Arial"/>
                <w:b/>
                <w:bCs/>
                <w:sz w:val="20"/>
                <w:szCs w:val="20"/>
                <w:lang w:val="sr-Cyrl-RS"/>
              </w:rPr>
              <w:t xml:space="preserve">остваривање </w:t>
            </w:r>
            <w:r w:rsidR="2BC84608" w:rsidRPr="00A021B7">
              <w:rPr>
                <w:rFonts w:ascii="Arial" w:hAnsi="Arial" w:cs="Arial"/>
                <w:b/>
                <w:bCs/>
                <w:sz w:val="20"/>
                <w:szCs w:val="20"/>
                <w:lang w:val="sr-Cyrl-RS"/>
              </w:rPr>
              <w:t>функција јавне управе</w:t>
            </w:r>
          </w:p>
          <w:p w14:paraId="257E21D8" w14:textId="77777777" w:rsidR="0028484E" w:rsidRPr="00A021B7" w:rsidRDefault="0028484E" w:rsidP="003E7BC9">
            <w:pPr>
              <w:jc w:val="both"/>
              <w:rPr>
                <w:rFonts w:ascii="Arial" w:hAnsi="Arial" w:cs="Arial"/>
                <w:b/>
                <w:bCs/>
                <w:sz w:val="20"/>
                <w:szCs w:val="20"/>
                <w:lang w:val="sr-Cyrl-RS"/>
              </w:rPr>
            </w:pPr>
          </w:p>
          <w:p w14:paraId="72E51CBA" w14:textId="77B86390" w:rsidR="00816B96" w:rsidRPr="00A021B7" w:rsidRDefault="3600F455" w:rsidP="1A8E6423">
            <w:pPr>
              <w:ind w:firstLine="338"/>
              <w:jc w:val="both"/>
              <w:rPr>
                <w:rFonts w:ascii="Arial" w:hAnsi="Arial" w:cs="Arial"/>
                <w:b/>
                <w:bCs/>
                <w:sz w:val="20"/>
                <w:szCs w:val="20"/>
                <w:lang w:val="sr-Cyrl-RS"/>
              </w:rPr>
            </w:pPr>
            <w:r w:rsidRPr="1A8E6423">
              <w:rPr>
                <w:rFonts w:ascii="Arial" w:hAnsi="Arial" w:cs="Arial"/>
                <w:color w:val="000000" w:themeColor="text1"/>
                <w:sz w:val="20"/>
                <w:szCs w:val="20"/>
                <w:lang w:val="sr-Cyrl-RS"/>
              </w:rPr>
              <w:t xml:space="preserve">Део укупног потенцијала који управни окрузи имају, представља и </w:t>
            </w:r>
            <w:r w:rsidR="0039768C" w:rsidRPr="1A8E6423">
              <w:rPr>
                <w:rFonts w:ascii="Arial" w:hAnsi="Arial" w:cs="Arial"/>
                <w:color w:val="000000" w:themeColor="text1"/>
                <w:sz w:val="20"/>
                <w:szCs w:val="20"/>
                <w:lang w:val="sr-Cyrl-RS"/>
              </w:rPr>
              <w:t>обављањ</w:t>
            </w:r>
            <w:r w:rsidRPr="1A8E6423">
              <w:rPr>
                <w:rFonts w:ascii="Arial" w:hAnsi="Arial" w:cs="Arial"/>
                <w:color w:val="000000" w:themeColor="text1"/>
                <w:sz w:val="20"/>
                <w:szCs w:val="20"/>
                <w:lang w:val="sr-Cyrl-RS"/>
              </w:rPr>
              <w:t>е других послова министарстава који би могли да се обављају у подручним јединицама.</w:t>
            </w:r>
            <w:r w:rsidRPr="1A8E6423">
              <w:rPr>
                <w:rFonts w:ascii="Arial" w:hAnsi="Arial" w:cs="Arial"/>
                <w:sz w:val="20"/>
                <w:szCs w:val="20"/>
                <w:lang w:val="sr-Cyrl-RS"/>
              </w:rPr>
              <w:t xml:space="preserve"> </w:t>
            </w:r>
            <w:r w:rsidRPr="1A8E6423">
              <w:rPr>
                <w:rFonts w:ascii="Arial" w:hAnsi="Arial" w:cs="Arial"/>
                <w:color w:val="000000" w:themeColor="text1"/>
                <w:sz w:val="20"/>
                <w:szCs w:val="20"/>
                <w:lang w:val="sr-Cyrl-RS"/>
              </w:rPr>
              <w:t>Зависно од природе послова државне управе које обављају министарства</w:t>
            </w:r>
            <w:r w:rsidR="0039768C" w:rsidRPr="1A8E6423">
              <w:rPr>
                <w:rFonts w:ascii="Arial" w:hAnsi="Arial" w:cs="Arial"/>
                <w:color w:val="000000" w:themeColor="text1"/>
                <w:sz w:val="20"/>
                <w:szCs w:val="20"/>
                <w:lang w:val="sr-Cyrl-RS"/>
              </w:rPr>
              <w:t xml:space="preserve"> и други ОДУ</w:t>
            </w:r>
            <w:r w:rsidRPr="1A8E6423">
              <w:rPr>
                <w:rFonts w:ascii="Arial" w:hAnsi="Arial" w:cs="Arial"/>
                <w:color w:val="000000" w:themeColor="text1"/>
                <w:sz w:val="20"/>
                <w:szCs w:val="20"/>
                <w:lang w:val="sr-Cyrl-RS"/>
              </w:rPr>
              <w:t>, могуће је организовање обављања и</w:t>
            </w:r>
            <w:r w:rsidR="2BA1C205" w:rsidRPr="1A8E6423">
              <w:rPr>
                <w:rFonts w:ascii="Arial" w:hAnsi="Arial" w:cs="Arial"/>
                <w:color w:val="000000" w:themeColor="text1"/>
                <w:sz w:val="20"/>
                <w:szCs w:val="20"/>
                <w:lang w:val="sr-Cyrl-RS"/>
              </w:rPr>
              <w:t xml:space="preserve"> других</w:t>
            </w:r>
            <w:r w:rsidRPr="1A8E6423">
              <w:rPr>
                <w:rFonts w:ascii="Arial" w:hAnsi="Arial" w:cs="Arial"/>
                <w:color w:val="000000" w:themeColor="text1"/>
                <w:sz w:val="20"/>
                <w:szCs w:val="20"/>
                <w:lang w:val="sr-Cyrl-RS"/>
              </w:rPr>
              <w:t xml:space="preserve"> послова за подручје једног или више управних округа.</w:t>
            </w:r>
            <w:r w:rsidRPr="1A8E6423">
              <w:rPr>
                <w:rFonts w:ascii="Arial" w:hAnsi="Arial" w:cs="Arial"/>
                <w:sz w:val="20"/>
                <w:szCs w:val="20"/>
                <w:lang w:val="sr-Cyrl-RS"/>
              </w:rPr>
              <w:t xml:space="preserve"> </w:t>
            </w:r>
            <w:r w:rsidRPr="1A8E6423">
              <w:rPr>
                <w:rFonts w:ascii="Arial" w:hAnsi="Arial" w:cs="Arial"/>
                <w:color w:val="000000" w:themeColor="text1"/>
                <w:sz w:val="20"/>
                <w:szCs w:val="20"/>
                <w:lang w:val="sr-Cyrl-RS"/>
              </w:rPr>
              <w:t>Природа послова који би се на овај начин организовали је првенствено усмерена на (окружно-подручно) планирање, извршавање и координациј</w:t>
            </w:r>
            <w:r w:rsidR="00682825" w:rsidRPr="1A8E6423">
              <w:rPr>
                <w:rFonts w:ascii="Arial" w:hAnsi="Arial" w:cs="Arial"/>
                <w:color w:val="000000" w:themeColor="text1"/>
                <w:sz w:val="20"/>
                <w:szCs w:val="20"/>
                <w:lang w:val="sr-Cyrl-RS"/>
              </w:rPr>
              <w:t>у</w:t>
            </w:r>
            <w:r w:rsidR="5D55729D"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као и решавање у управним стварима. У</w:t>
            </w:r>
            <w:r w:rsidR="0796BEA3" w:rsidRPr="1A8E6423">
              <w:rPr>
                <w:rFonts w:ascii="Arial" w:hAnsi="Arial" w:cs="Arial"/>
                <w:color w:val="000000" w:themeColor="text1"/>
                <w:sz w:val="20"/>
                <w:szCs w:val="20"/>
                <w:lang w:val="sr-Cyrl-RS"/>
              </w:rPr>
              <w:t xml:space="preserve"> даљем</w:t>
            </w:r>
            <w:r w:rsidRPr="1A8E6423">
              <w:rPr>
                <w:rFonts w:ascii="Arial" w:hAnsi="Arial" w:cs="Arial"/>
                <w:color w:val="000000" w:themeColor="text1"/>
                <w:sz w:val="20"/>
                <w:szCs w:val="20"/>
                <w:lang w:val="sr-Cyrl-RS"/>
              </w:rPr>
              <w:t xml:space="preserve"> разматрању </w:t>
            </w:r>
            <w:r w:rsidR="0796BEA3" w:rsidRPr="1A8E6423">
              <w:rPr>
                <w:rFonts w:ascii="Arial" w:hAnsi="Arial" w:cs="Arial"/>
                <w:color w:val="000000" w:themeColor="text1"/>
                <w:sz w:val="20"/>
                <w:szCs w:val="20"/>
                <w:lang w:val="sr-Cyrl-RS"/>
              </w:rPr>
              <w:t xml:space="preserve">који </w:t>
            </w:r>
            <w:r w:rsidR="49E84584" w:rsidRPr="1A8E6423">
              <w:rPr>
                <w:rFonts w:ascii="Arial" w:hAnsi="Arial" w:cs="Arial"/>
                <w:color w:val="000000" w:themeColor="text1"/>
                <w:sz w:val="20"/>
                <w:szCs w:val="20"/>
                <w:lang w:val="sr-Cyrl-RS"/>
              </w:rPr>
              <w:t xml:space="preserve">послови </w:t>
            </w:r>
            <w:r w:rsidR="473405E9" w:rsidRPr="1A8E6423">
              <w:rPr>
                <w:rFonts w:ascii="Arial" w:hAnsi="Arial" w:cs="Arial"/>
                <w:color w:val="000000" w:themeColor="text1"/>
                <w:sz w:val="20"/>
                <w:szCs w:val="20"/>
                <w:lang w:val="sr-Cyrl-RS"/>
              </w:rPr>
              <w:t xml:space="preserve">би </w:t>
            </w:r>
            <w:r w:rsidR="49E84584" w:rsidRPr="1A8E6423">
              <w:rPr>
                <w:rFonts w:ascii="Arial" w:hAnsi="Arial" w:cs="Arial"/>
                <w:color w:val="000000" w:themeColor="text1"/>
                <w:sz w:val="20"/>
                <w:szCs w:val="20"/>
                <w:lang w:val="sr-Cyrl-RS"/>
              </w:rPr>
              <w:t xml:space="preserve">могли да </w:t>
            </w:r>
            <w:r w:rsidR="473405E9" w:rsidRPr="1A8E6423">
              <w:rPr>
                <w:rFonts w:ascii="Arial" w:hAnsi="Arial" w:cs="Arial"/>
                <w:color w:val="000000" w:themeColor="text1"/>
                <w:sz w:val="20"/>
                <w:szCs w:val="20"/>
                <w:lang w:val="sr-Cyrl-RS"/>
              </w:rPr>
              <w:t xml:space="preserve">се </w:t>
            </w:r>
            <w:r w:rsidR="49E84584" w:rsidRPr="1A8E6423">
              <w:rPr>
                <w:rFonts w:ascii="Arial" w:hAnsi="Arial" w:cs="Arial"/>
                <w:color w:val="000000" w:themeColor="text1"/>
                <w:sz w:val="20"/>
                <w:szCs w:val="20"/>
                <w:lang w:val="sr-Cyrl-RS"/>
              </w:rPr>
              <w:t xml:space="preserve">обављају </w:t>
            </w:r>
            <w:r w:rsidRPr="1A8E6423">
              <w:rPr>
                <w:rFonts w:ascii="Arial" w:hAnsi="Arial" w:cs="Arial"/>
                <w:color w:val="000000" w:themeColor="text1"/>
                <w:sz w:val="20"/>
                <w:szCs w:val="20"/>
                <w:lang w:val="sr-Cyrl-RS"/>
              </w:rPr>
              <w:t>на</w:t>
            </w:r>
            <w:r w:rsidR="5D55729D"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целисходнији начин</w:t>
            </w:r>
            <w:r w:rsidR="473405E9"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 xml:space="preserve">на нивоу управних округа (или за подручје више њих), </w:t>
            </w:r>
            <w:r w:rsidR="473405E9" w:rsidRPr="1A8E6423">
              <w:rPr>
                <w:rFonts w:ascii="Arial" w:hAnsi="Arial" w:cs="Arial"/>
                <w:color w:val="000000" w:themeColor="text1"/>
                <w:sz w:val="20"/>
                <w:szCs w:val="20"/>
                <w:lang w:val="sr-Cyrl-RS"/>
              </w:rPr>
              <w:t xml:space="preserve">треба првенствено имати у виду области као што </w:t>
            </w:r>
            <w:r w:rsidR="473405E9" w:rsidRPr="1A8E6423">
              <w:rPr>
                <w:rFonts w:ascii="Arial" w:hAnsi="Arial" w:cs="Arial"/>
                <w:sz w:val="20"/>
                <w:szCs w:val="20"/>
                <w:lang w:val="sr-Cyrl-RS"/>
              </w:rPr>
              <w:t>су</w:t>
            </w:r>
            <w:r w:rsidRPr="1A8E6423">
              <w:rPr>
                <w:rFonts w:ascii="Arial" w:hAnsi="Arial" w:cs="Arial"/>
                <w:sz w:val="20"/>
                <w:szCs w:val="20"/>
                <w:lang w:val="sr-Cyrl-RS"/>
              </w:rPr>
              <w:t>: саобраћајн</w:t>
            </w:r>
            <w:r w:rsidR="473405E9" w:rsidRPr="1A8E6423">
              <w:rPr>
                <w:rFonts w:ascii="Arial" w:hAnsi="Arial" w:cs="Arial"/>
                <w:sz w:val="20"/>
                <w:szCs w:val="20"/>
                <w:lang w:val="sr-Cyrl-RS"/>
              </w:rPr>
              <w:t>а</w:t>
            </w:r>
            <w:r w:rsidRPr="1A8E6423">
              <w:rPr>
                <w:rFonts w:ascii="Arial" w:hAnsi="Arial" w:cs="Arial"/>
                <w:sz w:val="20"/>
                <w:szCs w:val="20"/>
                <w:lang w:val="sr-Cyrl-RS"/>
              </w:rPr>
              <w:t xml:space="preserve"> </w:t>
            </w:r>
            <w:r w:rsidRPr="1A8E6423">
              <w:rPr>
                <w:rFonts w:ascii="Arial" w:hAnsi="Arial" w:cs="Arial"/>
                <w:color w:val="000000" w:themeColor="text1"/>
                <w:sz w:val="20"/>
                <w:szCs w:val="20"/>
                <w:lang w:val="sr-Cyrl-RS"/>
              </w:rPr>
              <w:t>инфраструктур</w:t>
            </w:r>
            <w:r w:rsidR="473405E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управљање отпадом, образовање (средње школе, факултети), здравствен</w:t>
            </w:r>
            <w:r w:rsidR="473405E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заштит</w:t>
            </w:r>
            <w:r w:rsidR="473405E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социјалн</w:t>
            </w:r>
            <w:r w:rsidR="473405E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w:t>
            </w:r>
            <w:r w:rsidR="1EC40D74" w:rsidRPr="1A8E6423">
              <w:rPr>
                <w:rFonts w:ascii="Arial" w:hAnsi="Arial" w:cs="Arial"/>
                <w:color w:val="000000" w:themeColor="text1"/>
                <w:sz w:val="20"/>
                <w:szCs w:val="20"/>
                <w:lang w:val="sr-Cyrl-RS"/>
              </w:rPr>
              <w:t>заштита</w:t>
            </w:r>
            <w:r w:rsidRPr="1A8E6423">
              <w:rPr>
                <w:rFonts w:ascii="Arial" w:hAnsi="Arial" w:cs="Arial"/>
                <w:color w:val="000000" w:themeColor="text1"/>
                <w:sz w:val="20"/>
                <w:szCs w:val="20"/>
                <w:lang w:val="sr-Cyrl-RS"/>
              </w:rPr>
              <w:t>, заштит</w:t>
            </w:r>
            <w:r w:rsidR="473405E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животне средине, </w:t>
            </w:r>
            <w:r w:rsidR="49E84584" w:rsidRPr="1A8E6423">
              <w:rPr>
                <w:rFonts w:ascii="Arial" w:hAnsi="Arial" w:cs="Arial"/>
                <w:color w:val="000000" w:themeColor="text1"/>
                <w:sz w:val="20"/>
                <w:szCs w:val="20"/>
                <w:lang w:val="sr-Cyrl-RS"/>
              </w:rPr>
              <w:t xml:space="preserve">установе културе, </w:t>
            </w:r>
            <w:r w:rsidRPr="1A8E6423">
              <w:rPr>
                <w:rFonts w:ascii="Arial" w:hAnsi="Arial" w:cs="Arial"/>
                <w:color w:val="000000" w:themeColor="text1"/>
                <w:sz w:val="20"/>
                <w:szCs w:val="20"/>
                <w:lang w:val="sr-Cyrl-RS"/>
              </w:rPr>
              <w:t>цивилн</w:t>
            </w:r>
            <w:r w:rsidR="473405E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заштит</w:t>
            </w:r>
            <w:r w:rsidR="473405E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и</w:t>
            </w:r>
            <w:r w:rsidR="1EC40D74" w:rsidRPr="1A8E6423">
              <w:rPr>
                <w:rFonts w:ascii="Arial" w:hAnsi="Arial" w:cs="Arial"/>
                <w:color w:val="000000" w:themeColor="text1"/>
                <w:sz w:val="20"/>
                <w:szCs w:val="20"/>
                <w:lang w:val="sr-Cyrl-RS"/>
              </w:rPr>
              <w:t>ли</w:t>
            </w:r>
            <w:r w:rsidRPr="1A8E6423">
              <w:rPr>
                <w:rFonts w:ascii="Arial" w:hAnsi="Arial" w:cs="Arial"/>
                <w:color w:val="000000" w:themeColor="text1"/>
                <w:sz w:val="20"/>
                <w:szCs w:val="20"/>
                <w:lang w:val="sr-Cyrl-RS"/>
              </w:rPr>
              <w:t xml:space="preserve"> ванредне ситуације. За овакво организовање обављања послова </w:t>
            </w:r>
            <w:r w:rsidR="0039768C" w:rsidRPr="1A8E6423">
              <w:rPr>
                <w:rFonts w:ascii="Arial" w:hAnsi="Arial" w:cs="Arial"/>
                <w:color w:val="000000" w:themeColor="text1"/>
                <w:sz w:val="20"/>
                <w:szCs w:val="20"/>
                <w:lang w:val="sr-Cyrl-RS"/>
              </w:rPr>
              <w:t>органа државне уп</w:t>
            </w:r>
            <w:r w:rsidR="0A14B6D3" w:rsidRPr="1A8E6423">
              <w:rPr>
                <w:rFonts w:ascii="Arial" w:hAnsi="Arial" w:cs="Arial"/>
                <w:color w:val="000000" w:themeColor="text1"/>
                <w:sz w:val="20"/>
                <w:szCs w:val="20"/>
                <w:lang w:val="sr-Cyrl-RS"/>
              </w:rPr>
              <w:t>р</w:t>
            </w:r>
            <w:r w:rsidR="0039768C" w:rsidRPr="1A8E6423">
              <w:rPr>
                <w:rFonts w:ascii="Arial" w:hAnsi="Arial" w:cs="Arial"/>
                <w:color w:val="000000" w:themeColor="text1"/>
                <w:sz w:val="20"/>
                <w:szCs w:val="20"/>
                <w:lang w:val="sr-Cyrl-RS"/>
              </w:rPr>
              <w:t>аве</w:t>
            </w:r>
            <w:r w:rsidRPr="1A8E6423">
              <w:rPr>
                <w:rFonts w:ascii="Arial" w:hAnsi="Arial" w:cs="Arial"/>
                <w:color w:val="000000" w:themeColor="text1"/>
                <w:sz w:val="20"/>
                <w:szCs w:val="20"/>
                <w:lang w:val="sr-Cyrl-RS"/>
              </w:rPr>
              <w:t>, по правилу је неопходна измена постојећег или успостављање новог правног оквира</w:t>
            </w:r>
            <w:r w:rsidR="473405E9" w:rsidRPr="1A8E6423">
              <w:rPr>
                <w:rFonts w:ascii="Arial" w:hAnsi="Arial" w:cs="Arial"/>
                <w:color w:val="000000" w:themeColor="text1"/>
                <w:sz w:val="20"/>
                <w:szCs w:val="20"/>
                <w:lang w:val="sr-Cyrl-RS"/>
              </w:rPr>
              <w:t xml:space="preserve"> и</w:t>
            </w:r>
            <w:r w:rsidR="0058523F" w:rsidRPr="1A8E6423">
              <w:rPr>
                <w:rFonts w:ascii="Arial" w:hAnsi="Arial" w:cs="Arial"/>
                <w:color w:val="000000" w:themeColor="text1"/>
                <w:sz w:val="20"/>
                <w:szCs w:val="20"/>
                <w:lang w:val="sr-Cyrl-RS"/>
              </w:rPr>
              <w:t>,</w:t>
            </w:r>
            <w:r w:rsidR="473405E9" w:rsidRPr="1A8E6423">
              <w:rPr>
                <w:rFonts w:ascii="Arial" w:hAnsi="Arial" w:cs="Arial"/>
                <w:color w:val="000000" w:themeColor="text1"/>
                <w:sz w:val="20"/>
                <w:szCs w:val="20"/>
                <w:lang w:val="sr-Cyrl-RS"/>
              </w:rPr>
              <w:t xml:space="preserve"> посебно</w:t>
            </w:r>
            <w:r w:rsidR="0058523F" w:rsidRPr="1A8E6423">
              <w:rPr>
                <w:rFonts w:ascii="Arial" w:hAnsi="Arial" w:cs="Arial"/>
                <w:color w:val="000000" w:themeColor="text1"/>
                <w:sz w:val="20"/>
                <w:szCs w:val="20"/>
                <w:lang w:val="sr-Cyrl-RS"/>
              </w:rPr>
              <w:t>,</w:t>
            </w:r>
            <w:r w:rsidR="473405E9" w:rsidRPr="1A8E6423">
              <w:rPr>
                <w:rFonts w:ascii="Arial" w:hAnsi="Arial" w:cs="Arial"/>
                <w:color w:val="000000" w:themeColor="text1"/>
                <w:sz w:val="20"/>
                <w:szCs w:val="20"/>
                <w:lang w:val="sr-Cyrl-RS"/>
              </w:rPr>
              <w:t xml:space="preserve"> обезбеђивање </w:t>
            </w:r>
            <w:r w:rsidRPr="1A8E6423">
              <w:rPr>
                <w:rFonts w:ascii="Arial" w:hAnsi="Arial" w:cs="Arial"/>
                <w:color w:val="000000" w:themeColor="text1"/>
                <w:sz w:val="20"/>
                <w:szCs w:val="20"/>
                <w:lang w:val="sr-Cyrl-RS"/>
              </w:rPr>
              <w:t>одговарајућих кадровских капацитета.</w:t>
            </w:r>
            <w:r w:rsidR="6514DA08" w:rsidRPr="1A8E6423">
              <w:rPr>
                <w:rFonts w:ascii="Arial" w:hAnsi="Arial" w:cs="Arial"/>
                <w:color w:val="000000" w:themeColor="text1"/>
                <w:sz w:val="20"/>
                <w:szCs w:val="20"/>
                <w:lang w:val="sr-Cyrl-RS"/>
              </w:rPr>
              <w:t xml:space="preserve"> Више о улози и потенцијалу управних округа у одељку </w:t>
            </w:r>
            <w:r w:rsidR="6514DA08" w:rsidRPr="1A8E6423">
              <w:rPr>
                <w:rFonts w:ascii="Arial" w:hAnsi="Arial" w:cs="Arial"/>
                <w:sz w:val="20"/>
                <w:szCs w:val="20"/>
                <w:lang w:val="sr-Cyrl-RS"/>
              </w:rPr>
              <w:t>IV.8. Однос републичких и покрајинских органа и органа локалне самоуправе</w:t>
            </w:r>
            <w:r w:rsidR="5C288C98" w:rsidRPr="1A8E6423">
              <w:rPr>
                <w:rFonts w:ascii="Arial" w:hAnsi="Arial" w:cs="Arial"/>
                <w:sz w:val="20"/>
                <w:szCs w:val="20"/>
                <w:lang w:val="sr-Cyrl-RS"/>
              </w:rPr>
              <w:t xml:space="preserve"> и </w:t>
            </w:r>
            <w:r w:rsidR="0058523F" w:rsidRPr="1A8E6423">
              <w:rPr>
                <w:rFonts w:ascii="Arial" w:hAnsi="Arial" w:cs="Arial"/>
                <w:sz w:val="20"/>
                <w:szCs w:val="20"/>
                <w:lang w:val="sr-Cyrl-RS"/>
              </w:rPr>
              <w:t xml:space="preserve">IV.10. </w:t>
            </w:r>
            <w:r w:rsidR="5C288C98" w:rsidRPr="1A8E6423">
              <w:rPr>
                <w:rFonts w:ascii="Arial" w:hAnsi="Arial" w:cs="Arial"/>
                <w:sz w:val="20"/>
                <w:szCs w:val="20"/>
                <w:lang w:val="sr-Cyrl-RS"/>
              </w:rPr>
              <w:t>Међуопштинска сарадња на нивоу управних округа.</w:t>
            </w:r>
          </w:p>
        </w:tc>
      </w:tr>
    </w:tbl>
    <w:p w14:paraId="4AE00EEA" w14:textId="77777777" w:rsidR="0043404A" w:rsidRPr="00A021B7" w:rsidRDefault="0043404A" w:rsidP="003E7BC9">
      <w:pPr>
        <w:jc w:val="both"/>
        <w:rPr>
          <w:rFonts w:ascii="Arial" w:hAnsi="Arial" w:cs="Arial"/>
          <w:b/>
          <w:bCs/>
          <w:sz w:val="22"/>
          <w:szCs w:val="22"/>
          <w:highlight w:val="yellow"/>
          <w:lang w:val="sr-Cyrl-RS"/>
        </w:rPr>
      </w:pPr>
    </w:p>
    <w:p w14:paraId="10A8FB61" w14:textId="77777777" w:rsidR="00CE205B" w:rsidRPr="00A021B7" w:rsidRDefault="00A119D0" w:rsidP="004935B9">
      <w:pPr>
        <w:pStyle w:val="Heading2"/>
        <w:rPr>
          <w:highlight w:val="yellow"/>
          <w:lang w:val="sr-Cyrl-RS"/>
        </w:rPr>
      </w:pPr>
      <w:bookmarkStart w:id="55" w:name="_Toc52865777"/>
      <w:bookmarkStart w:id="56" w:name="_Toc52866188"/>
      <w:bookmarkStart w:id="57" w:name="_Toc56508437"/>
      <w:bookmarkStart w:id="58" w:name="_Toc60136073"/>
      <w:r w:rsidRPr="00A021B7">
        <w:rPr>
          <w:lang w:val="sr-Cyrl-RS"/>
        </w:rPr>
        <w:t xml:space="preserve">IV.5. </w:t>
      </w:r>
      <w:r w:rsidR="003E03ED" w:rsidRPr="00A021B7">
        <w:rPr>
          <w:lang w:val="sr-Cyrl-RS"/>
        </w:rPr>
        <w:t>Систем финансирања локалне самоуправе</w:t>
      </w:r>
      <w:bookmarkEnd w:id="55"/>
      <w:bookmarkEnd w:id="56"/>
      <w:bookmarkEnd w:id="57"/>
      <w:bookmarkEnd w:id="58"/>
    </w:p>
    <w:p w14:paraId="3DC07FF2" w14:textId="77777777" w:rsidR="003E03ED" w:rsidRPr="00A021B7" w:rsidRDefault="003E03ED" w:rsidP="003E7BC9">
      <w:pPr>
        <w:jc w:val="both"/>
        <w:rPr>
          <w:rFonts w:ascii="Arial" w:hAnsi="Arial" w:cs="Arial"/>
          <w:sz w:val="20"/>
          <w:szCs w:val="20"/>
          <w:lang w:val="sr-Cyrl-RS"/>
        </w:rPr>
      </w:pPr>
    </w:p>
    <w:p w14:paraId="1CF93A3D" w14:textId="4A148848" w:rsidR="003E03ED" w:rsidRPr="00A021B7" w:rsidRDefault="0058523F" w:rsidP="1A8E6423">
      <w:pPr>
        <w:pStyle w:val="FootnoteText"/>
        <w:ind w:firstLine="720"/>
        <w:jc w:val="both"/>
        <w:rPr>
          <w:rFonts w:ascii="Arial" w:hAnsi="Arial" w:cs="Arial"/>
          <w:lang w:val="sr-Cyrl-RS"/>
        </w:rPr>
      </w:pPr>
      <w:r w:rsidRPr="00A021B7">
        <w:rPr>
          <w:rFonts w:ascii="Arial" w:hAnsi="Arial" w:cs="Arial"/>
          <w:lang w:val="sr-Cyrl-RS"/>
        </w:rPr>
        <w:t>Финансирање</w:t>
      </w:r>
      <w:r w:rsidR="35687A16" w:rsidRPr="00A021B7">
        <w:rPr>
          <w:rFonts w:ascii="Arial" w:hAnsi="Arial" w:cs="Arial"/>
          <w:lang w:val="sr-Cyrl-RS"/>
        </w:rPr>
        <w:t xml:space="preserve"> локалне самоуправе у нашем правном систему уређено је првенствено највишим правним актом – Уставом Републике Србије</w:t>
      </w:r>
      <w:r w:rsidR="003E03ED" w:rsidRPr="00A021B7">
        <w:rPr>
          <w:rFonts w:ascii="Arial" w:hAnsi="Arial" w:cs="Arial"/>
          <w:vertAlign w:val="superscript"/>
          <w:lang w:val="sr-Cyrl-RS"/>
        </w:rPr>
        <w:footnoteReference w:id="40"/>
      </w:r>
      <w:r>
        <w:rPr>
          <w:rFonts w:ascii="Arial" w:hAnsi="Arial" w:cs="Arial"/>
          <w:lang w:val="sr-Cyrl-RS"/>
        </w:rPr>
        <w:t>,</w:t>
      </w:r>
      <w:r w:rsidR="35687A16" w:rsidRPr="00A021B7">
        <w:rPr>
          <w:rFonts w:ascii="Arial" w:hAnsi="Arial" w:cs="Arial"/>
          <w:lang w:val="sr-Cyrl-RS"/>
        </w:rPr>
        <w:t xml:space="preserve"> али и низом закона</w:t>
      </w:r>
      <w:r>
        <w:rPr>
          <w:rFonts w:ascii="Arial" w:hAnsi="Arial" w:cs="Arial"/>
          <w:lang w:val="sr-Cyrl-RS"/>
        </w:rPr>
        <w:t>,</w:t>
      </w:r>
      <w:r w:rsidR="35687A16" w:rsidRPr="00A021B7">
        <w:rPr>
          <w:rFonts w:ascii="Arial" w:hAnsi="Arial" w:cs="Arial"/>
          <w:lang w:val="sr-Cyrl-RS"/>
        </w:rPr>
        <w:t xml:space="preserve"> међу којима су </w:t>
      </w:r>
      <w:r w:rsidR="35687A16" w:rsidRPr="00A021B7">
        <w:rPr>
          <w:rFonts w:ascii="Arial" w:hAnsi="Arial" w:cs="Arial"/>
          <w:lang w:val="sr-Cyrl-RS"/>
        </w:rPr>
        <w:lastRenderedPageBreak/>
        <w:t xml:space="preserve">најзначајнији Закон о локалној самоуправи </w:t>
      </w:r>
      <w:r>
        <w:rPr>
          <w:rFonts w:ascii="Arial" w:hAnsi="Arial" w:cs="Arial"/>
          <w:lang w:val="sr-Cyrl-RS"/>
        </w:rPr>
        <w:t xml:space="preserve">– </w:t>
      </w:r>
      <w:r w:rsidR="35687A16" w:rsidRPr="00A021B7">
        <w:rPr>
          <w:rFonts w:ascii="Arial" w:hAnsi="Arial" w:cs="Arial"/>
          <w:lang w:val="sr-Cyrl-RS"/>
        </w:rPr>
        <w:t>ЗЛС, Закон о финансирању локалне самоуправе</w:t>
      </w:r>
      <w:r>
        <w:rPr>
          <w:rFonts w:ascii="Arial" w:hAnsi="Arial" w:cs="Arial"/>
          <w:lang w:val="sr-Cyrl-RS"/>
        </w:rPr>
        <w:t xml:space="preserve"> –</w:t>
      </w:r>
      <w:r w:rsidR="35687A16" w:rsidRPr="00A021B7">
        <w:rPr>
          <w:rFonts w:ascii="Arial" w:hAnsi="Arial" w:cs="Arial"/>
          <w:lang w:val="sr-Cyrl-RS"/>
        </w:rPr>
        <w:t xml:space="preserve"> ЗОФЛС</w:t>
      </w:r>
      <w:r>
        <w:rPr>
          <w:rFonts w:ascii="Arial" w:hAnsi="Arial" w:cs="Arial"/>
          <w:lang w:val="sr-Cyrl-RS"/>
        </w:rPr>
        <w:t>,</w:t>
      </w:r>
      <w:r w:rsidR="35687A16" w:rsidRPr="00A021B7">
        <w:rPr>
          <w:rFonts w:ascii="Arial" w:hAnsi="Arial" w:cs="Arial"/>
          <w:lang w:val="sr-Cyrl-RS"/>
        </w:rPr>
        <w:t xml:space="preserve"> Закон о буџетском систему</w:t>
      </w:r>
      <w:r>
        <w:rPr>
          <w:rFonts w:ascii="Arial" w:hAnsi="Arial" w:cs="Arial"/>
          <w:lang w:val="sr-Cyrl-RS"/>
        </w:rPr>
        <w:t xml:space="preserve"> – </w:t>
      </w:r>
      <w:r w:rsidR="35687A16" w:rsidRPr="00A021B7">
        <w:rPr>
          <w:rFonts w:ascii="Arial" w:hAnsi="Arial" w:cs="Arial"/>
          <w:lang w:val="sr-Cyrl-RS"/>
        </w:rPr>
        <w:t xml:space="preserve">ЗОБС, Закон о јавном дугу </w:t>
      </w:r>
      <w:r>
        <w:rPr>
          <w:rFonts w:ascii="Arial" w:hAnsi="Arial" w:cs="Arial"/>
          <w:lang w:val="sr-Cyrl-RS"/>
        </w:rPr>
        <w:t>–</w:t>
      </w:r>
      <w:r w:rsidRPr="00A021B7">
        <w:rPr>
          <w:rFonts w:ascii="Arial" w:hAnsi="Arial" w:cs="Arial"/>
          <w:lang w:val="sr-Cyrl-RS"/>
        </w:rPr>
        <w:t xml:space="preserve"> </w:t>
      </w:r>
      <w:r w:rsidR="35687A16" w:rsidRPr="00A021B7">
        <w:rPr>
          <w:rFonts w:ascii="Arial" w:hAnsi="Arial" w:cs="Arial"/>
          <w:lang w:val="sr-Cyrl-RS"/>
        </w:rPr>
        <w:t>ЗЈД, Закон о порезима на имовину</w:t>
      </w:r>
      <w:r>
        <w:rPr>
          <w:rFonts w:ascii="Arial" w:hAnsi="Arial" w:cs="Arial"/>
          <w:lang w:val="sr-Cyrl-RS"/>
        </w:rPr>
        <w:t xml:space="preserve"> – ЗПНИ</w:t>
      </w:r>
      <w:r w:rsidR="009704DA" w:rsidRPr="00A021B7">
        <w:rPr>
          <w:rFonts w:ascii="Arial" w:hAnsi="Arial" w:cs="Arial"/>
          <w:lang w:val="sr-Cyrl-RS"/>
        </w:rPr>
        <w:t xml:space="preserve"> („</w:t>
      </w:r>
      <w:r w:rsidR="009704DA" w:rsidRPr="1A8E6423">
        <w:rPr>
          <w:rFonts w:ascii="Arial" w:hAnsi="Arial" w:cs="Arial"/>
          <w:lang w:val="sr-Cyrl-RS"/>
        </w:rPr>
        <w:t>Службени гласник РС”, бр. 26/2001,</w:t>
      </w:r>
      <w:r w:rsidRPr="1A8E6423">
        <w:rPr>
          <w:rFonts w:ascii="Arial" w:hAnsi="Arial" w:cs="Arial"/>
          <w:lang w:val="sr-Cyrl-RS"/>
        </w:rPr>
        <w:t xml:space="preserve"> </w:t>
      </w:r>
      <w:r w:rsidR="009704DA" w:rsidRPr="1A8E6423">
        <w:rPr>
          <w:rFonts w:ascii="Arial" w:hAnsi="Arial" w:cs="Arial"/>
          <w:lang w:val="sr-Cyrl-RS"/>
        </w:rPr>
        <w:t xml:space="preserve">45/2002 </w:t>
      </w:r>
      <w:r w:rsidRPr="1A8E6423">
        <w:rPr>
          <w:rFonts w:ascii="Arial" w:hAnsi="Arial" w:cs="Arial"/>
          <w:lang w:val="sr-Cyrl-RS"/>
        </w:rPr>
        <w:t>–</w:t>
      </w:r>
      <w:r w:rsidR="009704DA" w:rsidRPr="1A8E6423">
        <w:rPr>
          <w:rFonts w:ascii="Arial" w:hAnsi="Arial" w:cs="Arial"/>
          <w:lang w:val="sr-Cyrl-RS"/>
        </w:rPr>
        <w:t xml:space="preserve"> СУС, 80/2002,</w:t>
      </w:r>
      <w:r w:rsidRPr="1A8E6423">
        <w:rPr>
          <w:rFonts w:ascii="Arial" w:hAnsi="Arial" w:cs="Arial"/>
          <w:lang w:val="sr-Cyrl-RS"/>
        </w:rPr>
        <w:t xml:space="preserve"> </w:t>
      </w:r>
      <w:r w:rsidR="009704DA" w:rsidRPr="1A8E6423">
        <w:rPr>
          <w:rFonts w:ascii="Arial" w:hAnsi="Arial" w:cs="Arial"/>
          <w:lang w:val="sr-Cyrl-RS"/>
        </w:rPr>
        <w:t>80/2002</w:t>
      </w:r>
      <w:r w:rsidRPr="1A8E6423">
        <w:rPr>
          <w:rFonts w:ascii="Arial" w:hAnsi="Arial" w:cs="Arial"/>
          <w:lang w:val="sr-Cyrl-RS"/>
        </w:rPr>
        <w:t xml:space="preserve"> –</w:t>
      </w:r>
      <w:r w:rsidR="009704DA" w:rsidRPr="1A8E6423">
        <w:rPr>
          <w:rFonts w:ascii="Arial" w:hAnsi="Arial" w:cs="Arial"/>
          <w:lang w:val="sr-Cyrl-RS"/>
        </w:rPr>
        <w:t xml:space="preserve"> др. закон,</w:t>
      </w:r>
      <w:r w:rsidRPr="1A8E6423">
        <w:rPr>
          <w:rFonts w:ascii="Arial" w:hAnsi="Arial" w:cs="Arial"/>
          <w:lang w:val="sr-Cyrl-RS"/>
        </w:rPr>
        <w:t xml:space="preserve"> </w:t>
      </w:r>
      <w:r w:rsidR="009704DA" w:rsidRPr="1A8E6423">
        <w:rPr>
          <w:rFonts w:ascii="Arial" w:hAnsi="Arial" w:cs="Arial"/>
          <w:lang w:val="sr-Cyrl-RS"/>
        </w:rPr>
        <w:t xml:space="preserve">135/2004, 61/2007, 5/2009, 101/2010, 24/2011, 78/2011, 57/2012 </w:t>
      </w:r>
      <w:r w:rsidRPr="1A8E6423">
        <w:rPr>
          <w:rFonts w:ascii="Arial" w:hAnsi="Arial" w:cs="Arial"/>
          <w:lang w:val="sr-Cyrl-RS"/>
        </w:rPr>
        <w:t>–</w:t>
      </w:r>
      <w:r w:rsidR="009704DA" w:rsidRPr="1A8E6423">
        <w:rPr>
          <w:rFonts w:ascii="Arial" w:hAnsi="Arial" w:cs="Arial"/>
          <w:lang w:val="sr-Cyrl-RS"/>
        </w:rPr>
        <w:t xml:space="preserve"> УС, 47/2013,</w:t>
      </w:r>
      <w:r w:rsidRPr="1A8E6423">
        <w:rPr>
          <w:rFonts w:ascii="Arial" w:hAnsi="Arial" w:cs="Arial"/>
          <w:lang w:val="sr-Cyrl-RS"/>
        </w:rPr>
        <w:t xml:space="preserve"> </w:t>
      </w:r>
      <w:r w:rsidR="009704DA" w:rsidRPr="1A8E6423">
        <w:rPr>
          <w:rFonts w:ascii="Arial" w:hAnsi="Arial" w:cs="Arial"/>
          <w:lang w:val="sr-Cyrl-RS"/>
        </w:rPr>
        <w:t>68/2014</w:t>
      </w:r>
      <w:r w:rsidR="009704DA" w:rsidRPr="00A021B7">
        <w:rPr>
          <w:rFonts w:ascii="Arial" w:hAnsi="Arial" w:cs="Arial"/>
          <w:sz w:val="16"/>
          <w:szCs w:val="16"/>
          <w:lang w:val="sr-Cyrl-RS"/>
        </w:rPr>
        <w:t xml:space="preserve"> </w:t>
      </w:r>
      <w:r w:rsidRPr="1A8E6423">
        <w:rPr>
          <w:rFonts w:ascii="Arial" w:hAnsi="Arial" w:cs="Arial"/>
          <w:lang w:val="sr-Cyrl-RS"/>
        </w:rPr>
        <w:t xml:space="preserve">– </w:t>
      </w:r>
      <w:r w:rsidR="009704DA" w:rsidRPr="1A8E6423">
        <w:rPr>
          <w:rFonts w:ascii="Arial" w:hAnsi="Arial" w:cs="Arial"/>
          <w:lang w:val="sr-Cyrl-RS"/>
        </w:rPr>
        <w:t>др. закон, 95/2018, 99/2018 – УС и 86/2019)</w:t>
      </w:r>
      <w:r w:rsidR="35687A16" w:rsidRPr="00A021B7">
        <w:rPr>
          <w:rFonts w:ascii="Arial" w:hAnsi="Arial" w:cs="Arial"/>
          <w:lang w:val="sr-Cyrl-RS"/>
        </w:rPr>
        <w:t>, Закон о накнадама за коришћење јавних добара</w:t>
      </w:r>
      <w:r w:rsidR="009704DA" w:rsidRPr="00A021B7">
        <w:rPr>
          <w:rFonts w:ascii="Arial" w:hAnsi="Arial" w:cs="Arial"/>
          <w:lang w:val="sr-Cyrl-RS"/>
        </w:rPr>
        <w:t xml:space="preserve"> („Службени гласник РС”, бр. 95/2018 и 49/2019)</w:t>
      </w:r>
      <w:r w:rsidR="35687A16" w:rsidRPr="00A021B7">
        <w:rPr>
          <w:rFonts w:ascii="Arial" w:hAnsi="Arial" w:cs="Arial"/>
          <w:lang w:val="sr-Cyrl-RS"/>
        </w:rPr>
        <w:t xml:space="preserve"> и други секторски закони који прописују приходе. Што се тиче међународних докумената, са аспекта локалне самоуправе најважније усаглашавање нашег правног система је делимична ратификација Европске повеље о локалној самоуправи </w:t>
      </w:r>
      <w:r>
        <w:rPr>
          <w:rFonts w:ascii="Arial" w:hAnsi="Arial" w:cs="Arial"/>
          <w:lang w:val="sr-Cyrl-RS"/>
        </w:rPr>
        <w:t>–</w:t>
      </w:r>
      <w:r w:rsidRPr="00A021B7">
        <w:rPr>
          <w:rFonts w:ascii="Arial" w:hAnsi="Arial" w:cs="Arial"/>
          <w:lang w:val="sr-Cyrl-RS"/>
        </w:rPr>
        <w:t xml:space="preserve"> </w:t>
      </w:r>
      <w:r w:rsidR="35687A16" w:rsidRPr="00A021B7">
        <w:rPr>
          <w:rFonts w:ascii="Arial" w:hAnsi="Arial" w:cs="Arial"/>
          <w:lang w:val="sr-Cyrl-RS"/>
        </w:rPr>
        <w:t>ЕПЛС</w:t>
      </w:r>
      <w:r>
        <w:rPr>
          <w:rFonts w:ascii="Arial" w:hAnsi="Arial" w:cs="Arial"/>
          <w:lang w:val="sr-Cyrl-RS"/>
        </w:rPr>
        <w:t>,</w:t>
      </w:r>
      <w:r w:rsidR="35687A16" w:rsidRPr="00A021B7">
        <w:rPr>
          <w:rFonts w:ascii="Arial" w:hAnsi="Arial" w:cs="Arial"/>
          <w:lang w:val="sr-Cyrl-RS"/>
        </w:rPr>
        <w:t xml:space="preserve"> </w:t>
      </w:r>
      <w:r>
        <w:rPr>
          <w:rFonts w:ascii="Arial" w:hAnsi="Arial" w:cs="Arial"/>
          <w:lang w:val="sr-Cyrl-RS"/>
        </w:rPr>
        <w:t>а посебно</w:t>
      </w:r>
      <w:r w:rsidR="35687A16" w:rsidRPr="00A021B7">
        <w:rPr>
          <w:rFonts w:ascii="Arial" w:hAnsi="Arial" w:cs="Arial"/>
          <w:lang w:val="sr-Cyrl-RS"/>
        </w:rPr>
        <w:t xml:space="preserve"> ратификоване одредбе о изворима финансирања локалних власти (члан 9. Европске повеље о локалној самоуправи).</w:t>
      </w:r>
    </w:p>
    <w:p w14:paraId="203BE90A" w14:textId="77777777" w:rsidR="003E03ED" w:rsidRPr="00A021B7" w:rsidRDefault="003E03ED" w:rsidP="1A8E6423">
      <w:pPr>
        <w:ind w:firstLine="720"/>
        <w:jc w:val="both"/>
        <w:rPr>
          <w:rFonts w:ascii="Arial" w:hAnsi="Arial" w:cs="Arial"/>
          <w:sz w:val="20"/>
          <w:szCs w:val="20"/>
          <w:lang w:val="sr-Cyrl-RS"/>
        </w:rPr>
      </w:pPr>
    </w:p>
    <w:p w14:paraId="3567E4EC" w14:textId="145F3A15" w:rsidR="003E03ED" w:rsidRPr="00A021B7" w:rsidRDefault="003E03ED" w:rsidP="1A8E6423">
      <w:pPr>
        <w:ind w:firstLine="720"/>
        <w:jc w:val="both"/>
        <w:rPr>
          <w:rFonts w:ascii="Arial" w:hAnsi="Arial" w:cs="Arial"/>
          <w:sz w:val="20"/>
          <w:szCs w:val="20"/>
          <w:lang w:val="sr-Cyrl-RS"/>
        </w:rPr>
      </w:pPr>
      <w:bookmarkStart w:id="59" w:name="_Hlk41568989"/>
      <w:r w:rsidRPr="1A8E6423">
        <w:rPr>
          <w:rFonts w:ascii="Arial" w:hAnsi="Arial" w:cs="Arial"/>
          <w:sz w:val="20"/>
          <w:szCs w:val="20"/>
          <w:lang w:val="sr-Cyrl-RS"/>
        </w:rPr>
        <w:t xml:space="preserve">Када је </w:t>
      </w:r>
      <w:r w:rsidR="0058523F" w:rsidRPr="1A8E6423">
        <w:rPr>
          <w:rFonts w:ascii="Arial" w:hAnsi="Arial" w:cs="Arial"/>
          <w:sz w:val="20"/>
          <w:szCs w:val="20"/>
          <w:lang w:val="sr-Cyrl-RS"/>
        </w:rPr>
        <w:t>реч о</w:t>
      </w:r>
      <w:r w:rsidRPr="1A8E6423">
        <w:rPr>
          <w:rFonts w:ascii="Arial" w:hAnsi="Arial" w:cs="Arial"/>
          <w:sz w:val="20"/>
          <w:szCs w:val="20"/>
          <w:lang w:val="sr-Cyrl-RS"/>
        </w:rPr>
        <w:t xml:space="preserve"> систем</w:t>
      </w:r>
      <w:r w:rsidR="0058523F" w:rsidRPr="1A8E6423">
        <w:rPr>
          <w:rFonts w:ascii="Arial" w:hAnsi="Arial" w:cs="Arial"/>
          <w:sz w:val="20"/>
          <w:szCs w:val="20"/>
          <w:lang w:val="sr-Cyrl-RS"/>
        </w:rPr>
        <w:t>у</w:t>
      </w:r>
      <w:r w:rsidRPr="1A8E6423">
        <w:rPr>
          <w:rFonts w:ascii="Arial" w:hAnsi="Arial" w:cs="Arial"/>
          <w:sz w:val="20"/>
          <w:szCs w:val="20"/>
          <w:lang w:val="sr-Cyrl-RS"/>
        </w:rPr>
        <w:t xml:space="preserve"> финансирања локалне самоуправе</w:t>
      </w:r>
      <w:r w:rsidR="0058523F" w:rsidRPr="1A8E6423">
        <w:rPr>
          <w:rFonts w:ascii="Arial" w:hAnsi="Arial" w:cs="Arial"/>
          <w:sz w:val="20"/>
          <w:szCs w:val="20"/>
          <w:lang w:val="sr-Cyrl-RS"/>
        </w:rPr>
        <w:t>,</w:t>
      </w:r>
      <w:r w:rsidRPr="1A8E6423">
        <w:rPr>
          <w:rFonts w:ascii="Arial" w:hAnsi="Arial" w:cs="Arial"/>
          <w:sz w:val="20"/>
          <w:szCs w:val="20"/>
          <w:lang w:val="sr-Cyrl-RS"/>
        </w:rPr>
        <w:t xml:space="preserve"> као најзначајнији закони од горе наведених истичу се ЗОФЛС и ЗОБС. ЗОФЛС је закон у којем је по први пут на системски начин уређено питање финансирања локалне самоуправе, тј. обезбеђивање средстава јединицама локалне самоуправе за обављање изворних и поверених послова, као и прописана гаранција довољности прихода и </w:t>
      </w:r>
      <w:r w:rsidR="0058523F" w:rsidRPr="1A8E6423">
        <w:rPr>
          <w:rFonts w:ascii="Arial" w:hAnsi="Arial" w:cs="Arial"/>
          <w:sz w:val="20"/>
          <w:szCs w:val="20"/>
          <w:lang w:val="sr-Cyrl-RS"/>
        </w:rPr>
        <w:t xml:space="preserve">њихов </w:t>
      </w:r>
      <w:r w:rsidRPr="1A8E6423">
        <w:rPr>
          <w:rFonts w:ascii="Arial" w:hAnsi="Arial" w:cs="Arial"/>
          <w:sz w:val="20"/>
          <w:szCs w:val="20"/>
          <w:lang w:val="sr-Cyrl-RS"/>
        </w:rPr>
        <w:t>ненаменски (општи) карактер. ЗОБС</w:t>
      </w:r>
      <w:r w:rsidR="0058523F" w:rsidRPr="1A8E6423">
        <w:rPr>
          <w:rFonts w:ascii="Arial" w:hAnsi="Arial" w:cs="Arial"/>
          <w:sz w:val="20"/>
          <w:szCs w:val="20"/>
          <w:lang w:val="sr-Cyrl-RS"/>
        </w:rPr>
        <w:t>,</w:t>
      </w:r>
      <w:r w:rsidRPr="1A8E6423">
        <w:rPr>
          <w:rFonts w:ascii="Arial" w:hAnsi="Arial" w:cs="Arial"/>
          <w:sz w:val="20"/>
          <w:szCs w:val="20"/>
          <w:lang w:val="sr-Cyrl-RS"/>
        </w:rPr>
        <w:t xml:space="preserve"> као закон који прописује основна финансијска и фискална правила која примењују учесници у буџетском процесу, у вези </w:t>
      </w:r>
      <w:r w:rsidR="0058523F" w:rsidRPr="1A8E6423">
        <w:rPr>
          <w:rFonts w:ascii="Arial" w:hAnsi="Arial" w:cs="Arial"/>
          <w:sz w:val="20"/>
          <w:szCs w:val="20"/>
          <w:lang w:val="sr-Cyrl-RS"/>
        </w:rPr>
        <w:t xml:space="preserve">са </w:t>
      </w:r>
      <w:r w:rsidRPr="1A8E6423">
        <w:rPr>
          <w:rFonts w:ascii="Arial" w:hAnsi="Arial" w:cs="Arial"/>
          <w:sz w:val="20"/>
          <w:szCs w:val="20"/>
          <w:lang w:val="sr-Cyrl-RS"/>
        </w:rPr>
        <w:t>систем</w:t>
      </w:r>
      <w:r w:rsidR="0058523F" w:rsidRPr="1A8E6423">
        <w:rPr>
          <w:rFonts w:ascii="Arial" w:hAnsi="Arial" w:cs="Arial"/>
          <w:sz w:val="20"/>
          <w:szCs w:val="20"/>
          <w:lang w:val="sr-Cyrl-RS"/>
        </w:rPr>
        <w:t>ом</w:t>
      </w:r>
      <w:r w:rsidRPr="1A8E6423">
        <w:rPr>
          <w:rFonts w:ascii="Arial" w:hAnsi="Arial" w:cs="Arial"/>
          <w:sz w:val="20"/>
          <w:szCs w:val="20"/>
          <w:lang w:val="sr-Cyrl-RS"/>
        </w:rPr>
        <w:t xml:space="preserve"> финансирања локалне самоуправе уређује питања као што су: </w:t>
      </w:r>
    </w:p>
    <w:p w14:paraId="6DC605BA" w14:textId="77777777" w:rsidR="003E03ED" w:rsidRPr="00A021B7" w:rsidRDefault="003E03ED" w:rsidP="003E7BC9">
      <w:pPr>
        <w:jc w:val="both"/>
        <w:rPr>
          <w:rFonts w:ascii="Arial" w:hAnsi="Arial" w:cs="Arial"/>
          <w:sz w:val="20"/>
          <w:szCs w:val="20"/>
          <w:lang w:val="sr-Cyrl-RS"/>
        </w:rPr>
      </w:pPr>
    </w:p>
    <w:p w14:paraId="60D6A229" w14:textId="5CD242AB" w:rsidR="003E03ED" w:rsidRPr="00A021B7" w:rsidRDefault="003E03ED" w:rsidP="00A57E7E">
      <w:pPr>
        <w:numPr>
          <w:ilvl w:val="0"/>
          <w:numId w:val="18"/>
        </w:numPr>
        <w:contextualSpacing/>
        <w:jc w:val="both"/>
        <w:rPr>
          <w:rFonts w:ascii="Arial" w:hAnsi="Arial" w:cs="Arial"/>
          <w:sz w:val="20"/>
          <w:szCs w:val="20"/>
          <w:lang w:val="sr-Cyrl-RS"/>
        </w:rPr>
      </w:pPr>
      <w:r w:rsidRPr="1A8E6423">
        <w:rPr>
          <w:rFonts w:ascii="Arial" w:hAnsi="Arial" w:cs="Arial"/>
          <w:sz w:val="20"/>
          <w:szCs w:val="20"/>
          <w:lang w:val="sr-Cyrl-RS"/>
        </w:rPr>
        <w:t>планирање, припрема, доношење и извршење буџета ЈЛС,</w:t>
      </w:r>
    </w:p>
    <w:p w14:paraId="2517E6D2" w14:textId="4601BE4B" w:rsidR="003E03ED" w:rsidRPr="00A021B7" w:rsidRDefault="003E03ED" w:rsidP="00A57E7E">
      <w:pPr>
        <w:numPr>
          <w:ilvl w:val="0"/>
          <w:numId w:val="18"/>
        </w:numPr>
        <w:contextualSpacing/>
        <w:jc w:val="both"/>
        <w:rPr>
          <w:rFonts w:ascii="Arial" w:hAnsi="Arial" w:cs="Arial"/>
          <w:sz w:val="20"/>
          <w:szCs w:val="20"/>
          <w:lang w:val="sr-Cyrl-RS"/>
        </w:rPr>
      </w:pPr>
      <w:r w:rsidRPr="1A8E6423">
        <w:rPr>
          <w:rFonts w:ascii="Arial" w:hAnsi="Arial" w:cs="Arial"/>
          <w:sz w:val="20"/>
          <w:szCs w:val="20"/>
          <w:lang w:val="sr-Cyrl-RS"/>
        </w:rPr>
        <w:t>финансијско управљање, контрола и ревизија буџета локалне власти;</w:t>
      </w:r>
    </w:p>
    <w:p w14:paraId="20FEDDA8" w14:textId="5E1D05FE" w:rsidR="003E03ED" w:rsidRPr="00A021B7" w:rsidRDefault="003E03ED" w:rsidP="00A57E7E">
      <w:pPr>
        <w:numPr>
          <w:ilvl w:val="0"/>
          <w:numId w:val="18"/>
        </w:numPr>
        <w:contextualSpacing/>
        <w:jc w:val="both"/>
        <w:rPr>
          <w:rFonts w:ascii="Arial" w:hAnsi="Arial" w:cs="Arial"/>
          <w:sz w:val="20"/>
          <w:szCs w:val="20"/>
          <w:lang w:val="sr-Cyrl-RS"/>
        </w:rPr>
      </w:pPr>
      <w:r w:rsidRPr="1A8E6423">
        <w:rPr>
          <w:rFonts w:ascii="Arial" w:hAnsi="Arial" w:cs="Arial"/>
          <w:sz w:val="20"/>
          <w:szCs w:val="20"/>
          <w:lang w:val="sr-Cyrl-RS"/>
        </w:rPr>
        <w:t>надлежност и организациј</w:t>
      </w:r>
      <w:r w:rsidR="0058523F" w:rsidRPr="1A8E6423">
        <w:rPr>
          <w:rFonts w:ascii="Arial" w:hAnsi="Arial" w:cs="Arial"/>
          <w:sz w:val="20"/>
          <w:szCs w:val="20"/>
          <w:lang w:val="sr-Cyrl-RS"/>
        </w:rPr>
        <w:t>а</w:t>
      </w:r>
      <w:r w:rsidRPr="1A8E6423">
        <w:rPr>
          <w:rFonts w:ascii="Arial" w:hAnsi="Arial" w:cs="Arial"/>
          <w:sz w:val="20"/>
          <w:szCs w:val="20"/>
          <w:lang w:val="sr-Cyrl-RS"/>
        </w:rPr>
        <w:t xml:space="preserve"> трезора локалне власти (ЗОБС, чл</w:t>
      </w:r>
      <w:r w:rsidR="0058523F" w:rsidRPr="1A8E6423">
        <w:rPr>
          <w:rFonts w:ascii="Arial" w:hAnsi="Arial" w:cs="Arial"/>
          <w:sz w:val="20"/>
          <w:szCs w:val="20"/>
          <w:lang w:val="sr-Cyrl-RS"/>
        </w:rPr>
        <w:t xml:space="preserve">ан </w:t>
      </w:r>
      <w:r w:rsidRPr="1A8E6423">
        <w:rPr>
          <w:rFonts w:ascii="Arial" w:hAnsi="Arial" w:cs="Arial"/>
          <w:sz w:val="20"/>
          <w:szCs w:val="20"/>
          <w:lang w:val="sr-Cyrl-RS"/>
        </w:rPr>
        <w:t>1</w:t>
      </w:r>
      <w:r w:rsidR="0058523F" w:rsidRPr="1A8E6423">
        <w:rPr>
          <w:rFonts w:ascii="Arial" w:hAnsi="Arial" w:cs="Arial"/>
          <w:sz w:val="20"/>
          <w:szCs w:val="20"/>
          <w:lang w:val="sr-Cyrl-RS"/>
        </w:rPr>
        <w:t>.</w:t>
      </w:r>
      <w:r w:rsidRPr="1A8E6423">
        <w:rPr>
          <w:rFonts w:ascii="Arial" w:hAnsi="Arial" w:cs="Arial"/>
          <w:sz w:val="20"/>
          <w:szCs w:val="20"/>
          <w:lang w:val="sr-Cyrl-RS"/>
        </w:rPr>
        <w:t xml:space="preserve"> став 1)</w:t>
      </w:r>
      <w:r w:rsidR="0058523F" w:rsidRPr="1A8E6423">
        <w:rPr>
          <w:rFonts w:ascii="Arial" w:hAnsi="Arial" w:cs="Arial"/>
          <w:sz w:val="20"/>
          <w:szCs w:val="20"/>
          <w:lang w:val="sr-Cyrl-RS"/>
        </w:rPr>
        <w:t>;</w:t>
      </w:r>
    </w:p>
    <w:p w14:paraId="6C8A47ED" w14:textId="77777777" w:rsidR="003E03ED" w:rsidRPr="00A021B7" w:rsidRDefault="003E03ED" w:rsidP="00A57E7E">
      <w:pPr>
        <w:numPr>
          <w:ilvl w:val="0"/>
          <w:numId w:val="18"/>
        </w:numPr>
        <w:contextualSpacing/>
        <w:jc w:val="both"/>
        <w:rPr>
          <w:rFonts w:ascii="Arial" w:hAnsi="Arial" w:cs="Arial"/>
          <w:sz w:val="20"/>
          <w:szCs w:val="20"/>
          <w:lang w:val="sr-Cyrl-RS"/>
        </w:rPr>
      </w:pPr>
      <w:r w:rsidRPr="00A021B7">
        <w:rPr>
          <w:rFonts w:ascii="Arial" w:hAnsi="Arial" w:cs="Arial"/>
          <w:sz w:val="20"/>
          <w:szCs w:val="20"/>
          <w:lang w:val="sr-Cyrl-RS"/>
        </w:rPr>
        <w:t xml:space="preserve">финансирање надлежности ЈЛС (чл. 25), </w:t>
      </w:r>
    </w:p>
    <w:p w14:paraId="0FF63D65" w14:textId="536B218F" w:rsidR="003E03ED" w:rsidRPr="00A021B7" w:rsidRDefault="003E03ED" w:rsidP="00A57E7E">
      <w:pPr>
        <w:numPr>
          <w:ilvl w:val="0"/>
          <w:numId w:val="18"/>
        </w:numPr>
        <w:contextualSpacing/>
        <w:jc w:val="both"/>
        <w:rPr>
          <w:rFonts w:ascii="Arial" w:hAnsi="Arial" w:cs="Arial"/>
          <w:sz w:val="20"/>
          <w:szCs w:val="20"/>
          <w:lang w:val="sr-Cyrl-RS"/>
        </w:rPr>
      </w:pPr>
      <w:r w:rsidRPr="1A8E6423">
        <w:rPr>
          <w:rFonts w:ascii="Arial" w:hAnsi="Arial" w:cs="Arial"/>
          <w:sz w:val="20"/>
          <w:szCs w:val="20"/>
          <w:lang w:val="sr-Cyrl-RS"/>
        </w:rPr>
        <w:t>фискална правила за ЈЛС (чл</w:t>
      </w:r>
      <w:r w:rsidR="0058523F" w:rsidRPr="1A8E6423">
        <w:rPr>
          <w:rFonts w:ascii="Arial" w:hAnsi="Arial" w:cs="Arial"/>
          <w:sz w:val="20"/>
          <w:szCs w:val="20"/>
          <w:lang w:val="sr-Cyrl-RS"/>
        </w:rPr>
        <w:t>ан</w:t>
      </w:r>
      <w:r w:rsidRPr="1A8E6423">
        <w:rPr>
          <w:rFonts w:ascii="Arial" w:hAnsi="Arial" w:cs="Arial"/>
          <w:sz w:val="20"/>
          <w:szCs w:val="20"/>
          <w:lang w:val="sr-Cyrl-RS"/>
        </w:rPr>
        <w:t xml:space="preserve"> 27ж).</w:t>
      </w:r>
    </w:p>
    <w:p w14:paraId="749E0D8D" w14:textId="77777777" w:rsidR="003E03ED" w:rsidRPr="00A021B7" w:rsidRDefault="003E03ED" w:rsidP="003E7BC9">
      <w:pPr>
        <w:jc w:val="both"/>
        <w:rPr>
          <w:rFonts w:ascii="Arial" w:hAnsi="Arial" w:cs="Arial"/>
          <w:sz w:val="20"/>
          <w:szCs w:val="20"/>
          <w:lang w:val="sr-Cyrl-RS"/>
        </w:rPr>
      </w:pPr>
    </w:p>
    <w:bookmarkEnd w:id="59"/>
    <w:p w14:paraId="6E7ACD76" w14:textId="56A605D0"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За увид у основе система финансирања локалне самоуправе најважније јесте сагледати анализу система финансирања (приходе и расходе) и управљање јавним финансијама локалне самоуправе, јер од њих зависи способност ЈЛС да пружа јавне услуге за које је надлежна.</w:t>
      </w:r>
    </w:p>
    <w:p w14:paraId="78290FCA" w14:textId="77777777" w:rsidR="003E03ED" w:rsidRPr="00A021B7" w:rsidRDefault="003E03ED" w:rsidP="003E7BC9">
      <w:pPr>
        <w:jc w:val="both"/>
        <w:rPr>
          <w:rFonts w:ascii="Arial" w:hAnsi="Arial" w:cs="Arial"/>
          <w:bCs/>
          <w:sz w:val="20"/>
          <w:szCs w:val="20"/>
          <w:lang w:val="sr-Cyrl-RS"/>
        </w:rPr>
      </w:pPr>
    </w:p>
    <w:p w14:paraId="5A4FB630" w14:textId="77777777" w:rsidR="00CE205B" w:rsidRPr="00A021B7" w:rsidRDefault="003E03ED" w:rsidP="004935B9">
      <w:pPr>
        <w:pStyle w:val="Heading3"/>
        <w:rPr>
          <w:noProof w:val="0"/>
          <w:lang w:val="sr-Cyrl-RS"/>
        </w:rPr>
      </w:pPr>
      <w:bookmarkStart w:id="60" w:name="_Toc52865778"/>
      <w:bookmarkStart w:id="61" w:name="_Toc52866189"/>
      <w:bookmarkStart w:id="62" w:name="_Toc56508438"/>
      <w:bookmarkStart w:id="63" w:name="_Toc60136074"/>
      <w:r w:rsidRPr="00A021B7">
        <w:rPr>
          <w:noProof w:val="0"/>
          <w:lang w:val="sr-Cyrl-RS"/>
        </w:rPr>
        <w:t>I</w:t>
      </w:r>
      <w:r w:rsidR="0092288B" w:rsidRPr="00A021B7">
        <w:rPr>
          <w:noProof w:val="0"/>
          <w:lang w:val="sr-Cyrl-RS"/>
        </w:rPr>
        <w:t>V</w:t>
      </w:r>
      <w:r w:rsidRPr="00A021B7">
        <w:rPr>
          <w:noProof w:val="0"/>
          <w:lang w:val="sr-Cyrl-RS"/>
        </w:rPr>
        <w:t>.</w:t>
      </w:r>
      <w:r w:rsidR="0092288B" w:rsidRPr="00A021B7">
        <w:rPr>
          <w:noProof w:val="0"/>
          <w:lang w:val="sr-Cyrl-RS"/>
        </w:rPr>
        <w:t>5.</w:t>
      </w:r>
      <w:r w:rsidRPr="00A021B7">
        <w:rPr>
          <w:noProof w:val="0"/>
          <w:lang w:val="sr-Cyrl-RS"/>
        </w:rPr>
        <w:t>1. Приходи јединица локалне самоуправе</w:t>
      </w:r>
      <w:bookmarkEnd w:id="60"/>
      <w:bookmarkEnd w:id="61"/>
      <w:bookmarkEnd w:id="62"/>
      <w:bookmarkEnd w:id="63"/>
    </w:p>
    <w:p w14:paraId="3F0D2861" w14:textId="77777777" w:rsidR="003E03ED" w:rsidRPr="00A021B7" w:rsidRDefault="003E03ED" w:rsidP="003E7BC9">
      <w:pPr>
        <w:rPr>
          <w:rFonts w:ascii="Arial" w:hAnsi="Arial" w:cs="Arial"/>
          <w:b/>
          <w:bCs/>
          <w:lang w:val="sr-Cyrl-RS"/>
        </w:rPr>
      </w:pPr>
    </w:p>
    <w:p w14:paraId="76D2DC04" w14:textId="4E9F3E7D"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ЕПЛС препоручује да системи финансирања на којима се заснивају извори средстава локалних власти треба да буду довољно разноврсни и </w:t>
      </w:r>
      <w:r w:rsidR="0058523F" w:rsidRPr="00A021B7">
        <w:rPr>
          <w:rFonts w:ascii="Arial" w:hAnsi="Arial" w:cs="Arial"/>
          <w:sz w:val="20"/>
          <w:szCs w:val="20"/>
          <w:lang w:val="sr-Cyrl-RS"/>
        </w:rPr>
        <w:t>еластични</w:t>
      </w:r>
      <w:r w:rsidRPr="00A021B7">
        <w:rPr>
          <w:rFonts w:ascii="Arial" w:hAnsi="Arial" w:cs="Arial"/>
          <w:sz w:val="20"/>
          <w:szCs w:val="20"/>
          <w:lang w:val="sr-Cyrl-RS"/>
        </w:rPr>
        <w:t xml:space="preserve"> како би омогућили усклађивање, у највећој могућој мери, са стварном проценом трошкова за обављање њихових активности.</w:t>
      </w:r>
      <w:r w:rsidR="003E03ED" w:rsidRPr="00A021B7">
        <w:rPr>
          <w:rFonts w:ascii="Arial" w:hAnsi="Arial" w:cs="Arial"/>
          <w:sz w:val="20"/>
          <w:szCs w:val="20"/>
          <w:vertAlign w:val="superscript"/>
          <w:lang w:val="sr-Cyrl-RS"/>
        </w:rPr>
        <w:footnoteReference w:id="41"/>
      </w:r>
      <w:r w:rsidRPr="00A021B7">
        <w:rPr>
          <w:rFonts w:ascii="Arial" w:hAnsi="Arial" w:cs="Arial"/>
          <w:sz w:val="20"/>
          <w:szCs w:val="20"/>
          <w:lang w:val="sr-Cyrl-RS"/>
        </w:rPr>
        <w:t xml:space="preserve"> У ЕПЛС</w:t>
      </w:r>
      <w:r w:rsidR="0058523F">
        <w:rPr>
          <w:rFonts w:ascii="Arial" w:hAnsi="Arial" w:cs="Arial"/>
          <w:sz w:val="20"/>
          <w:szCs w:val="20"/>
          <w:lang w:val="sr-Cyrl-RS"/>
        </w:rPr>
        <w:t xml:space="preserve"> се</w:t>
      </w:r>
      <w:r w:rsidRPr="00A021B7">
        <w:rPr>
          <w:rFonts w:ascii="Arial" w:hAnsi="Arial" w:cs="Arial"/>
          <w:sz w:val="20"/>
          <w:szCs w:val="20"/>
          <w:lang w:val="sr-Cyrl-RS"/>
        </w:rPr>
        <w:t xml:space="preserve"> фактички препоручује примена стратегије диверсификације на систем финансирања ЈЛС</w:t>
      </w:r>
      <w:bookmarkStart w:id="64" w:name="_Hlk41904652"/>
      <w:r w:rsidRPr="00A021B7">
        <w:rPr>
          <w:rFonts w:ascii="Arial" w:hAnsi="Arial" w:cs="Arial"/>
          <w:sz w:val="20"/>
          <w:szCs w:val="20"/>
          <w:lang w:val="sr-Cyrl-RS"/>
        </w:rPr>
        <w:t xml:space="preserve"> и портфолио прихода који чин</w:t>
      </w:r>
      <w:r w:rsidR="0058523F">
        <w:rPr>
          <w:rFonts w:ascii="Arial" w:hAnsi="Arial" w:cs="Arial"/>
          <w:sz w:val="20"/>
          <w:szCs w:val="20"/>
          <w:lang w:val="sr-Cyrl-RS"/>
        </w:rPr>
        <w:t>и</w:t>
      </w:r>
      <w:r w:rsidRPr="00A021B7">
        <w:rPr>
          <w:rFonts w:ascii="Arial" w:hAnsi="Arial" w:cs="Arial"/>
          <w:sz w:val="20"/>
          <w:szCs w:val="20"/>
          <w:lang w:val="sr-Cyrl-RS"/>
        </w:rPr>
        <w:t xml:space="preserve"> неколико финансијски релевантних прихода. </w:t>
      </w:r>
      <w:bookmarkEnd w:id="64"/>
      <w:r w:rsidRPr="00A021B7">
        <w:rPr>
          <w:rFonts w:ascii="Arial" w:hAnsi="Arial" w:cs="Arial"/>
          <w:sz w:val="20"/>
          <w:szCs w:val="20"/>
          <w:lang w:val="sr-Cyrl-RS"/>
        </w:rPr>
        <w:t>Ово је веома важно јер је буџетима ЈЛС потребна дугорочна стабилност прихода.</w:t>
      </w:r>
    </w:p>
    <w:p w14:paraId="124F69EF" w14:textId="77777777" w:rsidR="003E03ED" w:rsidRPr="00A021B7" w:rsidRDefault="003E03ED" w:rsidP="1A8E6423">
      <w:pPr>
        <w:ind w:firstLine="720"/>
        <w:jc w:val="both"/>
        <w:rPr>
          <w:rFonts w:ascii="Arial" w:hAnsi="Arial" w:cs="Arial"/>
          <w:sz w:val="20"/>
          <w:szCs w:val="20"/>
          <w:lang w:val="sr-Cyrl-RS"/>
        </w:rPr>
      </w:pPr>
    </w:p>
    <w:p w14:paraId="0B9FBFA2" w14:textId="674A8933"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С тим у вези</w:t>
      </w:r>
      <w:r w:rsidR="0058523F" w:rsidRPr="1A8E6423">
        <w:rPr>
          <w:rFonts w:ascii="Arial" w:hAnsi="Arial" w:cs="Arial"/>
          <w:sz w:val="20"/>
          <w:szCs w:val="20"/>
          <w:lang w:val="sr-Cyrl-RS"/>
        </w:rPr>
        <w:t>,</w:t>
      </w:r>
      <w:r w:rsidRPr="1A8E6423">
        <w:rPr>
          <w:rFonts w:ascii="Arial" w:hAnsi="Arial" w:cs="Arial"/>
          <w:sz w:val="20"/>
          <w:szCs w:val="20"/>
          <w:lang w:val="sr-Cyrl-RS"/>
        </w:rPr>
        <w:t xml:space="preserve"> одредбама ЗОБС и ЗОФЛС прописано је који јавни приходи и примања припадају буџету јединица локалне самоуправе. Чланом 25. ЗОБС је прописано да буџету јединице локалне самоуправе припадају:</w:t>
      </w:r>
    </w:p>
    <w:p w14:paraId="765A9C71" w14:textId="77777777" w:rsidR="00126944" w:rsidRPr="00A021B7" w:rsidRDefault="00126944" w:rsidP="1A8E6423">
      <w:pPr>
        <w:ind w:firstLine="720"/>
        <w:jc w:val="both"/>
        <w:rPr>
          <w:rFonts w:ascii="Arial" w:hAnsi="Arial" w:cs="Arial"/>
          <w:sz w:val="20"/>
          <w:szCs w:val="20"/>
          <w:lang w:val="sr-Cyrl-RS"/>
        </w:rPr>
      </w:pPr>
    </w:p>
    <w:p w14:paraId="0A875A1C" w14:textId="77777777" w:rsidR="003E03ED" w:rsidRPr="00A021B7" w:rsidRDefault="003E03ED" w:rsidP="00A57E7E">
      <w:pPr>
        <w:numPr>
          <w:ilvl w:val="0"/>
          <w:numId w:val="19"/>
        </w:numPr>
        <w:contextualSpacing/>
        <w:jc w:val="both"/>
        <w:rPr>
          <w:rFonts w:ascii="Arial" w:hAnsi="Arial" w:cs="Arial"/>
          <w:sz w:val="20"/>
          <w:szCs w:val="20"/>
          <w:lang w:val="sr-Cyrl-RS"/>
        </w:rPr>
      </w:pPr>
      <w:r w:rsidRPr="00A021B7">
        <w:rPr>
          <w:rFonts w:ascii="Arial" w:hAnsi="Arial" w:cs="Arial"/>
          <w:sz w:val="20"/>
          <w:szCs w:val="20"/>
          <w:lang w:val="sr-Cyrl-RS"/>
        </w:rPr>
        <w:t>порези у делу утврђеном законом (порез на доходак грађана; порез на имовину; порез на наслеђе и поклон; порез на пренос апсолутних права; други порез, у складу са посебним законом)</w:t>
      </w:r>
    </w:p>
    <w:p w14:paraId="059896C1" w14:textId="5E34FEF7" w:rsidR="003E03ED" w:rsidRPr="00A021B7" w:rsidRDefault="003E03ED" w:rsidP="00A57E7E">
      <w:pPr>
        <w:numPr>
          <w:ilvl w:val="0"/>
          <w:numId w:val="19"/>
        </w:numPr>
        <w:contextualSpacing/>
        <w:jc w:val="both"/>
        <w:rPr>
          <w:rFonts w:ascii="Arial" w:hAnsi="Arial" w:cs="Arial"/>
          <w:sz w:val="20"/>
          <w:szCs w:val="20"/>
          <w:lang w:val="sr-Cyrl-RS"/>
        </w:rPr>
      </w:pPr>
      <w:r w:rsidRPr="1A8E6423">
        <w:rPr>
          <w:rFonts w:ascii="Arial" w:hAnsi="Arial" w:cs="Arial"/>
          <w:sz w:val="20"/>
          <w:szCs w:val="20"/>
          <w:lang w:val="sr-Cyrl-RS"/>
        </w:rPr>
        <w:t>таксе</w:t>
      </w:r>
      <w:r w:rsidR="0058523F" w:rsidRPr="1A8E6423">
        <w:rPr>
          <w:rFonts w:ascii="Arial" w:hAnsi="Arial" w:cs="Arial"/>
          <w:sz w:val="20"/>
          <w:szCs w:val="20"/>
          <w:lang w:val="sr-Cyrl-RS"/>
        </w:rPr>
        <w:t xml:space="preserve"> </w:t>
      </w:r>
      <w:r w:rsidRPr="1A8E6423">
        <w:rPr>
          <w:rFonts w:ascii="Arial" w:hAnsi="Arial" w:cs="Arial"/>
          <w:sz w:val="20"/>
          <w:szCs w:val="20"/>
          <w:lang w:val="sr-Cyrl-RS"/>
        </w:rPr>
        <w:t>(локалне административне таксе; локалне комуналне таксе; боравишна такса</w:t>
      </w:r>
      <w:r w:rsidR="0058523F" w:rsidRPr="1A8E6423">
        <w:rPr>
          <w:rFonts w:ascii="Arial" w:hAnsi="Arial" w:cs="Arial"/>
          <w:sz w:val="20"/>
          <w:szCs w:val="20"/>
          <w:lang w:val="sr-Cyrl-RS"/>
        </w:rPr>
        <w:t>)</w:t>
      </w:r>
      <w:r w:rsidRPr="1A8E6423">
        <w:rPr>
          <w:rFonts w:ascii="Arial" w:hAnsi="Arial" w:cs="Arial"/>
          <w:sz w:val="20"/>
          <w:szCs w:val="20"/>
          <w:lang w:val="sr-Cyrl-RS"/>
        </w:rPr>
        <w:t>;</w:t>
      </w:r>
    </w:p>
    <w:p w14:paraId="49DC0E87" w14:textId="77777777" w:rsidR="003E03ED" w:rsidRPr="00A021B7" w:rsidRDefault="003E03ED" w:rsidP="00A57E7E">
      <w:pPr>
        <w:numPr>
          <w:ilvl w:val="0"/>
          <w:numId w:val="19"/>
        </w:numPr>
        <w:contextualSpacing/>
        <w:jc w:val="both"/>
        <w:rPr>
          <w:rFonts w:ascii="Arial" w:hAnsi="Arial" w:cs="Arial"/>
          <w:sz w:val="20"/>
          <w:szCs w:val="20"/>
          <w:lang w:val="sr-Cyrl-RS"/>
        </w:rPr>
      </w:pPr>
      <w:r w:rsidRPr="00A021B7">
        <w:rPr>
          <w:rFonts w:ascii="Arial" w:hAnsi="Arial" w:cs="Arial"/>
          <w:sz w:val="20"/>
          <w:szCs w:val="20"/>
          <w:lang w:val="sr-Cyrl-RS"/>
        </w:rPr>
        <w:t>накнаде у складу са законом;</w:t>
      </w:r>
    </w:p>
    <w:p w14:paraId="1A263586" w14:textId="77777777" w:rsidR="003E03ED" w:rsidRPr="00A021B7" w:rsidRDefault="003E03ED" w:rsidP="00A57E7E">
      <w:pPr>
        <w:numPr>
          <w:ilvl w:val="0"/>
          <w:numId w:val="19"/>
        </w:numPr>
        <w:contextualSpacing/>
        <w:jc w:val="both"/>
        <w:rPr>
          <w:rFonts w:ascii="Arial" w:hAnsi="Arial" w:cs="Arial"/>
          <w:sz w:val="20"/>
          <w:szCs w:val="20"/>
          <w:lang w:val="sr-Cyrl-RS"/>
        </w:rPr>
      </w:pPr>
      <w:r w:rsidRPr="00A021B7">
        <w:rPr>
          <w:rFonts w:ascii="Arial" w:hAnsi="Arial" w:cs="Arial"/>
          <w:sz w:val="20"/>
          <w:szCs w:val="20"/>
          <w:lang w:val="sr-Cyrl-RS"/>
        </w:rPr>
        <w:t>самодопринос;</w:t>
      </w:r>
    </w:p>
    <w:p w14:paraId="46E01F69" w14:textId="77777777" w:rsidR="003E03ED" w:rsidRPr="00A021B7" w:rsidRDefault="003E03ED" w:rsidP="00A57E7E">
      <w:pPr>
        <w:numPr>
          <w:ilvl w:val="0"/>
          <w:numId w:val="19"/>
        </w:numPr>
        <w:contextualSpacing/>
        <w:jc w:val="both"/>
        <w:rPr>
          <w:rFonts w:ascii="Arial" w:hAnsi="Arial" w:cs="Arial"/>
          <w:sz w:val="20"/>
          <w:szCs w:val="20"/>
          <w:lang w:val="sr-Cyrl-RS"/>
        </w:rPr>
      </w:pPr>
      <w:r w:rsidRPr="00A021B7">
        <w:rPr>
          <w:rFonts w:ascii="Arial" w:hAnsi="Arial" w:cs="Arial"/>
          <w:sz w:val="20"/>
          <w:szCs w:val="20"/>
          <w:lang w:val="sr-Cyrl-RS"/>
        </w:rPr>
        <w:t>донације и трансфери;</w:t>
      </w:r>
    </w:p>
    <w:p w14:paraId="1F21CECC" w14:textId="77777777" w:rsidR="003E03ED" w:rsidRPr="00A021B7" w:rsidRDefault="003E03ED" w:rsidP="00A57E7E">
      <w:pPr>
        <w:numPr>
          <w:ilvl w:val="0"/>
          <w:numId w:val="19"/>
        </w:numPr>
        <w:contextualSpacing/>
        <w:jc w:val="both"/>
        <w:rPr>
          <w:rFonts w:ascii="Arial" w:hAnsi="Arial" w:cs="Arial"/>
          <w:sz w:val="20"/>
          <w:szCs w:val="20"/>
          <w:lang w:val="sr-Cyrl-RS"/>
        </w:rPr>
      </w:pPr>
      <w:r w:rsidRPr="00A021B7">
        <w:rPr>
          <w:rFonts w:ascii="Arial" w:hAnsi="Arial" w:cs="Arial"/>
          <w:sz w:val="20"/>
          <w:szCs w:val="20"/>
          <w:lang w:val="sr-Cyrl-RS"/>
        </w:rPr>
        <w:t>финансијска помоћ Европске уније;</w:t>
      </w:r>
    </w:p>
    <w:p w14:paraId="6F071ECE" w14:textId="42D47296" w:rsidR="003E03ED" w:rsidRPr="00A021B7" w:rsidRDefault="003E03ED" w:rsidP="00A57E7E">
      <w:pPr>
        <w:numPr>
          <w:ilvl w:val="0"/>
          <w:numId w:val="19"/>
        </w:numPr>
        <w:contextualSpacing/>
        <w:jc w:val="both"/>
        <w:rPr>
          <w:rFonts w:ascii="Arial" w:hAnsi="Arial" w:cs="Arial"/>
          <w:sz w:val="20"/>
          <w:szCs w:val="20"/>
          <w:lang w:val="sr-Cyrl-RS"/>
        </w:rPr>
      </w:pPr>
      <w:r w:rsidRPr="1A8E6423">
        <w:rPr>
          <w:rFonts w:ascii="Arial" w:hAnsi="Arial" w:cs="Arial"/>
          <w:sz w:val="20"/>
          <w:szCs w:val="20"/>
          <w:lang w:val="sr-Cyrl-RS"/>
        </w:rPr>
        <w:t xml:space="preserve">приходи настали употребом јавних средстава (приходи од камата; приходи од давања у закуп, односно на коришћење непокретности и покретних ствари у својини Републике </w:t>
      </w:r>
      <w:r w:rsidRPr="1A8E6423">
        <w:rPr>
          <w:rFonts w:ascii="Arial" w:hAnsi="Arial" w:cs="Arial"/>
          <w:sz w:val="20"/>
          <w:szCs w:val="20"/>
          <w:lang w:val="sr-Cyrl-RS"/>
        </w:rPr>
        <w:lastRenderedPageBreak/>
        <w:t>Србије, које користи јединица локалне самоуправе, односно органи, организације и службе јединице локалне самоуправе и индиректни корисници њеног буџета; приходи од давања у закуп, односно на коришћење непокретности и покретних ствари у својини јединице локалне самоуправе, у складу са законом; приходи настали продајом услуга корисника средстава буџета јединице локалне самоуправе чије је пружање уговорено са физичким и правним лицима на основу њихове слободне воље;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 приходи од концесионе накнаде у складу са законом</w:t>
      </w:r>
      <w:r w:rsidR="0058523F" w:rsidRPr="1A8E6423">
        <w:rPr>
          <w:rFonts w:ascii="Arial" w:hAnsi="Arial" w:cs="Arial"/>
          <w:sz w:val="20"/>
          <w:szCs w:val="20"/>
          <w:lang w:val="sr-Cyrl-RS"/>
        </w:rPr>
        <w:t>);</w:t>
      </w:r>
    </w:p>
    <w:p w14:paraId="7F35B599" w14:textId="3CDCBD82" w:rsidR="003E03ED" w:rsidRPr="00A021B7" w:rsidRDefault="003E03ED" w:rsidP="00A57E7E">
      <w:pPr>
        <w:numPr>
          <w:ilvl w:val="0"/>
          <w:numId w:val="19"/>
        </w:numPr>
        <w:contextualSpacing/>
        <w:jc w:val="both"/>
        <w:rPr>
          <w:rFonts w:ascii="Arial" w:hAnsi="Arial" w:cs="Arial"/>
          <w:sz w:val="20"/>
          <w:szCs w:val="20"/>
          <w:lang w:val="sr-Cyrl-RS"/>
        </w:rPr>
      </w:pPr>
      <w:r w:rsidRPr="1A8E6423">
        <w:rPr>
          <w:rFonts w:ascii="Arial" w:hAnsi="Arial" w:cs="Arial"/>
          <w:sz w:val="20"/>
          <w:szCs w:val="20"/>
          <w:lang w:val="sr-Cyrl-RS"/>
        </w:rPr>
        <w:t>примања (примања од продаје непокретности у својини јединице локалне самоуправе;</w:t>
      </w:r>
      <w:r w:rsidR="0058523F" w:rsidRPr="1A8E6423">
        <w:rPr>
          <w:rFonts w:ascii="Arial" w:hAnsi="Arial" w:cs="Arial"/>
          <w:sz w:val="20"/>
          <w:szCs w:val="20"/>
          <w:lang w:val="sr-Cyrl-RS"/>
        </w:rPr>
        <w:t xml:space="preserve"> </w:t>
      </w:r>
      <w:r w:rsidRPr="1A8E6423">
        <w:rPr>
          <w:rFonts w:ascii="Arial" w:hAnsi="Arial" w:cs="Arial"/>
          <w:sz w:val="20"/>
          <w:szCs w:val="20"/>
          <w:lang w:val="sr-Cyrl-RS"/>
        </w:rPr>
        <w:t>примања од продаје покретних ствари у својини Републике Србије које користе органи, организације и службе јединице локалне самоуправе;</w:t>
      </w:r>
      <w:r w:rsidR="0058523F" w:rsidRPr="1A8E6423">
        <w:rPr>
          <w:rFonts w:ascii="Arial" w:hAnsi="Arial" w:cs="Arial"/>
          <w:sz w:val="20"/>
          <w:szCs w:val="20"/>
          <w:lang w:val="sr-Cyrl-RS"/>
        </w:rPr>
        <w:t xml:space="preserve"> </w:t>
      </w:r>
      <w:r w:rsidRPr="1A8E6423">
        <w:rPr>
          <w:rFonts w:ascii="Arial" w:hAnsi="Arial" w:cs="Arial"/>
          <w:sz w:val="20"/>
          <w:szCs w:val="20"/>
          <w:lang w:val="sr-Cyrl-RS"/>
        </w:rPr>
        <w:t>примања од продаје покретних ствари у својини јединице локалне самоуправе које користе органи, организације и службе јединице локалне самоуправе;</w:t>
      </w:r>
      <w:r w:rsidR="0058523F" w:rsidRPr="1A8E6423">
        <w:rPr>
          <w:rFonts w:ascii="Arial" w:hAnsi="Arial" w:cs="Arial"/>
          <w:sz w:val="20"/>
          <w:szCs w:val="20"/>
          <w:lang w:val="sr-Cyrl-RS"/>
        </w:rPr>
        <w:t xml:space="preserve"> </w:t>
      </w:r>
      <w:r w:rsidRPr="1A8E6423">
        <w:rPr>
          <w:rFonts w:ascii="Arial" w:hAnsi="Arial" w:cs="Arial"/>
          <w:sz w:val="20"/>
          <w:szCs w:val="20"/>
          <w:lang w:val="sr-Cyrl-RS"/>
        </w:rPr>
        <w:t>примања од продаје робних резерви; примања од продаје драгоцености;</w:t>
      </w:r>
      <w:r w:rsidR="0058523F" w:rsidRPr="1A8E6423">
        <w:rPr>
          <w:rFonts w:ascii="Arial" w:hAnsi="Arial" w:cs="Arial"/>
          <w:sz w:val="20"/>
          <w:szCs w:val="20"/>
          <w:lang w:val="sr-Cyrl-RS"/>
        </w:rPr>
        <w:t xml:space="preserve"> </w:t>
      </w:r>
      <w:r w:rsidRPr="1A8E6423">
        <w:rPr>
          <w:rFonts w:ascii="Arial" w:hAnsi="Arial" w:cs="Arial"/>
          <w:sz w:val="20"/>
          <w:szCs w:val="20"/>
          <w:lang w:val="sr-Cyrl-RS"/>
        </w:rPr>
        <w:t>примања од продаје природне имовине; примања од задуживања; примања од продаје финансијске имовине)</w:t>
      </w:r>
      <w:r w:rsidR="0058523F" w:rsidRPr="1A8E6423">
        <w:rPr>
          <w:rFonts w:ascii="Arial" w:hAnsi="Arial" w:cs="Arial"/>
          <w:sz w:val="20"/>
          <w:szCs w:val="20"/>
          <w:lang w:val="sr-Cyrl-RS"/>
        </w:rPr>
        <w:t>.</w:t>
      </w:r>
    </w:p>
    <w:p w14:paraId="4A84BD05" w14:textId="77777777" w:rsidR="003E03ED" w:rsidRPr="00A021B7" w:rsidRDefault="003E03ED" w:rsidP="003E7BC9">
      <w:pPr>
        <w:jc w:val="both"/>
        <w:rPr>
          <w:rFonts w:ascii="Arial" w:hAnsi="Arial" w:cs="Arial"/>
          <w:bCs/>
          <w:sz w:val="20"/>
          <w:szCs w:val="20"/>
          <w:lang w:val="sr-Cyrl-RS"/>
        </w:rPr>
      </w:pPr>
    </w:p>
    <w:p w14:paraId="61544E31" w14:textId="3BB3B3E6"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Средства буџета ЈЛС су на сличан начин представљена и у ЗОФЛС, с тим што је у члану 5. наведеног закона извршена подела средстава буџета ЈЛС на:</w:t>
      </w:r>
    </w:p>
    <w:p w14:paraId="7A48A4C9" w14:textId="77777777" w:rsidR="003E03ED" w:rsidRPr="00A021B7" w:rsidRDefault="003E03ED" w:rsidP="003E7BC9">
      <w:pPr>
        <w:jc w:val="both"/>
        <w:rPr>
          <w:rFonts w:ascii="Arial" w:hAnsi="Arial" w:cs="Arial"/>
          <w:bCs/>
          <w:sz w:val="20"/>
          <w:szCs w:val="20"/>
          <w:lang w:val="sr-Cyrl-RS"/>
        </w:rPr>
      </w:pPr>
    </w:p>
    <w:p w14:paraId="4FE69DF1" w14:textId="77777777" w:rsidR="003E03ED" w:rsidRPr="00A021B7" w:rsidRDefault="003E03ED" w:rsidP="00A57E7E">
      <w:pPr>
        <w:numPr>
          <w:ilvl w:val="0"/>
          <w:numId w:val="17"/>
        </w:numPr>
        <w:jc w:val="both"/>
        <w:rPr>
          <w:rFonts w:ascii="Arial" w:hAnsi="Arial" w:cs="Arial"/>
          <w:iCs/>
          <w:sz w:val="20"/>
          <w:szCs w:val="20"/>
          <w:lang w:val="sr-Cyrl-RS"/>
        </w:rPr>
      </w:pPr>
      <w:r w:rsidRPr="00A021B7">
        <w:rPr>
          <w:rFonts w:ascii="Arial" w:hAnsi="Arial" w:cs="Arial"/>
          <w:iCs/>
          <w:sz w:val="20"/>
          <w:szCs w:val="20"/>
          <w:lang w:val="sr-Cyrl-RS"/>
        </w:rPr>
        <w:t>изворне приходе,</w:t>
      </w:r>
    </w:p>
    <w:p w14:paraId="5D46082E" w14:textId="283A5657" w:rsidR="003E03ED" w:rsidRPr="00A021B7" w:rsidRDefault="003E03ED" w:rsidP="1A8E6423">
      <w:pPr>
        <w:numPr>
          <w:ilvl w:val="0"/>
          <w:numId w:val="17"/>
        </w:numPr>
        <w:jc w:val="both"/>
        <w:rPr>
          <w:rFonts w:ascii="Arial" w:hAnsi="Arial" w:cs="Arial"/>
          <w:sz w:val="20"/>
          <w:szCs w:val="20"/>
          <w:lang w:val="sr-Cyrl-RS"/>
        </w:rPr>
      </w:pPr>
      <w:r w:rsidRPr="1A8E6423">
        <w:rPr>
          <w:rFonts w:ascii="Arial" w:hAnsi="Arial" w:cs="Arial"/>
          <w:sz w:val="20"/>
          <w:szCs w:val="20"/>
          <w:lang w:val="sr-Cyrl-RS"/>
        </w:rPr>
        <w:t>уступљене приход</w:t>
      </w:r>
      <w:r w:rsidR="0058523F" w:rsidRPr="1A8E6423">
        <w:rPr>
          <w:rFonts w:ascii="Arial" w:hAnsi="Arial" w:cs="Arial"/>
          <w:sz w:val="20"/>
          <w:szCs w:val="20"/>
          <w:lang w:val="sr-Cyrl-RS"/>
        </w:rPr>
        <w:t>е</w:t>
      </w:r>
      <w:r w:rsidRPr="1A8E6423">
        <w:rPr>
          <w:rFonts w:ascii="Arial" w:hAnsi="Arial" w:cs="Arial"/>
          <w:sz w:val="20"/>
          <w:szCs w:val="20"/>
          <w:lang w:val="sr-Cyrl-RS"/>
        </w:rPr>
        <w:t>,</w:t>
      </w:r>
    </w:p>
    <w:p w14:paraId="62B4C08C" w14:textId="77777777" w:rsidR="003E03ED" w:rsidRPr="00A021B7" w:rsidRDefault="003E03ED" w:rsidP="00A57E7E">
      <w:pPr>
        <w:numPr>
          <w:ilvl w:val="0"/>
          <w:numId w:val="17"/>
        </w:numPr>
        <w:jc w:val="both"/>
        <w:rPr>
          <w:rFonts w:ascii="Arial" w:hAnsi="Arial" w:cs="Arial"/>
          <w:iCs/>
          <w:sz w:val="20"/>
          <w:szCs w:val="20"/>
          <w:lang w:val="sr-Cyrl-RS"/>
        </w:rPr>
      </w:pPr>
      <w:r w:rsidRPr="00A021B7">
        <w:rPr>
          <w:rFonts w:ascii="Arial" w:hAnsi="Arial" w:cs="Arial"/>
          <w:iCs/>
          <w:sz w:val="20"/>
          <w:szCs w:val="20"/>
          <w:lang w:val="sr-Cyrl-RS"/>
        </w:rPr>
        <w:t>трансфере,</w:t>
      </w:r>
    </w:p>
    <w:p w14:paraId="4B4BB405" w14:textId="561DA1AD" w:rsidR="003E03ED" w:rsidRPr="00A021B7" w:rsidRDefault="003E03ED" w:rsidP="1A8E6423">
      <w:pPr>
        <w:numPr>
          <w:ilvl w:val="0"/>
          <w:numId w:val="17"/>
        </w:numPr>
        <w:jc w:val="both"/>
        <w:rPr>
          <w:rFonts w:ascii="Arial" w:hAnsi="Arial" w:cs="Arial"/>
          <w:sz w:val="20"/>
          <w:szCs w:val="20"/>
          <w:lang w:val="sr-Cyrl-RS"/>
        </w:rPr>
      </w:pPr>
      <w:r w:rsidRPr="1A8E6423">
        <w:rPr>
          <w:rFonts w:ascii="Arial" w:hAnsi="Arial" w:cs="Arial"/>
          <w:sz w:val="20"/>
          <w:szCs w:val="20"/>
          <w:lang w:val="sr-Cyrl-RS"/>
        </w:rPr>
        <w:t>примања по основу задуживања и</w:t>
      </w:r>
    </w:p>
    <w:p w14:paraId="3245F2A4" w14:textId="77777777" w:rsidR="003E03ED" w:rsidRPr="00A021B7" w:rsidRDefault="003E03ED" w:rsidP="00A57E7E">
      <w:pPr>
        <w:numPr>
          <w:ilvl w:val="0"/>
          <w:numId w:val="17"/>
        </w:numPr>
        <w:jc w:val="both"/>
        <w:rPr>
          <w:rFonts w:ascii="Arial" w:hAnsi="Arial" w:cs="Arial"/>
          <w:iCs/>
          <w:sz w:val="20"/>
          <w:szCs w:val="20"/>
          <w:lang w:val="sr-Cyrl-RS"/>
        </w:rPr>
      </w:pPr>
      <w:r w:rsidRPr="00A021B7">
        <w:rPr>
          <w:rFonts w:ascii="Arial" w:hAnsi="Arial" w:cs="Arial"/>
          <w:iCs/>
          <w:sz w:val="20"/>
          <w:szCs w:val="20"/>
          <w:lang w:val="sr-Cyrl-RS"/>
        </w:rPr>
        <w:t>друге приходе и примања утврђене законом.</w:t>
      </w:r>
    </w:p>
    <w:p w14:paraId="407A5AB7" w14:textId="77777777" w:rsidR="003E03ED" w:rsidRPr="00A021B7" w:rsidRDefault="003E03ED" w:rsidP="003E7BC9">
      <w:pPr>
        <w:jc w:val="both"/>
        <w:rPr>
          <w:rFonts w:ascii="Arial" w:hAnsi="Arial" w:cs="Arial"/>
          <w:sz w:val="20"/>
          <w:szCs w:val="20"/>
          <w:lang w:val="sr-Cyrl-RS"/>
        </w:rPr>
      </w:pPr>
    </w:p>
    <w:p w14:paraId="30F6EFDB" w14:textId="342EF421"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Са становишта прихода локалне самоуправе, посебно је важан </w:t>
      </w:r>
      <w:bookmarkStart w:id="65" w:name="str_6"/>
      <w:bookmarkStart w:id="66" w:name="str_7"/>
      <w:bookmarkEnd w:id="65"/>
      <w:bookmarkEnd w:id="66"/>
      <w:r w:rsidRPr="00A021B7">
        <w:rPr>
          <w:rFonts w:ascii="Arial" w:hAnsi="Arial" w:cs="Arial"/>
          <w:sz w:val="20"/>
          <w:szCs w:val="20"/>
          <w:lang w:val="sr-Cyrl-RS"/>
        </w:rPr>
        <w:t>ЗПНИ</w:t>
      </w:r>
      <w:r w:rsidR="0058523F">
        <w:rPr>
          <w:rFonts w:ascii="Arial" w:hAnsi="Arial" w:cs="Arial"/>
          <w:sz w:val="20"/>
          <w:szCs w:val="20"/>
          <w:lang w:val="sr-Cyrl-RS"/>
        </w:rPr>
        <w:t>,</w:t>
      </w:r>
      <w:r w:rsidRPr="00A021B7">
        <w:rPr>
          <w:rFonts w:ascii="Arial" w:hAnsi="Arial" w:cs="Arial"/>
          <w:sz w:val="20"/>
          <w:szCs w:val="20"/>
          <w:lang w:val="sr-Cyrl-RS"/>
        </w:rPr>
        <w:t xml:space="preserve"> који уређује веома важне локалне приходе који долазе од опорезивања имовине. Овим законом уређени су предмет опорезивања, пореска основица, пореске стопе, пореска ослобођења и друга питања од значаја у вези са порезима на имовину. Следећи битан пропис за финансирање локалне самоуправе јесте Закон о порезу на доходак грађана, којим је уређено опорезивање дохотка грађана. Један од прихода који подлежу опорезивању (у складу са чл</w:t>
      </w:r>
      <w:r w:rsidR="0058523F">
        <w:rPr>
          <w:rFonts w:ascii="Arial" w:hAnsi="Arial" w:cs="Arial"/>
          <w:sz w:val="20"/>
          <w:szCs w:val="20"/>
          <w:lang w:val="sr-Cyrl-RS"/>
        </w:rPr>
        <w:t>аном</w:t>
      </w:r>
      <w:r w:rsidRPr="00A021B7">
        <w:rPr>
          <w:rFonts w:ascii="Arial" w:hAnsi="Arial" w:cs="Arial"/>
          <w:sz w:val="20"/>
          <w:szCs w:val="20"/>
          <w:lang w:val="sr-Cyrl-RS"/>
        </w:rPr>
        <w:t xml:space="preserve"> 3</w:t>
      </w:r>
      <w:r w:rsidR="0058523F">
        <w:rPr>
          <w:rFonts w:ascii="Arial" w:hAnsi="Arial" w:cs="Arial"/>
          <w:sz w:val="20"/>
          <w:szCs w:val="20"/>
          <w:lang w:val="sr-Cyrl-RS"/>
        </w:rPr>
        <w:t>.</w:t>
      </w:r>
      <w:r w:rsidRPr="00A021B7">
        <w:rPr>
          <w:rFonts w:ascii="Arial" w:hAnsi="Arial" w:cs="Arial"/>
          <w:sz w:val="20"/>
          <w:szCs w:val="20"/>
          <w:lang w:val="sr-Cyrl-RS"/>
        </w:rPr>
        <w:t xml:space="preserve"> став 1</w:t>
      </w:r>
      <w:r w:rsidR="0058523F">
        <w:rPr>
          <w:rFonts w:ascii="Arial" w:hAnsi="Arial" w:cs="Arial"/>
          <w:sz w:val="20"/>
          <w:szCs w:val="20"/>
          <w:lang w:val="sr-Cyrl-RS"/>
        </w:rPr>
        <w:t>.</w:t>
      </w:r>
      <w:r w:rsidRPr="00A021B7">
        <w:rPr>
          <w:rFonts w:ascii="Arial" w:hAnsi="Arial" w:cs="Arial"/>
          <w:sz w:val="20"/>
          <w:szCs w:val="20"/>
          <w:lang w:val="sr-Cyrl-RS"/>
        </w:rPr>
        <w:t xml:space="preserve"> овог закона) је</w:t>
      </w:r>
      <w:r w:rsidR="0058523F">
        <w:rPr>
          <w:rFonts w:ascii="Arial" w:hAnsi="Arial" w:cs="Arial"/>
          <w:sz w:val="20"/>
          <w:szCs w:val="20"/>
          <w:lang w:val="sr-Cyrl-RS"/>
        </w:rPr>
        <w:t>сте</w:t>
      </w:r>
      <w:r w:rsidRPr="00A021B7">
        <w:rPr>
          <w:rFonts w:ascii="Arial" w:hAnsi="Arial" w:cs="Arial"/>
          <w:sz w:val="20"/>
          <w:szCs w:val="20"/>
          <w:lang w:val="sr-Cyrl-RS"/>
        </w:rPr>
        <w:t xml:space="preserve"> приход од пореза на зараде, који је уједно и најзначајнији уступљени приход ЈЛС. Трећи важан пропис који уређује приходе локалне самоуправе јесте Закон о накнадама за коришћење јавних добара. У складу са овим прописом</w:t>
      </w:r>
      <w:r w:rsidR="0058523F">
        <w:rPr>
          <w:rFonts w:ascii="Arial" w:hAnsi="Arial" w:cs="Arial"/>
          <w:sz w:val="20"/>
          <w:szCs w:val="20"/>
          <w:lang w:val="sr-Cyrl-RS"/>
        </w:rPr>
        <w:t>,</w:t>
      </w:r>
      <w:r w:rsidRPr="00A021B7">
        <w:rPr>
          <w:rFonts w:ascii="Arial" w:hAnsi="Arial" w:cs="Arial"/>
          <w:sz w:val="20"/>
          <w:szCs w:val="20"/>
          <w:lang w:val="sr-Cyrl-RS"/>
        </w:rPr>
        <w:t xml:space="preserve"> локалној самоуправи у потпуности припадају приходи од три накнаде за коришћење јавних добара (изворни приходи)</w:t>
      </w:r>
      <w:r w:rsidR="003E03ED" w:rsidRPr="00A021B7">
        <w:rPr>
          <w:rFonts w:ascii="Arial" w:hAnsi="Arial" w:cs="Arial"/>
          <w:sz w:val="20"/>
          <w:szCs w:val="20"/>
          <w:vertAlign w:val="superscript"/>
          <w:lang w:val="sr-Cyrl-RS"/>
        </w:rPr>
        <w:footnoteReference w:id="42"/>
      </w:r>
      <w:r w:rsidRPr="00A021B7">
        <w:rPr>
          <w:rFonts w:ascii="Arial" w:hAnsi="Arial" w:cs="Arial"/>
          <w:sz w:val="20"/>
          <w:szCs w:val="20"/>
          <w:lang w:val="sr-Cyrl-RS"/>
        </w:rPr>
        <w:t>, а делимично приходи од четири накнаде за коришћење јавних добара (уступљени приходи).</w:t>
      </w:r>
      <w:r w:rsidR="003E03ED" w:rsidRPr="00A021B7">
        <w:rPr>
          <w:rFonts w:ascii="Arial" w:hAnsi="Arial" w:cs="Arial"/>
          <w:sz w:val="20"/>
          <w:szCs w:val="20"/>
          <w:vertAlign w:val="superscript"/>
          <w:lang w:val="sr-Cyrl-RS"/>
        </w:rPr>
        <w:footnoteReference w:id="43"/>
      </w:r>
    </w:p>
    <w:p w14:paraId="0C5C6214" w14:textId="77777777" w:rsidR="003E03ED" w:rsidRPr="00A021B7" w:rsidRDefault="003E03ED" w:rsidP="1A8E6423">
      <w:pPr>
        <w:ind w:firstLine="720"/>
        <w:jc w:val="both"/>
        <w:rPr>
          <w:rFonts w:ascii="Arial" w:hAnsi="Arial" w:cs="Arial"/>
          <w:sz w:val="20"/>
          <w:szCs w:val="20"/>
          <w:lang w:val="sr-Cyrl-RS"/>
        </w:rPr>
      </w:pPr>
    </w:p>
    <w:p w14:paraId="4F2B519C" w14:textId="2E335F6A"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На нивоу целог система локалне самоуправе у структури прихода и примања најзначајнији су уступљени приходи (око 40%) и изворни приходи (око 35%), док једну петину од прихода и примања чине приходи од трансфера. Остали приходи и примања долазе од примања од задуживања и продаје финансијске и нефинансијске имовине. Међутим, ако би се анализирале свака ЈЛС појединачно или групе ЈЛС, видело би се да постоје значајне разлике у структури њихових прихода и примања у смислу да</w:t>
      </w:r>
      <w:r w:rsidR="00310749">
        <w:rPr>
          <w:rFonts w:ascii="Arial" w:hAnsi="Arial" w:cs="Arial"/>
          <w:sz w:val="20"/>
          <w:szCs w:val="20"/>
          <w:lang w:val="sr-Cyrl-RS"/>
        </w:rPr>
        <w:t>,</w:t>
      </w:r>
      <w:r w:rsidRPr="00A021B7">
        <w:rPr>
          <w:rFonts w:ascii="Arial" w:hAnsi="Arial" w:cs="Arial"/>
          <w:sz w:val="20"/>
          <w:szCs w:val="20"/>
          <w:lang w:val="sr-Cyrl-RS"/>
        </w:rPr>
        <w:t xml:space="preserve"> примера ради</w:t>
      </w:r>
      <w:r w:rsidR="00310749">
        <w:rPr>
          <w:rFonts w:ascii="Arial" w:hAnsi="Arial" w:cs="Arial"/>
          <w:sz w:val="20"/>
          <w:szCs w:val="20"/>
          <w:lang w:val="sr-Cyrl-RS"/>
        </w:rPr>
        <w:t>,</w:t>
      </w:r>
      <w:r w:rsidRPr="00A021B7">
        <w:rPr>
          <w:rFonts w:ascii="Arial" w:hAnsi="Arial" w:cs="Arial"/>
          <w:sz w:val="20"/>
          <w:szCs w:val="20"/>
          <w:lang w:val="sr-Cyrl-RS"/>
        </w:rPr>
        <w:t xml:space="preserve"> један део има знатно већи удео трансфера (то су</w:t>
      </w:r>
      <w:r w:rsidR="727C53BD" w:rsidRPr="00A021B7">
        <w:rPr>
          <w:rFonts w:ascii="Arial" w:hAnsi="Arial" w:cs="Arial"/>
          <w:sz w:val="20"/>
          <w:szCs w:val="20"/>
          <w:lang w:val="sr-Cyrl-RS"/>
        </w:rPr>
        <w:t>,</w:t>
      </w:r>
      <w:r w:rsidRPr="00A021B7">
        <w:rPr>
          <w:rFonts w:ascii="Arial" w:hAnsi="Arial" w:cs="Arial"/>
          <w:sz w:val="20"/>
          <w:szCs w:val="20"/>
          <w:lang w:val="sr-Cyrl-RS"/>
        </w:rPr>
        <w:t xml:space="preserve"> у</w:t>
      </w:r>
      <w:r w:rsidR="6C15BD59" w:rsidRPr="00A021B7">
        <w:rPr>
          <w:rFonts w:ascii="Arial" w:hAnsi="Arial" w:cs="Arial"/>
          <w:sz w:val="20"/>
          <w:szCs w:val="20"/>
          <w:lang w:val="sr-Cyrl-RS"/>
        </w:rPr>
        <w:t xml:space="preserve"> </w:t>
      </w:r>
      <w:r w:rsidRPr="00A021B7">
        <w:rPr>
          <w:rFonts w:ascii="Arial" w:hAnsi="Arial" w:cs="Arial"/>
          <w:sz w:val="20"/>
          <w:szCs w:val="20"/>
          <w:lang w:val="sr-Cyrl-RS"/>
        </w:rPr>
        <w:t>принципу</w:t>
      </w:r>
      <w:r w:rsidR="50071CE6" w:rsidRPr="00A021B7">
        <w:rPr>
          <w:rFonts w:ascii="Arial" w:hAnsi="Arial" w:cs="Arial"/>
          <w:sz w:val="20"/>
          <w:szCs w:val="20"/>
          <w:lang w:val="sr-Cyrl-RS"/>
        </w:rPr>
        <w:t>,</w:t>
      </w:r>
      <w:r w:rsidRPr="00A021B7">
        <w:rPr>
          <w:rFonts w:ascii="Arial" w:hAnsi="Arial" w:cs="Arial"/>
          <w:sz w:val="20"/>
          <w:szCs w:val="20"/>
          <w:lang w:val="sr-Cyrl-RS"/>
        </w:rPr>
        <w:t xml:space="preserve"> мање и неразвијене ЈЛС)</w:t>
      </w:r>
      <w:r w:rsidR="00310749">
        <w:rPr>
          <w:rFonts w:ascii="Arial" w:hAnsi="Arial" w:cs="Arial"/>
          <w:sz w:val="20"/>
          <w:szCs w:val="20"/>
          <w:lang w:val="sr-Cyrl-RS"/>
        </w:rPr>
        <w:t>,</w:t>
      </w:r>
      <w:r w:rsidRPr="00A021B7">
        <w:rPr>
          <w:rFonts w:ascii="Arial" w:hAnsi="Arial" w:cs="Arial"/>
          <w:sz w:val="20"/>
          <w:szCs w:val="20"/>
          <w:lang w:val="sr-Cyrl-RS"/>
        </w:rPr>
        <w:t xml:space="preserve"> а други нешто већи удео уступљених прихода (првенствено ЈЛС са развијенијом привредом).</w:t>
      </w:r>
      <w:r w:rsidRPr="1A8E6423">
        <w:rPr>
          <w:rFonts w:ascii="Arial" w:hAnsi="Arial" w:cs="Arial"/>
          <w:i/>
          <w:iCs/>
          <w:color w:val="404040" w:themeColor="text1" w:themeTint="BF"/>
          <w:sz w:val="20"/>
          <w:szCs w:val="20"/>
          <w:lang w:val="sr-Cyrl-RS"/>
        </w:rPr>
        <w:t xml:space="preserve"> </w:t>
      </w:r>
      <w:r w:rsidRPr="00A021B7">
        <w:rPr>
          <w:rFonts w:ascii="Arial" w:hAnsi="Arial" w:cs="Arial"/>
          <w:sz w:val="20"/>
          <w:szCs w:val="20"/>
          <w:lang w:val="sr-Cyrl-RS"/>
        </w:rPr>
        <w:t>Графички приказ у наставку приказује кретања укупних прихода и примања ЈЛС у периоду 2013</w:t>
      </w:r>
      <w:r w:rsidR="00310749">
        <w:rPr>
          <w:rFonts w:ascii="Arial" w:hAnsi="Arial" w:cs="Arial"/>
          <w:sz w:val="20"/>
          <w:szCs w:val="20"/>
          <w:lang w:val="sr-Cyrl-RS"/>
        </w:rPr>
        <w:t>–</w:t>
      </w:r>
      <w:r w:rsidRPr="00A021B7">
        <w:rPr>
          <w:rFonts w:ascii="Arial" w:hAnsi="Arial" w:cs="Arial"/>
          <w:sz w:val="20"/>
          <w:szCs w:val="20"/>
          <w:lang w:val="sr-Cyrl-RS"/>
        </w:rPr>
        <w:t>2019. године и удео најзначајнијих категорија прихода у укупним примањима ЈЛС (Приказ 2).</w:t>
      </w:r>
      <w:r w:rsidR="003E03ED" w:rsidRPr="00A021B7">
        <w:rPr>
          <w:rFonts w:ascii="Arial" w:hAnsi="Arial" w:cs="Arial"/>
          <w:sz w:val="20"/>
          <w:szCs w:val="20"/>
          <w:vertAlign w:val="superscript"/>
          <w:lang w:val="sr-Cyrl-RS"/>
        </w:rPr>
        <w:footnoteReference w:id="44"/>
      </w:r>
      <w:r w:rsidRPr="00A021B7">
        <w:rPr>
          <w:rFonts w:ascii="Arial" w:hAnsi="Arial" w:cs="Arial"/>
          <w:sz w:val="20"/>
          <w:szCs w:val="20"/>
          <w:lang w:val="sr-Cyrl-RS"/>
        </w:rPr>
        <w:t xml:space="preserve"> Укупни приходи и примања ЈЛС у 2019. години износили су 335</w:t>
      </w:r>
      <w:r w:rsidR="00310749">
        <w:rPr>
          <w:rFonts w:ascii="Arial" w:hAnsi="Arial" w:cs="Arial"/>
          <w:sz w:val="20"/>
          <w:szCs w:val="20"/>
          <w:lang w:val="sr-Cyrl-RS"/>
        </w:rPr>
        <w:t>,</w:t>
      </w:r>
      <w:r w:rsidRPr="00A021B7">
        <w:rPr>
          <w:rFonts w:ascii="Arial" w:hAnsi="Arial" w:cs="Arial"/>
          <w:sz w:val="20"/>
          <w:szCs w:val="20"/>
          <w:lang w:val="sr-Cyrl-RS"/>
        </w:rPr>
        <w:t>9 милијарди РСД, што је 14</w:t>
      </w:r>
      <w:r w:rsidR="00310749">
        <w:rPr>
          <w:rFonts w:ascii="Arial" w:hAnsi="Arial" w:cs="Arial"/>
          <w:sz w:val="20"/>
          <w:szCs w:val="20"/>
          <w:lang w:val="sr-Cyrl-RS"/>
        </w:rPr>
        <w:t>,</w:t>
      </w:r>
      <w:r w:rsidRPr="00A021B7">
        <w:rPr>
          <w:rFonts w:ascii="Arial" w:hAnsi="Arial" w:cs="Arial"/>
          <w:sz w:val="20"/>
          <w:szCs w:val="20"/>
          <w:lang w:val="sr-Cyrl-RS"/>
        </w:rPr>
        <w:t>74% консолидованих јавних прихода. Порез на доходак чини 38</w:t>
      </w:r>
      <w:r w:rsidR="00310749">
        <w:rPr>
          <w:rFonts w:ascii="Arial" w:hAnsi="Arial" w:cs="Arial"/>
          <w:sz w:val="20"/>
          <w:szCs w:val="20"/>
          <w:lang w:val="sr-Cyrl-RS"/>
        </w:rPr>
        <w:t>,</w:t>
      </w:r>
      <w:r w:rsidRPr="00A021B7">
        <w:rPr>
          <w:rFonts w:ascii="Arial" w:hAnsi="Arial" w:cs="Arial"/>
          <w:sz w:val="20"/>
          <w:szCs w:val="20"/>
          <w:lang w:val="sr-Cyrl-RS"/>
        </w:rPr>
        <w:t>1%</w:t>
      </w:r>
      <w:r w:rsidR="00310749">
        <w:rPr>
          <w:rFonts w:ascii="Arial" w:hAnsi="Arial" w:cs="Arial"/>
          <w:sz w:val="20"/>
          <w:szCs w:val="20"/>
          <w:lang w:val="sr-Cyrl-RS"/>
        </w:rPr>
        <w:t>,</w:t>
      </w:r>
      <w:r w:rsidRPr="00A021B7">
        <w:rPr>
          <w:rFonts w:ascii="Arial" w:hAnsi="Arial" w:cs="Arial"/>
          <w:sz w:val="20"/>
          <w:szCs w:val="20"/>
          <w:lang w:val="sr-Cyrl-RS"/>
        </w:rPr>
        <w:t xml:space="preserve"> а порези на имовину 15</w:t>
      </w:r>
      <w:r w:rsidR="00310749">
        <w:rPr>
          <w:rFonts w:ascii="Arial" w:hAnsi="Arial" w:cs="Arial"/>
          <w:sz w:val="20"/>
          <w:szCs w:val="20"/>
          <w:lang w:val="sr-Cyrl-RS"/>
        </w:rPr>
        <w:t>,</w:t>
      </w:r>
      <w:r w:rsidRPr="00A021B7">
        <w:rPr>
          <w:rFonts w:ascii="Arial" w:hAnsi="Arial" w:cs="Arial"/>
          <w:sz w:val="20"/>
          <w:szCs w:val="20"/>
          <w:lang w:val="sr-Cyrl-RS"/>
        </w:rPr>
        <w:t>8% укупних прихода и примања. Трансфери и донације износили су нешто преко 18%</w:t>
      </w:r>
      <w:r w:rsidR="00310749">
        <w:rPr>
          <w:rFonts w:ascii="Arial" w:hAnsi="Arial" w:cs="Arial"/>
          <w:sz w:val="20"/>
          <w:szCs w:val="20"/>
          <w:lang w:val="sr-Cyrl-RS"/>
        </w:rPr>
        <w:t>,</w:t>
      </w:r>
      <w:r w:rsidRPr="00A021B7">
        <w:rPr>
          <w:rFonts w:ascii="Arial" w:hAnsi="Arial" w:cs="Arial"/>
          <w:sz w:val="20"/>
          <w:szCs w:val="20"/>
          <w:lang w:val="sr-Cyrl-RS"/>
        </w:rPr>
        <w:t xml:space="preserve"> а остали приходи и примања 27</w:t>
      </w:r>
      <w:r w:rsidR="00310749">
        <w:rPr>
          <w:rFonts w:ascii="Arial" w:hAnsi="Arial" w:cs="Arial"/>
          <w:sz w:val="20"/>
          <w:szCs w:val="20"/>
          <w:lang w:val="sr-Cyrl-RS"/>
        </w:rPr>
        <w:t>,</w:t>
      </w:r>
      <w:r w:rsidRPr="00A021B7">
        <w:rPr>
          <w:rFonts w:ascii="Arial" w:hAnsi="Arial" w:cs="Arial"/>
          <w:sz w:val="20"/>
          <w:szCs w:val="20"/>
          <w:lang w:val="sr-Cyrl-RS"/>
        </w:rPr>
        <w:t>7% укупних примања која су оствариле ЈЛС (примања од продаје финансијске имовине, примања од задуживања, друг</w:t>
      </w:r>
      <w:r w:rsidR="00310749">
        <w:rPr>
          <w:rFonts w:ascii="Arial" w:hAnsi="Arial" w:cs="Arial"/>
          <w:sz w:val="20"/>
          <w:szCs w:val="20"/>
          <w:lang w:val="sr-Cyrl-RS"/>
        </w:rPr>
        <w:t>и</w:t>
      </w:r>
      <w:r w:rsidRPr="00A021B7">
        <w:rPr>
          <w:rFonts w:ascii="Arial" w:hAnsi="Arial" w:cs="Arial"/>
          <w:sz w:val="20"/>
          <w:szCs w:val="20"/>
          <w:lang w:val="sr-Cyrl-RS"/>
        </w:rPr>
        <w:t xml:space="preserve"> порез</w:t>
      </w:r>
      <w:r w:rsidR="00310749">
        <w:rPr>
          <w:rFonts w:ascii="Arial" w:hAnsi="Arial" w:cs="Arial"/>
          <w:sz w:val="20"/>
          <w:szCs w:val="20"/>
          <w:lang w:val="sr-Cyrl-RS"/>
        </w:rPr>
        <w:t>и</w:t>
      </w:r>
      <w:r w:rsidRPr="00A021B7">
        <w:rPr>
          <w:rFonts w:ascii="Arial" w:hAnsi="Arial" w:cs="Arial"/>
          <w:sz w:val="20"/>
          <w:szCs w:val="20"/>
          <w:lang w:val="sr-Cyrl-RS"/>
        </w:rPr>
        <w:t xml:space="preserve"> и остал</w:t>
      </w:r>
      <w:r w:rsidR="00310749">
        <w:rPr>
          <w:rFonts w:ascii="Arial" w:hAnsi="Arial" w:cs="Arial"/>
          <w:sz w:val="20"/>
          <w:szCs w:val="20"/>
          <w:lang w:val="sr-Cyrl-RS"/>
        </w:rPr>
        <w:t>и</w:t>
      </w:r>
      <w:r w:rsidRPr="00A021B7">
        <w:rPr>
          <w:rFonts w:ascii="Arial" w:hAnsi="Arial" w:cs="Arial"/>
          <w:sz w:val="20"/>
          <w:szCs w:val="20"/>
          <w:lang w:val="sr-Cyrl-RS"/>
        </w:rPr>
        <w:t xml:space="preserve"> приход</w:t>
      </w:r>
      <w:r w:rsidR="00310749">
        <w:rPr>
          <w:rFonts w:ascii="Arial" w:hAnsi="Arial" w:cs="Arial"/>
          <w:sz w:val="20"/>
          <w:szCs w:val="20"/>
          <w:lang w:val="sr-Cyrl-RS"/>
        </w:rPr>
        <w:t>и</w:t>
      </w:r>
      <w:r w:rsidRPr="00A021B7">
        <w:rPr>
          <w:rFonts w:ascii="Arial" w:hAnsi="Arial" w:cs="Arial"/>
          <w:sz w:val="20"/>
          <w:szCs w:val="20"/>
          <w:lang w:val="sr-Cyrl-RS"/>
        </w:rPr>
        <w:t>).</w:t>
      </w:r>
    </w:p>
    <w:p w14:paraId="34F4887E" w14:textId="77777777" w:rsidR="003E03ED" w:rsidRPr="00A021B7" w:rsidRDefault="003E03ED" w:rsidP="003E7BC9">
      <w:pPr>
        <w:jc w:val="both"/>
        <w:rPr>
          <w:rFonts w:ascii="Arial" w:hAnsi="Arial" w:cs="Arial"/>
          <w:sz w:val="20"/>
          <w:szCs w:val="20"/>
          <w:lang w:val="sr-Cyrl-RS"/>
        </w:rPr>
      </w:pPr>
    </w:p>
    <w:p w14:paraId="242516E0" w14:textId="7004CAD9" w:rsidR="003E03ED" w:rsidRPr="00A021B7" w:rsidRDefault="003E03ED" w:rsidP="003E7BC9">
      <w:pPr>
        <w:jc w:val="both"/>
        <w:rPr>
          <w:rFonts w:ascii="Arial" w:hAnsi="Arial" w:cs="Arial"/>
          <w:sz w:val="20"/>
          <w:szCs w:val="20"/>
          <w:lang w:val="sr-Cyrl-RS"/>
        </w:rPr>
      </w:pPr>
      <w:r w:rsidRPr="1A8E6423">
        <w:rPr>
          <w:rFonts w:ascii="Arial" w:hAnsi="Arial" w:cs="Arial"/>
          <w:i/>
          <w:iCs/>
          <w:color w:val="404040" w:themeColor="text1" w:themeTint="BF"/>
          <w:sz w:val="20"/>
          <w:szCs w:val="20"/>
          <w:lang w:val="sr-Cyrl-RS"/>
        </w:rPr>
        <w:t xml:space="preserve">Приказ 1: Приходи и примања ЈЛС </w:t>
      </w:r>
      <w:r w:rsidR="00310749" w:rsidRPr="1A8E6423">
        <w:rPr>
          <w:rFonts w:ascii="Arial" w:hAnsi="Arial" w:cs="Arial"/>
          <w:i/>
          <w:iCs/>
          <w:color w:val="404040" w:themeColor="text1" w:themeTint="BF"/>
          <w:sz w:val="20"/>
          <w:szCs w:val="20"/>
          <w:lang w:val="sr-Cyrl-RS"/>
        </w:rPr>
        <w:t xml:space="preserve">за период </w:t>
      </w:r>
      <w:r w:rsidRPr="1A8E6423">
        <w:rPr>
          <w:rFonts w:ascii="Arial" w:hAnsi="Arial" w:cs="Arial"/>
          <w:i/>
          <w:iCs/>
          <w:color w:val="404040" w:themeColor="text1" w:themeTint="BF"/>
          <w:sz w:val="20"/>
          <w:szCs w:val="20"/>
          <w:lang w:val="sr-Cyrl-RS"/>
        </w:rPr>
        <w:t>2013</w:t>
      </w:r>
      <w:r w:rsidR="00310749"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2019, у милијардама РСД и њихова основна структура (извор: Билтен јавних финансија</w:t>
      </w:r>
      <w:r w:rsidR="00310749"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 xml:space="preserve"> бр</w:t>
      </w:r>
      <w:r w:rsidR="007912FB" w:rsidRPr="1A8E6423">
        <w:rPr>
          <w:rFonts w:ascii="Arial" w:hAnsi="Arial" w:cs="Arial"/>
          <w:i/>
          <w:iCs/>
          <w:color w:val="404040" w:themeColor="text1" w:themeTint="BF"/>
          <w:sz w:val="20"/>
          <w:szCs w:val="20"/>
          <w:lang w:val="sr-Cyrl-RS"/>
        </w:rPr>
        <w:t xml:space="preserve">ој </w:t>
      </w:r>
      <w:r w:rsidRPr="1A8E6423">
        <w:rPr>
          <w:rFonts w:ascii="Arial" w:hAnsi="Arial" w:cs="Arial"/>
          <w:i/>
          <w:iCs/>
          <w:color w:val="404040" w:themeColor="text1" w:themeTint="BF"/>
          <w:sz w:val="20"/>
          <w:szCs w:val="20"/>
          <w:lang w:val="sr-Cyrl-RS"/>
        </w:rPr>
        <w:t>184, Министарство финансија)</w:t>
      </w:r>
    </w:p>
    <w:p w14:paraId="3DEB65B1" w14:textId="77777777" w:rsidR="003E03ED" w:rsidRPr="00A021B7" w:rsidRDefault="003E03ED" w:rsidP="003E7BC9">
      <w:pPr>
        <w:jc w:val="both"/>
        <w:rPr>
          <w:rFonts w:ascii="Arial" w:hAnsi="Arial" w:cs="Arial"/>
          <w:sz w:val="20"/>
          <w:szCs w:val="20"/>
          <w:lang w:val="sr-Cyrl-RS"/>
        </w:rPr>
      </w:pPr>
    </w:p>
    <w:p w14:paraId="0AA91ABC" w14:textId="77777777" w:rsidR="003E03ED" w:rsidRPr="00A021B7" w:rsidRDefault="003E03ED" w:rsidP="003E7BC9">
      <w:pPr>
        <w:jc w:val="both"/>
        <w:rPr>
          <w:rFonts w:ascii="Arial" w:hAnsi="Arial" w:cs="Arial"/>
          <w:i/>
          <w:iCs/>
          <w:color w:val="404040" w:themeColor="text1" w:themeTint="BF"/>
          <w:sz w:val="20"/>
          <w:szCs w:val="20"/>
          <w:lang w:val="sr-Cyrl-RS"/>
        </w:rPr>
      </w:pPr>
      <w:r w:rsidRPr="00A021B7">
        <w:rPr>
          <w:rFonts w:ascii="Arial" w:hAnsi="Arial" w:cs="Arial"/>
          <w:noProof/>
          <w:sz w:val="20"/>
          <w:szCs w:val="20"/>
          <w:lang w:eastAsia="en-US"/>
        </w:rPr>
        <w:drawing>
          <wp:inline distT="0" distB="0" distL="0" distR="0" wp14:anchorId="37856482" wp14:editId="136DA625">
            <wp:extent cx="5731510" cy="3291840"/>
            <wp:effectExtent l="0" t="0" r="2540" b="3810"/>
            <wp:docPr id="8" name="Chart 8">
              <a:extLst xmlns:a="http://schemas.openxmlformats.org/drawingml/2006/main">
                <a:ext uri="{FF2B5EF4-FFF2-40B4-BE49-F238E27FC236}">
                  <a16:creationId xmlns:a16="http://schemas.microsoft.com/office/drawing/2014/main" id="{0C009830-40D0-4281-AC95-C8611C46B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735333" w14:textId="77777777" w:rsidR="003E03ED" w:rsidRPr="00A021B7" w:rsidRDefault="003E03ED" w:rsidP="003E7BC9">
      <w:pPr>
        <w:jc w:val="both"/>
        <w:rPr>
          <w:rFonts w:ascii="Arial" w:hAnsi="Arial" w:cs="Arial"/>
          <w:sz w:val="20"/>
          <w:szCs w:val="20"/>
          <w:lang w:val="sr-Cyrl-RS"/>
        </w:rPr>
      </w:pPr>
    </w:p>
    <w:p w14:paraId="274B8825" w14:textId="569843FA"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Од 2015. године укупни приходи и примања ЈЛС константно остварују номинални раст, већи од годишње стопе инфлације – што </w:t>
      </w:r>
      <w:r w:rsidR="004F7C66" w:rsidRPr="1A8E6423">
        <w:rPr>
          <w:rFonts w:ascii="Arial" w:hAnsi="Arial" w:cs="Arial"/>
          <w:sz w:val="20"/>
          <w:szCs w:val="20"/>
          <w:lang w:val="sr-Cyrl-RS"/>
        </w:rPr>
        <w:t>значи да је присутан</w:t>
      </w:r>
      <w:r w:rsidRPr="1A8E6423">
        <w:rPr>
          <w:rFonts w:ascii="Arial" w:hAnsi="Arial" w:cs="Arial"/>
          <w:sz w:val="20"/>
          <w:szCs w:val="20"/>
          <w:lang w:val="sr-Cyrl-RS"/>
        </w:rPr>
        <w:t xml:space="preserve"> реалан раст. Са друге стране, </w:t>
      </w:r>
      <w:r w:rsidR="00310749" w:rsidRPr="1A8E6423">
        <w:rPr>
          <w:rFonts w:ascii="Arial" w:hAnsi="Arial" w:cs="Arial"/>
          <w:sz w:val="20"/>
          <w:szCs w:val="20"/>
          <w:lang w:val="sr-Cyrl-RS"/>
        </w:rPr>
        <w:t xml:space="preserve">њихов </w:t>
      </w:r>
      <w:r w:rsidRPr="1A8E6423">
        <w:rPr>
          <w:rFonts w:ascii="Arial" w:hAnsi="Arial" w:cs="Arial"/>
          <w:sz w:val="20"/>
          <w:szCs w:val="20"/>
          <w:lang w:val="sr-Cyrl-RS"/>
        </w:rPr>
        <w:t>удео у консолидованим јавним приходима РС остаје непромењен (Приказ 3).</w:t>
      </w:r>
    </w:p>
    <w:p w14:paraId="17B2CB43" w14:textId="77777777" w:rsidR="003E03ED" w:rsidRPr="00A021B7" w:rsidRDefault="003E03ED" w:rsidP="003E7BC9">
      <w:pPr>
        <w:jc w:val="both"/>
        <w:rPr>
          <w:rFonts w:ascii="Arial" w:hAnsi="Arial" w:cs="Arial"/>
          <w:i/>
          <w:iCs/>
          <w:color w:val="404040" w:themeColor="text1" w:themeTint="BF"/>
          <w:sz w:val="20"/>
          <w:szCs w:val="20"/>
          <w:lang w:val="sr-Cyrl-RS"/>
        </w:rPr>
      </w:pPr>
    </w:p>
    <w:p w14:paraId="412C7852" w14:textId="53832FCA" w:rsidR="003E03ED" w:rsidRPr="00A021B7" w:rsidRDefault="003E03ED" w:rsidP="1A8E6423">
      <w:pPr>
        <w:jc w:val="both"/>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Приказ 2: Кретање консолидованих јавних прихода РС и укупних прихода и примања ЈЛС (у односу на претходну годину) и удео прихода и примања ЈЛС у консолидованима јавним приходима РС (КЈП), за период 2013</w:t>
      </w:r>
      <w:r w:rsidR="00310749"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2019</w:t>
      </w:r>
      <w:r w:rsidR="00310749" w:rsidRPr="1A8E6423">
        <w:rPr>
          <w:rFonts w:ascii="Arial" w:hAnsi="Arial" w:cs="Arial"/>
          <w:i/>
          <w:iCs/>
          <w:color w:val="404040" w:themeColor="text1" w:themeTint="BF"/>
          <w:sz w:val="20"/>
          <w:szCs w:val="20"/>
          <w:lang w:val="sr-Cyrl-RS"/>
        </w:rPr>
        <w:t>. године</w:t>
      </w:r>
      <w:r w:rsidRPr="1A8E6423">
        <w:rPr>
          <w:rFonts w:ascii="Arial" w:hAnsi="Arial" w:cs="Arial"/>
          <w:i/>
          <w:iCs/>
          <w:color w:val="404040" w:themeColor="text1" w:themeTint="BF"/>
          <w:sz w:val="20"/>
          <w:szCs w:val="20"/>
          <w:lang w:val="sr-Cyrl-RS"/>
        </w:rPr>
        <w:t xml:space="preserve"> (извор: Билтен јавних финансија</w:t>
      </w:r>
      <w:r w:rsidR="00310749"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 xml:space="preserve"> бр</w:t>
      </w:r>
      <w:r w:rsidR="007912FB" w:rsidRPr="1A8E6423">
        <w:rPr>
          <w:rFonts w:ascii="Arial" w:hAnsi="Arial" w:cs="Arial"/>
          <w:i/>
          <w:iCs/>
          <w:color w:val="404040" w:themeColor="text1" w:themeTint="BF"/>
          <w:sz w:val="20"/>
          <w:szCs w:val="20"/>
          <w:lang w:val="sr-Cyrl-RS"/>
        </w:rPr>
        <w:t xml:space="preserve">ој </w:t>
      </w:r>
      <w:r w:rsidRPr="1A8E6423">
        <w:rPr>
          <w:rFonts w:ascii="Arial" w:hAnsi="Arial" w:cs="Arial"/>
          <w:i/>
          <w:iCs/>
          <w:color w:val="404040" w:themeColor="text1" w:themeTint="BF"/>
          <w:sz w:val="20"/>
          <w:szCs w:val="20"/>
          <w:lang w:val="sr-Cyrl-RS"/>
        </w:rPr>
        <w:t>184, Министарство финансија)</w:t>
      </w:r>
    </w:p>
    <w:p w14:paraId="6210B75B" w14:textId="77777777" w:rsidR="003E03ED" w:rsidRPr="00A021B7" w:rsidRDefault="003E03ED" w:rsidP="003E7BC9">
      <w:pPr>
        <w:jc w:val="both"/>
        <w:rPr>
          <w:rFonts w:ascii="Arial" w:hAnsi="Arial" w:cs="Arial"/>
          <w:i/>
          <w:iCs/>
          <w:color w:val="404040" w:themeColor="text1" w:themeTint="BF"/>
          <w:sz w:val="20"/>
          <w:szCs w:val="20"/>
          <w:lang w:val="sr-Cyrl-RS"/>
        </w:rPr>
      </w:pPr>
    </w:p>
    <w:p w14:paraId="36570888" w14:textId="77777777" w:rsidR="003E03ED" w:rsidRPr="00A021B7" w:rsidRDefault="003E03ED" w:rsidP="003E7BC9">
      <w:pPr>
        <w:jc w:val="both"/>
        <w:rPr>
          <w:rFonts w:ascii="Arial" w:hAnsi="Arial" w:cs="Arial"/>
          <w:i/>
          <w:iCs/>
          <w:color w:val="404040" w:themeColor="text1" w:themeTint="BF"/>
          <w:sz w:val="20"/>
          <w:szCs w:val="20"/>
          <w:lang w:val="sr-Cyrl-RS"/>
        </w:rPr>
      </w:pPr>
      <w:r w:rsidRPr="00A021B7">
        <w:rPr>
          <w:rFonts w:ascii="Arial" w:hAnsi="Arial" w:cs="Arial"/>
          <w:noProof/>
          <w:sz w:val="20"/>
          <w:szCs w:val="20"/>
          <w:lang w:eastAsia="en-US"/>
        </w:rPr>
        <w:drawing>
          <wp:inline distT="0" distB="0" distL="0" distR="0" wp14:anchorId="708BA7E4" wp14:editId="38B4B67D">
            <wp:extent cx="5731510" cy="2743200"/>
            <wp:effectExtent l="0" t="0" r="8890" b="12700"/>
            <wp:docPr id="10" name="Chart 10">
              <a:extLst xmlns:a="http://schemas.openxmlformats.org/drawingml/2006/main">
                <a:ext uri="{FF2B5EF4-FFF2-40B4-BE49-F238E27FC236}">
                  <a16:creationId xmlns:a16="http://schemas.microsoft.com/office/drawing/2014/main" id="{C2B6C243-5854-49E5-9C49-CB3474A63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EF2784" w14:textId="77777777" w:rsidR="002C0805" w:rsidRPr="00A021B7" w:rsidRDefault="002C0805" w:rsidP="003E7BC9">
      <w:pPr>
        <w:jc w:val="both"/>
        <w:rPr>
          <w:rFonts w:ascii="Arial" w:hAnsi="Arial" w:cs="Arial"/>
          <w:i/>
          <w:iCs/>
          <w:color w:val="404040" w:themeColor="text1" w:themeTint="BF"/>
          <w:sz w:val="20"/>
          <w:szCs w:val="20"/>
          <w:lang w:val="sr-Cyrl-RS"/>
        </w:rPr>
      </w:pPr>
    </w:p>
    <w:p w14:paraId="48CBD230" w14:textId="35B45234"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Изворни приходи су најсложенија</w:t>
      </w:r>
      <w:r w:rsidRPr="00A021B7" w:rsidDel="00F75915">
        <w:rPr>
          <w:rFonts w:ascii="Arial" w:hAnsi="Arial" w:cs="Arial"/>
          <w:sz w:val="20"/>
          <w:szCs w:val="20"/>
          <w:lang w:val="sr-Cyrl-RS"/>
        </w:rPr>
        <w:t xml:space="preserve"> </w:t>
      </w:r>
      <w:r w:rsidRPr="00A021B7">
        <w:rPr>
          <w:rFonts w:ascii="Arial" w:hAnsi="Arial" w:cs="Arial"/>
          <w:sz w:val="20"/>
          <w:szCs w:val="20"/>
          <w:lang w:val="sr-Cyrl-RS"/>
        </w:rPr>
        <w:t xml:space="preserve">врста локалних </w:t>
      </w:r>
      <w:r w:rsidRPr="00A021B7">
        <w:rPr>
          <w:rFonts w:ascii="Arial" w:hAnsi="Arial" w:cs="Arial"/>
          <w:color w:val="000000" w:themeColor="text1"/>
          <w:sz w:val="20"/>
          <w:szCs w:val="20"/>
          <w:lang w:val="sr-Cyrl-RS"/>
        </w:rPr>
        <w:t xml:space="preserve">прихода и разноврсни су, што је позитивно за систем финансирања локалне самоуправе. Један од </w:t>
      </w:r>
      <w:r w:rsidRPr="00A021B7">
        <w:rPr>
          <w:rFonts w:ascii="Arial" w:hAnsi="Arial" w:cs="Arial"/>
          <w:sz w:val="20"/>
          <w:szCs w:val="20"/>
          <w:lang w:val="sr-Cyrl-RS"/>
        </w:rPr>
        <w:t>најзначајнијих резултата ЗОФЛС јесте пренос надлежности ЈЛС да администрирају изворне приходе.</w:t>
      </w:r>
      <w:r w:rsidR="003E03ED" w:rsidRPr="00A021B7">
        <w:rPr>
          <w:rFonts w:ascii="Arial" w:hAnsi="Arial" w:cs="Arial"/>
          <w:sz w:val="20"/>
          <w:szCs w:val="20"/>
          <w:vertAlign w:val="superscript"/>
          <w:lang w:val="sr-Cyrl-RS"/>
        </w:rPr>
        <w:footnoteReference w:id="45"/>
      </w:r>
      <w:r w:rsidRPr="00A021B7">
        <w:rPr>
          <w:rFonts w:ascii="Arial" w:hAnsi="Arial" w:cs="Arial"/>
          <w:sz w:val="20"/>
          <w:szCs w:val="20"/>
          <w:lang w:val="sr-Cyrl-RS"/>
        </w:rPr>
        <w:t xml:space="preserve"> </w:t>
      </w:r>
      <w:r w:rsidR="55E3C9DA" w:rsidRPr="00A021B7">
        <w:rPr>
          <w:rFonts w:ascii="Arial" w:hAnsi="Arial" w:cs="Arial"/>
          <w:sz w:val="20"/>
          <w:szCs w:val="20"/>
          <w:lang w:val="sr-Cyrl-RS"/>
        </w:rPr>
        <w:t xml:space="preserve">Преношењем надлежности за администрирање пореза на имовину на локални ниво </w:t>
      </w:r>
      <w:r w:rsidRPr="00A021B7">
        <w:rPr>
          <w:rFonts w:ascii="Arial" w:hAnsi="Arial" w:cs="Arial"/>
          <w:sz w:val="20"/>
          <w:szCs w:val="20"/>
          <w:lang w:val="sr-Cyrl-RS"/>
        </w:rPr>
        <w:t xml:space="preserve">повећана је </w:t>
      </w:r>
      <w:r w:rsidRPr="00A021B7">
        <w:rPr>
          <w:rFonts w:ascii="Arial" w:hAnsi="Arial" w:cs="Arial"/>
          <w:sz w:val="20"/>
          <w:szCs w:val="20"/>
          <w:lang w:val="sr-Cyrl-RS"/>
        </w:rPr>
        <w:lastRenderedPageBreak/>
        <w:t>заинтересованост ЈЛС за већ</w:t>
      </w:r>
      <w:r w:rsidR="00FF2F95">
        <w:rPr>
          <w:rFonts w:ascii="Arial" w:hAnsi="Arial" w:cs="Arial"/>
          <w:sz w:val="20"/>
          <w:szCs w:val="20"/>
          <w:lang w:val="sr-Cyrl-RS"/>
        </w:rPr>
        <w:t>и</w:t>
      </w:r>
      <w:r w:rsidRPr="00A021B7">
        <w:rPr>
          <w:rFonts w:ascii="Arial" w:hAnsi="Arial" w:cs="Arial"/>
          <w:sz w:val="20"/>
          <w:szCs w:val="20"/>
          <w:lang w:val="sr-Cyrl-RS"/>
        </w:rPr>
        <w:t xml:space="preserve"> обухват обвезника, односно проширена је пореска база, а бољом наплатом смањена пореска евазија. У структури изворних прихода најзначајнији је порез на имовину у статици</w:t>
      </w:r>
      <w:r w:rsidR="003E03ED" w:rsidRPr="00A021B7">
        <w:rPr>
          <w:rFonts w:ascii="Arial" w:hAnsi="Arial" w:cs="Arial"/>
          <w:sz w:val="20"/>
          <w:szCs w:val="20"/>
          <w:vertAlign w:val="superscript"/>
          <w:lang w:val="sr-Cyrl-RS"/>
        </w:rPr>
        <w:footnoteReference w:id="46"/>
      </w:r>
      <w:r w:rsidR="00FF2F95">
        <w:rPr>
          <w:rFonts w:ascii="Arial" w:hAnsi="Arial" w:cs="Arial"/>
          <w:sz w:val="20"/>
          <w:szCs w:val="20"/>
          <w:lang w:val="sr-Cyrl-RS"/>
        </w:rPr>
        <w:t>,</w:t>
      </w:r>
      <w:r w:rsidRPr="00A021B7">
        <w:rPr>
          <w:rFonts w:ascii="Arial" w:hAnsi="Arial" w:cs="Arial"/>
          <w:sz w:val="20"/>
          <w:szCs w:val="20"/>
          <w:lang w:val="sr-Cyrl-RS"/>
        </w:rPr>
        <w:t xml:space="preserve"> са преко 35% учешћа у изворним приходима и преко 12 % учешћа у укупним примањима.</w:t>
      </w:r>
      <w:r w:rsidR="003E03ED" w:rsidRPr="00A021B7">
        <w:rPr>
          <w:rFonts w:ascii="Arial" w:hAnsi="Arial" w:cs="Arial"/>
          <w:sz w:val="20"/>
          <w:szCs w:val="20"/>
          <w:vertAlign w:val="superscript"/>
          <w:lang w:val="sr-Cyrl-RS"/>
        </w:rPr>
        <w:footnoteReference w:id="47"/>
      </w:r>
      <w:r w:rsidRPr="00A021B7">
        <w:rPr>
          <w:rFonts w:ascii="Arial" w:hAnsi="Arial" w:cs="Arial"/>
          <w:sz w:val="20"/>
          <w:szCs w:val="20"/>
          <w:lang w:val="sr-Cyrl-RS"/>
        </w:rPr>
        <w:t xml:space="preserve"> Укупни приходи од пореза на имовину</w:t>
      </w:r>
      <w:r w:rsidR="003E03ED" w:rsidRPr="00A021B7">
        <w:rPr>
          <w:rFonts w:ascii="Arial" w:hAnsi="Arial" w:cs="Arial"/>
          <w:sz w:val="20"/>
          <w:szCs w:val="20"/>
          <w:vertAlign w:val="superscript"/>
          <w:lang w:val="sr-Cyrl-RS"/>
        </w:rPr>
        <w:footnoteReference w:id="48"/>
      </w:r>
      <w:r w:rsidRPr="00A021B7">
        <w:rPr>
          <w:rFonts w:ascii="Arial" w:hAnsi="Arial" w:cs="Arial"/>
          <w:sz w:val="20"/>
          <w:szCs w:val="20"/>
          <w:lang w:val="sr-Cyrl-RS"/>
        </w:rPr>
        <w:t xml:space="preserve"> у 2019. години чине 15</w:t>
      </w:r>
      <w:r w:rsidR="00FF2F95">
        <w:rPr>
          <w:rFonts w:ascii="Arial" w:hAnsi="Arial" w:cs="Arial"/>
          <w:sz w:val="20"/>
          <w:szCs w:val="20"/>
          <w:lang w:val="sr-Cyrl-RS"/>
        </w:rPr>
        <w:t>,</w:t>
      </w:r>
      <w:r w:rsidRPr="00A021B7">
        <w:rPr>
          <w:rFonts w:ascii="Arial" w:hAnsi="Arial" w:cs="Arial"/>
          <w:sz w:val="20"/>
          <w:szCs w:val="20"/>
          <w:lang w:val="sr-Cyrl-RS"/>
        </w:rPr>
        <w:t>8% од укупних прихода и примања ЈЛС, а просечна годишња стопа раста у периоду 2013</w:t>
      </w:r>
      <w:r w:rsidR="00FF2F95">
        <w:rPr>
          <w:rFonts w:ascii="Arial" w:hAnsi="Arial" w:cs="Arial"/>
          <w:sz w:val="20"/>
          <w:szCs w:val="20"/>
          <w:lang w:val="sr-Cyrl-RS"/>
        </w:rPr>
        <w:t>–</w:t>
      </w:r>
      <w:r w:rsidRPr="00A021B7">
        <w:rPr>
          <w:rFonts w:ascii="Arial" w:hAnsi="Arial" w:cs="Arial"/>
          <w:sz w:val="20"/>
          <w:szCs w:val="20"/>
          <w:lang w:val="sr-Cyrl-RS"/>
        </w:rPr>
        <w:t xml:space="preserve">2019. године је изнад 15%. Другим речима, децентрализација пореза на имовину и администрирање од стране </w:t>
      </w:r>
      <w:r w:rsidR="002E40BE">
        <w:rPr>
          <w:rFonts w:ascii="Arial" w:hAnsi="Arial" w:cs="Arial"/>
          <w:sz w:val="20"/>
          <w:szCs w:val="20"/>
          <w:lang w:val="sr-Cyrl-RS"/>
        </w:rPr>
        <w:t>локалне пореске администрације (</w:t>
      </w:r>
      <w:r w:rsidRPr="00A021B7">
        <w:rPr>
          <w:rFonts w:ascii="Arial" w:hAnsi="Arial" w:cs="Arial"/>
          <w:sz w:val="20"/>
          <w:szCs w:val="20"/>
          <w:lang w:val="sr-Cyrl-RS"/>
        </w:rPr>
        <w:t>ЛПА</w:t>
      </w:r>
      <w:r w:rsidR="002E40BE">
        <w:rPr>
          <w:rFonts w:ascii="Arial" w:hAnsi="Arial" w:cs="Arial"/>
          <w:sz w:val="20"/>
          <w:szCs w:val="20"/>
          <w:lang w:val="sr-Cyrl-RS"/>
        </w:rPr>
        <w:t>)</w:t>
      </w:r>
      <w:r w:rsidRPr="00A021B7">
        <w:rPr>
          <w:rFonts w:ascii="Arial" w:hAnsi="Arial" w:cs="Arial"/>
          <w:sz w:val="20"/>
          <w:szCs w:val="20"/>
          <w:lang w:val="sr-Cyrl-RS"/>
        </w:rPr>
        <w:t xml:space="preserve"> имало је веома позитиван утицај на обухват непокретности и степен наплате овог пореза, што овај порез сврстава у најзначајније изворне, али и пореске приходе ЈЛС.</w:t>
      </w:r>
      <w:r w:rsidRPr="00A021B7" w:rsidDel="00EA3F22">
        <w:rPr>
          <w:rFonts w:ascii="Arial" w:hAnsi="Arial" w:cs="Arial"/>
          <w:sz w:val="20"/>
          <w:szCs w:val="20"/>
          <w:lang w:val="sr-Cyrl-RS"/>
        </w:rPr>
        <w:t xml:space="preserve"> </w:t>
      </w:r>
      <w:r w:rsidRPr="00A021B7">
        <w:rPr>
          <w:rFonts w:ascii="Arial" w:hAnsi="Arial" w:cs="Arial"/>
          <w:sz w:val="20"/>
          <w:szCs w:val="20"/>
          <w:lang w:val="sr-Cyrl-RS"/>
        </w:rPr>
        <w:t>У последњој деценији учешће уступљених прихода у текућим приходима је изнад 40%, а сама структура уступљених прихода у већини ЈЛС своди се првенствено на један приход – порез на зараде. Приходи од овог пореза чине и преко 70% уступљених прихода, односно око трећине од укупних прихода и примања ЈЛС. Остали део уступљених прихода се односи на приходе од осталих уступљених пореза (порез на остале приходе</w:t>
      </w:r>
      <w:r w:rsidR="003E03ED" w:rsidRPr="00A021B7">
        <w:rPr>
          <w:rFonts w:ascii="Arial" w:hAnsi="Arial" w:cs="Arial"/>
          <w:sz w:val="20"/>
          <w:szCs w:val="20"/>
          <w:vertAlign w:val="superscript"/>
          <w:lang w:val="sr-Cyrl-RS"/>
        </w:rPr>
        <w:footnoteReference w:id="49"/>
      </w:r>
      <w:r w:rsidRPr="00A021B7">
        <w:rPr>
          <w:rFonts w:ascii="Arial" w:hAnsi="Arial" w:cs="Arial"/>
          <w:sz w:val="20"/>
          <w:szCs w:val="20"/>
          <w:lang w:val="sr-Cyrl-RS"/>
        </w:rPr>
        <w:t>, порез на приходе од самосталних делатности</w:t>
      </w:r>
      <w:r w:rsidR="003E03ED" w:rsidRPr="00A021B7">
        <w:rPr>
          <w:rFonts w:ascii="Arial" w:hAnsi="Arial" w:cs="Arial"/>
          <w:sz w:val="20"/>
          <w:szCs w:val="20"/>
          <w:vertAlign w:val="superscript"/>
          <w:lang w:val="sr-Cyrl-RS"/>
        </w:rPr>
        <w:footnoteReference w:id="50"/>
      </w:r>
      <w:r w:rsidRPr="00A021B7">
        <w:rPr>
          <w:rFonts w:ascii="Arial" w:hAnsi="Arial" w:cs="Arial"/>
          <w:sz w:val="20"/>
          <w:szCs w:val="20"/>
          <w:lang w:val="sr-Cyrl-RS"/>
        </w:rPr>
        <w:t>, порез на наслеђе и поклон и порез на пренос апсолутних права</w:t>
      </w:r>
      <w:r w:rsidR="003E03ED" w:rsidRPr="00A021B7">
        <w:rPr>
          <w:rFonts w:ascii="Arial" w:hAnsi="Arial" w:cs="Arial"/>
          <w:sz w:val="20"/>
          <w:szCs w:val="20"/>
          <w:vertAlign w:val="superscript"/>
          <w:lang w:val="sr-Cyrl-RS"/>
        </w:rPr>
        <w:footnoteReference w:id="51"/>
      </w:r>
      <w:r w:rsidRPr="00A021B7">
        <w:rPr>
          <w:rFonts w:ascii="Arial" w:hAnsi="Arial" w:cs="Arial"/>
          <w:sz w:val="20"/>
          <w:szCs w:val="20"/>
          <w:lang w:val="sr-Cyrl-RS"/>
        </w:rPr>
        <w:t>)</w:t>
      </w:r>
      <w:r w:rsidR="00FF2F95">
        <w:rPr>
          <w:rFonts w:ascii="Arial" w:hAnsi="Arial" w:cs="Arial"/>
          <w:sz w:val="20"/>
          <w:szCs w:val="20"/>
          <w:lang w:val="sr-Cyrl-RS"/>
        </w:rPr>
        <w:t>,</w:t>
      </w:r>
      <w:r w:rsidRPr="00A021B7">
        <w:rPr>
          <w:rFonts w:ascii="Arial" w:hAnsi="Arial" w:cs="Arial"/>
          <w:sz w:val="20"/>
          <w:szCs w:val="20"/>
          <w:lang w:val="sr-Cyrl-RS"/>
        </w:rPr>
        <w:t xml:space="preserve"> за које је процена да учествују око 10% у укупним примањима ЈЛС и у малом проценту прихода од уступљених накнада (износе око 2% од укупних прихода и примања). У вези са уступљеним приходима, свакако се може закључити да су сви остали уступљени приходи</w:t>
      </w:r>
      <w:r w:rsidR="00FF2F95">
        <w:rPr>
          <w:rFonts w:ascii="Arial" w:hAnsi="Arial" w:cs="Arial"/>
          <w:sz w:val="20"/>
          <w:szCs w:val="20"/>
          <w:lang w:val="sr-Cyrl-RS"/>
        </w:rPr>
        <w:t>,</w:t>
      </w:r>
      <w:r w:rsidRPr="00A021B7">
        <w:rPr>
          <w:rFonts w:ascii="Arial" w:hAnsi="Arial" w:cs="Arial"/>
          <w:sz w:val="20"/>
          <w:szCs w:val="20"/>
          <w:lang w:val="sr-Cyrl-RS"/>
        </w:rPr>
        <w:t xml:space="preserve"> како укупно тако и појединачно гледајући, знатно слабијег фискалног капацитета од пореза на зараде</w:t>
      </w:r>
      <w:r w:rsidR="00FF2F95">
        <w:rPr>
          <w:rFonts w:ascii="Arial" w:hAnsi="Arial" w:cs="Arial"/>
          <w:sz w:val="20"/>
          <w:szCs w:val="20"/>
          <w:lang w:val="sr-Cyrl-RS"/>
        </w:rPr>
        <w:t>.</w:t>
      </w:r>
    </w:p>
    <w:p w14:paraId="4E4B501B" w14:textId="77777777" w:rsidR="003E03ED" w:rsidRPr="00A021B7" w:rsidRDefault="003E03ED" w:rsidP="1A8E6423">
      <w:pPr>
        <w:ind w:firstLine="720"/>
        <w:jc w:val="both"/>
        <w:rPr>
          <w:rFonts w:ascii="Arial" w:hAnsi="Arial" w:cs="Arial"/>
          <w:b/>
          <w:bCs/>
          <w:sz w:val="20"/>
          <w:szCs w:val="20"/>
          <w:lang w:val="sr-Cyrl-RS"/>
        </w:rPr>
      </w:pPr>
    </w:p>
    <w:p w14:paraId="3A4CFF64" w14:textId="37AFE885" w:rsidR="003E03ED" w:rsidRPr="00A021B7" w:rsidRDefault="35687A16" w:rsidP="1A8E6423">
      <w:pPr>
        <w:ind w:firstLine="720"/>
        <w:jc w:val="both"/>
        <w:rPr>
          <w:rFonts w:ascii="Arial" w:hAnsi="Arial" w:cs="Arial"/>
          <w:color w:val="000000" w:themeColor="text1"/>
          <w:sz w:val="20"/>
          <w:szCs w:val="20"/>
          <w:lang w:val="sr-Cyrl-RS"/>
        </w:rPr>
      </w:pPr>
      <w:r w:rsidRPr="00A021B7">
        <w:rPr>
          <w:rFonts w:ascii="Arial" w:hAnsi="Arial" w:cs="Arial"/>
          <w:sz w:val="20"/>
          <w:szCs w:val="20"/>
          <w:lang w:val="sr-Cyrl-RS"/>
        </w:rPr>
        <w:t>За премошћавање јаза између коштања стандардног нивоа локалних јавних надлежности и прихода које ЈЛС остваре, у системима локалне самоуправе користе се трансфери од виших нивоа власти.</w:t>
      </w:r>
      <w:r w:rsidRPr="00A021B7">
        <w:rPr>
          <w:rFonts w:ascii="Arial" w:eastAsia="MinionPro-Regular" w:hAnsi="Arial" w:cs="Arial"/>
          <w:sz w:val="20"/>
          <w:szCs w:val="20"/>
          <w:lang w:val="sr-Cyrl-RS"/>
        </w:rPr>
        <w:t xml:space="preserve"> </w:t>
      </w:r>
      <w:r w:rsidRPr="00A021B7">
        <w:rPr>
          <w:rFonts w:ascii="Arial" w:hAnsi="Arial" w:cs="Arial"/>
          <w:sz w:val="20"/>
          <w:szCs w:val="20"/>
          <w:lang w:val="sr-Cyrl-RS"/>
        </w:rPr>
        <w:t>ЗОФЛС уређује постојање ненаменских трансфера (који се састоји из збира трансфера за уједначавање, општег трансфера, компе</w:t>
      </w:r>
      <w:r w:rsidR="00FF2F95">
        <w:rPr>
          <w:rFonts w:ascii="Arial" w:hAnsi="Arial" w:cs="Arial"/>
          <w:sz w:val="20"/>
          <w:szCs w:val="20"/>
          <w:lang w:val="sr-Cyrl-RS"/>
        </w:rPr>
        <w:t>н</w:t>
      </w:r>
      <w:r w:rsidRPr="00A021B7">
        <w:rPr>
          <w:rFonts w:ascii="Arial" w:hAnsi="Arial" w:cs="Arial"/>
          <w:sz w:val="20"/>
          <w:szCs w:val="20"/>
          <w:lang w:val="sr-Cyrl-RS"/>
        </w:rPr>
        <w:t xml:space="preserve">зационог трансфера и трансфера </w:t>
      </w:r>
      <w:r w:rsidRPr="00A021B7">
        <w:rPr>
          <w:rFonts w:ascii="Arial" w:hAnsi="Arial" w:cs="Arial"/>
          <w:color w:val="000000" w:themeColor="text1"/>
          <w:sz w:val="20"/>
          <w:szCs w:val="20"/>
          <w:lang w:val="sr-Cyrl-RS"/>
        </w:rPr>
        <w:t>солидарности) и наменских трансфера</w:t>
      </w:r>
      <w:r w:rsidR="00FF2F95">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који могу бити функционални и наменски трансфер у ужем смислу. Висина ненаменског трансфера је утврђена као проценат БДП, а критеријуме за расподелу утврдио је ЗОФЛС. Годишњи износ ненаменског трансфера који предвиђа ЗОФЛС није промењен од 2014. године и</w:t>
      </w:r>
      <w:r w:rsidR="00FF2F95">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у складу са Законом о буџету Републике Србије</w:t>
      </w:r>
      <w:r w:rsidR="00FF2F95">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износи 33</w:t>
      </w:r>
      <w:r w:rsidR="00FF2F95">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3 милијарде РСД у 2019. години.</w:t>
      </w:r>
      <w:r w:rsidR="003E03ED" w:rsidRPr="00A021B7">
        <w:rPr>
          <w:rFonts w:ascii="Arial" w:hAnsi="Arial" w:cs="Arial"/>
          <w:color w:val="000000" w:themeColor="text1"/>
          <w:sz w:val="20"/>
          <w:szCs w:val="20"/>
          <w:vertAlign w:val="superscript"/>
          <w:lang w:val="sr-Cyrl-RS"/>
        </w:rPr>
        <w:footnoteReference w:id="52"/>
      </w:r>
      <w:r w:rsidRPr="00A021B7">
        <w:rPr>
          <w:rFonts w:ascii="Arial" w:hAnsi="Arial" w:cs="Arial"/>
          <w:color w:val="000000" w:themeColor="text1"/>
          <w:sz w:val="20"/>
          <w:szCs w:val="20"/>
          <w:lang w:val="sr-Cyrl-RS"/>
        </w:rPr>
        <w:t xml:space="preserve"> Поред ових трансфера</w:t>
      </w:r>
      <w:r w:rsidR="00FF2F95">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који су део текућих трансфера</w:t>
      </w:r>
      <w:r w:rsidR="003E03ED" w:rsidRPr="00A021B7">
        <w:rPr>
          <w:rFonts w:ascii="Arial" w:hAnsi="Arial" w:cs="Arial"/>
          <w:color w:val="000000" w:themeColor="text1"/>
          <w:sz w:val="20"/>
          <w:szCs w:val="20"/>
          <w:vertAlign w:val="superscript"/>
          <w:lang w:val="sr-Cyrl-RS"/>
        </w:rPr>
        <w:footnoteReference w:id="53"/>
      </w:r>
      <w:r w:rsidR="00FF2F95">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локалне власти имају и приходе од капиталних наменских трансфера, у ужем смислу, од Републике и АП, у корист нивоа градова и општина.</w:t>
      </w:r>
      <w:r w:rsidR="003E03ED" w:rsidRPr="00A021B7">
        <w:rPr>
          <w:rFonts w:ascii="Arial" w:hAnsi="Arial" w:cs="Arial"/>
          <w:color w:val="000000" w:themeColor="text1"/>
          <w:sz w:val="20"/>
          <w:szCs w:val="20"/>
          <w:vertAlign w:val="superscript"/>
          <w:lang w:val="sr-Cyrl-RS"/>
        </w:rPr>
        <w:footnoteReference w:id="54"/>
      </w:r>
      <w:r w:rsidRPr="00A021B7">
        <w:rPr>
          <w:rFonts w:ascii="Arial" w:hAnsi="Arial" w:cs="Arial"/>
          <w:color w:val="000000" w:themeColor="text1"/>
          <w:sz w:val="20"/>
          <w:szCs w:val="20"/>
          <w:lang w:val="sr-Cyrl-RS"/>
        </w:rPr>
        <w:t xml:space="preserve"> Стога, укупан приход ЈЛС од трансфера и донација износи близу 62. милијард</w:t>
      </w:r>
      <w:r w:rsidR="0045169D">
        <w:rPr>
          <w:rFonts w:ascii="Arial" w:hAnsi="Arial" w:cs="Arial"/>
          <w:color w:val="000000" w:themeColor="text1"/>
          <w:sz w:val="20"/>
          <w:szCs w:val="20"/>
          <w:lang w:val="sr-Cyrl-RS"/>
        </w:rPr>
        <w:t>е</w:t>
      </w:r>
      <w:r w:rsidRPr="00A021B7">
        <w:rPr>
          <w:rFonts w:ascii="Arial" w:hAnsi="Arial" w:cs="Arial"/>
          <w:color w:val="000000" w:themeColor="text1"/>
          <w:sz w:val="20"/>
          <w:szCs w:val="20"/>
          <w:lang w:val="sr-Cyrl-RS"/>
        </w:rPr>
        <w:t xml:space="preserve"> РСД у 2019. години и чини око 19% укупних прихода и примања ЈЛС у 2019. години.</w:t>
      </w:r>
      <w:r w:rsidR="003E03ED" w:rsidRPr="00A021B7">
        <w:rPr>
          <w:rFonts w:ascii="Arial" w:hAnsi="Arial" w:cs="Arial"/>
          <w:color w:val="000000" w:themeColor="text1"/>
          <w:sz w:val="20"/>
          <w:szCs w:val="20"/>
          <w:vertAlign w:val="superscript"/>
          <w:lang w:val="sr-Cyrl-RS"/>
        </w:rPr>
        <w:footnoteReference w:id="55"/>
      </w:r>
      <w:r w:rsidRPr="00A021B7">
        <w:rPr>
          <w:rFonts w:ascii="Arial" w:hAnsi="Arial" w:cs="Arial"/>
          <w:color w:val="000000" w:themeColor="text1"/>
          <w:sz w:val="20"/>
          <w:szCs w:val="20"/>
          <w:lang w:val="sr-Cyrl-RS"/>
        </w:rPr>
        <w:t xml:space="preserve"> </w:t>
      </w:r>
      <w:r w:rsidRPr="00A021B7">
        <w:rPr>
          <w:rFonts w:ascii="Arial" w:hAnsi="Arial" w:cs="Arial"/>
          <w:sz w:val="20"/>
          <w:szCs w:val="20"/>
          <w:lang w:val="sr-Cyrl-RS"/>
        </w:rPr>
        <w:t xml:space="preserve">Уколико овом учешћу додамо и учешће уступљених прихода, приходи које регулише и </w:t>
      </w:r>
      <w:r w:rsidR="00FF2F95">
        <w:rPr>
          <w:rFonts w:ascii="Arial" w:hAnsi="Arial" w:cs="Arial"/>
          <w:sz w:val="20"/>
          <w:szCs w:val="20"/>
          <w:lang w:val="sr-Cyrl-RS"/>
        </w:rPr>
        <w:t>којима</w:t>
      </w:r>
      <w:r w:rsidR="00FF2F95" w:rsidRPr="00A021B7">
        <w:rPr>
          <w:rFonts w:ascii="Arial" w:hAnsi="Arial" w:cs="Arial"/>
          <w:sz w:val="20"/>
          <w:szCs w:val="20"/>
          <w:lang w:val="sr-Cyrl-RS"/>
        </w:rPr>
        <w:t xml:space="preserve"> </w:t>
      </w:r>
      <w:r w:rsidRPr="00A021B7">
        <w:rPr>
          <w:rFonts w:ascii="Arial" w:hAnsi="Arial" w:cs="Arial"/>
          <w:sz w:val="20"/>
          <w:szCs w:val="20"/>
          <w:lang w:val="sr-Cyrl-RS"/>
        </w:rPr>
        <w:t>управља централна власт у збиру чине преко 60% укупних прихода и примања ЈЛС.</w:t>
      </w:r>
    </w:p>
    <w:p w14:paraId="36EE622A" w14:textId="77777777" w:rsidR="003E03ED" w:rsidRPr="00A021B7" w:rsidRDefault="003E03ED" w:rsidP="1A8E6423">
      <w:pPr>
        <w:ind w:firstLine="720"/>
        <w:jc w:val="both"/>
        <w:rPr>
          <w:rFonts w:ascii="Arial" w:hAnsi="Arial" w:cs="Arial"/>
          <w:sz w:val="20"/>
          <w:szCs w:val="20"/>
          <w:lang w:val="sr-Cyrl-RS"/>
        </w:rPr>
      </w:pPr>
    </w:p>
    <w:p w14:paraId="7238BFFE" w14:textId="74044072"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Систем финансирања препознаје и задуживање узимањем кредита или емитовањем дугорочних хартија од вредности (муниципалних обвезница), као могући начин финансирања ЈЛС јер редовни приходи нису довољни да одговоре </w:t>
      </w:r>
      <w:r w:rsidR="228D075B" w:rsidRPr="00A021B7">
        <w:rPr>
          <w:rFonts w:ascii="Arial" w:hAnsi="Arial" w:cs="Arial"/>
          <w:sz w:val="20"/>
          <w:szCs w:val="20"/>
          <w:lang w:val="sr-Cyrl-RS"/>
        </w:rPr>
        <w:t>на</w:t>
      </w:r>
      <w:r w:rsidRPr="00A021B7">
        <w:rPr>
          <w:rFonts w:ascii="Arial" w:hAnsi="Arial" w:cs="Arial"/>
          <w:sz w:val="20"/>
          <w:szCs w:val="20"/>
          <w:lang w:val="sr-Cyrl-RS"/>
        </w:rPr>
        <w:t xml:space="preserve"> потреб</w:t>
      </w:r>
      <w:r w:rsidR="228D075B" w:rsidRPr="00A021B7">
        <w:rPr>
          <w:rFonts w:ascii="Arial" w:hAnsi="Arial" w:cs="Arial"/>
          <w:sz w:val="20"/>
          <w:szCs w:val="20"/>
          <w:lang w:val="sr-Cyrl-RS"/>
        </w:rPr>
        <w:t>е</w:t>
      </w:r>
      <w:r w:rsidRPr="00A021B7">
        <w:rPr>
          <w:rFonts w:ascii="Arial" w:hAnsi="Arial" w:cs="Arial"/>
          <w:sz w:val="20"/>
          <w:szCs w:val="20"/>
          <w:lang w:val="sr-Cyrl-RS"/>
        </w:rPr>
        <w:t xml:space="preserve"> локалних заједница</w:t>
      </w:r>
      <w:r w:rsidR="228D075B" w:rsidRPr="00A021B7">
        <w:rPr>
          <w:rFonts w:ascii="Arial" w:hAnsi="Arial" w:cs="Arial"/>
          <w:sz w:val="20"/>
          <w:szCs w:val="20"/>
          <w:lang w:val="sr-Cyrl-RS"/>
        </w:rPr>
        <w:t xml:space="preserve"> за инфраструктурним и другим капиталним инвестицијама</w:t>
      </w:r>
      <w:r w:rsidRPr="00A021B7">
        <w:rPr>
          <w:rFonts w:ascii="Arial" w:hAnsi="Arial" w:cs="Arial"/>
          <w:sz w:val="20"/>
          <w:szCs w:val="20"/>
          <w:lang w:val="sr-Cyrl-RS"/>
        </w:rPr>
        <w:t xml:space="preserve">. </w:t>
      </w:r>
      <w:r w:rsidR="434C9D1D" w:rsidRPr="00A021B7">
        <w:rPr>
          <w:rFonts w:ascii="Arial" w:hAnsi="Arial" w:cs="Arial"/>
          <w:color w:val="000000"/>
          <w:sz w:val="20"/>
          <w:szCs w:val="20"/>
          <w:lang w:val="sr-Cyrl-RS"/>
        </w:rPr>
        <w:t>Задуживање пружа могућност ЈЛС да у текућој години обезбеде финансијска средства за већи број пројеката него што би то могле</w:t>
      </w:r>
      <w:r w:rsidR="4E59AA7C" w:rsidRPr="00A021B7">
        <w:rPr>
          <w:rFonts w:ascii="Arial" w:hAnsi="Arial" w:cs="Arial"/>
          <w:color w:val="000000"/>
          <w:sz w:val="20"/>
          <w:szCs w:val="20"/>
          <w:lang w:val="sr-Cyrl-RS"/>
        </w:rPr>
        <w:t>,</w:t>
      </w:r>
      <w:r w:rsidR="434C9D1D" w:rsidRPr="00A021B7">
        <w:rPr>
          <w:rFonts w:ascii="Arial" w:hAnsi="Arial" w:cs="Arial"/>
          <w:color w:val="000000"/>
          <w:sz w:val="20"/>
          <w:szCs w:val="20"/>
          <w:lang w:val="sr-Cyrl-RS"/>
        </w:rPr>
        <w:t xml:space="preserve"> уколико би се ослањале само на </w:t>
      </w:r>
      <w:r w:rsidR="473BED42" w:rsidRPr="00A021B7">
        <w:rPr>
          <w:rFonts w:ascii="Arial" w:hAnsi="Arial" w:cs="Arial"/>
          <w:color w:val="000000"/>
          <w:sz w:val="20"/>
          <w:szCs w:val="20"/>
          <w:lang w:val="sr-Cyrl-RS"/>
        </w:rPr>
        <w:t xml:space="preserve">своје </w:t>
      </w:r>
      <w:r w:rsidR="434C9D1D" w:rsidRPr="00A021B7">
        <w:rPr>
          <w:rFonts w:ascii="Arial" w:hAnsi="Arial" w:cs="Arial"/>
          <w:color w:val="000000"/>
          <w:sz w:val="20"/>
          <w:szCs w:val="20"/>
          <w:lang w:val="sr-Cyrl-RS"/>
        </w:rPr>
        <w:t xml:space="preserve">изворе финансирања. </w:t>
      </w:r>
      <w:r w:rsidR="54FDBD8B" w:rsidRPr="00A021B7">
        <w:rPr>
          <w:rFonts w:ascii="Arial" w:hAnsi="Arial" w:cs="Arial"/>
          <w:sz w:val="20"/>
          <w:szCs w:val="20"/>
          <w:lang w:val="sr-Cyrl-RS"/>
        </w:rPr>
        <w:t xml:space="preserve">Задуживање за </w:t>
      </w:r>
      <w:r w:rsidR="0A32F640" w:rsidRPr="00A021B7">
        <w:rPr>
          <w:rFonts w:ascii="Arial" w:hAnsi="Arial" w:cs="Arial"/>
          <w:sz w:val="20"/>
          <w:szCs w:val="20"/>
          <w:lang w:val="sr-Cyrl-RS"/>
        </w:rPr>
        <w:t>фин</w:t>
      </w:r>
      <w:r w:rsidR="434C9D1D" w:rsidRPr="00A021B7">
        <w:rPr>
          <w:rFonts w:ascii="Arial" w:hAnsi="Arial" w:cs="Arial"/>
          <w:sz w:val="20"/>
          <w:szCs w:val="20"/>
          <w:lang w:val="sr-Cyrl-RS"/>
        </w:rPr>
        <w:t>ан</w:t>
      </w:r>
      <w:r w:rsidR="0A32F640" w:rsidRPr="00A021B7">
        <w:rPr>
          <w:rFonts w:ascii="Arial" w:hAnsi="Arial" w:cs="Arial"/>
          <w:sz w:val="20"/>
          <w:szCs w:val="20"/>
          <w:lang w:val="sr-Cyrl-RS"/>
        </w:rPr>
        <w:t xml:space="preserve">сирање овакве врсте инвестиција, представља и </w:t>
      </w:r>
      <w:r w:rsidR="4E59AA7C" w:rsidRPr="00A021B7">
        <w:rPr>
          <w:rFonts w:ascii="Arial" w:hAnsi="Arial" w:cs="Arial"/>
          <w:sz w:val="20"/>
          <w:szCs w:val="20"/>
          <w:lang w:val="sr-Cyrl-RS"/>
        </w:rPr>
        <w:t xml:space="preserve">остваривање </w:t>
      </w:r>
      <w:r w:rsidR="0A32F640" w:rsidRPr="00A021B7">
        <w:rPr>
          <w:rFonts w:ascii="Arial" w:hAnsi="Arial" w:cs="Arial"/>
          <w:sz w:val="20"/>
          <w:szCs w:val="20"/>
          <w:lang w:val="sr-Cyrl-RS"/>
        </w:rPr>
        <w:t>нек</w:t>
      </w:r>
      <w:r w:rsidR="4E59AA7C" w:rsidRPr="00A021B7">
        <w:rPr>
          <w:rFonts w:ascii="Arial" w:hAnsi="Arial" w:cs="Arial"/>
          <w:sz w:val="20"/>
          <w:szCs w:val="20"/>
          <w:lang w:val="sr-Cyrl-RS"/>
        </w:rPr>
        <w:t>е</w:t>
      </w:r>
      <w:r w:rsidR="0A32F640" w:rsidRPr="00A021B7">
        <w:rPr>
          <w:rFonts w:ascii="Arial" w:hAnsi="Arial" w:cs="Arial"/>
          <w:sz w:val="20"/>
          <w:szCs w:val="20"/>
          <w:lang w:val="sr-Cyrl-RS"/>
        </w:rPr>
        <w:t xml:space="preserve"> врст</w:t>
      </w:r>
      <w:r w:rsidR="4E59AA7C" w:rsidRPr="00A021B7">
        <w:rPr>
          <w:rFonts w:ascii="Arial" w:hAnsi="Arial" w:cs="Arial"/>
          <w:sz w:val="20"/>
          <w:szCs w:val="20"/>
          <w:lang w:val="sr-Cyrl-RS"/>
        </w:rPr>
        <w:t>е</w:t>
      </w:r>
      <w:r w:rsidR="0A32F640" w:rsidRPr="00A021B7">
        <w:rPr>
          <w:rFonts w:ascii="Arial" w:hAnsi="Arial" w:cs="Arial"/>
          <w:sz w:val="20"/>
          <w:szCs w:val="20"/>
          <w:lang w:val="sr-Cyrl-RS"/>
        </w:rPr>
        <w:t xml:space="preserve"> </w:t>
      </w:r>
      <w:r w:rsidR="0A32F640" w:rsidRPr="00A021B7">
        <w:rPr>
          <w:rFonts w:ascii="Arial" w:hAnsi="Arial" w:cs="Arial"/>
          <w:color w:val="000000"/>
          <w:sz w:val="20"/>
          <w:szCs w:val="20"/>
          <w:lang w:val="sr-Cyrl-RS"/>
        </w:rPr>
        <w:t>међугенерацијске једнакости. Инфраструктуру финансирану на тај начин користиће и наредне генерације, те је оправдано да сносе и терет дела отплате.</w:t>
      </w:r>
      <w:r w:rsidR="7F0688CF" w:rsidRPr="00A021B7">
        <w:rPr>
          <w:rFonts w:ascii="Arial" w:hAnsi="Arial" w:cs="Arial"/>
          <w:color w:val="000000"/>
          <w:sz w:val="20"/>
          <w:szCs w:val="20"/>
          <w:lang w:val="sr-Cyrl-RS"/>
        </w:rPr>
        <w:t xml:space="preserve"> </w:t>
      </w:r>
      <w:r w:rsidR="00BC1414">
        <w:rPr>
          <w:rFonts w:ascii="Arial" w:hAnsi="Arial" w:cs="Arial"/>
          <w:color w:val="000000"/>
          <w:sz w:val="20"/>
          <w:szCs w:val="20"/>
          <w:lang w:val="sr-Cyrl-RS"/>
        </w:rPr>
        <w:t xml:space="preserve">Кад је реч о </w:t>
      </w:r>
      <w:r w:rsidR="00BC1414">
        <w:rPr>
          <w:rFonts w:ascii="Arial" w:hAnsi="Arial" w:cs="Arial"/>
          <w:sz w:val="20"/>
          <w:szCs w:val="20"/>
          <w:lang w:val="sr-Cyrl-RS"/>
        </w:rPr>
        <w:t>з</w:t>
      </w:r>
      <w:r w:rsidR="52BEAF42" w:rsidRPr="00A021B7">
        <w:rPr>
          <w:rFonts w:ascii="Arial" w:hAnsi="Arial" w:cs="Arial"/>
          <w:sz w:val="20"/>
          <w:szCs w:val="20"/>
          <w:lang w:val="sr-Cyrl-RS"/>
        </w:rPr>
        <w:t>адуживањ</w:t>
      </w:r>
      <w:r w:rsidR="00BC1414">
        <w:rPr>
          <w:rFonts w:ascii="Arial" w:hAnsi="Arial" w:cs="Arial"/>
          <w:sz w:val="20"/>
          <w:szCs w:val="20"/>
          <w:lang w:val="sr-Cyrl-RS"/>
        </w:rPr>
        <w:t>у</w:t>
      </w:r>
      <w:r w:rsidR="52BEAF42" w:rsidRPr="00A021B7">
        <w:rPr>
          <w:rFonts w:ascii="Arial" w:hAnsi="Arial" w:cs="Arial"/>
          <w:sz w:val="20"/>
          <w:szCs w:val="20"/>
          <w:lang w:val="sr-Cyrl-RS"/>
        </w:rPr>
        <w:t xml:space="preserve"> за капиталне пројекте</w:t>
      </w:r>
      <w:r w:rsidR="00BC1414">
        <w:rPr>
          <w:rFonts w:ascii="Arial" w:hAnsi="Arial" w:cs="Arial"/>
          <w:sz w:val="20"/>
          <w:szCs w:val="20"/>
          <w:lang w:val="sr-Cyrl-RS"/>
        </w:rPr>
        <w:t>,</w:t>
      </w:r>
      <w:r w:rsidR="52BEAF42" w:rsidRPr="00A021B7">
        <w:rPr>
          <w:rFonts w:ascii="Arial" w:hAnsi="Arial" w:cs="Arial"/>
          <w:sz w:val="20"/>
          <w:szCs w:val="20"/>
          <w:lang w:val="sr-Cyrl-RS"/>
        </w:rPr>
        <w:t xml:space="preserve"> </w:t>
      </w:r>
      <w:r w:rsidRPr="00A021B7">
        <w:rPr>
          <w:rFonts w:ascii="Arial" w:hAnsi="Arial" w:cs="Arial"/>
          <w:sz w:val="20"/>
          <w:szCs w:val="20"/>
          <w:lang w:val="sr-Cyrl-RS"/>
        </w:rPr>
        <w:t xml:space="preserve">ЗЈД препознаје </w:t>
      </w:r>
      <w:r w:rsidR="204997CB" w:rsidRPr="00A021B7">
        <w:rPr>
          <w:rFonts w:ascii="Arial" w:hAnsi="Arial" w:cs="Arial"/>
          <w:sz w:val="20"/>
          <w:szCs w:val="20"/>
          <w:lang w:val="sr-Cyrl-RS"/>
        </w:rPr>
        <w:t>две врсте</w:t>
      </w:r>
      <w:r w:rsidRPr="00A021B7">
        <w:rPr>
          <w:rFonts w:ascii="Arial" w:hAnsi="Arial" w:cs="Arial"/>
          <w:sz w:val="20"/>
          <w:szCs w:val="20"/>
          <w:lang w:val="sr-Cyrl-RS"/>
        </w:rPr>
        <w:t xml:space="preserve"> кредитно</w:t>
      </w:r>
      <w:r w:rsidR="204997CB" w:rsidRPr="00A021B7">
        <w:rPr>
          <w:rFonts w:ascii="Arial" w:hAnsi="Arial" w:cs="Arial"/>
          <w:sz w:val="20"/>
          <w:szCs w:val="20"/>
          <w:lang w:val="sr-Cyrl-RS"/>
        </w:rPr>
        <w:t>г</w:t>
      </w:r>
      <w:r w:rsidRPr="00A021B7">
        <w:rPr>
          <w:rFonts w:ascii="Arial" w:hAnsi="Arial" w:cs="Arial"/>
          <w:sz w:val="20"/>
          <w:szCs w:val="20"/>
          <w:lang w:val="sr-Cyrl-RS"/>
        </w:rPr>
        <w:t xml:space="preserve"> задуживањ</w:t>
      </w:r>
      <w:r w:rsidR="00BC1414">
        <w:rPr>
          <w:rFonts w:ascii="Arial" w:hAnsi="Arial" w:cs="Arial"/>
          <w:sz w:val="20"/>
          <w:szCs w:val="20"/>
          <w:lang w:val="sr-Cyrl-RS"/>
        </w:rPr>
        <w:t>а</w:t>
      </w:r>
      <w:r w:rsidRPr="00A021B7">
        <w:rPr>
          <w:rFonts w:ascii="Arial" w:hAnsi="Arial" w:cs="Arial"/>
          <w:sz w:val="20"/>
          <w:szCs w:val="20"/>
          <w:lang w:val="sr-Cyrl-RS"/>
        </w:rPr>
        <w:t xml:space="preserve"> локалних власти: 1) финансирање текуће ликвидности буџета 2) финансирање капиталних инвестиционих расхода. У складу са чл</w:t>
      </w:r>
      <w:r w:rsidR="00BC1414">
        <w:rPr>
          <w:rFonts w:ascii="Arial" w:hAnsi="Arial" w:cs="Arial"/>
          <w:sz w:val="20"/>
          <w:szCs w:val="20"/>
          <w:lang w:val="sr-Cyrl-RS"/>
        </w:rPr>
        <w:t>аном</w:t>
      </w:r>
      <w:r w:rsidRPr="00A021B7">
        <w:rPr>
          <w:rFonts w:ascii="Arial" w:hAnsi="Arial" w:cs="Arial"/>
          <w:sz w:val="20"/>
          <w:szCs w:val="20"/>
          <w:lang w:val="sr-Cyrl-RS"/>
        </w:rPr>
        <w:t xml:space="preserve"> 35 ЗЈД, локалне власти се могу задуживати за финансирање текуће ликвидности. Задуживање за финансирање </w:t>
      </w:r>
      <w:r w:rsidRPr="00A021B7">
        <w:rPr>
          <w:rFonts w:ascii="Arial" w:hAnsi="Arial" w:cs="Arial"/>
          <w:sz w:val="20"/>
          <w:szCs w:val="20"/>
          <w:lang w:val="sr-Cyrl-RS"/>
        </w:rPr>
        <w:lastRenderedPageBreak/>
        <w:t xml:space="preserve">дефицита текуће ликвидности не сме прећи 5% укупних прихода буџета локалне власти остварених у претходној години (члан 35. став 3. ЗЈД) и мора се вратити до краја буџетске године у којој је уговорено, тј. не може се пренети у наредну буџетску годину (члан 35. став 2. ЗЈД). Дугорочно кредитно задуживање за финансирање капиталних инвестиција пружа могућност ЈЛС да у текућој години обезбеде финансијска средства за већи број пројеката него што би то могле уколико би се ослањале само на интерне изворе финансирања. Износ </w:t>
      </w:r>
      <w:r w:rsidRPr="00A021B7">
        <w:rPr>
          <w:rFonts w:ascii="Arial" w:hAnsi="Arial" w:cs="Arial"/>
          <w:color w:val="000000"/>
          <w:sz w:val="20"/>
          <w:szCs w:val="20"/>
          <w:lang w:val="sr-Cyrl-RS"/>
        </w:rPr>
        <w:t>неизмиреног дугорочног задужења за капиталне инвестиционе расходе ограничен је на 50% укупно остварених текућих прихода буџета локалне власти у претходној години, а износ главнице и камате, који доспева на отплату у свакој години на сва неизмирена дугорочна задуживања за финансирање капиталних инвестиционих расхода, не може бити већи од 15% укупно остварених текућих прихода буџета локалне власти у претходној години. Међутим, за оба лимита постоје и изузеци који омогућавају веће задужење, односно већи износ ануитета.</w:t>
      </w:r>
      <w:r w:rsidR="003E03ED" w:rsidRPr="00A021B7">
        <w:rPr>
          <w:rFonts w:ascii="Arial" w:hAnsi="Arial" w:cs="Arial"/>
          <w:color w:val="000000"/>
          <w:sz w:val="20"/>
          <w:szCs w:val="20"/>
          <w:vertAlign w:val="superscript"/>
          <w:lang w:val="sr-Cyrl-RS"/>
        </w:rPr>
        <w:footnoteReference w:id="56"/>
      </w:r>
      <w:r w:rsidRPr="00A021B7">
        <w:rPr>
          <w:rFonts w:ascii="Arial" w:hAnsi="Arial" w:cs="Arial"/>
          <w:sz w:val="20"/>
          <w:szCs w:val="20"/>
          <w:lang w:val="sr-Cyrl-RS"/>
        </w:rPr>
        <w:t xml:space="preserve"> Наредна табела кроз упоредни приказ по годинама, илуструје задуживање и раздуживање ЈЛС у периоду 2014</w:t>
      </w:r>
      <w:r w:rsidR="00BC1414">
        <w:rPr>
          <w:rFonts w:ascii="Arial" w:hAnsi="Arial" w:cs="Arial"/>
          <w:sz w:val="20"/>
          <w:szCs w:val="20"/>
          <w:lang w:val="sr-Cyrl-RS"/>
        </w:rPr>
        <w:t>–</w:t>
      </w:r>
      <w:r w:rsidRPr="00A021B7">
        <w:rPr>
          <w:rFonts w:ascii="Arial" w:hAnsi="Arial" w:cs="Arial"/>
          <w:sz w:val="20"/>
          <w:szCs w:val="20"/>
          <w:lang w:val="sr-Cyrl-RS"/>
        </w:rPr>
        <w:t>2019. годин</w:t>
      </w:r>
      <w:r w:rsidR="00BC1414">
        <w:rPr>
          <w:rFonts w:ascii="Arial" w:hAnsi="Arial" w:cs="Arial"/>
          <w:sz w:val="20"/>
          <w:szCs w:val="20"/>
          <w:lang w:val="sr-Cyrl-RS"/>
        </w:rPr>
        <w:t>е</w:t>
      </w:r>
      <w:r w:rsidRPr="00A021B7">
        <w:rPr>
          <w:rFonts w:ascii="Arial" w:hAnsi="Arial" w:cs="Arial"/>
          <w:sz w:val="20"/>
          <w:szCs w:val="20"/>
          <w:lang w:val="sr-Cyrl-RS"/>
        </w:rPr>
        <w:t>, као и учешће дуга јединица локалне власти у БДП и укупном јавном дугу општег нивоа државе.</w:t>
      </w:r>
    </w:p>
    <w:p w14:paraId="062A7235" w14:textId="77777777" w:rsidR="003E03ED" w:rsidRPr="00A021B7" w:rsidRDefault="003E03ED" w:rsidP="003E7BC9">
      <w:pPr>
        <w:jc w:val="both"/>
        <w:rPr>
          <w:rFonts w:ascii="Arial" w:hAnsi="Arial" w:cs="Arial"/>
          <w:sz w:val="20"/>
          <w:szCs w:val="20"/>
          <w:lang w:val="sr-Cyrl-RS"/>
        </w:rPr>
      </w:pPr>
    </w:p>
    <w:p w14:paraId="256C0358" w14:textId="65588039" w:rsidR="003E03ED" w:rsidRPr="00A021B7" w:rsidRDefault="35687A16" w:rsidP="1A8E6423">
      <w:pPr>
        <w:jc w:val="both"/>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 xml:space="preserve">Табела </w:t>
      </w:r>
      <w:r w:rsidR="002139C8" w:rsidRPr="1A8E6423">
        <w:rPr>
          <w:rFonts w:ascii="Arial" w:hAnsi="Arial" w:cs="Arial"/>
          <w:i/>
          <w:iCs/>
          <w:color w:val="404040" w:themeColor="text1" w:themeTint="BF"/>
          <w:sz w:val="20"/>
          <w:szCs w:val="20"/>
          <w:lang w:val="sr-Cyrl-RS"/>
        </w:rPr>
        <w:t>4</w:t>
      </w:r>
      <w:r w:rsidRPr="1A8E6423">
        <w:rPr>
          <w:rFonts w:ascii="Arial" w:hAnsi="Arial" w:cs="Arial"/>
          <w:i/>
          <w:iCs/>
          <w:color w:val="404040" w:themeColor="text1" w:themeTint="BF"/>
          <w:sz w:val="20"/>
          <w:szCs w:val="20"/>
          <w:lang w:val="sr-Cyrl-RS"/>
        </w:rPr>
        <w:t xml:space="preserve">: Задуживање и раздуживање ЈЛС </w:t>
      </w:r>
      <w:r w:rsidR="00BC1414" w:rsidRPr="1A8E6423">
        <w:rPr>
          <w:rFonts w:ascii="Arial" w:hAnsi="Arial" w:cs="Arial"/>
          <w:i/>
          <w:iCs/>
          <w:color w:val="404040" w:themeColor="text1" w:themeTint="BF"/>
          <w:sz w:val="20"/>
          <w:szCs w:val="20"/>
          <w:lang w:val="sr-Cyrl-RS"/>
        </w:rPr>
        <w:t xml:space="preserve">у периоду </w:t>
      </w:r>
      <w:r w:rsidRPr="1A8E6423">
        <w:rPr>
          <w:rFonts w:ascii="Arial" w:hAnsi="Arial" w:cs="Arial"/>
          <w:i/>
          <w:iCs/>
          <w:color w:val="404040" w:themeColor="text1" w:themeTint="BF"/>
          <w:sz w:val="20"/>
          <w:szCs w:val="20"/>
          <w:lang w:val="sr-Cyrl-RS"/>
        </w:rPr>
        <w:t>2014</w:t>
      </w:r>
      <w:r w:rsidR="00BC1414"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 xml:space="preserve">2019, у милионима РСД и учешће дуга </w:t>
      </w:r>
      <w:r w:rsidR="6A19D2F4" w:rsidRPr="1A8E6423">
        <w:rPr>
          <w:rFonts w:ascii="Arial" w:hAnsi="Arial" w:cs="Arial"/>
          <w:i/>
          <w:iCs/>
          <w:color w:val="404040" w:themeColor="text1" w:themeTint="BF"/>
          <w:sz w:val="20"/>
          <w:szCs w:val="20"/>
          <w:lang w:val="sr-Cyrl-RS"/>
        </w:rPr>
        <w:t>ЈЛС и АП</w:t>
      </w:r>
      <w:r w:rsidRPr="1A8E6423">
        <w:rPr>
          <w:rFonts w:ascii="Arial" w:hAnsi="Arial" w:cs="Arial"/>
          <w:i/>
          <w:iCs/>
          <w:color w:val="404040" w:themeColor="text1" w:themeTint="BF"/>
          <w:sz w:val="20"/>
          <w:szCs w:val="20"/>
          <w:lang w:val="sr-Cyrl-RS"/>
        </w:rPr>
        <w:t xml:space="preserve"> у БДП и укупном јавном дугу</w:t>
      </w:r>
      <w:r w:rsidR="003E03ED" w:rsidRPr="1A8E6423">
        <w:rPr>
          <w:rFonts w:ascii="Arial" w:hAnsi="Arial" w:cs="Arial"/>
          <w:i/>
          <w:iCs/>
          <w:sz w:val="20"/>
          <w:szCs w:val="20"/>
          <w:vertAlign w:val="superscript"/>
          <w:lang w:val="sr-Cyrl-RS"/>
        </w:rPr>
        <w:footnoteReference w:id="57"/>
      </w:r>
    </w:p>
    <w:p w14:paraId="3BC90143" w14:textId="77777777" w:rsidR="003E03ED" w:rsidRPr="00A021B7" w:rsidRDefault="003E03ED" w:rsidP="003E7BC9">
      <w:pPr>
        <w:jc w:val="both"/>
        <w:rPr>
          <w:rFonts w:ascii="Arial" w:hAnsi="Arial" w:cs="Arial"/>
          <w:i/>
          <w:iCs/>
          <w:color w:val="404040" w:themeColor="text1" w:themeTint="BF"/>
          <w:sz w:val="20"/>
          <w:szCs w:val="20"/>
          <w:lang w:val="sr-Cyrl-RS"/>
        </w:rPr>
      </w:pPr>
    </w:p>
    <w:tbl>
      <w:tblPr>
        <w:tblStyle w:val="TableGrid1"/>
        <w:tblW w:w="9016" w:type="dxa"/>
        <w:jc w:val="center"/>
        <w:tblLayout w:type="fixed"/>
        <w:tblLook w:val="04A0" w:firstRow="1" w:lastRow="0" w:firstColumn="1" w:lastColumn="0" w:noHBand="0" w:noVBand="1"/>
      </w:tblPr>
      <w:tblGrid>
        <w:gridCol w:w="988"/>
        <w:gridCol w:w="1527"/>
        <w:gridCol w:w="1170"/>
        <w:gridCol w:w="1350"/>
        <w:gridCol w:w="1530"/>
        <w:gridCol w:w="1111"/>
        <w:gridCol w:w="1340"/>
      </w:tblGrid>
      <w:tr w:rsidR="003E03ED" w:rsidRPr="00A021B7" w14:paraId="2D554D5F" w14:textId="77777777" w:rsidTr="1A8E6423">
        <w:trPr>
          <w:trHeight w:val="524"/>
          <w:jc w:val="center"/>
        </w:trPr>
        <w:tc>
          <w:tcPr>
            <w:tcW w:w="988" w:type="dxa"/>
            <w:shd w:val="clear" w:color="auto" w:fill="1F4E79" w:themeFill="accent5" w:themeFillShade="80"/>
            <w:vAlign w:val="center"/>
          </w:tcPr>
          <w:p w14:paraId="29424D52"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themeColor="background1"/>
                <w:sz w:val="20"/>
                <w:szCs w:val="20"/>
                <w:lang w:val="sr-Cyrl-RS"/>
              </w:rPr>
              <w:t>Година</w:t>
            </w:r>
          </w:p>
        </w:tc>
        <w:tc>
          <w:tcPr>
            <w:tcW w:w="1527" w:type="dxa"/>
            <w:shd w:val="clear" w:color="auto" w:fill="1F4E79" w:themeFill="accent5" w:themeFillShade="80"/>
            <w:vAlign w:val="center"/>
          </w:tcPr>
          <w:p w14:paraId="6F9CFE6E"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themeColor="background1"/>
                <w:sz w:val="20"/>
                <w:szCs w:val="20"/>
                <w:lang w:val="sr-Cyrl-RS"/>
              </w:rPr>
              <w:t>Примања од задуживања</w:t>
            </w:r>
          </w:p>
        </w:tc>
        <w:tc>
          <w:tcPr>
            <w:tcW w:w="1170" w:type="dxa"/>
            <w:shd w:val="clear" w:color="auto" w:fill="1F4E79" w:themeFill="accent5" w:themeFillShade="80"/>
            <w:vAlign w:val="center"/>
          </w:tcPr>
          <w:p w14:paraId="74D9B247"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themeColor="background1"/>
                <w:sz w:val="20"/>
                <w:szCs w:val="20"/>
                <w:lang w:val="sr-Cyrl-RS"/>
              </w:rPr>
              <w:t>Отплата главнице</w:t>
            </w:r>
          </w:p>
        </w:tc>
        <w:tc>
          <w:tcPr>
            <w:tcW w:w="1350" w:type="dxa"/>
            <w:shd w:val="clear" w:color="auto" w:fill="1F4E79" w:themeFill="accent5" w:themeFillShade="80"/>
            <w:vAlign w:val="center"/>
          </w:tcPr>
          <w:p w14:paraId="5E99326C"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themeColor="background1"/>
                <w:sz w:val="20"/>
                <w:szCs w:val="20"/>
                <w:lang w:val="sr-Cyrl-RS"/>
              </w:rPr>
              <w:t>Нето задужење/раздужење</w:t>
            </w:r>
          </w:p>
        </w:tc>
        <w:tc>
          <w:tcPr>
            <w:tcW w:w="1530" w:type="dxa"/>
            <w:shd w:val="clear" w:color="auto" w:fill="1F4E79" w:themeFill="accent5" w:themeFillShade="80"/>
            <w:vAlign w:val="center"/>
          </w:tcPr>
          <w:p w14:paraId="363030FA"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themeColor="background1"/>
                <w:sz w:val="20"/>
                <w:szCs w:val="20"/>
                <w:lang w:val="sr-Cyrl-RS"/>
              </w:rPr>
              <w:t>Учешће задуживања у примањима ЈЛС</w:t>
            </w:r>
          </w:p>
        </w:tc>
        <w:tc>
          <w:tcPr>
            <w:tcW w:w="1111" w:type="dxa"/>
            <w:shd w:val="clear" w:color="auto" w:fill="1F4E79" w:themeFill="accent5" w:themeFillShade="80"/>
            <w:vAlign w:val="center"/>
          </w:tcPr>
          <w:p w14:paraId="71D3B531" w14:textId="54D5A844"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themeColor="background1"/>
                <w:sz w:val="20"/>
                <w:szCs w:val="20"/>
                <w:lang w:val="sr-Cyrl-RS"/>
              </w:rPr>
              <w:t>Учешће дуга Ј</w:t>
            </w:r>
            <w:r w:rsidR="00D9239A" w:rsidRPr="00A021B7">
              <w:rPr>
                <w:rFonts w:ascii="Arial" w:hAnsi="Arial" w:cs="Arial"/>
                <w:b/>
                <w:bCs/>
                <w:color w:val="FFFFFF" w:themeColor="background1"/>
                <w:sz w:val="20"/>
                <w:szCs w:val="20"/>
                <w:lang w:val="sr-Cyrl-RS"/>
              </w:rPr>
              <w:t>ЛС и АП</w:t>
            </w:r>
            <w:r w:rsidRPr="00A021B7">
              <w:rPr>
                <w:rFonts w:ascii="Arial" w:hAnsi="Arial" w:cs="Arial"/>
                <w:b/>
                <w:bCs/>
                <w:color w:val="FFFFFF" w:themeColor="background1"/>
                <w:sz w:val="20"/>
                <w:szCs w:val="20"/>
                <w:lang w:val="sr-Cyrl-RS"/>
              </w:rPr>
              <w:t xml:space="preserve"> у БДП</w:t>
            </w:r>
          </w:p>
        </w:tc>
        <w:tc>
          <w:tcPr>
            <w:tcW w:w="1340" w:type="dxa"/>
            <w:shd w:val="clear" w:color="auto" w:fill="1F4E79" w:themeFill="accent5" w:themeFillShade="80"/>
            <w:vAlign w:val="center"/>
          </w:tcPr>
          <w:p w14:paraId="61DB18DA" w14:textId="23A51983"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themeColor="background1"/>
                <w:sz w:val="20"/>
                <w:szCs w:val="20"/>
                <w:lang w:val="sr-Cyrl-RS"/>
              </w:rPr>
              <w:t>Учешће дуга ЈЛ</w:t>
            </w:r>
            <w:r w:rsidR="00D9239A" w:rsidRPr="00A021B7">
              <w:rPr>
                <w:rFonts w:ascii="Arial" w:hAnsi="Arial" w:cs="Arial"/>
                <w:b/>
                <w:bCs/>
                <w:color w:val="FFFFFF" w:themeColor="background1"/>
                <w:sz w:val="20"/>
                <w:szCs w:val="20"/>
                <w:lang w:val="sr-Cyrl-RS"/>
              </w:rPr>
              <w:t>С и АП</w:t>
            </w:r>
            <w:r w:rsidRPr="00A021B7">
              <w:rPr>
                <w:rFonts w:ascii="Arial" w:hAnsi="Arial" w:cs="Arial"/>
                <w:b/>
                <w:bCs/>
                <w:color w:val="FFFFFF" w:themeColor="background1"/>
                <w:sz w:val="20"/>
                <w:szCs w:val="20"/>
                <w:lang w:val="sr-Cyrl-RS"/>
              </w:rPr>
              <w:t xml:space="preserve"> у укупном јавном дугу</w:t>
            </w:r>
          </w:p>
        </w:tc>
      </w:tr>
      <w:tr w:rsidR="003E03ED" w:rsidRPr="00A021B7" w14:paraId="77A41DBF" w14:textId="77777777" w:rsidTr="1A8E6423">
        <w:trPr>
          <w:trHeight w:val="21"/>
          <w:jc w:val="center"/>
        </w:trPr>
        <w:tc>
          <w:tcPr>
            <w:tcW w:w="988" w:type="dxa"/>
            <w:shd w:val="clear" w:color="auto" w:fill="D9D9D9" w:themeFill="background1" w:themeFillShade="D9"/>
            <w:vAlign w:val="center"/>
          </w:tcPr>
          <w:p w14:paraId="3C85F7C0" w14:textId="7244C38E" w:rsidR="003E03ED" w:rsidRPr="00A021B7" w:rsidRDefault="003E03ED" w:rsidP="003E7BC9">
            <w:pPr>
              <w:jc w:val="center"/>
              <w:rPr>
                <w:rFonts w:ascii="Arial" w:hAnsi="Arial" w:cs="Arial"/>
                <w:b/>
                <w:bCs/>
                <w:sz w:val="20"/>
                <w:szCs w:val="20"/>
                <w:lang w:val="sr-Cyrl-RS"/>
              </w:rPr>
            </w:pPr>
            <w:r w:rsidRPr="1A8E6423">
              <w:rPr>
                <w:rFonts w:ascii="Arial" w:hAnsi="Arial" w:cs="Arial"/>
                <w:b/>
                <w:bCs/>
                <w:sz w:val="20"/>
                <w:szCs w:val="20"/>
                <w:lang w:val="sr-Cyrl-RS"/>
              </w:rPr>
              <w:t>2014</w:t>
            </w:r>
            <w:r w:rsidR="00BC1414" w:rsidRPr="1A8E6423">
              <w:rPr>
                <w:rFonts w:ascii="Arial" w:hAnsi="Arial" w:cs="Arial"/>
                <w:b/>
                <w:bCs/>
                <w:sz w:val="20"/>
                <w:szCs w:val="20"/>
                <w:lang w:val="sr-Cyrl-RS"/>
              </w:rPr>
              <w:t>.</w:t>
            </w:r>
          </w:p>
        </w:tc>
        <w:tc>
          <w:tcPr>
            <w:tcW w:w="1527" w:type="dxa"/>
            <w:vAlign w:val="center"/>
          </w:tcPr>
          <w:p w14:paraId="7A7E4A1A" w14:textId="0AD938F2"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8002</w:t>
            </w:r>
          </w:p>
        </w:tc>
        <w:tc>
          <w:tcPr>
            <w:tcW w:w="1170" w:type="dxa"/>
            <w:vAlign w:val="center"/>
          </w:tcPr>
          <w:p w14:paraId="59EDC0FA" w14:textId="4A6A5E3A"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8758</w:t>
            </w:r>
          </w:p>
        </w:tc>
        <w:tc>
          <w:tcPr>
            <w:tcW w:w="1350" w:type="dxa"/>
            <w:vAlign w:val="center"/>
          </w:tcPr>
          <w:p w14:paraId="111128A4" w14:textId="77777777"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-756</w:t>
            </w:r>
          </w:p>
        </w:tc>
        <w:tc>
          <w:tcPr>
            <w:tcW w:w="1530" w:type="dxa"/>
          </w:tcPr>
          <w:p w14:paraId="5A50CBAE" w14:textId="139C911A"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3</w:t>
            </w:r>
            <w:r w:rsidR="00BC1414" w:rsidRPr="1A8E6423">
              <w:rPr>
                <w:rFonts w:ascii="Arial" w:hAnsi="Arial" w:cs="Arial"/>
                <w:sz w:val="20"/>
                <w:szCs w:val="20"/>
                <w:lang w:val="sr-Cyrl-RS"/>
              </w:rPr>
              <w:t>,</w:t>
            </w:r>
            <w:r w:rsidRPr="1A8E6423">
              <w:rPr>
                <w:rFonts w:ascii="Arial" w:hAnsi="Arial" w:cs="Arial"/>
                <w:sz w:val="20"/>
                <w:szCs w:val="20"/>
                <w:lang w:val="sr-Cyrl-RS"/>
              </w:rPr>
              <w:t>42%</w:t>
            </w:r>
          </w:p>
        </w:tc>
        <w:tc>
          <w:tcPr>
            <w:tcW w:w="1111" w:type="dxa"/>
          </w:tcPr>
          <w:p w14:paraId="68A2C393" w14:textId="0761CA93"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12%</w:t>
            </w:r>
          </w:p>
        </w:tc>
        <w:tc>
          <w:tcPr>
            <w:tcW w:w="1340" w:type="dxa"/>
          </w:tcPr>
          <w:p w14:paraId="4735D7C9" w14:textId="0445537D"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93%</w:t>
            </w:r>
          </w:p>
        </w:tc>
      </w:tr>
      <w:tr w:rsidR="003E03ED" w:rsidRPr="00A021B7" w14:paraId="76EF224F" w14:textId="77777777" w:rsidTr="1A8E6423">
        <w:trPr>
          <w:trHeight w:val="21"/>
          <w:jc w:val="center"/>
        </w:trPr>
        <w:tc>
          <w:tcPr>
            <w:tcW w:w="988" w:type="dxa"/>
            <w:shd w:val="clear" w:color="auto" w:fill="D9D9D9" w:themeFill="background1" w:themeFillShade="D9"/>
            <w:vAlign w:val="center"/>
          </w:tcPr>
          <w:p w14:paraId="6E161F85" w14:textId="44321022" w:rsidR="003E03ED" w:rsidRPr="00A021B7" w:rsidRDefault="003E03ED" w:rsidP="003E7BC9">
            <w:pPr>
              <w:jc w:val="center"/>
              <w:rPr>
                <w:rFonts w:ascii="Arial" w:hAnsi="Arial" w:cs="Arial"/>
                <w:b/>
                <w:bCs/>
                <w:sz w:val="20"/>
                <w:szCs w:val="20"/>
                <w:lang w:val="sr-Cyrl-RS"/>
              </w:rPr>
            </w:pPr>
            <w:r w:rsidRPr="1A8E6423">
              <w:rPr>
                <w:rFonts w:ascii="Arial" w:hAnsi="Arial" w:cs="Arial"/>
                <w:b/>
                <w:bCs/>
                <w:sz w:val="20"/>
                <w:szCs w:val="20"/>
                <w:lang w:val="sr-Cyrl-RS"/>
              </w:rPr>
              <w:t>2015</w:t>
            </w:r>
            <w:r w:rsidR="00BC1414" w:rsidRPr="1A8E6423">
              <w:rPr>
                <w:rFonts w:ascii="Arial" w:hAnsi="Arial" w:cs="Arial"/>
                <w:b/>
                <w:bCs/>
                <w:sz w:val="20"/>
                <w:szCs w:val="20"/>
                <w:lang w:val="sr-Cyrl-RS"/>
              </w:rPr>
              <w:t>.</w:t>
            </w:r>
          </w:p>
        </w:tc>
        <w:tc>
          <w:tcPr>
            <w:tcW w:w="1527" w:type="dxa"/>
            <w:vAlign w:val="center"/>
          </w:tcPr>
          <w:p w14:paraId="61C42A53" w14:textId="6DADA764"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10</w:t>
            </w:r>
            <w:r w:rsidR="00012C89">
              <w:rPr>
                <w:rFonts w:ascii="Arial" w:hAnsi="Arial" w:cs="Arial"/>
                <w:sz w:val="20"/>
                <w:szCs w:val="20"/>
              </w:rPr>
              <w:t>.</w:t>
            </w:r>
            <w:r w:rsidRPr="00A021B7">
              <w:rPr>
                <w:rFonts w:ascii="Arial" w:hAnsi="Arial" w:cs="Arial"/>
                <w:sz w:val="20"/>
                <w:szCs w:val="20"/>
                <w:lang w:val="sr-Cyrl-RS"/>
              </w:rPr>
              <w:t>001</w:t>
            </w:r>
          </w:p>
        </w:tc>
        <w:tc>
          <w:tcPr>
            <w:tcW w:w="1170" w:type="dxa"/>
            <w:vAlign w:val="center"/>
          </w:tcPr>
          <w:p w14:paraId="3D98997B" w14:textId="39FB9CBE"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12</w:t>
            </w:r>
            <w:r w:rsidR="00012C89">
              <w:rPr>
                <w:rFonts w:ascii="Arial" w:hAnsi="Arial" w:cs="Arial"/>
                <w:sz w:val="20"/>
                <w:szCs w:val="20"/>
              </w:rPr>
              <w:t>.</w:t>
            </w:r>
            <w:r w:rsidRPr="00A021B7">
              <w:rPr>
                <w:rFonts w:ascii="Arial" w:hAnsi="Arial" w:cs="Arial"/>
                <w:sz w:val="20"/>
                <w:szCs w:val="20"/>
                <w:lang w:val="sr-Cyrl-RS"/>
              </w:rPr>
              <w:t>153</w:t>
            </w:r>
          </w:p>
        </w:tc>
        <w:tc>
          <w:tcPr>
            <w:tcW w:w="1350" w:type="dxa"/>
            <w:vAlign w:val="center"/>
          </w:tcPr>
          <w:p w14:paraId="2244C9AB" w14:textId="04B8F0C8"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-2152</w:t>
            </w:r>
          </w:p>
        </w:tc>
        <w:tc>
          <w:tcPr>
            <w:tcW w:w="1530" w:type="dxa"/>
          </w:tcPr>
          <w:p w14:paraId="43F9719F" w14:textId="5C645EB9"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4</w:t>
            </w:r>
            <w:r w:rsidR="00BC1414" w:rsidRPr="1A8E6423">
              <w:rPr>
                <w:rFonts w:ascii="Arial" w:hAnsi="Arial" w:cs="Arial"/>
                <w:sz w:val="20"/>
                <w:szCs w:val="20"/>
                <w:lang w:val="sr-Cyrl-RS"/>
              </w:rPr>
              <w:t>,</w:t>
            </w:r>
            <w:r w:rsidRPr="1A8E6423">
              <w:rPr>
                <w:rFonts w:ascii="Arial" w:hAnsi="Arial" w:cs="Arial"/>
                <w:sz w:val="20"/>
                <w:szCs w:val="20"/>
                <w:lang w:val="sr-Cyrl-RS"/>
              </w:rPr>
              <w:t>04%</w:t>
            </w:r>
          </w:p>
        </w:tc>
        <w:tc>
          <w:tcPr>
            <w:tcW w:w="1111" w:type="dxa"/>
          </w:tcPr>
          <w:p w14:paraId="5388CC0F" w14:textId="7CF85063"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1</w:t>
            </w:r>
            <w:r w:rsidR="00BC1414" w:rsidRPr="1A8E6423">
              <w:rPr>
                <w:rFonts w:ascii="Arial" w:hAnsi="Arial" w:cs="Arial"/>
                <w:sz w:val="20"/>
                <w:szCs w:val="20"/>
                <w:lang w:val="sr-Cyrl-RS"/>
              </w:rPr>
              <w:t>,</w:t>
            </w:r>
            <w:r w:rsidRPr="1A8E6423">
              <w:rPr>
                <w:rFonts w:ascii="Arial" w:hAnsi="Arial" w:cs="Arial"/>
                <w:sz w:val="20"/>
                <w:szCs w:val="20"/>
                <w:lang w:val="sr-Cyrl-RS"/>
              </w:rPr>
              <w:t>90%</w:t>
            </w:r>
          </w:p>
        </w:tc>
        <w:tc>
          <w:tcPr>
            <w:tcW w:w="1340" w:type="dxa"/>
          </w:tcPr>
          <w:p w14:paraId="4209397C" w14:textId="4E3C3CDD"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67%</w:t>
            </w:r>
          </w:p>
        </w:tc>
      </w:tr>
      <w:tr w:rsidR="003E03ED" w:rsidRPr="00A021B7" w14:paraId="766514C9" w14:textId="77777777" w:rsidTr="1A8E6423">
        <w:trPr>
          <w:trHeight w:val="21"/>
          <w:jc w:val="center"/>
        </w:trPr>
        <w:tc>
          <w:tcPr>
            <w:tcW w:w="988" w:type="dxa"/>
            <w:shd w:val="clear" w:color="auto" w:fill="D9D9D9" w:themeFill="background1" w:themeFillShade="D9"/>
            <w:vAlign w:val="center"/>
          </w:tcPr>
          <w:p w14:paraId="4F042FDA" w14:textId="1570FFB1" w:rsidR="003E03ED" w:rsidRPr="00A021B7" w:rsidRDefault="003E03ED" w:rsidP="003E7BC9">
            <w:pPr>
              <w:jc w:val="center"/>
              <w:rPr>
                <w:rFonts w:ascii="Arial" w:hAnsi="Arial" w:cs="Arial"/>
                <w:b/>
                <w:bCs/>
                <w:sz w:val="20"/>
                <w:szCs w:val="20"/>
                <w:lang w:val="sr-Cyrl-RS"/>
              </w:rPr>
            </w:pPr>
            <w:r w:rsidRPr="1A8E6423">
              <w:rPr>
                <w:rFonts w:ascii="Arial" w:hAnsi="Arial" w:cs="Arial"/>
                <w:b/>
                <w:bCs/>
                <w:sz w:val="20"/>
                <w:szCs w:val="20"/>
                <w:lang w:val="sr-Cyrl-RS"/>
              </w:rPr>
              <w:t>2016</w:t>
            </w:r>
            <w:r w:rsidR="00BC1414" w:rsidRPr="1A8E6423">
              <w:rPr>
                <w:rFonts w:ascii="Arial" w:hAnsi="Arial" w:cs="Arial"/>
                <w:b/>
                <w:bCs/>
                <w:sz w:val="20"/>
                <w:szCs w:val="20"/>
                <w:lang w:val="sr-Cyrl-RS"/>
              </w:rPr>
              <w:t>.</w:t>
            </w:r>
          </w:p>
        </w:tc>
        <w:tc>
          <w:tcPr>
            <w:tcW w:w="1527" w:type="dxa"/>
            <w:vAlign w:val="center"/>
          </w:tcPr>
          <w:p w14:paraId="6EACA179" w14:textId="45F9CE45"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11</w:t>
            </w:r>
            <w:r w:rsidR="00012C89">
              <w:rPr>
                <w:rFonts w:ascii="Arial" w:hAnsi="Arial" w:cs="Arial"/>
                <w:sz w:val="20"/>
                <w:szCs w:val="20"/>
              </w:rPr>
              <w:t>.</w:t>
            </w:r>
            <w:r w:rsidRPr="00A021B7">
              <w:rPr>
                <w:rFonts w:ascii="Arial" w:hAnsi="Arial" w:cs="Arial"/>
                <w:sz w:val="20"/>
                <w:szCs w:val="20"/>
                <w:lang w:val="sr-Cyrl-RS"/>
              </w:rPr>
              <w:t>225</w:t>
            </w:r>
          </w:p>
        </w:tc>
        <w:tc>
          <w:tcPr>
            <w:tcW w:w="1170" w:type="dxa"/>
            <w:vAlign w:val="center"/>
          </w:tcPr>
          <w:p w14:paraId="6FBB92A5" w14:textId="1B6B0DF4"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13</w:t>
            </w:r>
            <w:r w:rsidR="00012C89">
              <w:rPr>
                <w:rFonts w:ascii="Arial" w:hAnsi="Arial" w:cs="Arial"/>
                <w:sz w:val="20"/>
                <w:szCs w:val="20"/>
              </w:rPr>
              <w:t>.</w:t>
            </w:r>
            <w:r w:rsidRPr="00A021B7">
              <w:rPr>
                <w:rFonts w:ascii="Arial" w:hAnsi="Arial" w:cs="Arial"/>
                <w:sz w:val="20"/>
                <w:szCs w:val="20"/>
                <w:lang w:val="sr-Cyrl-RS"/>
              </w:rPr>
              <w:t>548</w:t>
            </w:r>
          </w:p>
        </w:tc>
        <w:tc>
          <w:tcPr>
            <w:tcW w:w="1350" w:type="dxa"/>
            <w:vAlign w:val="center"/>
          </w:tcPr>
          <w:p w14:paraId="09F5AF2B" w14:textId="7502F7CB"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-2323</w:t>
            </w:r>
          </w:p>
        </w:tc>
        <w:tc>
          <w:tcPr>
            <w:tcW w:w="1530" w:type="dxa"/>
          </w:tcPr>
          <w:p w14:paraId="314DB567" w14:textId="1B9DF983"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4</w:t>
            </w:r>
            <w:r w:rsidR="00BC1414" w:rsidRPr="1A8E6423">
              <w:rPr>
                <w:rFonts w:ascii="Arial" w:hAnsi="Arial" w:cs="Arial"/>
                <w:sz w:val="20"/>
                <w:szCs w:val="20"/>
                <w:lang w:val="sr-Cyrl-RS"/>
              </w:rPr>
              <w:t>,</w:t>
            </w:r>
            <w:r w:rsidRPr="1A8E6423">
              <w:rPr>
                <w:rFonts w:ascii="Arial" w:hAnsi="Arial" w:cs="Arial"/>
                <w:sz w:val="20"/>
                <w:szCs w:val="20"/>
                <w:lang w:val="sr-Cyrl-RS"/>
              </w:rPr>
              <w:t>06%</w:t>
            </w:r>
          </w:p>
        </w:tc>
        <w:tc>
          <w:tcPr>
            <w:tcW w:w="1111" w:type="dxa"/>
          </w:tcPr>
          <w:p w14:paraId="0D34ED6A" w14:textId="3FB291A7"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1</w:t>
            </w:r>
            <w:r w:rsidR="00BC1414" w:rsidRPr="1A8E6423">
              <w:rPr>
                <w:rFonts w:ascii="Arial" w:hAnsi="Arial" w:cs="Arial"/>
                <w:sz w:val="20"/>
                <w:szCs w:val="20"/>
                <w:lang w:val="sr-Cyrl-RS"/>
              </w:rPr>
              <w:t>,</w:t>
            </w:r>
            <w:r w:rsidRPr="1A8E6423">
              <w:rPr>
                <w:rFonts w:ascii="Arial" w:hAnsi="Arial" w:cs="Arial"/>
                <w:sz w:val="20"/>
                <w:szCs w:val="20"/>
                <w:lang w:val="sr-Cyrl-RS"/>
              </w:rPr>
              <w:t>68%</w:t>
            </w:r>
          </w:p>
        </w:tc>
        <w:tc>
          <w:tcPr>
            <w:tcW w:w="1340" w:type="dxa"/>
          </w:tcPr>
          <w:p w14:paraId="4284A970" w14:textId="0C02CD47"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44%</w:t>
            </w:r>
          </w:p>
        </w:tc>
      </w:tr>
      <w:tr w:rsidR="003E03ED" w:rsidRPr="00A021B7" w14:paraId="6C2D0AD8" w14:textId="77777777" w:rsidTr="1A8E6423">
        <w:trPr>
          <w:trHeight w:val="21"/>
          <w:jc w:val="center"/>
        </w:trPr>
        <w:tc>
          <w:tcPr>
            <w:tcW w:w="988" w:type="dxa"/>
            <w:shd w:val="clear" w:color="auto" w:fill="D9D9D9" w:themeFill="background1" w:themeFillShade="D9"/>
            <w:vAlign w:val="center"/>
          </w:tcPr>
          <w:p w14:paraId="1EDB60D4" w14:textId="55465DA6" w:rsidR="003E03ED" w:rsidRPr="00A021B7" w:rsidRDefault="003E03ED" w:rsidP="003E7BC9">
            <w:pPr>
              <w:jc w:val="center"/>
              <w:rPr>
                <w:rFonts w:ascii="Arial" w:hAnsi="Arial" w:cs="Arial"/>
                <w:b/>
                <w:bCs/>
                <w:sz w:val="20"/>
                <w:szCs w:val="20"/>
                <w:lang w:val="sr-Cyrl-RS"/>
              </w:rPr>
            </w:pPr>
            <w:r w:rsidRPr="1A8E6423">
              <w:rPr>
                <w:rFonts w:ascii="Arial" w:hAnsi="Arial" w:cs="Arial"/>
                <w:b/>
                <w:bCs/>
                <w:sz w:val="20"/>
                <w:szCs w:val="20"/>
                <w:lang w:val="sr-Cyrl-RS"/>
              </w:rPr>
              <w:t>2017</w:t>
            </w:r>
            <w:r w:rsidR="00BC1414" w:rsidRPr="1A8E6423">
              <w:rPr>
                <w:rFonts w:ascii="Arial" w:hAnsi="Arial" w:cs="Arial"/>
                <w:b/>
                <w:bCs/>
                <w:sz w:val="20"/>
                <w:szCs w:val="20"/>
                <w:lang w:val="sr-Cyrl-RS"/>
              </w:rPr>
              <w:t>.</w:t>
            </w:r>
          </w:p>
        </w:tc>
        <w:tc>
          <w:tcPr>
            <w:tcW w:w="1527" w:type="dxa"/>
            <w:vAlign w:val="center"/>
          </w:tcPr>
          <w:p w14:paraId="611E5797" w14:textId="0DE922C1"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6782</w:t>
            </w:r>
          </w:p>
        </w:tc>
        <w:tc>
          <w:tcPr>
            <w:tcW w:w="1170" w:type="dxa"/>
            <w:vAlign w:val="center"/>
          </w:tcPr>
          <w:p w14:paraId="64132CFF" w14:textId="43E71144"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10</w:t>
            </w:r>
            <w:r w:rsidR="006C0A94">
              <w:rPr>
                <w:rFonts w:ascii="Arial" w:hAnsi="Arial" w:cs="Arial"/>
                <w:sz w:val="20"/>
                <w:szCs w:val="20"/>
              </w:rPr>
              <w:t>.</w:t>
            </w:r>
            <w:r w:rsidRPr="00A021B7">
              <w:rPr>
                <w:rFonts w:ascii="Arial" w:hAnsi="Arial" w:cs="Arial"/>
                <w:sz w:val="20"/>
                <w:szCs w:val="20"/>
                <w:lang w:val="sr-Cyrl-RS"/>
              </w:rPr>
              <w:t>924</w:t>
            </w:r>
          </w:p>
        </w:tc>
        <w:tc>
          <w:tcPr>
            <w:tcW w:w="1350" w:type="dxa"/>
            <w:vAlign w:val="center"/>
          </w:tcPr>
          <w:p w14:paraId="4EB2171D" w14:textId="128E3EAA"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-4142</w:t>
            </w:r>
          </w:p>
        </w:tc>
        <w:tc>
          <w:tcPr>
            <w:tcW w:w="1530" w:type="dxa"/>
          </w:tcPr>
          <w:p w14:paraId="212DA3A1" w14:textId="7FE57FBA"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36%</w:t>
            </w:r>
          </w:p>
        </w:tc>
        <w:tc>
          <w:tcPr>
            <w:tcW w:w="1111" w:type="dxa"/>
          </w:tcPr>
          <w:p w14:paraId="6EEB2722" w14:textId="24CD9AF3"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1</w:t>
            </w:r>
            <w:r w:rsidR="00BC1414" w:rsidRPr="1A8E6423">
              <w:rPr>
                <w:rFonts w:ascii="Arial" w:hAnsi="Arial" w:cs="Arial"/>
                <w:sz w:val="20"/>
                <w:szCs w:val="20"/>
                <w:lang w:val="sr-Cyrl-RS"/>
              </w:rPr>
              <w:t>,</w:t>
            </w:r>
            <w:r w:rsidRPr="1A8E6423">
              <w:rPr>
                <w:rFonts w:ascii="Arial" w:hAnsi="Arial" w:cs="Arial"/>
                <w:sz w:val="20"/>
                <w:szCs w:val="20"/>
                <w:lang w:val="sr-Cyrl-RS"/>
              </w:rPr>
              <w:t>41%</w:t>
            </w:r>
          </w:p>
        </w:tc>
        <w:tc>
          <w:tcPr>
            <w:tcW w:w="1340" w:type="dxa"/>
          </w:tcPr>
          <w:p w14:paraId="4E4946C6" w14:textId="2CD078BA"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40%</w:t>
            </w:r>
          </w:p>
        </w:tc>
      </w:tr>
      <w:tr w:rsidR="003E03ED" w:rsidRPr="00A021B7" w14:paraId="4469455C" w14:textId="77777777" w:rsidTr="1A8E6423">
        <w:trPr>
          <w:trHeight w:val="21"/>
          <w:jc w:val="center"/>
        </w:trPr>
        <w:tc>
          <w:tcPr>
            <w:tcW w:w="988" w:type="dxa"/>
            <w:shd w:val="clear" w:color="auto" w:fill="D9D9D9" w:themeFill="background1" w:themeFillShade="D9"/>
            <w:vAlign w:val="center"/>
          </w:tcPr>
          <w:p w14:paraId="1705F669" w14:textId="0C42939B" w:rsidR="003E03ED" w:rsidRPr="00A021B7" w:rsidRDefault="003E03ED" w:rsidP="003E7BC9">
            <w:pPr>
              <w:jc w:val="center"/>
              <w:rPr>
                <w:rFonts w:ascii="Arial" w:hAnsi="Arial" w:cs="Arial"/>
                <w:b/>
                <w:bCs/>
                <w:sz w:val="20"/>
                <w:szCs w:val="20"/>
                <w:lang w:val="sr-Cyrl-RS"/>
              </w:rPr>
            </w:pPr>
            <w:r w:rsidRPr="1A8E6423">
              <w:rPr>
                <w:rFonts w:ascii="Arial" w:hAnsi="Arial" w:cs="Arial"/>
                <w:b/>
                <w:bCs/>
                <w:sz w:val="20"/>
                <w:szCs w:val="20"/>
                <w:lang w:val="sr-Cyrl-RS"/>
              </w:rPr>
              <w:t>2018</w:t>
            </w:r>
            <w:r w:rsidR="00BC1414" w:rsidRPr="1A8E6423">
              <w:rPr>
                <w:rFonts w:ascii="Arial" w:hAnsi="Arial" w:cs="Arial"/>
                <w:b/>
                <w:bCs/>
                <w:sz w:val="20"/>
                <w:szCs w:val="20"/>
                <w:lang w:val="sr-Cyrl-RS"/>
              </w:rPr>
              <w:t>.</w:t>
            </w:r>
          </w:p>
        </w:tc>
        <w:tc>
          <w:tcPr>
            <w:tcW w:w="1527" w:type="dxa"/>
            <w:vAlign w:val="center"/>
          </w:tcPr>
          <w:p w14:paraId="5ACACA06" w14:textId="7606B4E1"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6704</w:t>
            </w:r>
          </w:p>
        </w:tc>
        <w:tc>
          <w:tcPr>
            <w:tcW w:w="1170" w:type="dxa"/>
            <w:vAlign w:val="center"/>
          </w:tcPr>
          <w:p w14:paraId="30B524A4" w14:textId="7A56139F"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10</w:t>
            </w:r>
            <w:r w:rsidR="00012C89">
              <w:rPr>
                <w:rFonts w:ascii="Arial" w:hAnsi="Arial" w:cs="Arial"/>
                <w:sz w:val="20"/>
                <w:szCs w:val="20"/>
              </w:rPr>
              <w:t>.</w:t>
            </w:r>
            <w:r w:rsidRPr="00A021B7">
              <w:rPr>
                <w:rFonts w:ascii="Arial" w:hAnsi="Arial" w:cs="Arial"/>
                <w:sz w:val="20"/>
                <w:szCs w:val="20"/>
                <w:lang w:val="sr-Cyrl-RS"/>
              </w:rPr>
              <w:t>429</w:t>
            </w:r>
          </w:p>
        </w:tc>
        <w:tc>
          <w:tcPr>
            <w:tcW w:w="1350" w:type="dxa"/>
            <w:vAlign w:val="center"/>
          </w:tcPr>
          <w:p w14:paraId="304B86F7" w14:textId="533BAC94"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-3725</w:t>
            </w:r>
          </w:p>
        </w:tc>
        <w:tc>
          <w:tcPr>
            <w:tcW w:w="1530" w:type="dxa"/>
          </w:tcPr>
          <w:p w14:paraId="5C856DF9" w14:textId="65691B22"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18%</w:t>
            </w:r>
          </w:p>
        </w:tc>
        <w:tc>
          <w:tcPr>
            <w:tcW w:w="1111" w:type="dxa"/>
          </w:tcPr>
          <w:p w14:paraId="05D8C4CC" w14:textId="1F15E738"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1</w:t>
            </w:r>
            <w:r w:rsidR="00BC1414" w:rsidRPr="1A8E6423">
              <w:rPr>
                <w:rFonts w:ascii="Arial" w:hAnsi="Arial" w:cs="Arial"/>
                <w:sz w:val="20"/>
                <w:szCs w:val="20"/>
                <w:lang w:val="sr-Cyrl-RS"/>
              </w:rPr>
              <w:t>,</w:t>
            </w:r>
            <w:r w:rsidRPr="1A8E6423">
              <w:rPr>
                <w:rFonts w:ascii="Arial" w:hAnsi="Arial" w:cs="Arial"/>
                <w:sz w:val="20"/>
                <w:szCs w:val="20"/>
                <w:lang w:val="sr-Cyrl-RS"/>
              </w:rPr>
              <w:t>24%</w:t>
            </w:r>
          </w:p>
        </w:tc>
        <w:tc>
          <w:tcPr>
            <w:tcW w:w="1340" w:type="dxa"/>
          </w:tcPr>
          <w:p w14:paraId="680289B1" w14:textId="09BD1162"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29%</w:t>
            </w:r>
          </w:p>
        </w:tc>
      </w:tr>
      <w:tr w:rsidR="003E03ED" w:rsidRPr="00A021B7" w14:paraId="5EC74958" w14:textId="77777777" w:rsidTr="1A8E6423">
        <w:trPr>
          <w:trHeight w:val="21"/>
          <w:jc w:val="center"/>
        </w:trPr>
        <w:tc>
          <w:tcPr>
            <w:tcW w:w="988" w:type="dxa"/>
            <w:shd w:val="clear" w:color="auto" w:fill="D9D9D9" w:themeFill="background1" w:themeFillShade="D9"/>
            <w:vAlign w:val="center"/>
          </w:tcPr>
          <w:p w14:paraId="1596B025" w14:textId="75F94D9B" w:rsidR="003E03ED" w:rsidRPr="00A021B7" w:rsidRDefault="003E03ED" w:rsidP="003E7BC9">
            <w:pPr>
              <w:jc w:val="center"/>
              <w:rPr>
                <w:rFonts w:ascii="Arial" w:hAnsi="Arial" w:cs="Arial"/>
                <w:b/>
                <w:bCs/>
                <w:sz w:val="20"/>
                <w:szCs w:val="20"/>
                <w:lang w:val="sr-Cyrl-RS"/>
              </w:rPr>
            </w:pPr>
            <w:r w:rsidRPr="1A8E6423">
              <w:rPr>
                <w:rFonts w:ascii="Arial" w:hAnsi="Arial" w:cs="Arial"/>
                <w:b/>
                <w:bCs/>
                <w:sz w:val="20"/>
                <w:szCs w:val="20"/>
                <w:lang w:val="sr-Cyrl-RS"/>
              </w:rPr>
              <w:t>2019</w:t>
            </w:r>
            <w:r w:rsidR="00BC1414" w:rsidRPr="1A8E6423">
              <w:rPr>
                <w:rFonts w:ascii="Arial" w:hAnsi="Arial" w:cs="Arial"/>
                <w:b/>
                <w:bCs/>
                <w:sz w:val="20"/>
                <w:szCs w:val="20"/>
                <w:lang w:val="sr-Cyrl-RS"/>
              </w:rPr>
              <w:t>.</w:t>
            </w:r>
          </w:p>
        </w:tc>
        <w:tc>
          <w:tcPr>
            <w:tcW w:w="1527" w:type="dxa"/>
            <w:vAlign w:val="center"/>
          </w:tcPr>
          <w:p w14:paraId="50F02720" w14:textId="3358804F"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9120</w:t>
            </w:r>
          </w:p>
        </w:tc>
        <w:tc>
          <w:tcPr>
            <w:tcW w:w="1170" w:type="dxa"/>
            <w:vAlign w:val="center"/>
          </w:tcPr>
          <w:p w14:paraId="2819CC7F" w14:textId="653F28AB" w:rsidR="003E03ED" w:rsidRPr="00A021B7" w:rsidRDefault="003E03ED" w:rsidP="003E7BC9">
            <w:pPr>
              <w:jc w:val="right"/>
              <w:rPr>
                <w:rFonts w:ascii="Arial" w:hAnsi="Arial" w:cs="Arial"/>
                <w:sz w:val="20"/>
                <w:szCs w:val="20"/>
                <w:lang w:val="sr-Cyrl-RS"/>
              </w:rPr>
            </w:pPr>
            <w:r w:rsidRPr="00A021B7">
              <w:rPr>
                <w:rFonts w:ascii="Arial" w:hAnsi="Arial" w:cs="Arial"/>
                <w:sz w:val="20"/>
                <w:szCs w:val="20"/>
                <w:lang w:val="sr-Cyrl-RS"/>
              </w:rPr>
              <w:t>8016</w:t>
            </w:r>
          </w:p>
        </w:tc>
        <w:tc>
          <w:tcPr>
            <w:tcW w:w="1350" w:type="dxa"/>
            <w:vAlign w:val="center"/>
          </w:tcPr>
          <w:p w14:paraId="00C6DDC3" w14:textId="43081D62" w:rsidR="003E03ED" w:rsidRPr="00A021B7" w:rsidRDefault="003E03ED" w:rsidP="003E7BC9">
            <w:pPr>
              <w:ind w:left="567"/>
              <w:contextualSpacing/>
              <w:jc w:val="right"/>
              <w:rPr>
                <w:rFonts w:ascii="Arial" w:hAnsi="Arial" w:cs="Arial"/>
                <w:sz w:val="20"/>
                <w:szCs w:val="20"/>
                <w:lang w:val="sr-Cyrl-RS"/>
              </w:rPr>
            </w:pPr>
            <w:r w:rsidRPr="00A021B7">
              <w:rPr>
                <w:rFonts w:ascii="Arial" w:hAnsi="Arial" w:cs="Arial"/>
                <w:sz w:val="20"/>
                <w:szCs w:val="20"/>
                <w:lang w:val="sr-Cyrl-RS"/>
              </w:rPr>
              <w:t>1104</w:t>
            </w:r>
          </w:p>
        </w:tc>
        <w:tc>
          <w:tcPr>
            <w:tcW w:w="1530" w:type="dxa"/>
            <w:vAlign w:val="center"/>
          </w:tcPr>
          <w:p w14:paraId="6836291A" w14:textId="461C0036" w:rsidR="003E03ED" w:rsidRPr="00A021B7" w:rsidRDefault="003E03ED" w:rsidP="003E7BC9">
            <w:pPr>
              <w:ind w:left="567"/>
              <w:contextualSpacing/>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71%</w:t>
            </w:r>
          </w:p>
        </w:tc>
        <w:tc>
          <w:tcPr>
            <w:tcW w:w="1111" w:type="dxa"/>
            <w:vAlign w:val="center"/>
          </w:tcPr>
          <w:p w14:paraId="00D3AB2F" w14:textId="6370B036"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1</w:t>
            </w:r>
            <w:r w:rsidR="00BC1414" w:rsidRPr="1A8E6423">
              <w:rPr>
                <w:rFonts w:ascii="Arial" w:hAnsi="Arial" w:cs="Arial"/>
                <w:sz w:val="20"/>
                <w:szCs w:val="20"/>
                <w:lang w:val="sr-Cyrl-RS"/>
              </w:rPr>
              <w:t>,</w:t>
            </w:r>
            <w:r w:rsidRPr="1A8E6423">
              <w:rPr>
                <w:rFonts w:ascii="Arial" w:hAnsi="Arial" w:cs="Arial"/>
                <w:sz w:val="20"/>
                <w:szCs w:val="20"/>
                <w:lang w:val="sr-Cyrl-RS"/>
              </w:rPr>
              <w:t>20%</w:t>
            </w:r>
          </w:p>
        </w:tc>
        <w:tc>
          <w:tcPr>
            <w:tcW w:w="1340" w:type="dxa"/>
            <w:vAlign w:val="center"/>
          </w:tcPr>
          <w:p w14:paraId="535AD5C2" w14:textId="271F7030"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2</w:t>
            </w:r>
            <w:r w:rsidR="00BC1414" w:rsidRPr="1A8E6423">
              <w:rPr>
                <w:rFonts w:ascii="Arial" w:hAnsi="Arial" w:cs="Arial"/>
                <w:sz w:val="20"/>
                <w:szCs w:val="20"/>
                <w:lang w:val="sr-Cyrl-RS"/>
              </w:rPr>
              <w:t>,</w:t>
            </w:r>
            <w:r w:rsidRPr="1A8E6423">
              <w:rPr>
                <w:rFonts w:ascii="Arial" w:hAnsi="Arial" w:cs="Arial"/>
                <w:sz w:val="20"/>
                <w:szCs w:val="20"/>
                <w:lang w:val="sr-Cyrl-RS"/>
              </w:rPr>
              <w:t>23%</w:t>
            </w:r>
          </w:p>
        </w:tc>
      </w:tr>
    </w:tbl>
    <w:p w14:paraId="1E55A06B" w14:textId="77777777" w:rsidR="003E03ED" w:rsidRPr="00A021B7" w:rsidRDefault="003E03ED" w:rsidP="003E7BC9">
      <w:pPr>
        <w:rPr>
          <w:rFonts w:ascii="Arial" w:hAnsi="Arial" w:cs="Arial"/>
          <w:b/>
          <w:bCs/>
          <w:sz w:val="20"/>
          <w:szCs w:val="20"/>
          <w:lang w:val="sr-Cyrl-RS"/>
        </w:rPr>
      </w:pPr>
    </w:p>
    <w:p w14:paraId="55F7EE7A" w14:textId="5605D00B"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Стање јавног дуга јединица локалне власти (АП и ЈЛС) на крају 2019. године износило је 63</w:t>
      </w:r>
      <w:r w:rsidR="007912FB" w:rsidRPr="1A8E6423">
        <w:rPr>
          <w:rFonts w:ascii="Arial" w:hAnsi="Arial" w:cs="Arial"/>
          <w:sz w:val="20"/>
          <w:szCs w:val="20"/>
          <w:lang w:val="sr-Cyrl-RS"/>
        </w:rPr>
        <w:t>,</w:t>
      </w:r>
      <w:r w:rsidRPr="1A8E6423">
        <w:rPr>
          <w:rFonts w:ascii="Arial" w:hAnsi="Arial" w:cs="Arial"/>
          <w:sz w:val="20"/>
          <w:szCs w:val="20"/>
          <w:lang w:val="sr-Cyrl-RS"/>
        </w:rPr>
        <w:t xml:space="preserve">7 </w:t>
      </w:r>
      <w:r w:rsidR="007912FB" w:rsidRPr="1A8E6423">
        <w:rPr>
          <w:rFonts w:ascii="Arial" w:hAnsi="Arial" w:cs="Arial"/>
          <w:sz w:val="20"/>
          <w:szCs w:val="20"/>
          <w:lang w:val="sr-Cyrl-RS"/>
        </w:rPr>
        <w:t>милијарди</w:t>
      </w:r>
      <w:r w:rsidRPr="1A8E6423">
        <w:rPr>
          <w:rFonts w:ascii="Arial" w:hAnsi="Arial" w:cs="Arial"/>
          <w:sz w:val="20"/>
          <w:szCs w:val="20"/>
          <w:lang w:val="sr-Cyrl-RS"/>
        </w:rPr>
        <w:t xml:space="preserve"> РСД, што је 2</w:t>
      </w:r>
      <w:r w:rsidR="007912FB" w:rsidRPr="1A8E6423">
        <w:rPr>
          <w:rFonts w:ascii="Arial" w:hAnsi="Arial" w:cs="Arial"/>
          <w:sz w:val="20"/>
          <w:szCs w:val="20"/>
          <w:lang w:val="sr-Cyrl-RS"/>
        </w:rPr>
        <w:t>,</w:t>
      </w:r>
      <w:r w:rsidRPr="1A8E6423">
        <w:rPr>
          <w:rFonts w:ascii="Arial" w:hAnsi="Arial" w:cs="Arial"/>
          <w:sz w:val="20"/>
          <w:szCs w:val="20"/>
          <w:lang w:val="sr-Cyrl-RS"/>
        </w:rPr>
        <w:t xml:space="preserve">23% јавног дуга општег нивоа државе. Учешће дуга </w:t>
      </w:r>
      <w:r w:rsidR="00222B8A" w:rsidRPr="1A8E6423">
        <w:rPr>
          <w:rFonts w:ascii="Arial" w:hAnsi="Arial" w:cs="Arial"/>
          <w:sz w:val="20"/>
          <w:szCs w:val="20"/>
          <w:lang w:val="sr-Cyrl-RS"/>
        </w:rPr>
        <w:t>ЈЛС и АП</w:t>
      </w:r>
      <w:r w:rsidRPr="1A8E6423">
        <w:rPr>
          <w:rFonts w:ascii="Arial" w:hAnsi="Arial" w:cs="Arial"/>
          <w:sz w:val="20"/>
          <w:szCs w:val="20"/>
          <w:lang w:val="sr-Cyrl-RS"/>
        </w:rPr>
        <w:t xml:space="preserve"> у БДП континуирано се смањује од 2014. године и у 2019. години је </w:t>
      </w:r>
      <w:r w:rsidR="007912FB" w:rsidRPr="1A8E6423">
        <w:rPr>
          <w:rFonts w:ascii="Arial" w:hAnsi="Arial" w:cs="Arial"/>
          <w:sz w:val="20"/>
          <w:szCs w:val="20"/>
          <w:lang w:val="sr-Cyrl-RS"/>
        </w:rPr>
        <w:t xml:space="preserve">износило </w:t>
      </w:r>
      <w:r w:rsidRPr="1A8E6423">
        <w:rPr>
          <w:rFonts w:ascii="Arial" w:hAnsi="Arial" w:cs="Arial"/>
          <w:sz w:val="20"/>
          <w:szCs w:val="20"/>
          <w:lang w:val="sr-Cyrl-RS"/>
        </w:rPr>
        <w:t>1</w:t>
      </w:r>
      <w:r w:rsidR="007912FB" w:rsidRPr="1A8E6423">
        <w:rPr>
          <w:rFonts w:ascii="Arial" w:hAnsi="Arial" w:cs="Arial"/>
          <w:sz w:val="20"/>
          <w:szCs w:val="20"/>
          <w:lang w:val="sr-Cyrl-RS"/>
        </w:rPr>
        <w:t>,</w:t>
      </w:r>
      <w:r w:rsidRPr="1A8E6423">
        <w:rPr>
          <w:rFonts w:ascii="Arial" w:hAnsi="Arial" w:cs="Arial"/>
          <w:sz w:val="20"/>
          <w:szCs w:val="20"/>
          <w:lang w:val="sr-Cyrl-RS"/>
        </w:rPr>
        <w:t xml:space="preserve">2% БДП-а. У прилог томе, исти тренд наставио се и у 2020. години – према подацима приказаним у кварталном извештају Управе за јавни дуг, стање јавног дуга </w:t>
      </w:r>
      <w:r w:rsidR="00222B8A" w:rsidRPr="1A8E6423">
        <w:rPr>
          <w:rFonts w:ascii="Arial" w:hAnsi="Arial" w:cs="Arial"/>
          <w:sz w:val="20"/>
          <w:szCs w:val="20"/>
          <w:lang w:val="sr-Cyrl-RS"/>
        </w:rPr>
        <w:t>ЈЛС и АП</w:t>
      </w:r>
      <w:r w:rsidRPr="1A8E6423">
        <w:rPr>
          <w:rFonts w:ascii="Arial" w:hAnsi="Arial" w:cs="Arial"/>
          <w:sz w:val="20"/>
          <w:szCs w:val="20"/>
          <w:lang w:val="sr-Cyrl-RS"/>
        </w:rPr>
        <w:t xml:space="preserve"> на половини 2020. године је око 61 милијард</w:t>
      </w:r>
      <w:r w:rsidR="007912FB" w:rsidRPr="1A8E6423">
        <w:rPr>
          <w:rFonts w:ascii="Arial" w:hAnsi="Arial" w:cs="Arial"/>
          <w:sz w:val="20"/>
          <w:szCs w:val="20"/>
          <w:lang w:val="sr-Cyrl-RS"/>
        </w:rPr>
        <w:t>е</w:t>
      </w:r>
      <w:r w:rsidRPr="1A8E6423">
        <w:rPr>
          <w:rFonts w:ascii="Arial" w:hAnsi="Arial" w:cs="Arial"/>
          <w:sz w:val="20"/>
          <w:szCs w:val="20"/>
          <w:lang w:val="sr-Cyrl-RS"/>
        </w:rPr>
        <w:t>, што је за 4</w:t>
      </w:r>
      <w:r w:rsidR="007912FB" w:rsidRPr="1A8E6423">
        <w:rPr>
          <w:rFonts w:ascii="Arial" w:hAnsi="Arial" w:cs="Arial"/>
          <w:sz w:val="20"/>
          <w:szCs w:val="20"/>
          <w:lang w:val="sr-Cyrl-RS"/>
        </w:rPr>
        <w:t>,</w:t>
      </w:r>
      <w:r w:rsidRPr="1A8E6423">
        <w:rPr>
          <w:rFonts w:ascii="Arial" w:hAnsi="Arial" w:cs="Arial"/>
          <w:sz w:val="20"/>
          <w:szCs w:val="20"/>
          <w:lang w:val="sr-Cyrl-RS"/>
        </w:rPr>
        <w:t>3% ниже у односу на крај 2019. године.</w:t>
      </w:r>
    </w:p>
    <w:p w14:paraId="2384B4B6" w14:textId="77777777" w:rsidR="003E03ED" w:rsidRPr="00A021B7" w:rsidRDefault="003E03ED" w:rsidP="003E7BC9">
      <w:pPr>
        <w:rPr>
          <w:rFonts w:ascii="Arial" w:hAnsi="Arial" w:cs="Arial"/>
          <w:b/>
          <w:bCs/>
          <w:sz w:val="20"/>
          <w:szCs w:val="20"/>
          <w:lang w:val="sr-Cyrl-RS"/>
        </w:rPr>
      </w:pPr>
    </w:p>
    <w:p w14:paraId="35155D4B" w14:textId="77777777" w:rsidR="00CE205B" w:rsidRPr="00A021B7" w:rsidRDefault="003E03ED" w:rsidP="004935B9">
      <w:pPr>
        <w:pStyle w:val="Heading3"/>
        <w:rPr>
          <w:noProof w:val="0"/>
          <w:lang w:val="sr-Cyrl-RS"/>
        </w:rPr>
      </w:pPr>
      <w:bookmarkStart w:id="67" w:name="_Toc52865779"/>
      <w:bookmarkStart w:id="68" w:name="_Toc52866190"/>
      <w:bookmarkStart w:id="69" w:name="_Toc56508439"/>
      <w:bookmarkStart w:id="70" w:name="_Toc60136075"/>
      <w:r w:rsidRPr="00A021B7">
        <w:rPr>
          <w:noProof w:val="0"/>
          <w:lang w:val="sr-Cyrl-RS"/>
        </w:rPr>
        <w:t>I</w:t>
      </w:r>
      <w:r w:rsidR="0092288B" w:rsidRPr="00A021B7">
        <w:rPr>
          <w:noProof w:val="0"/>
          <w:lang w:val="sr-Cyrl-RS"/>
        </w:rPr>
        <w:t>V</w:t>
      </w:r>
      <w:r w:rsidRPr="00A021B7">
        <w:rPr>
          <w:noProof w:val="0"/>
          <w:lang w:val="sr-Cyrl-RS"/>
        </w:rPr>
        <w:t>.</w:t>
      </w:r>
      <w:r w:rsidR="0092288B" w:rsidRPr="00A021B7">
        <w:rPr>
          <w:noProof w:val="0"/>
          <w:lang w:val="sr-Cyrl-RS"/>
        </w:rPr>
        <w:t>5.</w:t>
      </w:r>
      <w:r w:rsidRPr="00A021B7">
        <w:rPr>
          <w:noProof w:val="0"/>
          <w:lang w:val="sr-Cyrl-RS"/>
        </w:rPr>
        <w:t>2. Расходи и издаци јединица локалне самоуправе</w:t>
      </w:r>
      <w:bookmarkEnd w:id="67"/>
      <w:bookmarkEnd w:id="68"/>
      <w:bookmarkEnd w:id="69"/>
      <w:bookmarkEnd w:id="70"/>
    </w:p>
    <w:p w14:paraId="0FA8E269" w14:textId="77777777" w:rsidR="003E03ED" w:rsidRPr="00A021B7" w:rsidRDefault="003E03ED" w:rsidP="003E7BC9">
      <w:pPr>
        <w:jc w:val="both"/>
        <w:rPr>
          <w:rFonts w:ascii="Arial" w:hAnsi="Arial" w:cs="Arial"/>
          <w:b/>
          <w:bCs/>
          <w:lang w:val="sr-Cyrl-RS"/>
        </w:rPr>
      </w:pPr>
    </w:p>
    <w:p w14:paraId="5D0299A7" w14:textId="733222BC"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Укупни расходи и издаци ЈЛС од 2015. године имају стални растући тренд од око 10% просечно годишње (с изузетком 2017. године, када је номинални раст био 3</w:t>
      </w:r>
      <w:r w:rsidR="007912FB" w:rsidRPr="1A8E6423">
        <w:rPr>
          <w:rFonts w:ascii="Arial" w:hAnsi="Arial" w:cs="Arial"/>
          <w:sz w:val="20"/>
          <w:szCs w:val="20"/>
          <w:lang w:val="sr-Cyrl-RS"/>
        </w:rPr>
        <w:t>,</w:t>
      </w:r>
      <w:r w:rsidRPr="1A8E6423">
        <w:rPr>
          <w:rFonts w:ascii="Arial" w:hAnsi="Arial" w:cs="Arial"/>
          <w:sz w:val="20"/>
          <w:szCs w:val="20"/>
          <w:lang w:val="sr-Cyrl-RS"/>
        </w:rPr>
        <w:t>1%), а у 2019. години износили су 337,81 м</w:t>
      </w:r>
      <w:r w:rsidR="007912FB" w:rsidRPr="1A8E6423">
        <w:rPr>
          <w:rFonts w:ascii="Arial" w:hAnsi="Arial" w:cs="Arial"/>
          <w:sz w:val="20"/>
          <w:szCs w:val="20"/>
          <w:lang w:val="sr-Cyrl-RS"/>
        </w:rPr>
        <w:t>и</w:t>
      </w:r>
      <w:r w:rsidRPr="1A8E6423">
        <w:rPr>
          <w:rFonts w:ascii="Arial" w:hAnsi="Arial" w:cs="Arial"/>
          <w:sz w:val="20"/>
          <w:szCs w:val="20"/>
          <w:lang w:val="sr-Cyrl-RS"/>
        </w:rPr>
        <w:t>л</w:t>
      </w:r>
      <w:r w:rsidR="007912FB" w:rsidRPr="1A8E6423">
        <w:rPr>
          <w:rFonts w:ascii="Arial" w:hAnsi="Arial" w:cs="Arial"/>
          <w:sz w:val="20"/>
          <w:szCs w:val="20"/>
          <w:lang w:val="sr-Cyrl-RS"/>
        </w:rPr>
        <w:t>ија</w:t>
      </w:r>
      <w:r w:rsidRPr="1A8E6423">
        <w:rPr>
          <w:rFonts w:ascii="Arial" w:hAnsi="Arial" w:cs="Arial"/>
          <w:sz w:val="20"/>
          <w:szCs w:val="20"/>
          <w:lang w:val="sr-Cyrl-RS"/>
        </w:rPr>
        <w:t>рд</w:t>
      </w:r>
      <w:r w:rsidR="007912FB" w:rsidRPr="1A8E6423">
        <w:rPr>
          <w:rFonts w:ascii="Arial" w:hAnsi="Arial" w:cs="Arial"/>
          <w:sz w:val="20"/>
          <w:szCs w:val="20"/>
          <w:lang w:val="sr-Cyrl-RS"/>
        </w:rPr>
        <w:t>и</w:t>
      </w:r>
      <w:r w:rsidRPr="1A8E6423">
        <w:rPr>
          <w:rFonts w:ascii="Arial" w:hAnsi="Arial" w:cs="Arial"/>
          <w:sz w:val="20"/>
          <w:szCs w:val="20"/>
          <w:lang w:val="sr-Cyrl-RS"/>
        </w:rPr>
        <w:t xml:space="preserve"> РСД. Истовремено, удео расхода ЈЛС у консолидованим јавним расходима континуирано расте, с изузетком 2019. године (Приказ 3).</w:t>
      </w:r>
    </w:p>
    <w:p w14:paraId="47CD8EC2" w14:textId="77777777" w:rsidR="003E03ED" w:rsidRPr="00A021B7" w:rsidRDefault="003E03ED" w:rsidP="003E7BC9">
      <w:pPr>
        <w:jc w:val="both"/>
        <w:rPr>
          <w:rFonts w:ascii="Arial" w:hAnsi="Arial" w:cs="Arial"/>
          <w:sz w:val="20"/>
          <w:szCs w:val="20"/>
          <w:lang w:val="sr-Cyrl-RS"/>
        </w:rPr>
      </w:pPr>
    </w:p>
    <w:p w14:paraId="33EA8251" w14:textId="75EBDC69" w:rsidR="003E03ED" w:rsidRPr="00A021B7" w:rsidRDefault="003E03ED" w:rsidP="1A8E6423">
      <w:pPr>
        <w:jc w:val="both"/>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Приказ 3: Кретање консолидованих јавних расхода РС и расхода ЈЛС (у односу на претходну годину) и удео расхода ЈЛС у консолидованим јавним расходима РС (КЈР), за период 2013</w:t>
      </w:r>
      <w:r w:rsidR="007912FB"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2019</w:t>
      </w:r>
      <w:r w:rsidR="007912FB"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 xml:space="preserve"> (извор: Билтен МФИН)</w:t>
      </w:r>
    </w:p>
    <w:p w14:paraId="46962F19" w14:textId="77777777" w:rsidR="003E03ED" w:rsidRPr="00A021B7" w:rsidRDefault="003E03ED" w:rsidP="003E7BC9">
      <w:pPr>
        <w:jc w:val="both"/>
        <w:rPr>
          <w:rFonts w:ascii="Arial" w:hAnsi="Arial" w:cs="Arial"/>
          <w:sz w:val="20"/>
          <w:szCs w:val="20"/>
          <w:lang w:val="sr-Cyrl-RS"/>
        </w:rPr>
      </w:pPr>
    </w:p>
    <w:p w14:paraId="0A99AB7A" w14:textId="77777777" w:rsidR="003E03ED" w:rsidRPr="00A021B7" w:rsidRDefault="003E03ED" w:rsidP="003E7BC9">
      <w:pPr>
        <w:jc w:val="both"/>
        <w:rPr>
          <w:rFonts w:ascii="Arial" w:hAnsi="Arial" w:cs="Arial"/>
          <w:sz w:val="20"/>
          <w:szCs w:val="20"/>
          <w:lang w:val="sr-Cyrl-RS"/>
        </w:rPr>
      </w:pPr>
      <w:r w:rsidRPr="00A021B7">
        <w:rPr>
          <w:rFonts w:ascii="Arial" w:hAnsi="Arial" w:cs="Arial"/>
          <w:noProof/>
          <w:sz w:val="20"/>
          <w:szCs w:val="20"/>
          <w:lang w:eastAsia="en-US"/>
        </w:rPr>
        <w:lastRenderedPageBreak/>
        <w:drawing>
          <wp:inline distT="0" distB="0" distL="0" distR="0" wp14:anchorId="07C9992E" wp14:editId="5C061CED">
            <wp:extent cx="5731510" cy="2872740"/>
            <wp:effectExtent l="0" t="0" r="8890" b="10160"/>
            <wp:docPr id="11" name="Chart 11">
              <a:extLst xmlns:a="http://schemas.openxmlformats.org/drawingml/2006/main">
                <a:ext uri="{FF2B5EF4-FFF2-40B4-BE49-F238E27FC236}">
                  <a16:creationId xmlns:a16="http://schemas.microsoft.com/office/drawing/2014/main" id="{D0AA3006-6E62-471D-A390-7A43AC816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540F2F" w14:textId="77777777" w:rsidR="003E03ED" w:rsidRPr="00A021B7" w:rsidRDefault="003E03ED" w:rsidP="003E7BC9">
      <w:pPr>
        <w:jc w:val="both"/>
        <w:rPr>
          <w:rFonts w:ascii="Arial" w:hAnsi="Arial" w:cs="Arial"/>
          <w:sz w:val="20"/>
          <w:szCs w:val="20"/>
          <w:lang w:val="sr-Cyrl-RS"/>
        </w:rPr>
      </w:pPr>
    </w:p>
    <w:p w14:paraId="67D749D3" w14:textId="2152C3DA" w:rsidR="003E03ED" w:rsidRDefault="35687A16" w:rsidP="007912FB">
      <w:pPr>
        <w:ind w:firstLine="720"/>
        <w:jc w:val="both"/>
        <w:rPr>
          <w:rFonts w:ascii="Arial" w:hAnsi="Arial" w:cs="Arial"/>
          <w:sz w:val="20"/>
          <w:szCs w:val="20"/>
          <w:lang w:val="sr-Cyrl-RS"/>
        </w:rPr>
      </w:pPr>
      <w:r w:rsidRPr="00A021B7">
        <w:rPr>
          <w:rFonts w:ascii="Arial" w:hAnsi="Arial" w:cs="Arial"/>
          <w:sz w:val="20"/>
          <w:szCs w:val="20"/>
          <w:lang w:val="sr-Cyrl-RS"/>
        </w:rPr>
        <w:t>Структура расхода ЈЛС, анализиран</w:t>
      </w:r>
      <w:r w:rsidR="007912FB">
        <w:rPr>
          <w:rFonts w:ascii="Arial" w:hAnsi="Arial" w:cs="Arial"/>
          <w:sz w:val="20"/>
          <w:szCs w:val="20"/>
          <w:lang w:val="sr-Cyrl-RS"/>
        </w:rPr>
        <w:t>а</w:t>
      </w:r>
      <w:r w:rsidRPr="00A021B7">
        <w:rPr>
          <w:rFonts w:ascii="Arial" w:hAnsi="Arial" w:cs="Arial"/>
          <w:sz w:val="20"/>
          <w:szCs w:val="20"/>
          <w:lang w:val="sr-Cyrl-RS"/>
        </w:rPr>
        <w:t xml:space="preserve"> по категоријама расхода и издатака, од доношења ЗОФЛС до данас претрпела је промене. До 2010. године највеће учешће има категорија </w:t>
      </w:r>
      <w:r w:rsidR="007912FB">
        <w:rPr>
          <w:rFonts w:ascii="Arial" w:hAnsi="Arial" w:cs="Arial"/>
          <w:sz w:val="20"/>
          <w:szCs w:val="20"/>
          <w:lang w:val="sr-Cyrl-RS"/>
        </w:rPr>
        <w:t>„</w:t>
      </w:r>
      <w:r w:rsidRPr="00A021B7">
        <w:rPr>
          <w:rFonts w:ascii="Arial" w:hAnsi="Arial" w:cs="Arial"/>
          <w:sz w:val="20"/>
          <w:szCs w:val="20"/>
          <w:lang w:val="sr-Cyrl-RS"/>
        </w:rPr>
        <w:t>расходи за запослене</w:t>
      </w:r>
      <w:r w:rsidR="007912FB">
        <w:rPr>
          <w:rFonts w:ascii="Arial" w:hAnsi="Arial" w:cs="Arial"/>
          <w:sz w:val="20"/>
          <w:szCs w:val="20"/>
        </w:rPr>
        <w:t>”</w:t>
      </w:r>
      <w:r w:rsidRPr="00A021B7">
        <w:rPr>
          <w:rFonts w:ascii="Arial" w:hAnsi="Arial" w:cs="Arial"/>
          <w:sz w:val="20"/>
          <w:szCs w:val="20"/>
          <w:lang w:val="sr-Cyrl-RS"/>
        </w:rPr>
        <w:t xml:space="preserve"> (Група конта 41), а од 2011. године највеће учешће има категорија </w:t>
      </w:r>
      <w:r w:rsidR="007912FB">
        <w:rPr>
          <w:rFonts w:ascii="Arial" w:hAnsi="Arial" w:cs="Arial"/>
          <w:sz w:val="20"/>
          <w:szCs w:val="20"/>
          <w:lang w:val="sr-Cyrl-RS"/>
        </w:rPr>
        <w:t>„</w:t>
      </w:r>
      <w:r w:rsidRPr="00A021B7">
        <w:rPr>
          <w:rFonts w:ascii="Arial" w:hAnsi="Arial" w:cs="Arial"/>
          <w:sz w:val="20"/>
          <w:szCs w:val="20"/>
          <w:lang w:val="sr-Cyrl-RS"/>
        </w:rPr>
        <w:t>расходи за коришћење роба и услуга</w:t>
      </w:r>
      <w:r w:rsidR="007912FB">
        <w:rPr>
          <w:rFonts w:ascii="Arial" w:hAnsi="Arial" w:cs="Arial"/>
          <w:sz w:val="20"/>
          <w:szCs w:val="20"/>
        </w:rPr>
        <w:t>”</w:t>
      </w:r>
      <w:r w:rsidRPr="00A021B7">
        <w:rPr>
          <w:rFonts w:ascii="Arial" w:hAnsi="Arial" w:cs="Arial"/>
          <w:sz w:val="20"/>
          <w:szCs w:val="20"/>
          <w:lang w:val="sr-Cyrl-RS"/>
        </w:rPr>
        <w:t xml:space="preserve"> (Група конта 42). Обе категорије расхода – расходи за запослене и расходи за коришћење роба и услуга, </w:t>
      </w:r>
      <w:r w:rsidR="007912FB">
        <w:rPr>
          <w:rFonts w:ascii="Arial" w:hAnsi="Arial" w:cs="Arial"/>
          <w:sz w:val="20"/>
          <w:szCs w:val="20"/>
          <w:lang w:val="sr-Cyrl-RS"/>
        </w:rPr>
        <w:t>је</w:t>
      </w:r>
      <w:r w:rsidRPr="00A021B7">
        <w:rPr>
          <w:rFonts w:ascii="Arial" w:hAnsi="Arial" w:cs="Arial"/>
          <w:sz w:val="20"/>
          <w:szCs w:val="20"/>
          <w:lang w:val="sr-Cyrl-RS"/>
        </w:rPr>
        <w:t>су оне које обезбеђују функционисање органа ЈЛС</w:t>
      </w:r>
      <w:r w:rsidR="007912FB">
        <w:rPr>
          <w:rFonts w:ascii="Arial" w:hAnsi="Arial" w:cs="Arial"/>
          <w:sz w:val="20"/>
          <w:szCs w:val="20"/>
          <w:lang w:val="sr-Cyrl-RS"/>
        </w:rPr>
        <w:t>,</w:t>
      </w:r>
      <w:r w:rsidR="22CE0005" w:rsidRPr="00A021B7">
        <w:rPr>
          <w:rFonts w:ascii="Arial" w:hAnsi="Arial" w:cs="Arial"/>
          <w:sz w:val="20"/>
          <w:szCs w:val="20"/>
          <w:lang w:val="sr-Cyrl-RS"/>
        </w:rPr>
        <w:t xml:space="preserve"> а тиме и </w:t>
      </w:r>
      <w:r w:rsidR="00F4035C">
        <w:rPr>
          <w:rFonts w:ascii="Arial" w:hAnsi="Arial" w:cs="Arial"/>
          <w:sz w:val="20"/>
          <w:szCs w:val="20"/>
          <w:lang w:val="sr-Cyrl-RS"/>
        </w:rPr>
        <w:t>пружање</w:t>
      </w:r>
      <w:r w:rsidR="00F4035C" w:rsidRPr="00A021B7">
        <w:rPr>
          <w:rFonts w:ascii="Arial" w:hAnsi="Arial" w:cs="Arial"/>
          <w:sz w:val="20"/>
          <w:szCs w:val="20"/>
          <w:lang w:val="sr-Cyrl-RS"/>
        </w:rPr>
        <w:t xml:space="preserve"> </w:t>
      </w:r>
      <w:r w:rsidR="22CE0005" w:rsidRPr="00A021B7">
        <w:rPr>
          <w:rFonts w:ascii="Arial" w:hAnsi="Arial" w:cs="Arial"/>
          <w:sz w:val="20"/>
          <w:szCs w:val="20"/>
          <w:lang w:val="sr-Cyrl-RS"/>
        </w:rPr>
        <w:t>услуга грађанима и привреди</w:t>
      </w:r>
      <w:r w:rsidRPr="00A021B7">
        <w:rPr>
          <w:rFonts w:ascii="Arial" w:hAnsi="Arial" w:cs="Arial"/>
          <w:sz w:val="20"/>
          <w:szCs w:val="20"/>
          <w:lang w:val="sr-Cyrl-RS"/>
        </w:rPr>
        <w:t xml:space="preserve">. У Упутствима за припрему одлука о буџету локалне власти, Министарство финансија је ЈЛС дало смернице да код групе конта 41 средства за исплату плата планирају на нивоу исплаћених плата у претходној години, а највише до нивоа дозвољеног Законом о буџету Републике Србије, као и да се остале економске класификације у оквиру ове групе конта планирају рестриктивно. Такође, када је </w:t>
      </w:r>
      <w:r w:rsidR="007912FB">
        <w:rPr>
          <w:rFonts w:ascii="Arial" w:hAnsi="Arial" w:cs="Arial"/>
          <w:sz w:val="20"/>
          <w:szCs w:val="20"/>
          <w:lang w:val="sr-Cyrl-RS"/>
        </w:rPr>
        <w:t>реч о</w:t>
      </w:r>
      <w:r w:rsidRPr="00A021B7">
        <w:rPr>
          <w:rFonts w:ascii="Arial" w:hAnsi="Arial" w:cs="Arial"/>
          <w:sz w:val="20"/>
          <w:szCs w:val="20"/>
          <w:lang w:val="sr-Cyrl-RS"/>
        </w:rPr>
        <w:t xml:space="preserve"> груп</w:t>
      </w:r>
      <w:r w:rsidR="007912FB">
        <w:rPr>
          <w:rFonts w:ascii="Arial" w:hAnsi="Arial" w:cs="Arial"/>
          <w:sz w:val="20"/>
          <w:szCs w:val="20"/>
          <w:lang w:val="sr-Cyrl-RS"/>
        </w:rPr>
        <w:t>и</w:t>
      </w:r>
      <w:r w:rsidRPr="00A021B7">
        <w:rPr>
          <w:rFonts w:ascii="Arial" w:hAnsi="Arial" w:cs="Arial"/>
          <w:sz w:val="20"/>
          <w:szCs w:val="20"/>
          <w:lang w:val="sr-Cyrl-RS"/>
        </w:rPr>
        <w:t xml:space="preserve"> конта 42</w:t>
      </w:r>
      <w:r w:rsidR="007912FB">
        <w:rPr>
          <w:rFonts w:ascii="Arial" w:hAnsi="Arial" w:cs="Arial"/>
          <w:sz w:val="20"/>
          <w:szCs w:val="20"/>
          <w:lang w:val="sr-Cyrl-RS"/>
        </w:rPr>
        <w:t>,</w:t>
      </w:r>
      <w:r w:rsidRPr="00A021B7">
        <w:rPr>
          <w:rFonts w:ascii="Arial" w:hAnsi="Arial" w:cs="Arial"/>
          <w:sz w:val="20"/>
          <w:szCs w:val="20"/>
          <w:lang w:val="sr-Cyrl-RS"/>
        </w:rPr>
        <w:t xml:space="preserve"> Министарство финансија је дало смерницу да се средства у оквиру </w:t>
      </w:r>
      <w:r w:rsidR="007912FB">
        <w:rPr>
          <w:rFonts w:ascii="Arial" w:hAnsi="Arial" w:cs="Arial"/>
          <w:sz w:val="20"/>
          <w:szCs w:val="20"/>
          <w:lang w:val="sr-Cyrl-RS"/>
        </w:rPr>
        <w:t>њ</w:t>
      </w:r>
      <w:r w:rsidRPr="00A021B7">
        <w:rPr>
          <w:rFonts w:ascii="Arial" w:hAnsi="Arial" w:cs="Arial"/>
          <w:sz w:val="20"/>
          <w:szCs w:val="20"/>
          <w:lang w:val="sr-Cyrl-RS"/>
        </w:rPr>
        <w:t xml:space="preserve">е реално планирају како не би било угрожено извршавање сталних трошкова, те с тим у вези дало и препоруку да се сагледају могућности за уштеде, пре свега у оквиру група </w:t>
      </w:r>
      <w:r w:rsidR="007912FB">
        <w:rPr>
          <w:rFonts w:ascii="Arial" w:hAnsi="Arial" w:cs="Arial"/>
          <w:sz w:val="20"/>
          <w:szCs w:val="20"/>
          <w:lang w:val="sr-Cyrl-RS"/>
        </w:rPr>
        <w:t>„</w:t>
      </w:r>
      <w:r w:rsidRPr="00A021B7">
        <w:rPr>
          <w:rFonts w:ascii="Arial" w:hAnsi="Arial" w:cs="Arial"/>
          <w:sz w:val="20"/>
          <w:szCs w:val="20"/>
          <w:lang w:val="sr-Cyrl-RS"/>
        </w:rPr>
        <w:t>трошкови путовања</w:t>
      </w:r>
      <w:r w:rsidR="007912FB">
        <w:rPr>
          <w:rFonts w:ascii="Arial" w:hAnsi="Arial" w:cs="Arial"/>
          <w:sz w:val="20"/>
          <w:szCs w:val="20"/>
        </w:rPr>
        <w:t>”</w:t>
      </w:r>
      <w:r w:rsidRPr="00A021B7">
        <w:rPr>
          <w:rFonts w:ascii="Arial" w:hAnsi="Arial" w:cs="Arial"/>
          <w:sz w:val="20"/>
          <w:szCs w:val="20"/>
          <w:lang w:val="sr-Cyrl-RS"/>
        </w:rPr>
        <w:t xml:space="preserve">, </w:t>
      </w:r>
      <w:r w:rsidR="007912FB">
        <w:rPr>
          <w:rFonts w:ascii="Arial" w:hAnsi="Arial" w:cs="Arial"/>
          <w:sz w:val="20"/>
          <w:szCs w:val="20"/>
          <w:lang w:val="sr-Cyrl-RS"/>
        </w:rPr>
        <w:t>„</w:t>
      </w:r>
      <w:r w:rsidRPr="00A021B7">
        <w:rPr>
          <w:rFonts w:ascii="Arial" w:hAnsi="Arial" w:cs="Arial"/>
          <w:sz w:val="20"/>
          <w:szCs w:val="20"/>
          <w:lang w:val="sr-Cyrl-RS"/>
        </w:rPr>
        <w:t>услуге по уговору</w:t>
      </w:r>
      <w:r w:rsidR="007912FB">
        <w:rPr>
          <w:rFonts w:ascii="Arial" w:hAnsi="Arial" w:cs="Arial"/>
          <w:sz w:val="20"/>
          <w:szCs w:val="20"/>
        </w:rPr>
        <w:t>”</w:t>
      </w:r>
      <w:r w:rsidRPr="00A021B7">
        <w:rPr>
          <w:rFonts w:ascii="Arial" w:hAnsi="Arial" w:cs="Arial"/>
          <w:sz w:val="20"/>
          <w:szCs w:val="20"/>
          <w:lang w:val="sr-Cyrl-RS"/>
        </w:rPr>
        <w:t xml:space="preserve">, </w:t>
      </w:r>
      <w:r w:rsidR="007912FB">
        <w:rPr>
          <w:rFonts w:ascii="Arial" w:hAnsi="Arial" w:cs="Arial"/>
          <w:sz w:val="20"/>
          <w:szCs w:val="20"/>
          <w:lang w:val="sr-Latn-RS"/>
        </w:rPr>
        <w:t>„</w:t>
      </w:r>
      <w:r w:rsidRPr="00A021B7">
        <w:rPr>
          <w:rFonts w:ascii="Arial" w:hAnsi="Arial" w:cs="Arial"/>
          <w:sz w:val="20"/>
          <w:szCs w:val="20"/>
          <w:lang w:val="sr-Cyrl-RS"/>
        </w:rPr>
        <w:t>специјализоване услуге</w:t>
      </w:r>
      <w:r w:rsidR="007912FB">
        <w:rPr>
          <w:rFonts w:ascii="Arial" w:hAnsi="Arial" w:cs="Arial"/>
          <w:sz w:val="20"/>
          <w:szCs w:val="20"/>
        </w:rPr>
        <w:t>”</w:t>
      </w:r>
      <w:r w:rsidRPr="00A021B7">
        <w:rPr>
          <w:rFonts w:ascii="Arial" w:hAnsi="Arial" w:cs="Arial"/>
          <w:sz w:val="20"/>
          <w:szCs w:val="20"/>
          <w:lang w:val="sr-Cyrl-RS"/>
        </w:rPr>
        <w:t xml:space="preserve"> и </w:t>
      </w:r>
      <w:r w:rsidR="007912FB">
        <w:rPr>
          <w:rFonts w:ascii="Arial" w:hAnsi="Arial" w:cs="Arial"/>
          <w:sz w:val="20"/>
          <w:szCs w:val="20"/>
          <w:lang w:val="sr-Latn-RS"/>
        </w:rPr>
        <w:t>„</w:t>
      </w:r>
      <w:r w:rsidRPr="00A021B7">
        <w:rPr>
          <w:rFonts w:ascii="Arial" w:hAnsi="Arial" w:cs="Arial"/>
          <w:sz w:val="20"/>
          <w:szCs w:val="20"/>
          <w:lang w:val="sr-Cyrl-RS"/>
        </w:rPr>
        <w:t>материјал</w:t>
      </w:r>
      <w:r w:rsidR="007912FB">
        <w:rPr>
          <w:rFonts w:ascii="Arial" w:hAnsi="Arial" w:cs="Arial"/>
          <w:sz w:val="20"/>
          <w:szCs w:val="20"/>
        </w:rPr>
        <w:t>”</w:t>
      </w:r>
      <w:r w:rsidRPr="00A021B7">
        <w:rPr>
          <w:rFonts w:ascii="Arial" w:hAnsi="Arial" w:cs="Arial"/>
          <w:sz w:val="20"/>
          <w:szCs w:val="20"/>
          <w:lang w:val="sr-Cyrl-RS"/>
        </w:rPr>
        <w:t>. Промене прописа којим</w:t>
      </w:r>
      <w:r w:rsidR="007912FB">
        <w:rPr>
          <w:rFonts w:ascii="Arial" w:hAnsi="Arial" w:cs="Arial"/>
          <w:sz w:val="20"/>
          <w:szCs w:val="20"/>
          <w:lang w:val="sr-Cyrl-RS"/>
        </w:rPr>
        <w:t>а</w:t>
      </w:r>
      <w:r w:rsidRPr="00A021B7">
        <w:rPr>
          <w:rFonts w:ascii="Arial" w:hAnsi="Arial" w:cs="Arial"/>
          <w:sz w:val="20"/>
          <w:szCs w:val="20"/>
          <w:lang w:val="sr-Cyrl-RS"/>
        </w:rPr>
        <w:t xml:space="preserve"> су умањене зараде, уређена забрана запошљавања и примена од стране ЈЛС планова сукцесивног смањења броја запослених, резултирале су у последњих неколико година смањењем учешћа расхода за запослене</w:t>
      </w:r>
      <w:r w:rsidR="7015F879" w:rsidRPr="00A021B7">
        <w:rPr>
          <w:rFonts w:ascii="Arial" w:hAnsi="Arial" w:cs="Arial"/>
          <w:sz w:val="20"/>
          <w:szCs w:val="20"/>
          <w:lang w:val="sr-Cyrl-RS"/>
        </w:rPr>
        <w:t xml:space="preserve"> у укупним расходима ЈЛС</w:t>
      </w:r>
      <w:r w:rsidRPr="00A021B7">
        <w:rPr>
          <w:rFonts w:ascii="Arial" w:hAnsi="Arial" w:cs="Arial"/>
          <w:sz w:val="20"/>
          <w:szCs w:val="20"/>
          <w:lang w:val="sr-Cyrl-RS"/>
        </w:rPr>
        <w:t xml:space="preserve"> </w:t>
      </w:r>
      <w:r w:rsidR="27FEDE4A" w:rsidRPr="00A021B7">
        <w:rPr>
          <w:rFonts w:ascii="Arial" w:hAnsi="Arial" w:cs="Arial"/>
          <w:sz w:val="20"/>
          <w:szCs w:val="20"/>
          <w:lang w:val="sr-Cyrl-RS"/>
        </w:rPr>
        <w:t xml:space="preserve">са око 24% у 2013.години </w:t>
      </w:r>
      <w:r w:rsidRPr="00A021B7">
        <w:rPr>
          <w:rFonts w:ascii="Arial" w:hAnsi="Arial" w:cs="Arial"/>
          <w:sz w:val="20"/>
          <w:szCs w:val="20"/>
          <w:lang w:val="sr-Cyrl-RS"/>
        </w:rPr>
        <w:t>на око 18%</w:t>
      </w:r>
      <w:r w:rsidR="542DBC64" w:rsidRPr="00A021B7">
        <w:rPr>
          <w:rFonts w:ascii="Arial" w:hAnsi="Arial" w:cs="Arial"/>
          <w:sz w:val="20"/>
          <w:szCs w:val="20"/>
          <w:lang w:val="sr-Cyrl-RS"/>
        </w:rPr>
        <w:t xml:space="preserve"> </w:t>
      </w:r>
      <w:r w:rsidRPr="00A021B7">
        <w:rPr>
          <w:rFonts w:ascii="Arial" w:hAnsi="Arial" w:cs="Arial"/>
          <w:sz w:val="20"/>
          <w:szCs w:val="20"/>
          <w:lang w:val="sr-Cyrl-RS"/>
        </w:rPr>
        <w:t>у 2018. и 2019. години. Међутим, у апсолутном износу расходи за запослене после пада на минимум од око 50 м</w:t>
      </w:r>
      <w:r w:rsidR="007912FB">
        <w:rPr>
          <w:rFonts w:ascii="Arial" w:hAnsi="Arial" w:cs="Arial"/>
          <w:sz w:val="20"/>
          <w:szCs w:val="20"/>
          <w:lang w:val="sr-Cyrl-RS"/>
        </w:rPr>
        <w:t>и</w:t>
      </w:r>
      <w:r w:rsidRPr="00A021B7">
        <w:rPr>
          <w:rFonts w:ascii="Arial" w:hAnsi="Arial" w:cs="Arial"/>
          <w:sz w:val="20"/>
          <w:szCs w:val="20"/>
          <w:lang w:val="sr-Cyrl-RS"/>
        </w:rPr>
        <w:t>л</w:t>
      </w:r>
      <w:r w:rsidR="007912FB">
        <w:rPr>
          <w:rFonts w:ascii="Arial" w:hAnsi="Arial" w:cs="Arial"/>
          <w:sz w:val="20"/>
          <w:szCs w:val="20"/>
          <w:lang w:val="sr-Cyrl-RS"/>
        </w:rPr>
        <w:t>ија</w:t>
      </w:r>
      <w:r w:rsidRPr="00A021B7">
        <w:rPr>
          <w:rFonts w:ascii="Arial" w:hAnsi="Arial" w:cs="Arial"/>
          <w:sz w:val="20"/>
          <w:szCs w:val="20"/>
          <w:lang w:val="sr-Cyrl-RS"/>
        </w:rPr>
        <w:t>рд</w:t>
      </w:r>
      <w:r w:rsidR="007912FB">
        <w:rPr>
          <w:rFonts w:ascii="Arial" w:hAnsi="Arial" w:cs="Arial"/>
          <w:sz w:val="20"/>
          <w:szCs w:val="20"/>
          <w:lang w:val="sr-Cyrl-RS"/>
        </w:rPr>
        <w:t>и</w:t>
      </w:r>
      <w:r w:rsidRPr="00A021B7">
        <w:rPr>
          <w:rFonts w:ascii="Arial" w:hAnsi="Arial" w:cs="Arial"/>
          <w:sz w:val="20"/>
          <w:szCs w:val="20"/>
          <w:lang w:val="sr-Cyrl-RS"/>
        </w:rPr>
        <w:t xml:space="preserve"> РСД у 2017. години, у последње 2 године расту за око по 5 м</w:t>
      </w:r>
      <w:r w:rsidR="007912FB">
        <w:rPr>
          <w:rFonts w:ascii="Arial" w:hAnsi="Arial" w:cs="Arial"/>
          <w:sz w:val="20"/>
          <w:szCs w:val="20"/>
          <w:lang w:val="sr-Cyrl-RS"/>
        </w:rPr>
        <w:t>и</w:t>
      </w:r>
      <w:r w:rsidRPr="00A021B7">
        <w:rPr>
          <w:rFonts w:ascii="Arial" w:hAnsi="Arial" w:cs="Arial"/>
          <w:sz w:val="20"/>
          <w:szCs w:val="20"/>
          <w:lang w:val="sr-Cyrl-RS"/>
        </w:rPr>
        <w:t>л</w:t>
      </w:r>
      <w:r w:rsidR="007912FB">
        <w:rPr>
          <w:rFonts w:ascii="Arial" w:hAnsi="Arial" w:cs="Arial"/>
          <w:sz w:val="20"/>
          <w:szCs w:val="20"/>
          <w:lang w:val="sr-Cyrl-RS"/>
        </w:rPr>
        <w:t>ија</w:t>
      </w:r>
      <w:r w:rsidRPr="00A021B7">
        <w:rPr>
          <w:rFonts w:ascii="Arial" w:hAnsi="Arial" w:cs="Arial"/>
          <w:sz w:val="20"/>
          <w:szCs w:val="20"/>
          <w:lang w:val="sr-Cyrl-RS"/>
        </w:rPr>
        <w:t>рд</w:t>
      </w:r>
      <w:r w:rsidR="007912FB">
        <w:rPr>
          <w:rFonts w:ascii="Arial" w:hAnsi="Arial" w:cs="Arial"/>
          <w:sz w:val="20"/>
          <w:szCs w:val="20"/>
          <w:lang w:val="sr-Cyrl-RS"/>
        </w:rPr>
        <w:t>и</w:t>
      </w:r>
      <w:r w:rsidRPr="00A021B7">
        <w:rPr>
          <w:rFonts w:ascii="Arial" w:hAnsi="Arial" w:cs="Arial"/>
          <w:sz w:val="20"/>
          <w:szCs w:val="20"/>
          <w:lang w:val="sr-Cyrl-RS"/>
        </w:rPr>
        <w:t xml:space="preserve"> РСД годишње, тако да у 2019. години износе </w:t>
      </w:r>
      <w:r w:rsidR="2DAB458D" w:rsidRPr="00A021B7">
        <w:rPr>
          <w:rFonts w:ascii="Arial" w:hAnsi="Arial" w:cs="Arial"/>
          <w:sz w:val="20"/>
          <w:szCs w:val="20"/>
          <w:lang w:val="sr-Cyrl-RS"/>
        </w:rPr>
        <w:t xml:space="preserve">око </w:t>
      </w:r>
      <w:r w:rsidRPr="00A021B7">
        <w:rPr>
          <w:rFonts w:ascii="Arial" w:hAnsi="Arial" w:cs="Arial"/>
          <w:sz w:val="20"/>
          <w:szCs w:val="20"/>
          <w:lang w:val="sr-Cyrl-RS"/>
        </w:rPr>
        <w:t>61 м</w:t>
      </w:r>
      <w:r w:rsidR="007912FB">
        <w:rPr>
          <w:rFonts w:ascii="Arial" w:hAnsi="Arial" w:cs="Arial"/>
          <w:sz w:val="20"/>
          <w:szCs w:val="20"/>
          <w:lang w:val="sr-Cyrl-RS"/>
        </w:rPr>
        <w:t>и</w:t>
      </w:r>
      <w:r w:rsidRPr="00A021B7">
        <w:rPr>
          <w:rFonts w:ascii="Arial" w:hAnsi="Arial" w:cs="Arial"/>
          <w:sz w:val="20"/>
          <w:szCs w:val="20"/>
          <w:lang w:val="sr-Cyrl-RS"/>
        </w:rPr>
        <w:t>л</w:t>
      </w:r>
      <w:r w:rsidR="007912FB">
        <w:rPr>
          <w:rFonts w:ascii="Arial" w:hAnsi="Arial" w:cs="Arial"/>
          <w:sz w:val="20"/>
          <w:szCs w:val="20"/>
          <w:lang w:val="sr-Cyrl-RS"/>
        </w:rPr>
        <w:t>ија</w:t>
      </w:r>
      <w:r w:rsidRPr="00A021B7">
        <w:rPr>
          <w:rFonts w:ascii="Arial" w:hAnsi="Arial" w:cs="Arial"/>
          <w:sz w:val="20"/>
          <w:szCs w:val="20"/>
          <w:lang w:val="sr-Cyrl-RS"/>
        </w:rPr>
        <w:t>рд</w:t>
      </w:r>
      <w:r w:rsidR="007912FB">
        <w:rPr>
          <w:rFonts w:ascii="Arial" w:hAnsi="Arial" w:cs="Arial"/>
          <w:sz w:val="20"/>
          <w:szCs w:val="20"/>
          <w:lang w:val="sr-Cyrl-RS"/>
        </w:rPr>
        <w:t>е</w:t>
      </w:r>
      <w:r w:rsidRPr="00A021B7">
        <w:rPr>
          <w:rFonts w:ascii="Arial" w:hAnsi="Arial" w:cs="Arial"/>
          <w:sz w:val="20"/>
          <w:szCs w:val="20"/>
          <w:lang w:val="sr-Cyrl-RS"/>
        </w:rPr>
        <w:t xml:space="preserve"> РСД. Графички приказ у наставку </w:t>
      </w:r>
      <w:r w:rsidR="007912FB">
        <w:rPr>
          <w:rFonts w:ascii="Arial" w:hAnsi="Arial" w:cs="Arial"/>
          <w:sz w:val="20"/>
          <w:szCs w:val="20"/>
          <w:lang w:val="sr-Cyrl-RS"/>
        </w:rPr>
        <w:t>даје</w:t>
      </w:r>
      <w:r w:rsidR="007912FB" w:rsidRPr="00A021B7">
        <w:rPr>
          <w:rFonts w:ascii="Arial" w:hAnsi="Arial" w:cs="Arial"/>
          <w:sz w:val="20"/>
          <w:szCs w:val="20"/>
          <w:lang w:val="sr-Cyrl-RS"/>
        </w:rPr>
        <w:t xml:space="preserve"> </w:t>
      </w:r>
      <w:r w:rsidRPr="00A021B7">
        <w:rPr>
          <w:rFonts w:ascii="Arial" w:hAnsi="Arial" w:cs="Arial"/>
          <w:sz w:val="20"/>
          <w:szCs w:val="20"/>
          <w:lang w:val="sr-Cyrl-RS"/>
        </w:rPr>
        <w:t>укупне расходе и издатке ЈЛС</w:t>
      </w:r>
      <w:r w:rsidR="003E03ED" w:rsidRPr="00A021B7">
        <w:rPr>
          <w:rFonts w:ascii="Arial" w:hAnsi="Arial" w:cs="Arial"/>
          <w:sz w:val="20"/>
          <w:szCs w:val="20"/>
          <w:vertAlign w:val="superscript"/>
          <w:lang w:val="sr-Cyrl-RS"/>
        </w:rPr>
        <w:footnoteReference w:id="58"/>
      </w:r>
      <w:r w:rsidRPr="00A021B7">
        <w:rPr>
          <w:rFonts w:ascii="Arial" w:hAnsi="Arial" w:cs="Arial"/>
          <w:sz w:val="20"/>
          <w:szCs w:val="20"/>
          <w:lang w:val="sr-Cyrl-RS"/>
        </w:rPr>
        <w:t xml:space="preserve"> по економској класификацији расхода у периоду 2013</w:t>
      </w:r>
      <w:r w:rsidR="007912FB">
        <w:rPr>
          <w:rFonts w:ascii="Arial" w:hAnsi="Arial" w:cs="Arial"/>
          <w:sz w:val="20"/>
          <w:szCs w:val="20"/>
          <w:lang w:val="sr-Cyrl-RS"/>
        </w:rPr>
        <w:t>–</w:t>
      </w:r>
      <w:r w:rsidRPr="00A021B7">
        <w:rPr>
          <w:rFonts w:ascii="Arial" w:hAnsi="Arial" w:cs="Arial"/>
          <w:sz w:val="20"/>
          <w:szCs w:val="20"/>
          <w:lang w:val="sr-Cyrl-RS"/>
        </w:rPr>
        <w:t>2019. и удео најзначајнијих категорија расхода у укупним издацима ЈЛС.</w:t>
      </w:r>
      <w:r w:rsidR="003E03ED" w:rsidRPr="00A021B7">
        <w:rPr>
          <w:rFonts w:ascii="Arial" w:hAnsi="Arial" w:cs="Arial"/>
          <w:sz w:val="20"/>
          <w:szCs w:val="20"/>
          <w:vertAlign w:val="superscript"/>
          <w:lang w:val="sr-Cyrl-RS"/>
        </w:rPr>
        <w:footnoteReference w:id="59"/>
      </w:r>
    </w:p>
    <w:p w14:paraId="1E768C22" w14:textId="77777777" w:rsidR="007912FB" w:rsidRPr="00A021B7" w:rsidRDefault="007912FB" w:rsidP="1A8E6423">
      <w:pPr>
        <w:ind w:firstLine="720"/>
        <w:jc w:val="both"/>
        <w:rPr>
          <w:rFonts w:ascii="Arial" w:hAnsi="Arial" w:cs="Arial"/>
          <w:sz w:val="20"/>
          <w:szCs w:val="20"/>
          <w:lang w:val="sr-Cyrl-RS"/>
        </w:rPr>
      </w:pPr>
    </w:p>
    <w:p w14:paraId="493815FE" w14:textId="25234A40" w:rsidR="003E03ED" w:rsidRPr="00A021B7" w:rsidRDefault="003E03ED" w:rsidP="1A8E6423">
      <w:pPr>
        <w:jc w:val="both"/>
        <w:rPr>
          <w:rFonts w:ascii="Arial" w:hAnsi="Arial" w:cs="Arial"/>
          <w:i/>
          <w:iCs/>
          <w:color w:val="404040" w:themeColor="text1" w:themeTint="BF"/>
          <w:sz w:val="20"/>
          <w:szCs w:val="20"/>
          <w:lang w:val="sr-Cyrl-RS"/>
        </w:rPr>
      </w:pPr>
      <w:r w:rsidRPr="00A021B7">
        <w:rPr>
          <w:rFonts w:ascii="Arial" w:hAnsi="Arial" w:cs="Arial"/>
          <w:noProof/>
          <w:sz w:val="20"/>
          <w:szCs w:val="20"/>
          <w:lang w:eastAsia="en-US"/>
        </w:rPr>
        <w:lastRenderedPageBreak/>
        <w:drawing>
          <wp:anchor distT="0" distB="0" distL="114300" distR="114300" simplePos="0" relativeHeight="251658242" behindDoc="1" locked="0" layoutInCell="1" allowOverlap="1" wp14:anchorId="7190982C" wp14:editId="532AB549">
            <wp:simplePos x="0" y="0"/>
            <wp:positionH relativeFrom="column">
              <wp:posOffset>-635</wp:posOffset>
            </wp:positionH>
            <wp:positionV relativeFrom="paragraph">
              <wp:posOffset>467360</wp:posOffset>
            </wp:positionV>
            <wp:extent cx="5696585" cy="3079115"/>
            <wp:effectExtent l="0" t="0" r="18415" b="6985"/>
            <wp:wrapTight wrapText="bothSides">
              <wp:wrapPolygon edited="0">
                <wp:start x="0" y="0"/>
                <wp:lineTo x="0" y="21560"/>
                <wp:lineTo x="21622" y="21560"/>
                <wp:lineTo x="21622" y="0"/>
                <wp:lineTo x="0" y="0"/>
              </wp:wrapPolygon>
            </wp:wrapTight>
            <wp:docPr id="12" name="Chart 12">
              <a:extLst xmlns:a="http://schemas.openxmlformats.org/drawingml/2006/main">
                <a:ext uri="{FF2B5EF4-FFF2-40B4-BE49-F238E27FC236}">
                  <a16:creationId xmlns:a16="http://schemas.microsoft.com/office/drawing/2014/main" id="{B8AA9D4F-A27E-4BA3-A248-251FD8DD10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1A8E6423">
        <w:rPr>
          <w:rFonts w:ascii="Arial" w:hAnsi="Arial" w:cs="Arial"/>
          <w:i/>
          <w:iCs/>
          <w:color w:val="404040" w:themeColor="text1" w:themeTint="BF"/>
          <w:sz w:val="20"/>
          <w:szCs w:val="20"/>
          <w:lang w:val="sr-Cyrl-RS"/>
        </w:rPr>
        <w:t>Приказ 4: Расходи ЈЛС 2013-2019, у милијардама РСД и њихова основна структура (извор: Билтен јавних финансија</w:t>
      </w:r>
      <w:r w:rsidR="007912FB"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 xml:space="preserve"> бр</w:t>
      </w:r>
      <w:r w:rsidR="007912FB" w:rsidRPr="1A8E6423">
        <w:rPr>
          <w:rFonts w:ascii="Arial" w:hAnsi="Arial" w:cs="Arial"/>
          <w:i/>
          <w:iCs/>
          <w:color w:val="404040" w:themeColor="text1" w:themeTint="BF"/>
          <w:sz w:val="20"/>
          <w:szCs w:val="20"/>
          <w:lang w:val="sr-Cyrl-RS"/>
        </w:rPr>
        <w:t xml:space="preserve">ој </w:t>
      </w:r>
      <w:r w:rsidRPr="1A8E6423">
        <w:rPr>
          <w:rFonts w:ascii="Arial" w:hAnsi="Arial" w:cs="Arial"/>
          <w:i/>
          <w:iCs/>
          <w:color w:val="404040" w:themeColor="text1" w:themeTint="BF"/>
          <w:sz w:val="20"/>
          <w:szCs w:val="20"/>
          <w:lang w:val="sr-Cyrl-RS"/>
        </w:rPr>
        <w:t>184, Министарство финансија)</w:t>
      </w:r>
    </w:p>
    <w:p w14:paraId="07B09229" w14:textId="77777777" w:rsidR="003E03ED" w:rsidRPr="00A021B7" w:rsidRDefault="003E03ED" w:rsidP="003E7BC9">
      <w:pPr>
        <w:jc w:val="both"/>
        <w:rPr>
          <w:rFonts w:ascii="Arial" w:hAnsi="Arial" w:cs="Arial"/>
          <w:i/>
          <w:iCs/>
          <w:color w:val="404040" w:themeColor="text1" w:themeTint="BF"/>
          <w:sz w:val="20"/>
          <w:szCs w:val="20"/>
          <w:lang w:val="sr-Cyrl-RS"/>
        </w:rPr>
      </w:pPr>
    </w:p>
    <w:p w14:paraId="1BE3DD0E" w14:textId="77777777" w:rsidR="003E03ED" w:rsidRPr="00A021B7" w:rsidRDefault="003E03ED" w:rsidP="003E7BC9">
      <w:pPr>
        <w:jc w:val="both"/>
        <w:rPr>
          <w:rFonts w:ascii="Arial" w:hAnsi="Arial" w:cs="Arial"/>
          <w:i/>
          <w:iCs/>
          <w:color w:val="404040" w:themeColor="text1" w:themeTint="BF"/>
          <w:sz w:val="20"/>
          <w:szCs w:val="20"/>
          <w:lang w:val="sr-Cyrl-RS"/>
        </w:rPr>
      </w:pPr>
    </w:p>
    <w:p w14:paraId="0FA4115E" w14:textId="4FFF39EE" w:rsidR="003E03ED" w:rsidRPr="00A021B7" w:rsidRDefault="35687A16" w:rsidP="1A8E6423">
      <w:pPr>
        <w:ind w:firstLine="720"/>
        <w:jc w:val="both"/>
        <w:rPr>
          <w:rFonts w:ascii="Arial" w:hAnsi="Arial" w:cs="Arial"/>
          <w:i/>
          <w:iCs/>
          <w:color w:val="404040" w:themeColor="text1" w:themeTint="BF"/>
          <w:sz w:val="20"/>
          <w:szCs w:val="20"/>
          <w:lang w:val="sr-Cyrl-RS"/>
        </w:rPr>
      </w:pPr>
      <w:r w:rsidRPr="00A021B7">
        <w:rPr>
          <w:rFonts w:ascii="Arial" w:hAnsi="Arial" w:cs="Arial"/>
          <w:sz w:val="20"/>
          <w:szCs w:val="20"/>
          <w:lang w:val="sr-Cyrl-RS"/>
        </w:rPr>
        <w:t>Учешће издатака за нефинансијску имовину (класа 5) односно издатака за капиталне инвестиције у укупним расходима и издацима показује степен развојности буџета.</w:t>
      </w:r>
      <w:bookmarkStart w:id="71" w:name="clan_3"/>
      <w:bookmarkEnd w:id="71"/>
      <w:r w:rsidRPr="00A021B7">
        <w:rPr>
          <w:rFonts w:ascii="Arial" w:hAnsi="Arial" w:cs="Arial"/>
          <w:sz w:val="20"/>
          <w:szCs w:val="20"/>
          <w:lang w:val="sr-Cyrl-RS"/>
        </w:rPr>
        <w:t xml:space="preserve"> Наредни приказ илуструје номиналне износе капиталних издатака ЈЛС</w:t>
      </w:r>
      <w:r w:rsidR="003E03ED" w:rsidRPr="00A021B7">
        <w:rPr>
          <w:rFonts w:ascii="Arial" w:hAnsi="Arial" w:cs="Arial"/>
          <w:sz w:val="20"/>
          <w:szCs w:val="20"/>
          <w:vertAlign w:val="superscript"/>
          <w:lang w:val="sr-Cyrl-RS"/>
        </w:rPr>
        <w:footnoteReference w:id="60"/>
      </w:r>
      <w:r w:rsidRPr="00A021B7">
        <w:rPr>
          <w:rFonts w:ascii="Arial" w:hAnsi="Arial" w:cs="Arial"/>
          <w:sz w:val="20"/>
          <w:szCs w:val="20"/>
          <w:lang w:val="sr-Cyrl-RS"/>
        </w:rPr>
        <w:t xml:space="preserve"> у периоду 2012</w:t>
      </w:r>
      <w:r w:rsidR="007912FB">
        <w:rPr>
          <w:rFonts w:ascii="Arial" w:hAnsi="Arial" w:cs="Arial"/>
          <w:sz w:val="20"/>
          <w:szCs w:val="20"/>
          <w:lang w:val="sr-Cyrl-RS"/>
        </w:rPr>
        <w:t>–</w:t>
      </w:r>
      <w:r w:rsidRPr="00A021B7">
        <w:rPr>
          <w:rFonts w:ascii="Arial" w:hAnsi="Arial" w:cs="Arial"/>
          <w:sz w:val="20"/>
          <w:szCs w:val="20"/>
          <w:lang w:val="sr-Cyrl-RS"/>
        </w:rPr>
        <w:t xml:space="preserve">2019. године, као и </w:t>
      </w:r>
      <w:r w:rsidR="007912FB">
        <w:rPr>
          <w:rFonts w:ascii="Arial" w:hAnsi="Arial" w:cs="Arial"/>
          <w:sz w:val="20"/>
          <w:szCs w:val="20"/>
          <w:lang w:val="sr-Cyrl-RS"/>
        </w:rPr>
        <w:t xml:space="preserve">њихов </w:t>
      </w:r>
      <w:r w:rsidRPr="00A021B7">
        <w:rPr>
          <w:rFonts w:ascii="Arial" w:hAnsi="Arial" w:cs="Arial"/>
          <w:sz w:val="20"/>
          <w:szCs w:val="20"/>
          <w:lang w:val="sr-Cyrl-RS"/>
        </w:rPr>
        <w:t>удео у укупним капиталним издацима у Републици Србији.</w:t>
      </w:r>
      <w:r w:rsidR="003E03ED" w:rsidRPr="00A021B7">
        <w:rPr>
          <w:rFonts w:ascii="Arial" w:hAnsi="Arial" w:cs="Arial"/>
          <w:sz w:val="20"/>
          <w:szCs w:val="20"/>
          <w:vertAlign w:val="superscript"/>
          <w:lang w:val="sr-Cyrl-RS"/>
        </w:rPr>
        <w:footnoteReference w:id="61"/>
      </w:r>
      <w:r w:rsidRPr="00A021B7">
        <w:rPr>
          <w:rFonts w:ascii="Arial" w:hAnsi="Arial" w:cs="Arial"/>
          <w:sz w:val="20"/>
          <w:szCs w:val="20"/>
          <w:lang w:val="sr-Cyrl-RS"/>
        </w:rPr>
        <w:t xml:space="preserve"> </w:t>
      </w:r>
    </w:p>
    <w:p w14:paraId="243B0E3B" w14:textId="77777777" w:rsidR="003E03ED" w:rsidRPr="00A021B7" w:rsidRDefault="003E03ED" w:rsidP="003E7BC9">
      <w:pPr>
        <w:rPr>
          <w:rFonts w:ascii="Arial" w:hAnsi="Arial" w:cs="Arial"/>
          <w:i/>
          <w:iCs/>
          <w:color w:val="404040" w:themeColor="text1" w:themeTint="BF"/>
          <w:sz w:val="20"/>
          <w:szCs w:val="20"/>
          <w:lang w:val="sr-Cyrl-RS"/>
        </w:rPr>
      </w:pPr>
    </w:p>
    <w:p w14:paraId="089DA110" w14:textId="27152504" w:rsidR="003E03ED" w:rsidRPr="00A021B7" w:rsidRDefault="003E03ED" w:rsidP="1A8E6423">
      <w:pPr>
        <w:jc w:val="both"/>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Приказ 5: Капитални издаци ЈЛС и РС (извор: Билтен јавних финансија</w:t>
      </w:r>
      <w:r w:rsidR="007912FB" w:rsidRPr="1A8E6423">
        <w:rPr>
          <w:rFonts w:ascii="Arial" w:hAnsi="Arial" w:cs="Arial"/>
          <w:i/>
          <w:iCs/>
          <w:color w:val="404040" w:themeColor="text1" w:themeTint="BF"/>
          <w:sz w:val="20"/>
          <w:szCs w:val="20"/>
          <w:lang w:val="sr-Cyrl-RS"/>
        </w:rPr>
        <w:t>,</w:t>
      </w:r>
      <w:r w:rsidRPr="1A8E6423">
        <w:rPr>
          <w:rFonts w:ascii="Arial" w:hAnsi="Arial" w:cs="Arial"/>
          <w:i/>
          <w:iCs/>
          <w:color w:val="404040" w:themeColor="text1" w:themeTint="BF"/>
          <w:sz w:val="20"/>
          <w:szCs w:val="20"/>
          <w:lang w:val="sr-Cyrl-RS"/>
        </w:rPr>
        <w:t xml:space="preserve"> бр</w:t>
      </w:r>
      <w:r w:rsidR="007912FB" w:rsidRPr="1A8E6423">
        <w:rPr>
          <w:rFonts w:ascii="Arial" w:hAnsi="Arial" w:cs="Arial"/>
          <w:i/>
          <w:iCs/>
          <w:color w:val="404040" w:themeColor="text1" w:themeTint="BF"/>
          <w:sz w:val="20"/>
          <w:szCs w:val="20"/>
          <w:lang w:val="sr-Cyrl-RS"/>
        </w:rPr>
        <w:t xml:space="preserve">ој </w:t>
      </w:r>
      <w:r w:rsidRPr="1A8E6423">
        <w:rPr>
          <w:rFonts w:ascii="Arial" w:hAnsi="Arial" w:cs="Arial"/>
          <w:i/>
          <w:iCs/>
          <w:color w:val="404040" w:themeColor="text1" w:themeTint="BF"/>
          <w:sz w:val="20"/>
          <w:szCs w:val="20"/>
          <w:lang w:val="sr-Cyrl-RS"/>
        </w:rPr>
        <w:t>184, Министарство финансија)</w:t>
      </w:r>
    </w:p>
    <w:p w14:paraId="22389C0F" w14:textId="77777777" w:rsidR="003E03ED" w:rsidRPr="00A021B7" w:rsidRDefault="003E03ED" w:rsidP="003E7BC9">
      <w:pPr>
        <w:rPr>
          <w:rFonts w:ascii="Arial" w:hAnsi="Arial" w:cs="Arial"/>
          <w:i/>
          <w:iCs/>
          <w:color w:val="404040" w:themeColor="text1" w:themeTint="BF"/>
          <w:sz w:val="20"/>
          <w:szCs w:val="20"/>
          <w:lang w:val="sr-Cyrl-RS"/>
        </w:rPr>
      </w:pPr>
    </w:p>
    <w:p w14:paraId="70C7BC98" w14:textId="77777777" w:rsidR="003E03ED" w:rsidRPr="00A021B7" w:rsidRDefault="003E03ED" w:rsidP="003E7BC9">
      <w:pPr>
        <w:rPr>
          <w:rFonts w:ascii="Arial" w:hAnsi="Arial" w:cs="Arial"/>
          <w:i/>
          <w:iCs/>
          <w:color w:val="404040" w:themeColor="text1" w:themeTint="BF"/>
          <w:sz w:val="20"/>
          <w:szCs w:val="20"/>
          <w:lang w:val="sr-Cyrl-RS"/>
        </w:rPr>
      </w:pPr>
    </w:p>
    <w:p w14:paraId="399B088F" w14:textId="77777777" w:rsidR="003E03ED" w:rsidRPr="00A021B7" w:rsidRDefault="003E03ED" w:rsidP="003E7BC9">
      <w:pPr>
        <w:rPr>
          <w:rFonts w:ascii="Arial" w:hAnsi="Arial" w:cs="Arial"/>
          <w:i/>
          <w:iCs/>
          <w:color w:val="404040" w:themeColor="text1" w:themeTint="BF"/>
          <w:sz w:val="20"/>
          <w:szCs w:val="20"/>
          <w:lang w:val="sr-Cyrl-RS"/>
        </w:rPr>
      </w:pPr>
      <w:r w:rsidRPr="00A021B7">
        <w:rPr>
          <w:rFonts w:ascii="Arial" w:hAnsi="Arial" w:cs="Arial"/>
          <w:noProof/>
          <w:sz w:val="20"/>
          <w:szCs w:val="20"/>
          <w:lang w:eastAsia="en-US"/>
        </w:rPr>
        <w:drawing>
          <wp:inline distT="0" distB="0" distL="0" distR="0" wp14:anchorId="2879A18A" wp14:editId="5D36F3D0">
            <wp:extent cx="5728970" cy="2990850"/>
            <wp:effectExtent l="0" t="0" r="11430" b="6350"/>
            <wp:docPr id="13" name="Chart 13">
              <a:extLst xmlns:a="http://schemas.openxmlformats.org/drawingml/2006/main">
                <a:ext uri="{FF2B5EF4-FFF2-40B4-BE49-F238E27FC236}">
                  <a16:creationId xmlns:a16="http://schemas.microsoft.com/office/drawing/2014/main" id="{89990AC1-FE6B-4AFB-9DB0-14DB7951E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A41AD0" w14:textId="77777777" w:rsidR="003E03ED" w:rsidRPr="00A021B7" w:rsidRDefault="003E03ED" w:rsidP="003E7BC9">
      <w:pPr>
        <w:rPr>
          <w:rFonts w:ascii="Arial" w:hAnsi="Arial" w:cs="Arial"/>
          <w:i/>
          <w:iCs/>
          <w:color w:val="404040" w:themeColor="text1" w:themeTint="BF"/>
          <w:sz w:val="20"/>
          <w:szCs w:val="20"/>
          <w:lang w:val="sr-Cyrl-RS"/>
        </w:rPr>
      </w:pPr>
    </w:p>
    <w:p w14:paraId="31A54E44" w14:textId="5D0BD7A8" w:rsidR="003E03ED" w:rsidRPr="00A021B7" w:rsidRDefault="003E03ED" w:rsidP="00987AA8">
      <w:pPr>
        <w:autoSpaceDE w:val="0"/>
        <w:autoSpaceDN w:val="0"/>
        <w:adjustRightInd w:val="0"/>
        <w:ind w:firstLine="720"/>
        <w:jc w:val="both"/>
        <w:rPr>
          <w:rFonts w:ascii="Arial" w:hAnsi="Arial" w:cs="Arial"/>
          <w:color w:val="272626"/>
          <w:sz w:val="20"/>
          <w:szCs w:val="20"/>
          <w:lang w:val="sr-Cyrl-RS"/>
        </w:rPr>
      </w:pPr>
      <w:r w:rsidRPr="1A8E6423">
        <w:rPr>
          <w:rFonts w:ascii="Arial" w:hAnsi="Arial" w:cs="Arial"/>
          <w:color w:val="272626"/>
          <w:sz w:val="20"/>
          <w:szCs w:val="20"/>
          <w:lang w:val="sr-Cyrl-RS"/>
        </w:rPr>
        <w:t xml:space="preserve">Када </w:t>
      </w:r>
      <w:r w:rsidR="00D5565F" w:rsidRPr="1A8E6423">
        <w:rPr>
          <w:rFonts w:ascii="Arial" w:hAnsi="Arial" w:cs="Arial"/>
          <w:color w:val="272626"/>
          <w:sz w:val="20"/>
          <w:szCs w:val="20"/>
          <w:lang w:val="sr-Cyrl-RS"/>
        </w:rPr>
        <w:t>је реч о</w:t>
      </w:r>
      <w:r w:rsidRPr="1A8E6423">
        <w:rPr>
          <w:rFonts w:ascii="Arial" w:hAnsi="Arial" w:cs="Arial"/>
          <w:color w:val="272626"/>
          <w:sz w:val="20"/>
          <w:szCs w:val="20"/>
          <w:lang w:val="sr-Cyrl-RS"/>
        </w:rPr>
        <w:t xml:space="preserve"> расходи</w:t>
      </w:r>
      <w:r w:rsidR="00D5565F" w:rsidRPr="1A8E6423">
        <w:rPr>
          <w:rFonts w:ascii="Arial" w:hAnsi="Arial" w:cs="Arial"/>
          <w:color w:val="272626"/>
          <w:sz w:val="20"/>
          <w:szCs w:val="20"/>
          <w:lang w:val="sr-Cyrl-RS"/>
        </w:rPr>
        <w:t>ма</w:t>
      </w:r>
      <w:r w:rsidRPr="1A8E6423">
        <w:rPr>
          <w:rFonts w:ascii="Arial" w:hAnsi="Arial" w:cs="Arial"/>
          <w:color w:val="272626"/>
          <w:sz w:val="20"/>
          <w:szCs w:val="20"/>
          <w:lang w:val="sr-Cyrl-RS"/>
        </w:rPr>
        <w:t xml:space="preserve"> субнационалног нивоа власти (ЈЛС и АП) по функционалној класификацији, поједине анализе показују да је изнад 40% расхода везано за две категорије расхода </w:t>
      </w:r>
      <w:r w:rsidR="00D5565F" w:rsidRPr="1A8E6423">
        <w:rPr>
          <w:rFonts w:ascii="Arial" w:hAnsi="Arial" w:cs="Arial"/>
          <w:color w:val="272626"/>
          <w:sz w:val="20"/>
          <w:szCs w:val="20"/>
          <w:lang w:val="sr-Cyrl-RS"/>
        </w:rPr>
        <w:t>–</w:t>
      </w:r>
      <w:r w:rsidRPr="1A8E6423">
        <w:rPr>
          <w:rFonts w:ascii="Arial" w:hAnsi="Arial" w:cs="Arial"/>
          <w:color w:val="272626"/>
          <w:sz w:val="20"/>
          <w:szCs w:val="20"/>
          <w:lang w:val="sr-Cyrl-RS"/>
        </w:rPr>
        <w:t xml:space="preserve"> за категорију општ</w:t>
      </w:r>
      <w:r w:rsidR="00D5565F" w:rsidRPr="1A8E6423">
        <w:rPr>
          <w:rFonts w:ascii="Arial" w:hAnsi="Arial" w:cs="Arial"/>
          <w:color w:val="272626"/>
          <w:sz w:val="20"/>
          <w:szCs w:val="20"/>
          <w:lang w:val="sr-Cyrl-RS"/>
        </w:rPr>
        <w:t>их</w:t>
      </w:r>
      <w:r w:rsidRPr="1A8E6423">
        <w:rPr>
          <w:rFonts w:ascii="Arial" w:hAnsi="Arial" w:cs="Arial"/>
          <w:color w:val="272626"/>
          <w:sz w:val="20"/>
          <w:szCs w:val="20"/>
          <w:lang w:val="sr-Cyrl-RS"/>
        </w:rPr>
        <w:t xml:space="preserve"> јавн</w:t>
      </w:r>
      <w:r w:rsidR="00D5565F" w:rsidRPr="1A8E6423">
        <w:rPr>
          <w:rFonts w:ascii="Arial" w:hAnsi="Arial" w:cs="Arial"/>
          <w:color w:val="272626"/>
          <w:sz w:val="20"/>
          <w:szCs w:val="20"/>
          <w:lang w:val="sr-Cyrl-RS"/>
        </w:rPr>
        <w:t>их</w:t>
      </w:r>
      <w:r w:rsidRPr="1A8E6423">
        <w:rPr>
          <w:rFonts w:ascii="Arial" w:hAnsi="Arial" w:cs="Arial"/>
          <w:color w:val="272626"/>
          <w:sz w:val="20"/>
          <w:szCs w:val="20"/>
          <w:lang w:val="sr-Cyrl-RS"/>
        </w:rPr>
        <w:t xml:space="preserve"> услуг</w:t>
      </w:r>
      <w:r w:rsidR="00D5565F" w:rsidRPr="1A8E6423">
        <w:rPr>
          <w:rFonts w:ascii="Arial" w:hAnsi="Arial" w:cs="Arial"/>
          <w:color w:val="272626"/>
          <w:sz w:val="20"/>
          <w:szCs w:val="20"/>
          <w:lang w:val="sr-Cyrl-RS"/>
        </w:rPr>
        <w:t>а</w:t>
      </w:r>
      <w:r w:rsidRPr="1A8E6423">
        <w:rPr>
          <w:rFonts w:ascii="Arial" w:hAnsi="Arial" w:cs="Arial"/>
          <w:color w:val="272626"/>
          <w:sz w:val="20"/>
          <w:szCs w:val="20"/>
          <w:lang w:val="sr-Cyrl-RS"/>
        </w:rPr>
        <w:t xml:space="preserve"> (20</w:t>
      </w:r>
      <w:r w:rsidR="00D5565F" w:rsidRPr="1A8E6423">
        <w:rPr>
          <w:rFonts w:ascii="Arial" w:hAnsi="Arial" w:cs="Arial"/>
          <w:color w:val="272626"/>
          <w:sz w:val="20"/>
          <w:szCs w:val="20"/>
          <w:lang w:val="sr-Latn-RS"/>
        </w:rPr>
        <w:t>,</w:t>
      </w:r>
      <w:r w:rsidRPr="1A8E6423">
        <w:rPr>
          <w:rFonts w:ascii="Arial" w:hAnsi="Arial" w:cs="Arial"/>
          <w:color w:val="272626"/>
          <w:sz w:val="20"/>
          <w:szCs w:val="20"/>
          <w:lang w:val="sr-Cyrl-RS"/>
        </w:rPr>
        <w:t>2%) и економске послове (21</w:t>
      </w:r>
      <w:r w:rsidR="00D5565F" w:rsidRPr="1A8E6423">
        <w:rPr>
          <w:rFonts w:ascii="Arial" w:hAnsi="Arial" w:cs="Arial"/>
          <w:color w:val="272626"/>
          <w:sz w:val="20"/>
          <w:szCs w:val="20"/>
          <w:lang w:val="sr-Cyrl-RS"/>
        </w:rPr>
        <w:t>,</w:t>
      </w:r>
      <w:r w:rsidRPr="1A8E6423">
        <w:rPr>
          <w:rFonts w:ascii="Arial" w:hAnsi="Arial" w:cs="Arial"/>
          <w:color w:val="272626"/>
          <w:sz w:val="20"/>
          <w:szCs w:val="20"/>
          <w:lang w:val="sr-Cyrl-RS"/>
        </w:rPr>
        <w:t>2%), у оквиру које се скоро 80% расхода односи на саобраћај. Следеће најзначајније категорије расхода су образовање (18</w:t>
      </w:r>
      <w:r w:rsidR="00D5565F" w:rsidRPr="1A8E6423">
        <w:rPr>
          <w:rFonts w:ascii="Arial" w:hAnsi="Arial" w:cs="Arial"/>
          <w:color w:val="272626"/>
          <w:sz w:val="20"/>
          <w:szCs w:val="20"/>
          <w:lang w:val="sr-Cyrl-RS"/>
        </w:rPr>
        <w:t>,</w:t>
      </w:r>
      <w:r w:rsidRPr="1A8E6423">
        <w:rPr>
          <w:rFonts w:ascii="Arial" w:hAnsi="Arial" w:cs="Arial"/>
          <w:color w:val="272626"/>
          <w:sz w:val="20"/>
          <w:szCs w:val="20"/>
          <w:lang w:val="sr-Cyrl-RS"/>
        </w:rPr>
        <w:t>8%), затим развој заједнице (18</w:t>
      </w:r>
      <w:r w:rsidR="00D5565F" w:rsidRPr="1A8E6423">
        <w:rPr>
          <w:rFonts w:ascii="Arial" w:hAnsi="Arial" w:cs="Arial"/>
          <w:color w:val="272626"/>
          <w:sz w:val="20"/>
          <w:szCs w:val="20"/>
          <w:lang w:val="sr-Cyrl-RS"/>
        </w:rPr>
        <w:t>,</w:t>
      </w:r>
      <w:r w:rsidRPr="1A8E6423">
        <w:rPr>
          <w:rFonts w:ascii="Arial" w:hAnsi="Arial" w:cs="Arial"/>
          <w:color w:val="272626"/>
          <w:sz w:val="20"/>
          <w:szCs w:val="20"/>
          <w:lang w:val="sr-Cyrl-RS"/>
        </w:rPr>
        <w:t>5%), рекреација, спорт и култура (10</w:t>
      </w:r>
      <w:r w:rsidR="00D5565F" w:rsidRPr="1A8E6423">
        <w:rPr>
          <w:rFonts w:ascii="Arial" w:hAnsi="Arial" w:cs="Arial"/>
          <w:color w:val="272626"/>
          <w:sz w:val="20"/>
          <w:szCs w:val="20"/>
          <w:lang w:val="sr-Cyrl-RS"/>
        </w:rPr>
        <w:t>,</w:t>
      </w:r>
      <w:r w:rsidRPr="1A8E6423">
        <w:rPr>
          <w:rFonts w:ascii="Arial" w:hAnsi="Arial" w:cs="Arial"/>
          <w:color w:val="272626"/>
          <w:sz w:val="20"/>
          <w:szCs w:val="20"/>
          <w:lang w:val="sr-Cyrl-RS"/>
        </w:rPr>
        <w:t>8%) и социјална заштита (6%). Учешће појединих категорија расхода по функционалној класификацији у укупним расходима је било релативно стабилно у последњих 10 година</w:t>
      </w:r>
      <w:r w:rsidR="00D5565F" w:rsidRPr="1A8E6423">
        <w:rPr>
          <w:rFonts w:ascii="Arial" w:hAnsi="Arial" w:cs="Arial"/>
          <w:color w:val="272626"/>
          <w:sz w:val="20"/>
          <w:szCs w:val="20"/>
          <w:lang w:val="sr-Cyrl-RS"/>
        </w:rPr>
        <w:t>, с</w:t>
      </w:r>
      <w:r w:rsidRPr="1A8E6423">
        <w:rPr>
          <w:rFonts w:ascii="Arial" w:hAnsi="Arial" w:cs="Arial"/>
          <w:color w:val="272626"/>
          <w:sz w:val="20"/>
          <w:szCs w:val="20"/>
          <w:lang w:val="sr-Cyrl-RS"/>
        </w:rPr>
        <w:t xml:space="preserve"> обзиром</w:t>
      </w:r>
      <w:r w:rsidR="00D5565F" w:rsidRPr="1A8E6423">
        <w:rPr>
          <w:rFonts w:ascii="Arial" w:hAnsi="Arial" w:cs="Arial"/>
          <w:color w:val="272626"/>
          <w:sz w:val="20"/>
          <w:szCs w:val="20"/>
          <w:lang w:val="sr-Cyrl-RS"/>
        </w:rPr>
        <w:t xml:space="preserve"> на то</w:t>
      </w:r>
      <w:r w:rsidRPr="1A8E6423">
        <w:rPr>
          <w:rFonts w:ascii="Arial" w:hAnsi="Arial" w:cs="Arial"/>
          <w:color w:val="272626"/>
          <w:sz w:val="20"/>
          <w:szCs w:val="20"/>
          <w:lang w:val="sr-Cyrl-RS"/>
        </w:rPr>
        <w:t xml:space="preserve"> да се надлежности ЈЛС нису значајније мењале у овом периоду. Графички приказ </w:t>
      </w:r>
      <w:r w:rsidR="00D5565F" w:rsidRPr="1A8E6423">
        <w:rPr>
          <w:rFonts w:ascii="Arial" w:hAnsi="Arial" w:cs="Arial"/>
          <w:color w:val="272626"/>
          <w:sz w:val="20"/>
          <w:szCs w:val="20"/>
          <w:lang w:val="sr-Cyrl-RS"/>
        </w:rPr>
        <w:t xml:space="preserve">у наставку </w:t>
      </w:r>
      <w:r w:rsidRPr="1A8E6423">
        <w:rPr>
          <w:rFonts w:ascii="Arial" w:hAnsi="Arial" w:cs="Arial"/>
          <w:color w:val="272626"/>
          <w:sz w:val="20"/>
          <w:szCs w:val="20"/>
          <w:lang w:val="sr-Cyrl-RS"/>
        </w:rPr>
        <w:t>илуструје структуру расхода субнационалног нивоа власти у РС према функционалној класификацији.</w:t>
      </w:r>
    </w:p>
    <w:p w14:paraId="2DB86317" w14:textId="77777777" w:rsidR="003E03ED" w:rsidRPr="00A021B7" w:rsidRDefault="003E03ED" w:rsidP="003E7BC9">
      <w:pPr>
        <w:rPr>
          <w:rFonts w:ascii="Arial" w:hAnsi="Arial" w:cs="Arial"/>
          <w:color w:val="272626"/>
          <w:sz w:val="20"/>
          <w:szCs w:val="20"/>
          <w:lang w:val="sr-Cyrl-RS"/>
        </w:rPr>
      </w:pPr>
    </w:p>
    <w:p w14:paraId="15BE41C6" w14:textId="7A1B2EEB" w:rsidR="003E03ED" w:rsidRPr="00A021B7" w:rsidRDefault="35687A16" w:rsidP="1A8E6423">
      <w:pPr>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Приказ 6: Функционална класификација расхода субнационалног нивоа власти у РС, 2016</w:t>
      </w:r>
      <w:r w:rsidR="003E03ED" w:rsidRPr="1A8E6423">
        <w:rPr>
          <w:rFonts w:ascii="Arial" w:hAnsi="Arial" w:cs="Arial"/>
          <w:i/>
          <w:iCs/>
          <w:color w:val="404040" w:themeColor="text1" w:themeTint="BF"/>
          <w:sz w:val="20"/>
          <w:szCs w:val="20"/>
          <w:vertAlign w:val="superscript"/>
          <w:lang w:val="sr-Cyrl-RS"/>
        </w:rPr>
        <w:footnoteReference w:id="62"/>
      </w:r>
    </w:p>
    <w:p w14:paraId="3EEE094B" w14:textId="77777777" w:rsidR="003E03ED" w:rsidRPr="00A021B7" w:rsidRDefault="003E03ED" w:rsidP="003E7BC9">
      <w:pPr>
        <w:rPr>
          <w:rFonts w:ascii="Arial" w:hAnsi="Arial" w:cs="Arial"/>
          <w:i/>
          <w:iCs/>
          <w:color w:val="404040" w:themeColor="text1" w:themeTint="BF"/>
          <w:sz w:val="20"/>
          <w:szCs w:val="20"/>
          <w:lang w:val="sr-Cyrl-RS"/>
        </w:rPr>
      </w:pPr>
    </w:p>
    <w:p w14:paraId="4CE75D35" w14:textId="77777777" w:rsidR="003E03ED" w:rsidRPr="00A021B7" w:rsidRDefault="003E03ED" w:rsidP="003E7BC9">
      <w:pPr>
        <w:rPr>
          <w:rFonts w:ascii="Arial" w:hAnsi="Arial" w:cs="Arial"/>
          <w:i/>
          <w:iCs/>
          <w:color w:val="404040" w:themeColor="text1" w:themeTint="BF"/>
          <w:sz w:val="20"/>
          <w:szCs w:val="20"/>
          <w:lang w:val="sr-Cyrl-RS"/>
        </w:rPr>
      </w:pPr>
      <w:r w:rsidRPr="00A021B7">
        <w:rPr>
          <w:rFonts w:ascii="Arial" w:hAnsi="Arial" w:cs="Arial"/>
          <w:noProof/>
          <w:sz w:val="20"/>
          <w:szCs w:val="20"/>
          <w:lang w:eastAsia="en-US"/>
        </w:rPr>
        <w:drawing>
          <wp:inline distT="0" distB="0" distL="0" distR="0" wp14:anchorId="203453BF" wp14:editId="127D906B">
            <wp:extent cx="5664200" cy="2546985"/>
            <wp:effectExtent l="0" t="0" r="12700" b="18415"/>
            <wp:docPr id="5" name="Chart 5">
              <a:extLst xmlns:a="http://schemas.openxmlformats.org/drawingml/2006/main">
                <a:ext uri="{FF2B5EF4-FFF2-40B4-BE49-F238E27FC236}">
                  <a16:creationId xmlns:a16="http://schemas.microsoft.com/office/drawing/2014/main" id="{F4376E82-6BBF-4BC1-B0FE-737BC873BB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EFA7B9" w14:textId="77777777" w:rsidR="003E03ED" w:rsidRPr="00A021B7" w:rsidRDefault="003E03ED" w:rsidP="003E7BC9">
      <w:pPr>
        <w:rPr>
          <w:rFonts w:ascii="Arial" w:hAnsi="Arial" w:cs="Arial"/>
          <w:b/>
          <w:bCs/>
          <w:sz w:val="20"/>
          <w:szCs w:val="20"/>
          <w:lang w:val="sr-Cyrl-RS"/>
        </w:rPr>
      </w:pPr>
    </w:p>
    <w:p w14:paraId="1F024C82" w14:textId="6E15FBF2" w:rsidR="00CE205B" w:rsidRPr="00A021B7" w:rsidRDefault="003E03ED" w:rsidP="004935B9">
      <w:pPr>
        <w:pStyle w:val="Heading3"/>
        <w:rPr>
          <w:noProof w:val="0"/>
          <w:lang w:val="sr-Cyrl-RS"/>
        </w:rPr>
      </w:pPr>
      <w:bookmarkStart w:id="72" w:name="_Toc52865780"/>
      <w:bookmarkStart w:id="73" w:name="_Toc52866191"/>
      <w:bookmarkStart w:id="74" w:name="_Toc56508440"/>
      <w:bookmarkStart w:id="75" w:name="_Toc60136076"/>
      <w:r w:rsidRPr="1A8E6423">
        <w:rPr>
          <w:noProof w:val="0"/>
          <w:lang w:val="sr-Cyrl-RS"/>
        </w:rPr>
        <w:t>I</w:t>
      </w:r>
      <w:r w:rsidR="0092288B" w:rsidRPr="1A8E6423">
        <w:rPr>
          <w:noProof w:val="0"/>
          <w:lang w:val="sr-Cyrl-RS"/>
        </w:rPr>
        <w:t>V</w:t>
      </w:r>
      <w:r w:rsidRPr="1A8E6423">
        <w:rPr>
          <w:noProof w:val="0"/>
          <w:lang w:val="sr-Cyrl-RS"/>
        </w:rPr>
        <w:t>.</w:t>
      </w:r>
      <w:r w:rsidR="0092288B" w:rsidRPr="1A8E6423">
        <w:rPr>
          <w:noProof w:val="0"/>
          <w:lang w:val="sr-Cyrl-RS"/>
        </w:rPr>
        <w:t>5.</w:t>
      </w:r>
      <w:r w:rsidRPr="1A8E6423">
        <w:rPr>
          <w:noProof w:val="0"/>
          <w:lang w:val="sr-Cyrl-RS"/>
        </w:rPr>
        <w:t xml:space="preserve">3. Приходи и расходи </w:t>
      </w:r>
      <w:r w:rsidR="00D5565F" w:rsidRPr="1A8E6423">
        <w:rPr>
          <w:noProof w:val="0"/>
          <w:lang w:val="sr-Cyrl-RS"/>
        </w:rPr>
        <w:t>–</w:t>
      </w:r>
      <w:r w:rsidR="00582641" w:rsidRPr="1A8E6423">
        <w:rPr>
          <w:noProof w:val="0"/>
          <w:lang w:val="sr-Cyrl-RS"/>
        </w:rPr>
        <w:t xml:space="preserve"> </w:t>
      </w:r>
      <w:r w:rsidRPr="1A8E6423">
        <w:rPr>
          <w:noProof w:val="0"/>
          <w:lang w:val="sr-Cyrl-RS"/>
        </w:rPr>
        <w:t>упоредни преглед Републике Србије и земаља у региону и ЕУ</w:t>
      </w:r>
      <w:bookmarkEnd w:id="72"/>
      <w:bookmarkEnd w:id="73"/>
      <w:bookmarkEnd w:id="74"/>
      <w:bookmarkEnd w:id="75"/>
    </w:p>
    <w:p w14:paraId="363DEB12" w14:textId="77777777" w:rsidR="003E03ED" w:rsidRPr="00A021B7" w:rsidRDefault="003E03ED" w:rsidP="003E7BC9">
      <w:pPr>
        <w:jc w:val="both"/>
        <w:rPr>
          <w:rFonts w:ascii="Arial" w:hAnsi="Arial" w:cs="Arial"/>
          <w:i/>
          <w:iCs/>
          <w:color w:val="404040" w:themeColor="text1" w:themeTint="BF"/>
          <w:sz w:val="20"/>
          <w:szCs w:val="20"/>
          <w:lang w:val="sr-Cyrl-RS"/>
        </w:rPr>
      </w:pPr>
    </w:p>
    <w:p w14:paraId="006FF533" w14:textId="0FB5AA3D"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Иако без дубље анализе сваког система локалне самоуправе посебно (надлежности и послова, конкретних прихода или трошкова) није једноставно, а ни препоручљиво, упоређивати системе финансирања локалне самоуправе, анализом кључних индикатора може се стећи основни закључак о значају локалне самоуправе у целом систему јавне управе једне државе.</w:t>
      </w:r>
    </w:p>
    <w:p w14:paraId="621E48F7" w14:textId="77777777" w:rsidR="003E03ED" w:rsidRPr="00A021B7" w:rsidRDefault="003E03ED" w:rsidP="1A8E6423">
      <w:pPr>
        <w:ind w:firstLine="720"/>
        <w:jc w:val="both"/>
        <w:rPr>
          <w:rFonts w:ascii="Arial" w:hAnsi="Arial" w:cs="Arial"/>
          <w:sz w:val="20"/>
          <w:szCs w:val="20"/>
          <w:lang w:val="sr-Cyrl-RS"/>
        </w:rPr>
      </w:pPr>
    </w:p>
    <w:p w14:paraId="3EE228B6" w14:textId="419F8910" w:rsidR="003E03ED" w:rsidRPr="00A021B7" w:rsidRDefault="35687A16" w:rsidP="1A8E6423">
      <w:pPr>
        <w:autoSpaceDE w:val="0"/>
        <w:autoSpaceDN w:val="0"/>
        <w:adjustRightInd w:val="0"/>
        <w:ind w:firstLine="720"/>
        <w:jc w:val="both"/>
        <w:rPr>
          <w:rFonts w:ascii="Arial" w:hAnsi="Arial" w:cs="Arial"/>
          <w:i/>
          <w:iCs/>
          <w:color w:val="404040" w:themeColor="text1" w:themeTint="BF"/>
          <w:sz w:val="20"/>
          <w:szCs w:val="20"/>
          <w:lang w:val="sr-Cyrl-RS"/>
        </w:rPr>
      </w:pPr>
      <w:r w:rsidRPr="00A021B7">
        <w:rPr>
          <w:rFonts w:ascii="Arial" w:hAnsi="Arial" w:cs="Arial"/>
          <w:color w:val="000000"/>
          <w:sz w:val="20"/>
          <w:szCs w:val="20"/>
          <w:lang w:val="sr-Cyrl-RS"/>
        </w:rPr>
        <w:t xml:space="preserve">Табела </w:t>
      </w:r>
      <w:r w:rsidR="002139C8">
        <w:rPr>
          <w:rFonts w:ascii="Arial" w:hAnsi="Arial" w:cs="Arial"/>
          <w:color w:val="000000"/>
          <w:sz w:val="20"/>
          <w:szCs w:val="20"/>
          <w:lang w:val="sr-Cyrl-RS"/>
        </w:rPr>
        <w:t>5</w:t>
      </w:r>
      <w:r w:rsidRPr="00A021B7">
        <w:rPr>
          <w:rFonts w:ascii="Arial" w:hAnsi="Arial" w:cs="Arial"/>
          <w:color w:val="000000"/>
          <w:sz w:val="20"/>
          <w:szCs w:val="20"/>
          <w:lang w:val="sr-Cyrl-RS"/>
        </w:rPr>
        <w:t xml:space="preserve"> приказује основну структуру текућих прихода из 2016. године за РС и одабране земље ЕУ и региона, из које се може видети из којих извора се финансирају системи локалне самоуправе. У структури текућих прихода ЛС у РС најзначајнији су порески приходи – 53</w:t>
      </w:r>
      <w:r w:rsidR="00987AA8">
        <w:rPr>
          <w:rFonts w:ascii="Arial" w:hAnsi="Arial" w:cs="Arial"/>
          <w:color w:val="000000"/>
          <w:sz w:val="20"/>
          <w:szCs w:val="20"/>
          <w:lang w:val="sr-Cyrl-RS"/>
        </w:rPr>
        <w:t>,</w:t>
      </w:r>
      <w:r w:rsidRPr="00A021B7">
        <w:rPr>
          <w:rFonts w:ascii="Arial" w:hAnsi="Arial" w:cs="Arial"/>
          <w:color w:val="000000"/>
          <w:sz w:val="20"/>
          <w:szCs w:val="20"/>
          <w:lang w:val="sr-Cyrl-RS"/>
        </w:rPr>
        <w:t>2%, што је изнад нивоа свих наведених земаља и просека ЕУ28</w:t>
      </w:r>
      <w:r w:rsidR="003E03ED" w:rsidRPr="00A021B7">
        <w:rPr>
          <w:rFonts w:ascii="Arial" w:hAnsi="Arial" w:cs="Arial"/>
          <w:color w:val="000000"/>
          <w:sz w:val="20"/>
          <w:szCs w:val="20"/>
          <w:vertAlign w:val="superscript"/>
          <w:lang w:val="sr-Cyrl-RS"/>
        </w:rPr>
        <w:footnoteReference w:id="63"/>
      </w:r>
      <w:r w:rsidRPr="00A021B7">
        <w:rPr>
          <w:rFonts w:ascii="Arial" w:hAnsi="Arial" w:cs="Arial"/>
          <w:color w:val="000000"/>
          <w:sz w:val="20"/>
          <w:szCs w:val="20"/>
          <w:lang w:val="sr-Cyrl-RS"/>
        </w:rPr>
        <w:t>. Са друге стране, учешће трансфера у текућим приходима је испод нивоа земаља ЕУ.</w:t>
      </w:r>
      <w:r w:rsidR="003E03ED" w:rsidRPr="00A021B7">
        <w:rPr>
          <w:rFonts w:ascii="Arial" w:hAnsi="Arial" w:cs="Arial"/>
          <w:color w:val="000000"/>
          <w:sz w:val="20"/>
          <w:szCs w:val="20"/>
          <w:vertAlign w:val="superscript"/>
          <w:lang w:val="sr-Cyrl-RS"/>
        </w:rPr>
        <w:footnoteReference w:id="64"/>
      </w:r>
    </w:p>
    <w:p w14:paraId="0540B286" w14:textId="77777777" w:rsidR="003E03ED" w:rsidRPr="00A021B7" w:rsidRDefault="003E03ED" w:rsidP="003E7BC9">
      <w:pPr>
        <w:autoSpaceDE w:val="0"/>
        <w:autoSpaceDN w:val="0"/>
        <w:adjustRightInd w:val="0"/>
        <w:jc w:val="both"/>
        <w:rPr>
          <w:rFonts w:ascii="Arial" w:hAnsi="Arial" w:cs="Arial"/>
          <w:i/>
          <w:iCs/>
          <w:color w:val="404040" w:themeColor="text1" w:themeTint="BF"/>
          <w:sz w:val="20"/>
          <w:szCs w:val="20"/>
          <w:lang w:val="sr-Cyrl-RS"/>
        </w:rPr>
      </w:pPr>
    </w:p>
    <w:p w14:paraId="1E0D8171" w14:textId="7D79EEF4" w:rsidR="003E03ED" w:rsidRPr="00A021B7" w:rsidRDefault="35687A16" w:rsidP="1A8E6423">
      <w:pPr>
        <w:autoSpaceDE w:val="0"/>
        <w:autoSpaceDN w:val="0"/>
        <w:adjustRightInd w:val="0"/>
        <w:jc w:val="both"/>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 xml:space="preserve">Табела </w:t>
      </w:r>
      <w:r w:rsidR="002139C8" w:rsidRPr="1A8E6423">
        <w:rPr>
          <w:rFonts w:ascii="Arial" w:hAnsi="Arial" w:cs="Arial"/>
          <w:i/>
          <w:iCs/>
          <w:color w:val="404040" w:themeColor="text1" w:themeTint="BF"/>
          <w:sz w:val="20"/>
          <w:szCs w:val="20"/>
          <w:lang w:val="sr-Cyrl-RS"/>
        </w:rPr>
        <w:t>5</w:t>
      </w:r>
      <w:r w:rsidRPr="1A8E6423">
        <w:rPr>
          <w:rFonts w:ascii="Arial" w:hAnsi="Arial" w:cs="Arial"/>
          <w:i/>
          <w:iCs/>
          <w:color w:val="404040" w:themeColor="text1" w:themeTint="BF"/>
          <w:sz w:val="20"/>
          <w:szCs w:val="20"/>
          <w:lang w:val="sr-Cyrl-RS"/>
        </w:rPr>
        <w:t>: Структура</w:t>
      </w:r>
      <w:r w:rsidRPr="1A8E6423" w:rsidDel="00286AA0">
        <w:rPr>
          <w:rFonts w:ascii="Arial" w:hAnsi="Arial" w:cs="Arial"/>
          <w:i/>
          <w:iCs/>
          <w:color w:val="404040" w:themeColor="text1" w:themeTint="BF"/>
          <w:sz w:val="20"/>
          <w:szCs w:val="20"/>
          <w:lang w:val="sr-Cyrl-RS"/>
        </w:rPr>
        <w:t xml:space="preserve"> </w:t>
      </w:r>
      <w:r w:rsidRPr="1A8E6423">
        <w:rPr>
          <w:rFonts w:ascii="Arial" w:hAnsi="Arial" w:cs="Arial"/>
          <w:i/>
          <w:iCs/>
          <w:color w:val="404040" w:themeColor="text1" w:themeTint="BF"/>
          <w:sz w:val="20"/>
          <w:szCs w:val="20"/>
          <w:lang w:val="sr-Cyrl-RS"/>
        </w:rPr>
        <w:t>прихода субнационалног нивоа власти у Републици Србији и земљама ЕУ и региона, 2016</w:t>
      </w:r>
      <w:r w:rsidR="003E03ED" w:rsidRPr="1A8E6423">
        <w:rPr>
          <w:rFonts w:ascii="Arial" w:hAnsi="Arial" w:cs="Arial"/>
          <w:i/>
          <w:iCs/>
          <w:color w:val="404040" w:themeColor="text1" w:themeTint="BF"/>
          <w:sz w:val="20"/>
          <w:szCs w:val="20"/>
          <w:vertAlign w:val="superscript"/>
          <w:lang w:val="sr-Cyrl-RS"/>
        </w:rPr>
        <w:footnoteReference w:id="65"/>
      </w:r>
    </w:p>
    <w:p w14:paraId="072B9FD3" w14:textId="77777777" w:rsidR="003E03ED" w:rsidRPr="00A021B7" w:rsidRDefault="003E03ED" w:rsidP="003E7BC9">
      <w:pPr>
        <w:autoSpaceDE w:val="0"/>
        <w:autoSpaceDN w:val="0"/>
        <w:adjustRightInd w:val="0"/>
        <w:jc w:val="both"/>
        <w:rPr>
          <w:rFonts w:ascii="Arial" w:hAnsi="Arial" w:cs="Arial"/>
          <w:i/>
          <w:iCs/>
          <w:color w:val="404040" w:themeColor="text1" w:themeTint="BF"/>
          <w:sz w:val="20"/>
          <w:szCs w:val="20"/>
          <w:lang w:val="sr-Cyrl-RS"/>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582"/>
        <w:gridCol w:w="2039"/>
        <w:gridCol w:w="2519"/>
      </w:tblGrid>
      <w:tr w:rsidR="003E03ED" w:rsidRPr="00A021B7" w14:paraId="4B34CDD0" w14:textId="77777777" w:rsidTr="1A8E6423">
        <w:trPr>
          <w:trHeight w:val="22"/>
          <w:jc w:val="center"/>
        </w:trPr>
        <w:tc>
          <w:tcPr>
            <w:tcW w:w="1885" w:type="dxa"/>
            <w:shd w:val="clear" w:color="auto" w:fill="1F4E79" w:themeFill="accent5" w:themeFillShade="80"/>
            <w:noWrap/>
            <w:vAlign w:val="center"/>
          </w:tcPr>
          <w:p w14:paraId="2F9F17FA"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Држава</w:t>
            </w:r>
          </w:p>
        </w:tc>
        <w:tc>
          <w:tcPr>
            <w:tcW w:w="2582" w:type="dxa"/>
            <w:shd w:val="clear" w:color="auto" w:fill="1F4E79" w:themeFill="accent5" w:themeFillShade="80"/>
            <w:noWrap/>
            <w:vAlign w:val="center"/>
          </w:tcPr>
          <w:p w14:paraId="05679FC0"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Приходи од пореза</w:t>
            </w:r>
          </w:p>
        </w:tc>
        <w:tc>
          <w:tcPr>
            <w:tcW w:w="2039" w:type="dxa"/>
            <w:shd w:val="clear" w:color="auto" w:fill="1F4E79" w:themeFill="accent5" w:themeFillShade="80"/>
            <w:noWrap/>
            <w:vAlign w:val="center"/>
          </w:tcPr>
          <w:p w14:paraId="736838A0"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Трансфери</w:t>
            </w:r>
          </w:p>
        </w:tc>
        <w:tc>
          <w:tcPr>
            <w:tcW w:w="2519" w:type="dxa"/>
            <w:shd w:val="clear" w:color="auto" w:fill="1F4E79" w:themeFill="accent5" w:themeFillShade="80"/>
            <w:noWrap/>
            <w:vAlign w:val="center"/>
          </w:tcPr>
          <w:p w14:paraId="005154F4"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Таксе, накнаде и остали приходи</w:t>
            </w:r>
          </w:p>
        </w:tc>
      </w:tr>
      <w:tr w:rsidR="003E03ED" w:rsidRPr="00A021B7" w14:paraId="5A2B4499" w14:textId="77777777" w:rsidTr="1A8E6423">
        <w:trPr>
          <w:trHeight w:val="22"/>
          <w:jc w:val="center"/>
        </w:trPr>
        <w:tc>
          <w:tcPr>
            <w:tcW w:w="1885" w:type="dxa"/>
            <w:shd w:val="clear" w:color="auto" w:fill="D9D9D9" w:themeFill="background1" w:themeFillShade="D9"/>
            <w:noWrap/>
            <w:vAlign w:val="center"/>
          </w:tcPr>
          <w:p w14:paraId="43C86EBE"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lastRenderedPageBreak/>
              <w:t>Албанија</w:t>
            </w:r>
          </w:p>
        </w:tc>
        <w:tc>
          <w:tcPr>
            <w:tcW w:w="2582" w:type="dxa"/>
            <w:shd w:val="clear" w:color="auto" w:fill="auto"/>
            <w:noWrap/>
            <w:vAlign w:val="center"/>
          </w:tcPr>
          <w:p w14:paraId="7B4D5080" w14:textId="6D9E3C69"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15</w:t>
            </w:r>
            <w:r w:rsidR="00987AA8" w:rsidRPr="1A8E6423">
              <w:rPr>
                <w:rFonts w:ascii="Arial" w:hAnsi="Arial" w:cs="Arial"/>
                <w:sz w:val="20"/>
                <w:szCs w:val="20"/>
                <w:lang w:val="sr-Cyrl-RS"/>
              </w:rPr>
              <w:t>,</w:t>
            </w:r>
            <w:r w:rsidRPr="1A8E6423">
              <w:rPr>
                <w:rFonts w:ascii="Arial" w:hAnsi="Arial" w:cs="Arial"/>
                <w:sz w:val="20"/>
                <w:szCs w:val="20"/>
                <w:lang w:val="sr-Cyrl-RS"/>
              </w:rPr>
              <w:t>9%</w:t>
            </w:r>
          </w:p>
        </w:tc>
        <w:tc>
          <w:tcPr>
            <w:tcW w:w="2039" w:type="dxa"/>
            <w:shd w:val="clear" w:color="auto" w:fill="auto"/>
            <w:noWrap/>
            <w:vAlign w:val="center"/>
          </w:tcPr>
          <w:p w14:paraId="60164AC4" w14:textId="6669B242"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75</w:t>
            </w:r>
            <w:r w:rsidR="00987AA8" w:rsidRPr="1A8E6423">
              <w:rPr>
                <w:rFonts w:ascii="Arial" w:hAnsi="Arial" w:cs="Arial"/>
                <w:sz w:val="20"/>
                <w:szCs w:val="20"/>
                <w:lang w:val="sr-Cyrl-RS"/>
              </w:rPr>
              <w:t>,</w:t>
            </w:r>
            <w:r w:rsidRPr="1A8E6423">
              <w:rPr>
                <w:rFonts w:ascii="Arial" w:hAnsi="Arial" w:cs="Arial"/>
                <w:sz w:val="20"/>
                <w:szCs w:val="20"/>
                <w:lang w:val="sr-Cyrl-RS"/>
              </w:rPr>
              <w:t>8%</w:t>
            </w:r>
          </w:p>
        </w:tc>
        <w:tc>
          <w:tcPr>
            <w:tcW w:w="2519" w:type="dxa"/>
            <w:shd w:val="clear" w:color="auto" w:fill="auto"/>
            <w:noWrap/>
            <w:vAlign w:val="center"/>
          </w:tcPr>
          <w:p w14:paraId="523F1C3D" w14:textId="55CF8EFC"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8</w:t>
            </w:r>
            <w:r w:rsidR="00987AA8" w:rsidRPr="1A8E6423">
              <w:rPr>
                <w:rFonts w:ascii="Arial" w:hAnsi="Arial" w:cs="Arial"/>
                <w:sz w:val="20"/>
                <w:szCs w:val="20"/>
                <w:lang w:val="sr-Cyrl-RS"/>
              </w:rPr>
              <w:t>,</w:t>
            </w:r>
            <w:r w:rsidRPr="1A8E6423">
              <w:rPr>
                <w:rFonts w:ascii="Arial" w:hAnsi="Arial" w:cs="Arial"/>
                <w:sz w:val="20"/>
                <w:szCs w:val="20"/>
                <w:lang w:val="sr-Cyrl-RS"/>
              </w:rPr>
              <w:t>3%</w:t>
            </w:r>
          </w:p>
        </w:tc>
      </w:tr>
      <w:tr w:rsidR="003E03ED" w:rsidRPr="00A021B7" w14:paraId="7BF89ECA" w14:textId="77777777" w:rsidTr="1A8E6423">
        <w:trPr>
          <w:trHeight w:val="22"/>
          <w:jc w:val="center"/>
        </w:trPr>
        <w:tc>
          <w:tcPr>
            <w:tcW w:w="1885" w:type="dxa"/>
            <w:shd w:val="clear" w:color="auto" w:fill="D9D9D9" w:themeFill="background1" w:themeFillShade="D9"/>
            <w:noWrap/>
            <w:vAlign w:val="center"/>
          </w:tcPr>
          <w:p w14:paraId="48F385C3"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БиХ</w:t>
            </w:r>
          </w:p>
        </w:tc>
        <w:tc>
          <w:tcPr>
            <w:tcW w:w="2582" w:type="dxa"/>
            <w:shd w:val="clear" w:color="auto" w:fill="auto"/>
            <w:noWrap/>
            <w:vAlign w:val="center"/>
          </w:tcPr>
          <w:p w14:paraId="415F5E0F" w14:textId="2C0274B0"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57</w:t>
            </w:r>
            <w:r w:rsidR="00987AA8" w:rsidRPr="1A8E6423">
              <w:rPr>
                <w:rFonts w:ascii="Arial" w:hAnsi="Arial" w:cs="Arial"/>
                <w:sz w:val="20"/>
                <w:szCs w:val="20"/>
                <w:lang w:val="sr-Cyrl-RS"/>
              </w:rPr>
              <w:t>,</w:t>
            </w:r>
            <w:r w:rsidRPr="1A8E6423">
              <w:rPr>
                <w:rFonts w:ascii="Arial" w:hAnsi="Arial" w:cs="Arial"/>
                <w:sz w:val="20"/>
                <w:szCs w:val="20"/>
                <w:lang w:val="sr-Cyrl-RS"/>
              </w:rPr>
              <w:t>0%</w:t>
            </w:r>
          </w:p>
        </w:tc>
        <w:tc>
          <w:tcPr>
            <w:tcW w:w="2039" w:type="dxa"/>
            <w:shd w:val="clear" w:color="auto" w:fill="auto"/>
            <w:noWrap/>
            <w:vAlign w:val="center"/>
          </w:tcPr>
          <w:p w14:paraId="02A84596" w14:textId="4BB2578F"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11</w:t>
            </w:r>
            <w:r w:rsidR="00987AA8" w:rsidRPr="1A8E6423">
              <w:rPr>
                <w:rFonts w:ascii="Arial" w:hAnsi="Arial" w:cs="Arial"/>
                <w:sz w:val="20"/>
                <w:szCs w:val="20"/>
                <w:lang w:val="sr-Cyrl-RS"/>
              </w:rPr>
              <w:t>,</w:t>
            </w:r>
            <w:r w:rsidRPr="1A8E6423">
              <w:rPr>
                <w:rFonts w:ascii="Arial" w:hAnsi="Arial" w:cs="Arial"/>
                <w:sz w:val="20"/>
                <w:szCs w:val="20"/>
                <w:lang w:val="sr-Cyrl-RS"/>
              </w:rPr>
              <w:t>7%</w:t>
            </w:r>
          </w:p>
        </w:tc>
        <w:tc>
          <w:tcPr>
            <w:tcW w:w="2519" w:type="dxa"/>
            <w:shd w:val="clear" w:color="auto" w:fill="auto"/>
            <w:noWrap/>
            <w:vAlign w:val="center"/>
          </w:tcPr>
          <w:p w14:paraId="0C8240B2" w14:textId="48E56579" w:rsidR="003E03ED" w:rsidRPr="00A021B7" w:rsidRDefault="003E03ED" w:rsidP="003E7BC9">
            <w:pPr>
              <w:jc w:val="right"/>
              <w:rPr>
                <w:rFonts w:ascii="Arial" w:hAnsi="Arial" w:cs="Arial"/>
                <w:sz w:val="20"/>
                <w:szCs w:val="20"/>
                <w:lang w:val="sr-Cyrl-RS"/>
              </w:rPr>
            </w:pPr>
            <w:r w:rsidRPr="1A8E6423">
              <w:rPr>
                <w:rFonts w:ascii="Arial" w:hAnsi="Arial" w:cs="Arial"/>
                <w:sz w:val="20"/>
                <w:szCs w:val="20"/>
                <w:lang w:val="sr-Cyrl-RS"/>
              </w:rPr>
              <w:t>31</w:t>
            </w:r>
            <w:r w:rsidR="00987AA8" w:rsidRPr="1A8E6423">
              <w:rPr>
                <w:rFonts w:ascii="Arial" w:hAnsi="Arial" w:cs="Arial"/>
                <w:sz w:val="20"/>
                <w:szCs w:val="20"/>
                <w:lang w:val="sr-Cyrl-RS"/>
              </w:rPr>
              <w:t>,</w:t>
            </w:r>
            <w:r w:rsidRPr="1A8E6423">
              <w:rPr>
                <w:rFonts w:ascii="Arial" w:hAnsi="Arial" w:cs="Arial"/>
                <w:sz w:val="20"/>
                <w:szCs w:val="20"/>
                <w:lang w:val="sr-Cyrl-RS"/>
              </w:rPr>
              <w:t>3%</w:t>
            </w:r>
          </w:p>
        </w:tc>
      </w:tr>
      <w:tr w:rsidR="003E03ED" w:rsidRPr="00A021B7" w14:paraId="4187CF81" w14:textId="77777777" w:rsidTr="1A8E6423">
        <w:trPr>
          <w:trHeight w:val="137"/>
          <w:jc w:val="center"/>
        </w:trPr>
        <w:tc>
          <w:tcPr>
            <w:tcW w:w="1885" w:type="dxa"/>
            <w:shd w:val="clear" w:color="auto" w:fill="D9D9D9" w:themeFill="background1" w:themeFillShade="D9"/>
            <w:noWrap/>
            <w:vAlign w:val="center"/>
          </w:tcPr>
          <w:p w14:paraId="0BF0B013" w14:textId="77777777" w:rsidR="003E03ED" w:rsidRPr="00A021B7" w:rsidRDefault="003E03ED" w:rsidP="003E7BC9">
            <w:pPr>
              <w:rPr>
                <w:rFonts w:ascii="Arial" w:hAnsi="Arial" w:cs="Arial"/>
                <w:color w:val="000000"/>
                <w:sz w:val="20"/>
                <w:szCs w:val="20"/>
                <w:lang w:val="sr-Cyrl-RS"/>
              </w:rPr>
            </w:pPr>
            <w:r w:rsidRPr="00A021B7">
              <w:rPr>
                <w:rFonts w:ascii="Arial" w:hAnsi="Arial" w:cs="Arial"/>
                <w:sz w:val="20"/>
                <w:szCs w:val="20"/>
                <w:lang w:val="sr-Cyrl-RS"/>
              </w:rPr>
              <w:t>Бугарска</w:t>
            </w:r>
          </w:p>
        </w:tc>
        <w:tc>
          <w:tcPr>
            <w:tcW w:w="2582" w:type="dxa"/>
            <w:shd w:val="clear" w:color="auto" w:fill="auto"/>
            <w:noWrap/>
            <w:vAlign w:val="center"/>
          </w:tcPr>
          <w:p w14:paraId="2B9F8778" w14:textId="0997EBAF"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13</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5%</w:t>
            </w:r>
          </w:p>
        </w:tc>
        <w:tc>
          <w:tcPr>
            <w:tcW w:w="2039" w:type="dxa"/>
            <w:shd w:val="clear" w:color="auto" w:fill="auto"/>
            <w:noWrap/>
            <w:vAlign w:val="center"/>
          </w:tcPr>
          <w:p w14:paraId="221CD3C6" w14:textId="42E1FCC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70</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8%</w:t>
            </w:r>
          </w:p>
        </w:tc>
        <w:tc>
          <w:tcPr>
            <w:tcW w:w="2519" w:type="dxa"/>
            <w:shd w:val="clear" w:color="auto" w:fill="auto"/>
            <w:noWrap/>
            <w:vAlign w:val="center"/>
          </w:tcPr>
          <w:p w14:paraId="46F509DA" w14:textId="460C7136"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15</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7%</w:t>
            </w:r>
          </w:p>
        </w:tc>
      </w:tr>
      <w:tr w:rsidR="003E03ED" w:rsidRPr="00A021B7" w14:paraId="00B7AF83" w14:textId="77777777" w:rsidTr="1A8E6423">
        <w:trPr>
          <w:trHeight w:val="22"/>
          <w:jc w:val="center"/>
        </w:trPr>
        <w:tc>
          <w:tcPr>
            <w:tcW w:w="1885" w:type="dxa"/>
            <w:shd w:val="clear" w:color="auto" w:fill="D9D9D9" w:themeFill="background1" w:themeFillShade="D9"/>
            <w:noWrap/>
            <w:vAlign w:val="center"/>
            <w:hideMark/>
          </w:tcPr>
          <w:p w14:paraId="12306381" w14:textId="77777777" w:rsidR="003E03ED" w:rsidRPr="00A021B7" w:rsidRDefault="003E03ED" w:rsidP="003E7BC9">
            <w:pPr>
              <w:rPr>
                <w:rFonts w:ascii="Arial" w:hAnsi="Arial" w:cs="Arial"/>
                <w:color w:val="000000"/>
                <w:sz w:val="20"/>
                <w:szCs w:val="20"/>
                <w:lang w:val="sr-Cyrl-RS"/>
              </w:rPr>
            </w:pPr>
            <w:r w:rsidRPr="00A021B7">
              <w:rPr>
                <w:rFonts w:ascii="Arial" w:hAnsi="Arial" w:cs="Arial"/>
                <w:sz w:val="20"/>
                <w:szCs w:val="20"/>
                <w:lang w:val="sr-Cyrl-RS"/>
              </w:rPr>
              <w:t>Чешка</w:t>
            </w:r>
          </w:p>
        </w:tc>
        <w:tc>
          <w:tcPr>
            <w:tcW w:w="2582" w:type="dxa"/>
            <w:shd w:val="clear" w:color="auto" w:fill="auto"/>
            <w:noWrap/>
            <w:vAlign w:val="center"/>
          </w:tcPr>
          <w:p w14:paraId="656604F5" w14:textId="4E2C3B61"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46</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4%</w:t>
            </w:r>
          </w:p>
        </w:tc>
        <w:tc>
          <w:tcPr>
            <w:tcW w:w="2039" w:type="dxa"/>
            <w:shd w:val="clear" w:color="auto" w:fill="auto"/>
            <w:noWrap/>
            <w:vAlign w:val="center"/>
          </w:tcPr>
          <w:p w14:paraId="15D91495" w14:textId="5872F598"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37</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9%</w:t>
            </w:r>
          </w:p>
        </w:tc>
        <w:tc>
          <w:tcPr>
            <w:tcW w:w="2519" w:type="dxa"/>
            <w:shd w:val="clear" w:color="auto" w:fill="auto"/>
            <w:noWrap/>
            <w:vAlign w:val="center"/>
          </w:tcPr>
          <w:p w14:paraId="43F748FB" w14:textId="4C9AB5AA"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15</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7%</w:t>
            </w:r>
          </w:p>
        </w:tc>
      </w:tr>
      <w:tr w:rsidR="003E03ED" w:rsidRPr="00A021B7" w14:paraId="53520334" w14:textId="77777777" w:rsidTr="1A8E6423">
        <w:trPr>
          <w:trHeight w:val="22"/>
          <w:jc w:val="center"/>
        </w:trPr>
        <w:tc>
          <w:tcPr>
            <w:tcW w:w="1885" w:type="dxa"/>
            <w:shd w:val="clear" w:color="auto" w:fill="D9D9D9" w:themeFill="background1" w:themeFillShade="D9"/>
            <w:noWrap/>
            <w:vAlign w:val="center"/>
          </w:tcPr>
          <w:p w14:paraId="21D4DE67"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Црна Гора</w:t>
            </w:r>
          </w:p>
        </w:tc>
        <w:tc>
          <w:tcPr>
            <w:tcW w:w="2582" w:type="dxa"/>
            <w:shd w:val="clear" w:color="auto" w:fill="auto"/>
            <w:noWrap/>
            <w:vAlign w:val="center"/>
          </w:tcPr>
          <w:p w14:paraId="7E64D687" w14:textId="3351F68E" w:rsidR="003E03ED" w:rsidRPr="00A021B7" w:rsidRDefault="003E03ED" w:rsidP="003E7BC9">
            <w:pPr>
              <w:jc w:val="right"/>
              <w:rPr>
                <w:rFonts w:ascii="Arial" w:hAnsi="Arial" w:cs="Arial"/>
                <w:color w:val="231F20"/>
                <w:sz w:val="20"/>
                <w:szCs w:val="20"/>
                <w:lang w:val="sr-Cyrl-RS"/>
              </w:rPr>
            </w:pPr>
            <w:r w:rsidRPr="1A8E6423">
              <w:rPr>
                <w:rFonts w:ascii="Arial" w:hAnsi="Arial" w:cs="Arial"/>
                <w:color w:val="231F20"/>
                <w:sz w:val="20"/>
                <w:szCs w:val="20"/>
                <w:lang w:val="sr-Cyrl-RS"/>
              </w:rPr>
              <w:t>39</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6%</w:t>
            </w:r>
          </w:p>
        </w:tc>
        <w:tc>
          <w:tcPr>
            <w:tcW w:w="2039" w:type="dxa"/>
            <w:shd w:val="clear" w:color="auto" w:fill="auto"/>
            <w:noWrap/>
            <w:vAlign w:val="center"/>
          </w:tcPr>
          <w:p w14:paraId="7D86FED3" w14:textId="66B12CFB" w:rsidR="003E03ED" w:rsidRPr="00A021B7" w:rsidRDefault="003E03ED" w:rsidP="003E7BC9">
            <w:pPr>
              <w:jc w:val="right"/>
              <w:rPr>
                <w:rFonts w:ascii="Arial" w:hAnsi="Arial" w:cs="Arial"/>
                <w:color w:val="231F20"/>
                <w:sz w:val="20"/>
                <w:szCs w:val="20"/>
                <w:lang w:val="sr-Cyrl-RS"/>
              </w:rPr>
            </w:pPr>
            <w:r w:rsidRPr="1A8E6423">
              <w:rPr>
                <w:rFonts w:ascii="Arial" w:hAnsi="Arial" w:cs="Arial"/>
                <w:color w:val="231F20"/>
                <w:sz w:val="20"/>
                <w:szCs w:val="20"/>
                <w:lang w:val="sr-Cyrl-RS"/>
              </w:rPr>
              <w:t>12</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0%</w:t>
            </w:r>
          </w:p>
        </w:tc>
        <w:tc>
          <w:tcPr>
            <w:tcW w:w="2519" w:type="dxa"/>
            <w:shd w:val="clear" w:color="auto" w:fill="auto"/>
            <w:noWrap/>
            <w:vAlign w:val="center"/>
          </w:tcPr>
          <w:p w14:paraId="3EEADDF6" w14:textId="63F7222F" w:rsidR="003E03ED" w:rsidRPr="00A021B7" w:rsidRDefault="003E03ED" w:rsidP="003E7BC9">
            <w:pPr>
              <w:jc w:val="right"/>
              <w:rPr>
                <w:rFonts w:ascii="Arial" w:hAnsi="Arial" w:cs="Arial"/>
                <w:color w:val="231F20"/>
                <w:sz w:val="20"/>
                <w:szCs w:val="20"/>
                <w:lang w:val="sr-Cyrl-RS"/>
              </w:rPr>
            </w:pPr>
            <w:r w:rsidRPr="1A8E6423">
              <w:rPr>
                <w:rFonts w:ascii="Arial" w:hAnsi="Arial" w:cs="Arial"/>
                <w:color w:val="231F20"/>
                <w:sz w:val="20"/>
                <w:szCs w:val="20"/>
                <w:lang w:val="sr-Cyrl-RS"/>
              </w:rPr>
              <w:t>48</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4%</w:t>
            </w:r>
          </w:p>
        </w:tc>
      </w:tr>
      <w:tr w:rsidR="003E03ED" w:rsidRPr="00A021B7" w14:paraId="216D8655" w14:textId="77777777" w:rsidTr="1A8E6423">
        <w:trPr>
          <w:trHeight w:val="22"/>
          <w:jc w:val="center"/>
        </w:trPr>
        <w:tc>
          <w:tcPr>
            <w:tcW w:w="1885" w:type="dxa"/>
            <w:shd w:val="clear" w:color="auto" w:fill="D9D9D9" w:themeFill="background1" w:themeFillShade="D9"/>
            <w:noWrap/>
            <w:vAlign w:val="center"/>
            <w:hideMark/>
          </w:tcPr>
          <w:p w14:paraId="0C51BDC2" w14:textId="77777777" w:rsidR="003E03ED" w:rsidRPr="00A021B7" w:rsidRDefault="003E03ED" w:rsidP="003E7BC9">
            <w:pPr>
              <w:rPr>
                <w:rFonts w:ascii="Arial" w:hAnsi="Arial" w:cs="Arial"/>
                <w:color w:val="000000"/>
                <w:sz w:val="20"/>
                <w:szCs w:val="20"/>
                <w:lang w:val="sr-Cyrl-RS"/>
              </w:rPr>
            </w:pPr>
            <w:r w:rsidRPr="00A021B7">
              <w:rPr>
                <w:rFonts w:ascii="Arial" w:hAnsi="Arial" w:cs="Arial"/>
                <w:sz w:val="20"/>
                <w:szCs w:val="20"/>
                <w:lang w:val="sr-Cyrl-RS"/>
              </w:rPr>
              <w:t>Хрватска</w:t>
            </w:r>
          </w:p>
        </w:tc>
        <w:tc>
          <w:tcPr>
            <w:tcW w:w="2582" w:type="dxa"/>
            <w:shd w:val="clear" w:color="auto" w:fill="auto"/>
            <w:noWrap/>
            <w:vAlign w:val="center"/>
          </w:tcPr>
          <w:p w14:paraId="36E9631D" w14:textId="59BBEB81"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38</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4%</w:t>
            </w:r>
          </w:p>
        </w:tc>
        <w:tc>
          <w:tcPr>
            <w:tcW w:w="2039" w:type="dxa"/>
            <w:shd w:val="clear" w:color="auto" w:fill="auto"/>
            <w:noWrap/>
            <w:vAlign w:val="center"/>
          </w:tcPr>
          <w:p w14:paraId="328C2CBF" w14:textId="5CDE9250"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48</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8%</w:t>
            </w:r>
          </w:p>
        </w:tc>
        <w:tc>
          <w:tcPr>
            <w:tcW w:w="2519" w:type="dxa"/>
            <w:shd w:val="clear" w:color="auto" w:fill="auto"/>
            <w:noWrap/>
            <w:vAlign w:val="center"/>
          </w:tcPr>
          <w:p w14:paraId="469D73BA" w14:textId="34717912"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12</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8%</w:t>
            </w:r>
          </w:p>
        </w:tc>
      </w:tr>
      <w:tr w:rsidR="003E03ED" w:rsidRPr="00A021B7" w14:paraId="0568101F" w14:textId="77777777" w:rsidTr="1A8E6423">
        <w:trPr>
          <w:trHeight w:val="22"/>
          <w:jc w:val="center"/>
        </w:trPr>
        <w:tc>
          <w:tcPr>
            <w:tcW w:w="1885" w:type="dxa"/>
            <w:shd w:val="clear" w:color="auto" w:fill="D9D9D9" w:themeFill="background1" w:themeFillShade="D9"/>
            <w:noWrap/>
            <w:vAlign w:val="center"/>
          </w:tcPr>
          <w:p w14:paraId="01C7239B"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Македонија</w:t>
            </w:r>
          </w:p>
        </w:tc>
        <w:tc>
          <w:tcPr>
            <w:tcW w:w="2582" w:type="dxa"/>
            <w:shd w:val="clear" w:color="auto" w:fill="auto"/>
            <w:noWrap/>
            <w:vAlign w:val="center"/>
          </w:tcPr>
          <w:p w14:paraId="4FAD91AD" w14:textId="2B0F617B" w:rsidR="003E03ED" w:rsidRPr="00A021B7" w:rsidRDefault="003E03ED" w:rsidP="003E7BC9">
            <w:pPr>
              <w:jc w:val="right"/>
              <w:rPr>
                <w:rFonts w:ascii="Arial" w:hAnsi="Arial" w:cs="Arial"/>
                <w:color w:val="231F20"/>
                <w:sz w:val="20"/>
                <w:szCs w:val="20"/>
                <w:lang w:val="sr-Cyrl-RS"/>
              </w:rPr>
            </w:pPr>
            <w:r w:rsidRPr="1A8E6423">
              <w:rPr>
                <w:rFonts w:ascii="Arial" w:hAnsi="Arial" w:cs="Arial"/>
                <w:color w:val="231F20"/>
                <w:sz w:val="20"/>
                <w:szCs w:val="20"/>
                <w:lang w:val="sr-Cyrl-RS"/>
              </w:rPr>
              <w:t>26</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7%</w:t>
            </w:r>
          </w:p>
        </w:tc>
        <w:tc>
          <w:tcPr>
            <w:tcW w:w="2039" w:type="dxa"/>
            <w:shd w:val="clear" w:color="auto" w:fill="auto"/>
            <w:noWrap/>
            <w:vAlign w:val="center"/>
          </w:tcPr>
          <w:p w14:paraId="50BA85AC" w14:textId="5A0C96ED" w:rsidR="003E03ED" w:rsidRPr="00A021B7" w:rsidRDefault="003E03ED" w:rsidP="003E7BC9">
            <w:pPr>
              <w:jc w:val="right"/>
              <w:rPr>
                <w:rFonts w:ascii="Arial" w:hAnsi="Arial" w:cs="Arial"/>
                <w:color w:val="231F20"/>
                <w:sz w:val="20"/>
                <w:szCs w:val="20"/>
                <w:lang w:val="sr-Cyrl-RS"/>
              </w:rPr>
            </w:pPr>
            <w:r w:rsidRPr="1A8E6423">
              <w:rPr>
                <w:rFonts w:ascii="Arial" w:hAnsi="Arial" w:cs="Arial"/>
                <w:color w:val="231F20"/>
                <w:sz w:val="20"/>
                <w:szCs w:val="20"/>
                <w:lang w:val="sr-Cyrl-RS"/>
              </w:rPr>
              <w:t>63</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6%</w:t>
            </w:r>
          </w:p>
        </w:tc>
        <w:tc>
          <w:tcPr>
            <w:tcW w:w="2519" w:type="dxa"/>
            <w:shd w:val="clear" w:color="auto" w:fill="auto"/>
            <w:noWrap/>
            <w:vAlign w:val="center"/>
          </w:tcPr>
          <w:p w14:paraId="1EA6F094" w14:textId="40A16BD4" w:rsidR="003E03ED" w:rsidRPr="00A021B7" w:rsidRDefault="003E03ED" w:rsidP="003E7BC9">
            <w:pPr>
              <w:jc w:val="right"/>
              <w:rPr>
                <w:rFonts w:ascii="Arial" w:hAnsi="Arial" w:cs="Arial"/>
                <w:color w:val="231F20"/>
                <w:sz w:val="20"/>
                <w:szCs w:val="20"/>
                <w:lang w:val="sr-Cyrl-RS"/>
              </w:rPr>
            </w:pPr>
            <w:r w:rsidRPr="1A8E6423">
              <w:rPr>
                <w:rFonts w:ascii="Arial" w:hAnsi="Arial" w:cs="Arial"/>
                <w:color w:val="231F20"/>
                <w:sz w:val="20"/>
                <w:szCs w:val="20"/>
                <w:lang w:val="sr-Cyrl-RS"/>
              </w:rPr>
              <w:t>9</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7%</w:t>
            </w:r>
          </w:p>
        </w:tc>
      </w:tr>
      <w:tr w:rsidR="003E03ED" w:rsidRPr="00A021B7" w14:paraId="038387CF" w14:textId="77777777" w:rsidTr="1A8E6423">
        <w:trPr>
          <w:trHeight w:val="22"/>
          <w:jc w:val="center"/>
        </w:trPr>
        <w:tc>
          <w:tcPr>
            <w:tcW w:w="1885" w:type="dxa"/>
            <w:shd w:val="clear" w:color="auto" w:fill="D9D9D9" w:themeFill="background1" w:themeFillShade="D9"/>
            <w:noWrap/>
            <w:vAlign w:val="center"/>
            <w:hideMark/>
          </w:tcPr>
          <w:p w14:paraId="043F2B24" w14:textId="77777777" w:rsidR="003E03ED" w:rsidRPr="00A021B7" w:rsidRDefault="003E03ED" w:rsidP="003E7BC9">
            <w:pPr>
              <w:rPr>
                <w:rFonts w:ascii="Arial" w:hAnsi="Arial" w:cs="Arial"/>
                <w:color w:val="000000"/>
                <w:sz w:val="20"/>
                <w:szCs w:val="20"/>
                <w:lang w:val="sr-Cyrl-RS"/>
              </w:rPr>
            </w:pPr>
            <w:r w:rsidRPr="00A021B7">
              <w:rPr>
                <w:rFonts w:ascii="Arial" w:hAnsi="Arial" w:cs="Arial"/>
                <w:sz w:val="20"/>
                <w:szCs w:val="20"/>
                <w:lang w:val="sr-Cyrl-RS"/>
              </w:rPr>
              <w:t>Мађарска</w:t>
            </w:r>
          </w:p>
        </w:tc>
        <w:tc>
          <w:tcPr>
            <w:tcW w:w="2582" w:type="dxa"/>
            <w:shd w:val="clear" w:color="auto" w:fill="auto"/>
            <w:noWrap/>
            <w:vAlign w:val="center"/>
          </w:tcPr>
          <w:p w14:paraId="0666A833" w14:textId="7C8E9C8A"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36</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0%</w:t>
            </w:r>
          </w:p>
        </w:tc>
        <w:tc>
          <w:tcPr>
            <w:tcW w:w="2039" w:type="dxa"/>
            <w:shd w:val="clear" w:color="auto" w:fill="auto"/>
            <w:noWrap/>
            <w:vAlign w:val="center"/>
          </w:tcPr>
          <w:p w14:paraId="2B4F4EC5" w14:textId="0CEEAF50"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51</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8%</w:t>
            </w:r>
          </w:p>
        </w:tc>
        <w:tc>
          <w:tcPr>
            <w:tcW w:w="2519" w:type="dxa"/>
            <w:shd w:val="clear" w:color="auto" w:fill="auto"/>
            <w:noWrap/>
            <w:vAlign w:val="center"/>
          </w:tcPr>
          <w:p w14:paraId="1C8DB5C8" w14:textId="536E250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12</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2%</w:t>
            </w:r>
          </w:p>
        </w:tc>
      </w:tr>
      <w:tr w:rsidR="003E03ED" w:rsidRPr="00A021B7" w14:paraId="1F7E002D" w14:textId="77777777" w:rsidTr="1A8E6423">
        <w:trPr>
          <w:trHeight w:val="22"/>
          <w:jc w:val="center"/>
        </w:trPr>
        <w:tc>
          <w:tcPr>
            <w:tcW w:w="1885" w:type="dxa"/>
            <w:shd w:val="clear" w:color="auto" w:fill="D9D9D9" w:themeFill="background1" w:themeFillShade="D9"/>
            <w:noWrap/>
            <w:vAlign w:val="center"/>
            <w:hideMark/>
          </w:tcPr>
          <w:p w14:paraId="67FDD4FB" w14:textId="77777777" w:rsidR="003E03ED" w:rsidRPr="00A021B7" w:rsidRDefault="003E03ED" w:rsidP="003E7BC9">
            <w:pPr>
              <w:rPr>
                <w:rFonts w:ascii="Arial" w:hAnsi="Arial" w:cs="Arial"/>
                <w:color w:val="000000"/>
                <w:sz w:val="20"/>
                <w:szCs w:val="20"/>
                <w:lang w:val="sr-Cyrl-RS"/>
              </w:rPr>
            </w:pPr>
            <w:r w:rsidRPr="00A021B7">
              <w:rPr>
                <w:rFonts w:ascii="Arial" w:hAnsi="Arial" w:cs="Arial"/>
                <w:sz w:val="20"/>
                <w:szCs w:val="20"/>
                <w:lang w:val="sr-Cyrl-RS"/>
              </w:rPr>
              <w:t>Румунија</w:t>
            </w:r>
          </w:p>
        </w:tc>
        <w:tc>
          <w:tcPr>
            <w:tcW w:w="2582" w:type="dxa"/>
            <w:shd w:val="clear" w:color="auto" w:fill="auto"/>
            <w:noWrap/>
            <w:vAlign w:val="center"/>
          </w:tcPr>
          <w:p w14:paraId="0FE097A6" w14:textId="1B467D55"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10</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2%</w:t>
            </w:r>
          </w:p>
        </w:tc>
        <w:tc>
          <w:tcPr>
            <w:tcW w:w="2039" w:type="dxa"/>
            <w:shd w:val="clear" w:color="auto" w:fill="auto"/>
            <w:noWrap/>
            <w:vAlign w:val="center"/>
          </w:tcPr>
          <w:p w14:paraId="36267573" w14:textId="696A51F8"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83</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7%</w:t>
            </w:r>
          </w:p>
        </w:tc>
        <w:tc>
          <w:tcPr>
            <w:tcW w:w="2519" w:type="dxa"/>
            <w:shd w:val="clear" w:color="auto" w:fill="auto"/>
            <w:noWrap/>
            <w:vAlign w:val="center"/>
          </w:tcPr>
          <w:p w14:paraId="7C7494D1" w14:textId="0BC5C7B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6</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1%</w:t>
            </w:r>
          </w:p>
        </w:tc>
      </w:tr>
      <w:tr w:rsidR="003E03ED" w:rsidRPr="00A021B7" w14:paraId="38FBC8B5" w14:textId="77777777" w:rsidTr="1A8E6423">
        <w:trPr>
          <w:trHeight w:val="22"/>
          <w:jc w:val="center"/>
        </w:trPr>
        <w:tc>
          <w:tcPr>
            <w:tcW w:w="1885" w:type="dxa"/>
            <w:shd w:val="clear" w:color="auto" w:fill="D9D9D9" w:themeFill="background1" w:themeFillShade="D9"/>
            <w:noWrap/>
            <w:vAlign w:val="center"/>
          </w:tcPr>
          <w:p w14:paraId="3FD987B4" w14:textId="77777777" w:rsidR="003E03ED" w:rsidRPr="00A021B7" w:rsidRDefault="003E03ED" w:rsidP="003E7BC9">
            <w:pPr>
              <w:rPr>
                <w:rFonts w:ascii="Arial" w:hAnsi="Arial" w:cs="Arial"/>
                <w:color w:val="000000"/>
                <w:sz w:val="20"/>
                <w:szCs w:val="20"/>
                <w:lang w:val="sr-Cyrl-RS"/>
              </w:rPr>
            </w:pPr>
            <w:r w:rsidRPr="00A021B7">
              <w:rPr>
                <w:rFonts w:ascii="Arial" w:hAnsi="Arial" w:cs="Arial"/>
                <w:sz w:val="20"/>
                <w:szCs w:val="20"/>
                <w:lang w:val="sr-Cyrl-RS"/>
              </w:rPr>
              <w:t>Словачка</w:t>
            </w:r>
          </w:p>
        </w:tc>
        <w:tc>
          <w:tcPr>
            <w:tcW w:w="2582" w:type="dxa"/>
            <w:shd w:val="clear" w:color="auto" w:fill="auto"/>
            <w:noWrap/>
            <w:vAlign w:val="center"/>
          </w:tcPr>
          <w:p w14:paraId="1737D790" w14:textId="5DBE3A03"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7</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3%</w:t>
            </w:r>
          </w:p>
        </w:tc>
        <w:tc>
          <w:tcPr>
            <w:tcW w:w="2039" w:type="dxa"/>
            <w:shd w:val="clear" w:color="auto" w:fill="auto"/>
            <w:noWrap/>
            <w:vAlign w:val="center"/>
          </w:tcPr>
          <w:p w14:paraId="54557A9D" w14:textId="3E99605C"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74</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2%</w:t>
            </w:r>
          </w:p>
        </w:tc>
        <w:tc>
          <w:tcPr>
            <w:tcW w:w="2519" w:type="dxa"/>
            <w:shd w:val="clear" w:color="auto" w:fill="auto"/>
            <w:noWrap/>
            <w:vAlign w:val="center"/>
          </w:tcPr>
          <w:p w14:paraId="6E4DC7ED" w14:textId="15381463"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18</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5%</w:t>
            </w:r>
          </w:p>
        </w:tc>
      </w:tr>
      <w:tr w:rsidR="003E03ED" w:rsidRPr="00A021B7" w14:paraId="218742E5" w14:textId="77777777" w:rsidTr="1A8E6423">
        <w:trPr>
          <w:trHeight w:val="22"/>
          <w:jc w:val="center"/>
        </w:trPr>
        <w:tc>
          <w:tcPr>
            <w:tcW w:w="1885" w:type="dxa"/>
            <w:shd w:val="clear" w:color="auto" w:fill="D9D9D9" w:themeFill="background1" w:themeFillShade="D9"/>
            <w:noWrap/>
            <w:vAlign w:val="center"/>
          </w:tcPr>
          <w:p w14:paraId="2E4F9A1A" w14:textId="77777777" w:rsidR="003E03ED" w:rsidRPr="00A021B7" w:rsidRDefault="003E03ED" w:rsidP="003E7BC9">
            <w:pPr>
              <w:rPr>
                <w:rFonts w:ascii="Arial" w:hAnsi="Arial" w:cs="Arial"/>
                <w:color w:val="000000"/>
                <w:sz w:val="20"/>
                <w:szCs w:val="20"/>
                <w:lang w:val="sr-Cyrl-RS"/>
              </w:rPr>
            </w:pPr>
            <w:r w:rsidRPr="00A021B7">
              <w:rPr>
                <w:rFonts w:ascii="Arial" w:hAnsi="Arial" w:cs="Arial"/>
                <w:sz w:val="20"/>
                <w:szCs w:val="20"/>
                <w:lang w:val="sr-Cyrl-RS"/>
              </w:rPr>
              <w:t>Словенија</w:t>
            </w:r>
          </w:p>
        </w:tc>
        <w:tc>
          <w:tcPr>
            <w:tcW w:w="2582" w:type="dxa"/>
            <w:shd w:val="clear" w:color="auto" w:fill="auto"/>
            <w:noWrap/>
            <w:vAlign w:val="center"/>
          </w:tcPr>
          <w:p w14:paraId="3ED7A2D3" w14:textId="51A1E4FA"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41</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3%</w:t>
            </w:r>
          </w:p>
        </w:tc>
        <w:tc>
          <w:tcPr>
            <w:tcW w:w="2039" w:type="dxa"/>
            <w:shd w:val="clear" w:color="auto" w:fill="auto"/>
            <w:noWrap/>
            <w:vAlign w:val="center"/>
          </w:tcPr>
          <w:p w14:paraId="718E4826" w14:textId="1F6EB32B"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39</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5%</w:t>
            </w:r>
          </w:p>
        </w:tc>
        <w:tc>
          <w:tcPr>
            <w:tcW w:w="2519" w:type="dxa"/>
            <w:shd w:val="clear" w:color="auto" w:fill="auto"/>
            <w:noWrap/>
            <w:vAlign w:val="center"/>
          </w:tcPr>
          <w:p w14:paraId="7A72CF4A" w14:textId="405E70D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231F20"/>
                <w:sz w:val="20"/>
                <w:szCs w:val="20"/>
                <w:lang w:val="sr-Cyrl-RS"/>
              </w:rPr>
              <w:t>19</w:t>
            </w:r>
            <w:r w:rsidR="00987AA8" w:rsidRPr="1A8E6423">
              <w:rPr>
                <w:rFonts w:ascii="Arial" w:hAnsi="Arial" w:cs="Arial"/>
                <w:color w:val="231F20"/>
                <w:sz w:val="20"/>
                <w:szCs w:val="20"/>
                <w:lang w:val="sr-Cyrl-RS"/>
              </w:rPr>
              <w:t>,</w:t>
            </w:r>
            <w:r w:rsidRPr="1A8E6423">
              <w:rPr>
                <w:rFonts w:ascii="Arial" w:hAnsi="Arial" w:cs="Arial"/>
                <w:color w:val="231F20"/>
                <w:sz w:val="20"/>
                <w:szCs w:val="20"/>
                <w:lang w:val="sr-Cyrl-RS"/>
              </w:rPr>
              <w:t>2%</w:t>
            </w:r>
          </w:p>
        </w:tc>
      </w:tr>
      <w:tr w:rsidR="003E03ED" w:rsidRPr="00A021B7" w14:paraId="133F73BA" w14:textId="77777777" w:rsidTr="1A8E6423">
        <w:trPr>
          <w:trHeight w:val="22"/>
          <w:jc w:val="center"/>
        </w:trPr>
        <w:tc>
          <w:tcPr>
            <w:tcW w:w="1885" w:type="dxa"/>
            <w:shd w:val="clear" w:color="auto" w:fill="D9D9D9" w:themeFill="background1" w:themeFillShade="D9"/>
            <w:noWrap/>
            <w:vAlign w:val="center"/>
          </w:tcPr>
          <w:p w14:paraId="5D1E0C27" w14:textId="77777777" w:rsidR="003E03ED" w:rsidRPr="00A021B7" w:rsidRDefault="003E03ED" w:rsidP="003E7BC9">
            <w:pPr>
              <w:rPr>
                <w:rFonts w:ascii="Arial" w:hAnsi="Arial" w:cs="Arial"/>
                <w:b/>
                <w:color w:val="000000"/>
                <w:sz w:val="20"/>
                <w:szCs w:val="20"/>
                <w:lang w:val="sr-Cyrl-RS"/>
              </w:rPr>
            </w:pPr>
            <w:r w:rsidRPr="00A021B7">
              <w:rPr>
                <w:rFonts w:ascii="Arial" w:hAnsi="Arial" w:cs="Arial"/>
                <w:b/>
                <w:color w:val="000000"/>
                <w:sz w:val="20"/>
                <w:szCs w:val="20"/>
                <w:lang w:val="sr-Cyrl-RS"/>
              </w:rPr>
              <w:t>Србија</w:t>
            </w:r>
          </w:p>
        </w:tc>
        <w:tc>
          <w:tcPr>
            <w:tcW w:w="2582" w:type="dxa"/>
            <w:shd w:val="clear" w:color="auto" w:fill="auto"/>
            <w:noWrap/>
            <w:vAlign w:val="center"/>
          </w:tcPr>
          <w:p w14:paraId="64C52083" w14:textId="5E60804B" w:rsidR="003E03ED" w:rsidRPr="00A021B7" w:rsidRDefault="003E03ED" w:rsidP="1A8E6423">
            <w:pPr>
              <w:jc w:val="right"/>
              <w:rPr>
                <w:rFonts w:ascii="Arial" w:hAnsi="Arial" w:cs="Arial"/>
                <w:b/>
                <w:bCs/>
                <w:color w:val="000000"/>
                <w:sz w:val="20"/>
                <w:szCs w:val="20"/>
                <w:lang w:val="sr-Cyrl-RS"/>
              </w:rPr>
            </w:pPr>
            <w:r w:rsidRPr="1A8E6423">
              <w:rPr>
                <w:rFonts w:ascii="Arial" w:hAnsi="Arial" w:cs="Arial"/>
                <w:b/>
                <w:bCs/>
                <w:color w:val="231F20"/>
                <w:sz w:val="20"/>
                <w:szCs w:val="20"/>
                <w:lang w:val="sr-Cyrl-RS"/>
              </w:rPr>
              <w:t>53</w:t>
            </w:r>
            <w:r w:rsidR="00987AA8" w:rsidRPr="1A8E6423">
              <w:rPr>
                <w:rFonts w:ascii="Arial" w:hAnsi="Arial" w:cs="Arial"/>
                <w:b/>
                <w:bCs/>
                <w:color w:val="231F20"/>
                <w:sz w:val="20"/>
                <w:szCs w:val="20"/>
                <w:lang w:val="sr-Cyrl-RS"/>
              </w:rPr>
              <w:t>,</w:t>
            </w:r>
            <w:r w:rsidRPr="1A8E6423">
              <w:rPr>
                <w:rFonts w:ascii="Arial" w:hAnsi="Arial" w:cs="Arial"/>
                <w:b/>
                <w:bCs/>
                <w:color w:val="231F20"/>
                <w:sz w:val="20"/>
                <w:szCs w:val="20"/>
                <w:lang w:val="sr-Cyrl-RS"/>
              </w:rPr>
              <w:t>2%</w:t>
            </w:r>
          </w:p>
        </w:tc>
        <w:tc>
          <w:tcPr>
            <w:tcW w:w="2039" w:type="dxa"/>
            <w:shd w:val="clear" w:color="auto" w:fill="auto"/>
            <w:noWrap/>
            <w:vAlign w:val="center"/>
          </w:tcPr>
          <w:p w14:paraId="797D3474" w14:textId="7690799E" w:rsidR="003E03ED" w:rsidRPr="00A021B7" w:rsidRDefault="003E03ED" w:rsidP="1A8E6423">
            <w:pPr>
              <w:jc w:val="right"/>
              <w:rPr>
                <w:rFonts w:ascii="Arial" w:hAnsi="Arial" w:cs="Arial"/>
                <w:b/>
                <w:bCs/>
                <w:color w:val="000000"/>
                <w:sz w:val="20"/>
                <w:szCs w:val="20"/>
                <w:lang w:val="sr-Cyrl-RS"/>
              </w:rPr>
            </w:pPr>
            <w:r w:rsidRPr="1A8E6423">
              <w:rPr>
                <w:rFonts w:ascii="Arial" w:hAnsi="Arial" w:cs="Arial"/>
                <w:b/>
                <w:bCs/>
                <w:color w:val="231F20"/>
                <w:sz w:val="20"/>
                <w:szCs w:val="20"/>
                <w:lang w:val="sr-Cyrl-RS"/>
              </w:rPr>
              <w:t>25</w:t>
            </w:r>
            <w:r w:rsidR="00987AA8" w:rsidRPr="1A8E6423">
              <w:rPr>
                <w:rFonts w:ascii="Arial" w:hAnsi="Arial" w:cs="Arial"/>
                <w:b/>
                <w:bCs/>
                <w:color w:val="231F20"/>
                <w:sz w:val="20"/>
                <w:szCs w:val="20"/>
                <w:lang w:val="sr-Cyrl-RS"/>
              </w:rPr>
              <w:t>,</w:t>
            </w:r>
            <w:r w:rsidRPr="1A8E6423">
              <w:rPr>
                <w:rFonts w:ascii="Arial" w:hAnsi="Arial" w:cs="Arial"/>
                <w:b/>
                <w:bCs/>
                <w:color w:val="231F20"/>
                <w:sz w:val="20"/>
                <w:szCs w:val="20"/>
                <w:lang w:val="sr-Cyrl-RS"/>
              </w:rPr>
              <w:t>7%</w:t>
            </w:r>
          </w:p>
        </w:tc>
        <w:tc>
          <w:tcPr>
            <w:tcW w:w="2519" w:type="dxa"/>
            <w:shd w:val="clear" w:color="auto" w:fill="auto"/>
            <w:noWrap/>
            <w:vAlign w:val="center"/>
          </w:tcPr>
          <w:p w14:paraId="53523170" w14:textId="526F4CEA" w:rsidR="003E03ED" w:rsidRPr="00A021B7" w:rsidRDefault="003E03ED" w:rsidP="1A8E6423">
            <w:pPr>
              <w:jc w:val="right"/>
              <w:rPr>
                <w:rFonts w:ascii="Arial" w:hAnsi="Arial" w:cs="Arial"/>
                <w:b/>
                <w:bCs/>
                <w:color w:val="000000"/>
                <w:sz w:val="20"/>
                <w:szCs w:val="20"/>
                <w:lang w:val="sr-Cyrl-RS"/>
              </w:rPr>
            </w:pPr>
            <w:r w:rsidRPr="1A8E6423">
              <w:rPr>
                <w:rFonts w:ascii="Arial" w:hAnsi="Arial" w:cs="Arial"/>
                <w:b/>
                <w:bCs/>
                <w:color w:val="231F20"/>
                <w:sz w:val="20"/>
                <w:szCs w:val="20"/>
                <w:lang w:val="sr-Cyrl-RS"/>
              </w:rPr>
              <w:t>21</w:t>
            </w:r>
            <w:r w:rsidR="00987AA8" w:rsidRPr="1A8E6423">
              <w:rPr>
                <w:rFonts w:ascii="Arial" w:hAnsi="Arial" w:cs="Arial"/>
                <w:b/>
                <w:bCs/>
                <w:color w:val="231F20"/>
                <w:sz w:val="20"/>
                <w:szCs w:val="20"/>
                <w:lang w:val="sr-Cyrl-RS"/>
              </w:rPr>
              <w:t>,</w:t>
            </w:r>
            <w:r w:rsidRPr="1A8E6423">
              <w:rPr>
                <w:rFonts w:ascii="Arial" w:hAnsi="Arial" w:cs="Arial"/>
                <w:b/>
                <w:bCs/>
                <w:color w:val="231F20"/>
                <w:sz w:val="20"/>
                <w:szCs w:val="20"/>
                <w:lang w:val="sr-Cyrl-RS"/>
              </w:rPr>
              <w:t>1%</w:t>
            </w:r>
          </w:p>
        </w:tc>
      </w:tr>
    </w:tbl>
    <w:p w14:paraId="0447587A" w14:textId="77777777" w:rsidR="003E03ED" w:rsidRPr="00A021B7" w:rsidRDefault="003E03ED" w:rsidP="003E7BC9">
      <w:pPr>
        <w:jc w:val="both"/>
        <w:rPr>
          <w:rFonts w:ascii="Arial" w:hAnsi="Arial" w:cs="Arial"/>
          <w:sz w:val="20"/>
          <w:szCs w:val="20"/>
          <w:lang w:val="sr-Cyrl-RS"/>
        </w:rPr>
      </w:pPr>
    </w:p>
    <w:p w14:paraId="4019F2BF" w14:textId="133FC595"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У наредној табели обједињени су подаци о приходима и примањима субнационалног нивоа оствареним у Републици Србији (ЈЛС и АП), одабраним земљама ЕУ и региона. Примања ЛС су приказана као </w:t>
      </w:r>
      <w:r w:rsidR="00987AA8" w:rsidRPr="1A8E6423">
        <w:rPr>
          <w:rFonts w:ascii="Arial" w:hAnsi="Arial" w:cs="Arial"/>
          <w:sz w:val="20"/>
          <w:szCs w:val="20"/>
          <w:lang w:val="sr-Cyrl-RS"/>
        </w:rPr>
        <w:t xml:space="preserve">њихов </w:t>
      </w:r>
      <w:r w:rsidRPr="1A8E6423">
        <w:rPr>
          <w:rFonts w:ascii="Arial" w:hAnsi="Arial" w:cs="Arial"/>
          <w:sz w:val="20"/>
          <w:szCs w:val="20"/>
          <w:lang w:val="sr-Cyrl-RS"/>
        </w:rPr>
        <w:t>удео у БДП и консолидованим јавним приходима.</w:t>
      </w:r>
    </w:p>
    <w:p w14:paraId="3E826C98" w14:textId="77777777" w:rsidR="003E03ED" w:rsidRPr="00A021B7" w:rsidRDefault="003E03ED" w:rsidP="003E7BC9">
      <w:pPr>
        <w:jc w:val="both"/>
        <w:rPr>
          <w:rFonts w:ascii="Arial" w:hAnsi="Arial" w:cs="Arial"/>
          <w:sz w:val="20"/>
          <w:szCs w:val="20"/>
          <w:lang w:val="sr-Cyrl-RS"/>
        </w:rPr>
      </w:pPr>
    </w:p>
    <w:p w14:paraId="2C8CC994" w14:textId="2D271F4C" w:rsidR="003E03ED" w:rsidRPr="00A021B7" w:rsidRDefault="35687A16" w:rsidP="1A8E6423">
      <w:pPr>
        <w:jc w:val="both"/>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 xml:space="preserve">Табела </w:t>
      </w:r>
      <w:r w:rsidR="002139C8" w:rsidRPr="1A8E6423">
        <w:rPr>
          <w:rFonts w:ascii="Arial" w:hAnsi="Arial" w:cs="Arial"/>
          <w:i/>
          <w:iCs/>
          <w:color w:val="404040" w:themeColor="text1" w:themeTint="BF"/>
          <w:sz w:val="20"/>
          <w:szCs w:val="20"/>
          <w:lang w:val="sr-Cyrl-RS"/>
        </w:rPr>
        <w:t>6</w:t>
      </w:r>
      <w:r w:rsidRPr="1A8E6423">
        <w:rPr>
          <w:rFonts w:ascii="Arial" w:hAnsi="Arial" w:cs="Arial"/>
          <w:i/>
          <w:iCs/>
          <w:color w:val="404040" w:themeColor="text1" w:themeTint="BF"/>
          <w:sz w:val="20"/>
          <w:szCs w:val="20"/>
          <w:lang w:val="sr-Cyrl-RS"/>
        </w:rPr>
        <w:t>: Приходи субнационалног нивоа власти – РС и изабране земље ЕУ и региона, 2016</w:t>
      </w:r>
      <w:r w:rsidR="003E03ED" w:rsidRPr="1A8E6423">
        <w:rPr>
          <w:rFonts w:ascii="Arial" w:hAnsi="Arial" w:cs="Arial"/>
          <w:i/>
          <w:iCs/>
          <w:color w:val="404040" w:themeColor="text1" w:themeTint="BF"/>
          <w:sz w:val="20"/>
          <w:szCs w:val="20"/>
          <w:vertAlign w:val="superscript"/>
          <w:lang w:val="sr-Cyrl-RS"/>
        </w:rPr>
        <w:footnoteReference w:id="66"/>
      </w:r>
    </w:p>
    <w:p w14:paraId="301DFBBF" w14:textId="77777777" w:rsidR="003E03ED" w:rsidRPr="00A021B7" w:rsidRDefault="003E03ED" w:rsidP="003E7BC9">
      <w:pPr>
        <w:jc w:val="both"/>
        <w:rPr>
          <w:rFonts w:ascii="Arial" w:hAnsi="Arial" w:cs="Arial"/>
          <w:sz w:val="20"/>
          <w:szCs w:val="20"/>
          <w:lang w:val="sr-Cyrl-RS"/>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327"/>
        <w:gridCol w:w="3240"/>
      </w:tblGrid>
      <w:tr w:rsidR="003E03ED" w:rsidRPr="00A021B7" w14:paraId="1571AC38" w14:textId="77777777" w:rsidTr="1A8E6423">
        <w:trPr>
          <w:trHeight w:val="20"/>
          <w:jc w:val="center"/>
        </w:trPr>
        <w:tc>
          <w:tcPr>
            <w:tcW w:w="2078" w:type="dxa"/>
            <w:shd w:val="clear" w:color="auto" w:fill="1F4E79" w:themeFill="accent5" w:themeFillShade="80"/>
            <w:noWrap/>
            <w:vAlign w:val="center"/>
          </w:tcPr>
          <w:p w14:paraId="094FA515"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Држава</w:t>
            </w:r>
          </w:p>
        </w:tc>
        <w:tc>
          <w:tcPr>
            <w:tcW w:w="2327" w:type="dxa"/>
            <w:shd w:val="clear" w:color="auto" w:fill="1F4E79" w:themeFill="accent5" w:themeFillShade="80"/>
            <w:noWrap/>
            <w:vAlign w:val="center"/>
          </w:tcPr>
          <w:p w14:paraId="4F7CD02C"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Приходи (% БДП)</w:t>
            </w:r>
          </w:p>
        </w:tc>
        <w:tc>
          <w:tcPr>
            <w:tcW w:w="3240" w:type="dxa"/>
            <w:shd w:val="clear" w:color="auto" w:fill="1F4E79" w:themeFill="accent5" w:themeFillShade="80"/>
            <w:noWrap/>
            <w:vAlign w:val="center"/>
          </w:tcPr>
          <w:p w14:paraId="024B1502"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Приходи (% јавних прихода)</w:t>
            </w:r>
          </w:p>
        </w:tc>
      </w:tr>
      <w:tr w:rsidR="003E03ED" w:rsidRPr="00A021B7" w14:paraId="07417DD5" w14:textId="77777777" w:rsidTr="1A8E6423">
        <w:trPr>
          <w:trHeight w:val="99"/>
          <w:jc w:val="center"/>
        </w:trPr>
        <w:tc>
          <w:tcPr>
            <w:tcW w:w="2078" w:type="dxa"/>
            <w:shd w:val="clear" w:color="auto" w:fill="D9D9D9" w:themeFill="background1" w:themeFillShade="D9"/>
            <w:noWrap/>
            <w:vAlign w:val="center"/>
          </w:tcPr>
          <w:p w14:paraId="44E8A68E"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Румунија</w:t>
            </w:r>
          </w:p>
        </w:tc>
        <w:tc>
          <w:tcPr>
            <w:tcW w:w="2327" w:type="dxa"/>
            <w:shd w:val="clear" w:color="auto" w:fill="auto"/>
            <w:noWrap/>
            <w:vAlign w:val="center"/>
          </w:tcPr>
          <w:p w14:paraId="2C4A67A2" w14:textId="4AFC0421"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9</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18%</w:t>
            </w:r>
          </w:p>
        </w:tc>
        <w:tc>
          <w:tcPr>
            <w:tcW w:w="3240" w:type="dxa"/>
            <w:shd w:val="clear" w:color="auto" w:fill="auto"/>
            <w:noWrap/>
            <w:vAlign w:val="center"/>
          </w:tcPr>
          <w:p w14:paraId="3D7687B8" w14:textId="413F94D9"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29</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02%</w:t>
            </w:r>
          </w:p>
        </w:tc>
      </w:tr>
      <w:tr w:rsidR="003E03ED" w:rsidRPr="00A021B7" w14:paraId="38D649B3" w14:textId="77777777" w:rsidTr="1A8E6423">
        <w:trPr>
          <w:trHeight w:val="20"/>
          <w:jc w:val="center"/>
        </w:trPr>
        <w:tc>
          <w:tcPr>
            <w:tcW w:w="2078" w:type="dxa"/>
            <w:shd w:val="clear" w:color="auto" w:fill="D9D9D9" w:themeFill="background1" w:themeFillShade="D9"/>
            <w:noWrap/>
            <w:vAlign w:val="center"/>
          </w:tcPr>
          <w:p w14:paraId="7684FBA3"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Чешка</w:t>
            </w:r>
          </w:p>
        </w:tc>
        <w:tc>
          <w:tcPr>
            <w:tcW w:w="2327" w:type="dxa"/>
            <w:shd w:val="clear" w:color="auto" w:fill="auto"/>
            <w:noWrap/>
            <w:vAlign w:val="center"/>
          </w:tcPr>
          <w:p w14:paraId="66B6A34F" w14:textId="708BFA0F"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11</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23%</w:t>
            </w:r>
          </w:p>
        </w:tc>
        <w:tc>
          <w:tcPr>
            <w:tcW w:w="3240" w:type="dxa"/>
            <w:shd w:val="clear" w:color="auto" w:fill="auto"/>
            <w:noWrap/>
            <w:vAlign w:val="center"/>
          </w:tcPr>
          <w:p w14:paraId="07A3FAB9" w14:textId="0196166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27</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92%</w:t>
            </w:r>
          </w:p>
        </w:tc>
      </w:tr>
      <w:tr w:rsidR="003E03ED" w:rsidRPr="00A021B7" w14:paraId="1E318FD0" w14:textId="77777777" w:rsidTr="1A8E6423">
        <w:trPr>
          <w:trHeight w:val="20"/>
          <w:jc w:val="center"/>
        </w:trPr>
        <w:tc>
          <w:tcPr>
            <w:tcW w:w="2078" w:type="dxa"/>
            <w:shd w:val="clear" w:color="auto" w:fill="D9D9D9" w:themeFill="background1" w:themeFillShade="D9"/>
            <w:noWrap/>
            <w:vAlign w:val="center"/>
          </w:tcPr>
          <w:p w14:paraId="0FD61E3D"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Хрватска</w:t>
            </w:r>
          </w:p>
        </w:tc>
        <w:tc>
          <w:tcPr>
            <w:tcW w:w="2327" w:type="dxa"/>
            <w:shd w:val="clear" w:color="auto" w:fill="auto"/>
            <w:noWrap/>
            <w:vAlign w:val="center"/>
          </w:tcPr>
          <w:p w14:paraId="2452C535" w14:textId="7766B926"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11</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67%</w:t>
            </w:r>
          </w:p>
        </w:tc>
        <w:tc>
          <w:tcPr>
            <w:tcW w:w="3240" w:type="dxa"/>
            <w:shd w:val="clear" w:color="auto" w:fill="auto"/>
            <w:noWrap/>
            <w:vAlign w:val="center"/>
          </w:tcPr>
          <w:p w14:paraId="16643AD4" w14:textId="53DB61C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25</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22%</w:t>
            </w:r>
          </w:p>
        </w:tc>
      </w:tr>
      <w:tr w:rsidR="003E03ED" w:rsidRPr="00A021B7" w14:paraId="6ADACCD6" w14:textId="77777777" w:rsidTr="1A8E6423">
        <w:trPr>
          <w:trHeight w:val="20"/>
          <w:jc w:val="center"/>
        </w:trPr>
        <w:tc>
          <w:tcPr>
            <w:tcW w:w="2078" w:type="dxa"/>
            <w:shd w:val="clear" w:color="auto" w:fill="D9D9D9" w:themeFill="background1" w:themeFillShade="D9"/>
            <w:noWrap/>
            <w:vAlign w:val="center"/>
          </w:tcPr>
          <w:p w14:paraId="6E66EC43" w14:textId="77777777" w:rsidR="003E03ED" w:rsidRPr="00A021B7" w:rsidRDefault="003E03ED" w:rsidP="003E7BC9">
            <w:pPr>
              <w:rPr>
                <w:rFonts w:ascii="Arial" w:hAnsi="Arial" w:cs="Arial"/>
                <w:b/>
                <w:bCs/>
                <w:sz w:val="20"/>
                <w:szCs w:val="20"/>
                <w:lang w:val="sr-Cyrl-RS"/>
              </w:rPr>
            </w:pPr>
            <w:r w:rsidRPr="00A021B7">
              <w:rPr>
                <w:rFonts w:ascii="Arial" w:hAnsi="Arial" w:cs="Arial"/>
                <w:sz w:val="20"/>
                <w:szCs w:val="20"/>
                <w:lang w:val="sr-Cyrl-RS"/>
              </w:rPr>
              <w:t>Бугарска</w:t>
            </w:r>
          </w:p>
        </w:tc>
        <w:tc>
          <w:tcPr>
            <w:tcW w:w="2327" w:type="dxa"/>
            <w:shd w:val="clear" w:color="auto" w:fill="auto"/>
            <w:noWrap/>
            <w:vAlign w:val="center"/>
          </w:tcPr>
          <w:p w14:paraId="7D82AE0A" w14:textId="0106A7A2" w:rsidR="003E03ED" w:rsidRPr="00A021B7" w:rsidRDefault="003E03ED" w:rsidP="003E7BC9">
            <w:pPr>
              <w:jc w:val="right"/>
              <w:rPr>
                <w:rFonts w:ascii="Arial" w:hAnsi="Arial" w:cs="Arial"/>
                <w:b/>
                <w:bCs/>
                <w:color w:val="000000"/>
                <w:sz w:val="20"/>
                <w:szCs w:val="20"/>
                <w:lang w:val="sr-Cyrl-RS"/>
              </w:rPr>
            </w:pPr>
            <w:r w:rsidRPr="1A8E6423">
              <w:rPr>
                <w:rFonts w:ascii="Arial" w:hAnsi="Arial" w:cs="Arial"/>
                <w:color w:val="000000" w:themeColor="text1"/>
                <w:sz w:val="20"/>
                <w:szCs w:val="20"/>
                <w:lang w:val="sr-Cyrl-RS"/>
              </w:rPr>
              <w:t>6</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89%</w:t>
            </w:r>
          </w:p>
        </w:tc>
        <w:tc>
          <w:tcPr>
            <w:tcW w:w="3240" w:type="dxa"/>
            <w:shd w:val="clear" w:color="auto" w:fill="auto"/>
            <w:noWrap/>
            <w:vAlign w:val="center"/>
          </w:tcPr>
          <w:p w14:paraId="195B9E76" w14:textId="141BB662" w:rsidR="003E03ED" w:rsidRPr="00A021B7" w:rsidRDefault="003E03ED" w:rsidP="003E7BC9">
            <w:pPr>
              <w:jc w:val="right"/>
              <w:rPr>
                <w:rFonts w:ascii="Arial" w:hAnsi="Arial" w:cs="Arial"/>
                <w:b/>
                <w:bCs/>
                <w:color w:val="000000"/>
                <w:sz w:val="20"/>
                <w:szCs w:val="20"/>
                <w:lang w:val="sr-Cyrl-RS"/>
              </w:rPr>
            </w:pPr>
            <w:r w:rsidRPr="1A8E6423">
              <w:rPr>
                <w:rFonts w:ascii="Arial" w:hAnsi="Arial" w:cs="Arial"/>
                <w:color w:val="000000" w:themeColor="text1"/>
                <w:sz w:val="20"/>
                <w:szCs w:val="20"/>
                <w:lang w:val="sr-Cyrl-RS"/>
              </w:rPr>
              <w:t>19</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59%</w:t>
            </w:r>
          </w:p>
        </w:tc>
      </w:tr>
      <w:tr w:rsidR="003E03ED" w:rsidRPr="00A021B7" w14:paraId="44CC9476" w14:textId="77777777" w:rsidTr="1A8E6423">
        <w:trPr>
          <w:trHeight w:val="20"/>
          <w:jc w:val="center"/>
        </w:trPr>
        <w:tc>
          <w:tcPr>
            <w:tcW w:w="2078" w:type="dxa"/>
            <w:shd w:val="clear" w:color="auto" w:fill="D9D9D9" w:themeFill="background1" w:themeFillShade="D9"/>
            <w:noWrap/>
            <w:vAlign w:val="center"/>
          </w:tcPr>
          <w:p w14:paraId="66F121E1"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Словенија</w:t>
            </w:r>
          </w:p>
        </w:tc>
        <w:tc>
          <w:tcPr>
            <w:tcW w:w="2327" w:type="dxa"/>
            <w:shd w:val="clear" w:color="auto" w:fill="auto"/>
            <w:noWrap/>
            <w:vAlign w:val="center"/>
          </w:tcPr>
          <w:p w14:paraId="4BADA38F" w14:textId="2F870FCB"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8</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38%</w:t>
            </w:r>
          </w:p>
        </w:tc>
        <w:tc>
          <w:tcPr>
            <w:tcW w:w="3240" w:type="dxa"/>
            <w:shd w:val="clear" w:color="auto" w:fill="auto"/>
            <w:noWrap/>
            <w:vAlign w:val="center"/>
          </w:tcPr>
          <w:p w14:paraId="5F68713A" w14:textId="6A41B8D2"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19</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33%</w:t>
            </w:r>
          </w:p>
        </w:tc>
      </w:tr>
      <w:tr w:rsidR="003E03ED" w:rsidRPr="00A021B7" w14:paraId="35373FE5" w14:textId="77777777" w:rsidTr="1A8E6423">
        <w:trPr>
          <w:trHeight w:val="20"/>
          <w:jc w:val="center"/>
        </w:trPr>
        <w:tc>
          <w:tcPr>
            <w:tcW w:w="2078" w:type="dxa"/>
            <w:shd w:val="clear" w:color="auto" w:fill="D9D9D9" w:themeFill="background1" w:themeFillShade="D9"/>
            <w:noWrap/>
            <w:vAlign w:val="center"/>
          </w:tcPr>
          <w:p w14:paraId="77685D43"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Словачка</w:t>
            </w:r>
          </w:p>
        </w:tc>
        <w:tc>
          <w:tcPr>
            <w:tcW w:w="2327" w:type="dxa"/>
            <w:shd w:val="clear" w:color="auto" w:fill="auto"/>
            <w:noWrap/>
            <w:vAlign w:val="center"/>
          </w:tcPr>
          <w:p w14:paraId="79CED0D7" w14:textId="0C726D87"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7</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12%</w:t>
            </w:r>
          </w:p>
        </w:tc>
        <w:tc>
          <w:tcPr>
            <w:tcW w:w="3240" w:type="dxa"/>
            <w:shd w:val="clear" w:color="auto" w:fill="auto"/>
            <w:noWrap/>
            <w:vAlign w:val="center"/>
          </w:tcPr>
          <w:p w14:paraId="0E2ED1E7" w14:textId="4DF67FF7"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18</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13%</w:t>
            </w:r>
          </w:p>
        </w:tc>
      </w:tr>
      <w:tr w:rsidR="003E03ED" w:rsidRPr="00A021B7" w14:paraId="4839B589" w14:textId="77777777" w:rsidTr="1A8E6423">
        <w:trPr>
          <w:trHeight w:val="20"/>
          <w:jc w:val="center"/>
        </w:trPr>
        <w:tc>
          <w:tcPr>
            <w:tcW w:w="2078" w:type="dxa"/>
            <w:shd w:val="clear" w:color="auto" w:fill="D9D9D9" w:themeFill="background1" w:themeFillShade="D9"/>
            <w:noWrap/>
            <w:vAlign w:val="center"/>
          </w:tcPr>
          <w:p w14:paraId="239AF7C7"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Албанија</w:t>
            </w:r>
          </w:p>
        </w:tc>
        <w:tc>
          <w:tcPr>
            <w:tcW w:w="2327" w:type="dxa"/>
            <w:shd w:val="clear" w:color="auto" w:fill="auto"/>
            <w:noWrap/>
            <w:vAlign w:val="center"/>
          </w:tcPr>
          <w:p w14:paraId="0B2060FE" w14:textId="5EC7A6E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4</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68%</w:t>
            </w:r>
          </w:p>
        </w:tc>
        <w:tc>
          <w:tcPr>
            <w:tcW w:w="3240" w:type="dxa"/>
            <w:shd w:val="clear" w:color="auto" w:fill="auto"/>
            <w:noWrap/>
            <w:vAlign w:val="center"/>
          </w:tcPr>
          <w:p w14:paraId="74359FA0" w14:textId="626B8408"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17</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68%</w:t>
            </w:r>
          </w:p>
        </w:tc>
      </w:tr>
      <w:tr w:rsidR="003E03ED" w:rsidRPr="00A021B7" w14:paraId="59197E1A" w14:textId="77777777" w:rsidTr="1A8E6423">
        <w:trPr>
          <w:trHeight w:val="20"/>
          <w:jc w:val="center"/>
        </w:trPr>
        <w:tc>
          <w:tcPr>
            <w:tcW w:w="2078" w:type="dxa"/>
            <w:shd w:val="clear" w:color="auto" w:fill="D9D9D9" w:themeFill="background1" w:themeFillShade="D9"/>
            <w:noWrap/>
            <w:vAlign w:val="center"/>
          </w:tcPr>
          <w:p w14:paraId="68F61EB6" w14:textId="77777777" w:rsidR="003E03ED" w:rsidRPr="00A021B7" w:rsidRDefault="003E03ED" w:rsidP="003E7BC9">
            <w:pPr>
              <w:rPr>
                <w:rFonts w:ascii="Arial" w:hAnsi="Arial" w:cs="Arial"/>
                <w:sz w:val="20"/>
                <w:szCs w:val="20"/>
                <w:lang w:val="sr-Cyrl-RS"/>
              </w:rPr>
            </w:pPr>
            <w:r w:rsidRPr="00A021B7">
              <w:rPr>
                <w:rFonts w:ascii="Arial" w:hAnsi="Arial" w:cs="Arial"/>
                <w:b/>
                <w:bCs/>
                <w:color w:val="000000"/>
                <w:sz w:val="20"/>
                <w:szCs w:val="20"/>
                <w:lang w:val="sr-Cyrl-RS"/>
              </w:rPr>
              <w:t>Србија</w:t>
            </w:r>
          </w:p>
        </w:tc>
        <w:tc>
          <w:tcPr>
            <w:tcW w:w="2327" w:type="dxa"/>
            <w:shd w:val="clear" w:color="auto" w:fill="auto"/>
            <w:noWrap/>
            <w:vAlign w:val="center"/>
          </w:tcPr>
          <w:p w14:paraId="45051312" w14:textId="45C6A41D" w:rsidR="003E03ED" w:rsidRPr="00A021B7" w:rsidRDefault="003E03ED" w:rsidP="003E7BC9">
            <w:pPr>
              <w:jc w:val="right"/>
              <w:rPr>
                <w:rFonts w:ascii="Arial" w:hAnsi="Arial" w:cs="Arial"/>
                <w:color w:val="000000"/>
                <w:sz w:val="20"/>
                <w:szCs w:val="20"/>
                <w:lang w:val="sr-Cyrl-RS"/>
              </w:rPr>
            </w:pPr>
            <w:r w:rsidRPr="1A8E6423">
              <w:rPr>
                <w:rFonts w:ascii="Arial" w:hAnsi="Arial" w:cs="Arial"/>
                <w:b/>
                <w:bCs/>
                <w:color w:val="000000" w:themeColor="text1"/>
                <w:sz w:val="20"/>
                <w:szCs w:val="20"/>
                <w:lang w:val="sr-Cyrl-RS"/>
              </w:rPr>
              <w:t>7</w:t>
            </w:r>
            <w:r w:rsidR="00987AA8" w:rsidRPr="1A8E6423">
              <w:rPr>
                <w:rFonts w:ascii="Arial" w:hAnsi="Arial" w:cs="Arial"/>
                <w:b/>
                <w:bCs/>
                <w:color w:val="000000" w:themeColor="text1"/>
                <w:sz w:val="20"/>
                <w:szCs w:val="20"/>
                <w:lang w:val="sr-Cyrl-RS"/>
              </w:rPr>
              <w:t>,</w:t>
            </w:r>
            <w:r w:rsidRPr="1A8E6423">
              <w:rPr>
                <w:rFonts w:ascii="Arial" w:hAnsi="Arial" w:cs="Arial"/>
                <w:b/>
                <w:bCs/>
                <w:color w:val="000000" w:themeColor="text1"/>
                <w:sz w:val="20"/>
                <w:szCs w:val="20"/>
                <w:lang w:val="sr-Cyrl-RS"/>
              </w:rPr>
              <w:t>51%</w:t>
            </w:r>
          </w:p>
        </w:tc>
        <w:tc>
          <w:tcPr>
            <w:tcW w:w="3240" w:type="dxa"/>
            <w:shd w:val="clear" w:color="auto" w:fill="auto"/>
            <w:noWrap/>
            <w:vAlign w:val="center"/>
          </w:tcPr>
          <w:p w14:paraId="6EB9630B" w14:textId="75D8BACD" w:rsidR="003E03ED" w:rsidRPr="00A021B7" w:rsidRDefault="003E03ED" w:rsidP="003E7BC9">
            <w:pPr>
              <w:jc w:val="right"/>
              <w:rPr>
                <w:rFonts w:ascii="Arial" w:hAnsi="Arial" w:cs="Arial"/>
                <w:color w:val="000000"/>
                <w:sz w:val="20"/>
                <w:szCs w:val="20"/>
                <w:lang w:val="sr-Cyrl-RS"/>
              </w:rPr>
            </w:pPr>
            <w:r w:rsidRPr="1A8E6423">
              <w:rPr>
                <w:rFonts w:ascii="Arial" w:hAnsi="Arial" w:cs="Arial"/>
                <w:b/>
                <w:bCs/>
                <w:color w:val="000000" w:themeColor="text1"/>
                <w:sz w:val="20"/>
                <w:szCs w:val="20"/>
                <w:lang w:val="sr-Cyrl-RS"/>
              </w:rPr>
              <w:t>17</w:t>
            </w:r>
            <w:r w:rsidR="00987AA8" w:rsidRPr="1A8E6423">
              <w:rPr>
                <w:rFonts w:ascii="Arial" w:hAnsi="Arial" w:cs="Arial"/>
                <w:b/>
                <w:bCs/>
                <w:color w:val="000000" w:themeColor="text1"/>
                <w:sz w:val="20"/>
                <w:szCs w:val="20"/>
                <w:lang w:val="sr-Cyrl-RS"/>
              </w:rPr>
              <w:t>,</w:t>
            </w:r>
            <w:r w:rsidRPr="1A8E6423">
              <w:rPr>
                <w:rFonts w:ascii="Arial" w:hAnsi="Arial" w:cs="Arial"/>
                <w:b/>
                <w:bCs/>
                <w:color w:val="000000" w:themeColor="text1"/>
                <w:sz w:val="20"/>
                <w:szCs w:val="20"/>
                <w:lang w:val="sr-Cyrl-RS"/>
              </w:rPr>
              <w:t>37%</w:t>
            </w:r>
          </w:p>
        </w:tc>
      </w:tr>
      <w:tr w:rsidR="003E03ED" w:rsidRPr="00A021B7" w14:paraId="75A00833" w14:textId="77777777" w:rsidTr="1A8E6423">
        <w:trPr>
          <w:trHeight w:val="20"/>
          <w:jc w:val="center"/>
        </w:trPr>
        <w:tc>
          <w:tcPr>
            <w:tcW w:w="2078" w:type="dxa"/>
            <w:shd w:val="clear" w:color="auto" w:fill="D9D9D9" w:themeFill="background1" w:themeFillShade="D9"/>
            <w:noWrap/>
            <w:vAlign w:val="center"/>
          </w:tcPr>
          <w:p w14:paraId="420794DF"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Македонија</w:t>
            </w:r>
          </w:p>
        </w:tc>
        <w:tc>
          <w:tcPr>
            <w:tcW w:w="2327" w:type="dxa"/>
            <w:shd w:val="clear" w:color="auto" w:fill="auto"/>
            <w:noWrap/>
            <w:vAlign w:val="center"/>
          </w:tcPr>
          <w:p w14:paraId="37E6F84B" w14:textId="2986324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4</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91%</w:t>
            </w:r>
          </w:p>
        </w:tc>
        <w:tc>
          <w:tcPr>
            <w:tcW w:w="3240" w:type="dxa"/>
            <w:shd w:val="clear" w:color="auto" w:fill="auto"/>
            <w:noWrap/>
            <w:vAlign w:val="center"/>
          </w:tcPr>
          <w:p w14:paraId="32D02173" w14:textId="3B68D568"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17</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11%</w:t>
            </w:r>
          </w:p>
        </w:tc>
      </w:tr>
      <w:tr w:rsidR="003E03ED" w:rsidRPr="00A021B7" w14:paraId="57328D70" w14:textId="77777777" w:rsidTr="1A8E6423">
        <w:trPr>
          <w:trHeight w:val="20"/>
          <w:jc w:val="center"/>
        </w:trPr>
        <w:tc>
          <w:tcPr>
            <w:tcW w:w="2078" w:type="dxa"/>
            <w:shd w:val="clear" w:color="auto" w:fill="D9D9D9" w:themeFill="background1" w:themeFillShade="D9"/>
            <w:noWrap/>
            <w:vAlign w:val="center"/>
          </w:tcPr>
          <w:p w14:paraId="17677B0D" w14:textId="77777777" w:rsidR="003E03ED" w:rsidRPr="00A021B7" w:rsidRDefault="003E03ED" w:rsidP="003E7BC9">
            <w:pPr>
              <w:rPr>
                <w:rFonts w:ascii="Arial" w:hAnsi="Arial" w:cs="Arial"/>
                <w:b/>
                <w:bCs/>
                <w:color w:val="000000"/>
                <w:sz w:val="20"/>
                <w:szCs w:val="20"/>
                <w:lang w:val="sr-Cyrl-RS"/>
              </w:rPr>
            </w:pPr>
            <w:r w:rsidRPr="00A021B7">
              <w:rPr>
                <w:rFonts w:ascii="Arial" w:hAnsi="Arial" w:cs="Arial"/>
                <w:sz w:val="20"/>
                <w:szCs w:val="20"/>
                <w:lang w:val="sr-Cyrl-RS"/>
              </w:rPr>
              <w:t>Мађарска</w:t>
            </w:r>
          </w:p>
        </w:tc>
        <w:tc>
          <w:tcPr>
            <w:tcW w:w="2327" w:type="dxa"/>
            <w:shd w:val="clear" w:color="auto" w:fill="auto"/>
            <w:noWrap/>
            <w:vAlign w:val="center"/>
          </w:tcPr>
          <w:p w14:paraId="77E85233" w14:textId="125B0E51" w:rsidR="003E03ED" w:rsidRPr="00A021B7" w:rsidRDefault="003E03ED" w:rsidP="003E7BC9">
            <w:pPr>
              <w:jc w:val="right"/>
              <w:rPr>
                <w:rFonts w:ascii="Arial" w:hAnsi="Arial" w:cs="Arial"/>
                <w:b/>
                <w:bCs/>
                <w:color w:val="000000"/>
                <w:sz w:val="20"/>
                <w:szCs w:val="20"/>
                <w:lang w:val="sr-Cyrl-RS"/>
              </w:rPr>
            </w:pPr>
            <w:r w:rsidRPr="1A8E6423">
              <w:rPr>
                <w:rFonts w:ascii="Arial" w:hAnsi="Arial" w:cs="Arial"/>
                <w:color w:val="000000" w:themeColor="text1"/>
                <w:sz w:val="20"/>
                <w:szCs w:val="20"/>
                <w:lang w:val="sr-Cyrl-RS"/>
              </w:rPr>
              <w:t>6</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31%</w:t>
            </w:r>
          </w:p>
        </w:tc>
        <w:tc>
          <w:tcPr>
            <w:tcW w:w="3240" w:type="dxa"/>
            <w:shd w:val="clear" w:color="auto" w:fill="auto"/>
            <w:noWrap/>
            <w:vAlign w:val="center"/>
          </w:tcPr>
          <w:p w14:paraId="26A65C60" w14:textId="01C339AE" w:rsidR="003E03ED" w:rsidRPr="00A021B7" w:rsidRDefault="003E03ED" w:rsidP="003E7BC9">
            <w:pPr>
              <w:jc w:val="right"/>
              <w:rPr>
                <w:rFonts w:ascii="Arial" w:hAnsi="Arial" w:cs="Arial"/>
                <w:b/>
                <w:bCs/>
                <w:color w:val="000000"/>
                <w:sz w:val="20"/>
                <w:szCs w:val="20"/>
                <w:lang w:val="sr-Cyrl-RS"/>
              </w:rPr>
            </w:pPr>
            <w:r w:rsidRPr="1A8E6423">
              <w:rPr>
                <w:rFonts w:ascii="Arial" w:hAnsi="Arial" w:cs="Arial"/>
                <w:color w:val="000000" w:themeColor="text1"/>
                <w:sz w:val="20"/>
                <w:szCs w:val="20"/>
                <w:lang w:val="sr-Cyrl-RS"/>
              </w:rPr>
              <w:t>14</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07%</w:t>
            </w:r>
          </w:p>
        </w:tc>
      </w:tr>
      <w:tr w:rsidR="003E03ED" w:rsidRPr="00A021B7" w14:paraId="603F72C9" w14:textId="77777777" w:rsidTr="1A8E6423">
        <w:trPr>
          <w:trHeight w:val="20"/>
          <w:jc w:val="center"/>
        </w:trPr>
        <w:tc>
          <w:tcPr>
            <w:tcW w:w="2078" w:type="dxa"/>
            <w:shd w:val="clear" w:color="auto" w:fill="D9D9D9" w:themeFill="background1" w:themeFillShade="D9"/>
            <w:noWrap/>
            <w:vAlign w:val="center"/>
          </w:tcPr>
          <w:p w14:paraId="4968F53A"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Црна Гора</w:t>
            </w:r>
          </w:p>
        </w:tc>
        <w:tc>
          <w:tcPr>
            <w:tcW w:w="2327" w:type="dxa"/>
            <w:shd w:val="clear" w:color="auto" w:fill="auto"/>
            <w:noWrap/>
            <w:vAlign w:val="center"/>
          </w:tcPr>
          <w:p w14:paraId="5A948F5B" w14:textId="03982F37"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6</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28%</w:t>
            </w:r>
          </w:p>
        </w:tc>
        <w:tc>
          <w:tcPr>
            <w:tcW w:w="3240" w:type="dxa"/>
            <w:shd w:val="clear" w:color="auto" w:fill="auto"/>
            <w:noWrap/>
            <w:vAlign w:val="center"/>
          </w:tcPr>
          <w:p w14:paraId="104C755F" w14:textId="4A569496"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11</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59%</w:t>
            </w:r>
          </w:p>
        </w:tc>
      </w:tr>
      <w:tr w:rsidR="003E03ED" w:rsidRPr="00A021B7" w14:paraId="2FCC68FA" w14:textId="77777777" w:rsidTr="1A8E6423">
        <w:trPr>
          <w:trHeight w:val="20"/>
          <w:jc w:val="center"/>
        </w:trPr>
        <w:tc>
          <w:tcPr>
            <w:tcW w:w="2078" w:type="dxa"/>
            <w:shd w:val="clear" w:color="auto" w:fill="D9D9D9" w:themeFill="background1" w:themeFillShade="D9"/>
            <w:noWrap/>
            <w:vAlign w:val="center"/>
          </w:tcPr>
          <w:p w14:paraId="7D23687A"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БиХ</w:t>
            </w:r>
          </w:p>
        </w:tc>
        <w:tc>
          <w:tcPr>
            <w:tcW w:w="2327" w:type="dxa"/>
            <w:shd w:val="clear" w:color="auto" w:fill="auto"/>
            <w:noWrap/>
            <w:vAlign w:val="center"/>
          </w:tcPr>
          <w:p w14:paraId="526BF9E5" w14:textId="531CC9C0"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4</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66%</w:t>
            </w:r>
          </w:p>
        </w:tc>
        <w:tc>
          <w:tcPr>
            <w:tcW w:w="3240" w:type="dxa"/>
            <w:shd w:val="clear" w:color="auto" w:fill="auto"/>
            <w:noWrap/>
            <w:vAlign w:val="center"/>
          </w:tcPr>
          <w:p w14:paraId="135E9D7C" w14:textId="79CE3749"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10</w:t>
            </w:r>
            <w:r w:rsidR="00987AA8"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92%</w:t>
            </w:r>
          </w:p>
        </w:tc>
      </w:tr>
    </w:tbl>
    <w:p w14:paraId="4FE40ADF" w14:textId="77777777" w:rsidR="003E03ED" w:rsidRPr="00A021B7" w:rsidRDefault="003E03ED" w:rsidP="003E7BC9">
      <w:pPr>
        <w:jc w:val="both"/>
        <w:rPr>
          <w:rFonts w:ascii="Arial" w:hAnsi="Arial" w:cs="Arial"/>
          <w:sz w:val="20"/>
          <w:szCs w:val="20"/>
          <w:lang w:val="sr-Cyrl-RS"/>
        </w:rPr>
      </w:pPr>
    </w:p>
    <w:p w14:paraId="7A81F4DC" w14:textId="33E7AFE4"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Учешће субнационалних власти у укупним јавним расходима један је од главних показатеља који се на међународном нивоу користи у процесу мерења степена значаја локалне самоуправе (децентрализације) у систему јавне управе. У наредној табели приказани су подаци о расходима субнационалних власти оствареним у Републици Србији, одабраним земљама ЕУ и региона. </w:t>
      </w:r>
      <w:r w:rsidR="00BB5336">
        <w:rPr>
          <w:rFonts w:ascii="Arial" w:hAnsi="Arial" w:cs="Arial"/>
          <w:sz w:val="20"/>
          <w:szCs w:val="20"/>
          <w:lang w:val="sr-Cyrl-RS"/>
        </w:rPr>
        <w:t>На основу а</w:t>
      </w:r>
      <w:r w:rsidRPr="00A021B7">
        <w:rPr>
          <w:rFonts w:ascii="Arial" w:hAnsi="Arial" w:cs="Arial"/>
          <w:sz w:val="20"/>
          <w:szCs w:val="20"/>
          <w:lang w:val="sr-Cyrl-RS"/>
        </w:rPr>
        <w:t>нализ</w:t>
      </w:r>
      <w:r w:rsidR="00BB5336">
        <w:rPr>
          <w:rFonts w:ascii="Arial" w:hAnsi="Arial" w:cs="Arial"/>
          <w:sz w:val="20"/>
          <w:szCs w:val="20"/>
          <w:lang w:val="sr-Cyrl-RS"/>
        </w:rPr>
        <w:t>е</w:t>
      </w:r>
      <w:r w:rsidRPr="00A021B7">
        <w:rPr>
          <w:rFonts w:ascii="Arial" w:hAnsi="Arial" w:cs="Arial"/>
          <w:sz w:val="20"/>
          <w:szCs w:val="20"/>
          <w:lang w:val="sr-Cyrl-RS"/>
        </w:rPr>
        <w:t xml:space="preserve"> истакнутих података, закључак је да, по критеријуму уде</w:t>
      </w:r>
      <w:r w:rsidR="00BB5336">
        <w:rPr>
          <w:rFonts w:ascii="Arial" w:hAnsi="Arial" w:cs="Arial"/>
          <w:sz w:val="20"/>
          <w:szCs w:val="20"/>
          <w:lang w:val="sr-Cyrl-RS"/>
        </w:rPr>
        <w:t>ла</w:t>
      </w:r>
      <w:r w:rsidRPr="00A021B7">
        <w:rPr>
          <w:rFonts w:ascii="Arial" w:hAnsi="Arial" w:cs="Arial"/>
          <w:sz w:val="20"/>
          <w:szCs w:val="20"/>
          <w:lang w:val="sr-Cyrl-RS"/>
        </w:rPr>
        <w:t xml:space="preserve"> расхода ЛС у укупним јавним расходима, систем локалне самоуправе у Србији има сличан значај као и системи локалне самоуправе у већини земаља </w:t>
      </w:r>
      <w:r w:rsidR="00BB5336">
        <w:rPr>
          <w:rFonts w:ascii="Arial" w:hAnsi="Arial" w:cs="Arial"/>
          <w:sz w:val="20"/>
          <w:szCs w:val="20"/>
          <w:lang w:val="sr-Cyrl-RS"/>
        </w:rPr>
        <w:t>ј</w:t>
      </w:r>
      <w:r w:rsidRPr="00A021B7">
        <w:rPr>
          <w:rFonts w:ascii="Arial" w:hAnsi="Arial" w:cs="Arial"/>
          <w:sz w:val="20"/>
          <w:szCs w:val="20"/>
          <w:lang w:val="sr-Cyrl-RS"/>
        </w:rPr>
        <w:t>угоисточне Европе, али и да заостаје значајно у односу на просек ЕУ28</w:t>
      </w:r>
      <w:r w:rsidR="00BB5336">
        <w:rPr>
          <w:rFonts w:ascii="Arial" w:hAnsi="Arial" w:cs="Arial"/>
          <w:sz w:val="20"/>
          <w:szCs w:val="20"/>
          <w:lang w:val="sr-Cyrl-RS"/>
        </w:rPr>
        <w:t>,</w:t>
      </w:r>
      <w:r w:rsidRPr="00A021B7">
        <w:rPr>
          <w:rFonts w:ascii="Arial" w:hAnsi="Arial" w:cs="Arial"/>
          <w:sz w:val="20"/>
          <w:szCs w:val="20"/>
          <w:lang w:val="sr-Cyrl-RS"/>
        </w:rPr>
        <w:t xml:space="preserve"> где тај износ у 2017.</w:t>
      </w:r>
      <w:r w:rsidR="00BB5336">
        <w:rPr>
          <w:rFonts w:ascii="Arial" w:hAnsi="Arial" w:cs="Arial"/>
          <w:sz w:val="20"/>
          <w:szCs w:val="20"/>
          <w:lang w:val="sr-Cyrl-RS"/>
        </w:rPr>
        <w:t xml:space="preserve"> </w:t>
      </w:r>
      <w:r w:rsidRPr="00A021B7">
        <w:rPr>
          <w:rFonts w:ascii="Arial" w:hAnsi="Arial" w:cs="Arial"/>
          <w:sz w:val="20"/>
          <w:szCs w:val="20"/>
          <w:lang w:val="sr-Cyrl-RS"/>
        </w:rPr>
        <w:t xml:space="preserve">години </w:t>
      </w:r>
      <w:r w:rsidR="00BB5336">
        <w:rPr>
          <w:rFonts w:ascii="Arial" w:hAnsi="Arial" w:cs="Arial"/>
          <w:sz w:val="20"/>
          <w:szCs w:val="20"/>
          <w:lang w:val="sr-Cyrl-RS"/>
        </w:rPr>
        <w:t>био</w:t>
      </w:r>
      <w:r w:rsidR="00BB5336" w:rsidRPr="00A021B7">
        <w:rPr>
          <w:rFonts w:ascii="Arial" w:hAnsi="Arial" w:cs="Arial"/>
          <w:sz w:val="20"/>
          <w:szCs w:val="20"/>
          <w:lang w:val="sr-Cyrl-RS"/>
        </w:rPr>
        <w:t xml:space="preserve"> </w:t>
      </w:r>
      <w:r w:rsidRPr="00A021B7">
        <w:rPr>
          <w:rFonts w:ascii="Arial" w:hAnsi="Arial" w:cs="Arial"/>
          <w:sz w:val="20"/>
          <w:szCs w:val="20"/>
          <w:lang w:val="sr-Cyrl-RS"/>
        </w:rPr>
        <w:t>33</w:t>
      </w:r>
      <w:r w:rsidR="00BB5336">
        <w:rPr>
          <w:rFonts w:ascii="Arial" w:hAnsi="Arial" w:cs="Arial"/>
          <w:sz w:val="20"/>
          <w:szCs w:val="20"/>
          <w:lang w:val="sr-Cyrl-RS"/>
        </w:rPr>
        <w:t>,</w:t>
      </w:r>
      <w:r w:rsidRPr="00A021B7">
        <w:rPr>
          <w:rFonts w:ascii="Arial" w:hAnsi="Arial" w:cs="Arial"/>
          <w:sz w:val="20"/>
          <w:szCs w:val="20"/>
          <w:lang w:val="sr-Cyrl-RS"/>
        </w:rPr>
        <w:t>5%.</w:t>
      </w:r>
      <w:r w:rsidR="003E03ED" w:rsidRPr="00A021B7">
        <w:rPr>
          <w:rFonts w:ascii="Arial" w:hAnsi="Arial" w:cs="Arial"/>
          <w:sz w:val="20"/>
          <w:szCs w:val="20"/>
          <w:vertAlign w:val="superscript"/>
          <w:lang w:val="sr-Cyrl-RS"/>
        </w:rPr>
        <w:footnoteReference w:id="67"/>
      </w:r>
    </w:p>
    <w:p w14:paraId="795719AA" w14:textId="77777777" w:rsidR="003E03ED" w:rsidRPr="00A021B7" w:rsidRDefault="003E03ED" w:rsidP="003E7BC9">
      <w:pPr>
        <w:jc w:val="both"/>
        <w:rPr>
          <w:rFonts w:ascii="Arial" w:hAnsi="Arial" w:cs="Arial"/>
          <w:i/>
          <w:iCs/>
          <w:color w:val="404040" w:themeColor="text1" w:themeTint="BF"/>
          <w:sz w:val="20"/>
          <w:szCs w:val="20"/>
          <w:lang w:val="sr-Cyrl-RS"/>
        </w:rPr>
      </w:pPr>
    </w:p>
    <w:p w14:paraId="1D8083A6" w14:textId="07B28F08" w:rsidR="003E03ED" w:rsidRPr="00A021B7" w:rsidRDefault="35687A16" w:rsidP="1A8E6423">
      <w:pPr>
        <w:jc w:val="both"/>
        <w:rPr>
          <w:rFonts w:ascii="Arial" w:hAnsi="Arial" w:cs="Arial"/>
          <w:i/>
          <w:iCs/>
          <w:color w:val="404040" w:themeColor="text1" w:themeTint="BF"/>
          <w:sz w:val="20"/>
          <w:szCs w:val="20"/>
          <w:lang w:val="sr-Cyrl-RS"/>
        </w:rPr>
      </w:pPr>
      <w:r w:rsidRPr="1A8E6423">
        <w:rPr>
          <w:rFonts w:ascii="Arial" w:hAnsi="Arial" w:cs="Arial"/>
          <w:i/>
          <w:iCs/>
          <w:color w:val="404040" w:themeColor="text1" w:themeTint="BF"/>
          <w:sz w:val="20"/>
          <w:szCs w:val="20"/>
          <w:lang w:val="sr-Cyrl-RS"/>
        </w:rPr>
        <w:t xml:space="preserve">Табела </w:t>
      </w:r>
      <w:r w:rsidR="002139C8" w:rsidRPr="1A8E6423">
        <w:rPr>
          <w:rFonts w:ascii="Arial" w:hAnsi="Arial" w:cs="Arial"/>
          <w:i/>
          <w:iCs/>
          <w:color w:val="404040" w:themeColor="text1" w:themeTint="BF"/>
          <w:sz w:val="20"/>
          <w:szCs w:val="20"/>
          <w:lang w:val="sr-Cyrl-RS"/>
        </w:rPr>
        <w:t>7</w:t>
      </w:r>
      <w:r w:rsidRPr="1A8E6423">
        <w:rPr>
          <w:rFonts w:ascii="Arial" w:hAnsi="Arial" w:cs="Arial"/>
          <w:i/>
          <w:iCs/>
          <w:color w:val="404040" w:themeColor="text1" w:themeTint="BF"/>
          <w:sz w:val="20"/>
          <w:szCs w:val="20"/>
          <w:lang w:val="sr-Cyrl-RS"/>
        </w:rPr>
        <w:t>: Расходи субнационалног нивоа власти – Република Србија и одабране земље ЕУ и региона, 2016</w:t>
      </w:r>
      <w:r w:rsidR="003E03ED" w:rsidRPr="1A8E6423">
        <w:rPr>
          <w:rFonts w:ascii="Arial" w:hAnsi="Arial" w:cs="Arial"/>
          <w:i/>
          <w:iCs/>
          <w:color w:val="404040" w:themeColor="text1" w:themeTint="BF"/>
          <w:sz w:val="20"/>
          <w:szCs w:val="20"/>
          <w:vertAlign w:val="superscript"/>
          <w:lang w:val="sr-Cyrl-RS"/>
        </w:rPr>
        <w:footnoteReference w:id="68"/>
      </w:r>
    </w:p>
    <w:p w14:paraId="66473891" w14:textId="77777777" w:rsidR="003E03ED" w:rsidRPr="00A021B7" w:rsidRDefault="003E03ED" w:rsidP="003E7BC9">
      <w:pPr>
        <w:jc w:val="both"/>
        <w:rPr>
          <w:rFonts w:ascii="Arial" w:hAnsi="Arial" w:cs="Arial"/>
          <w:i/>
          <w:iCs/>
          <w:color w:val="404040" w:themeColor="text1" w:themeTint="BF"/>
          <w:sz w:val="20"/>
          <w:szCs w:val="20"/>
          <w:lang w:val="sr-Cyrl-RS"/>
        </w:rPr>
      </w:pPr>
    </w:p>
    <w:tbl>
      <w:tblPr>
        <w:tblW w:w="7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403"/>
        <w:gridCol w:w="3150"/>
      </w:tblGrid>
      <w:tr w:rsidR="003E03ED" w:rsidRPr="00A021B7" w14:paraId="033F7FE1" w14:textId="77777777" w:rsidTr="1A8E6423">
        <w:trPr>
          <w:trHeight w:val="20"/>
          <w:jc w:val="center"/>
        </w:trPr>
        <w:tc>
          <w:tcPr>
            <w:tcW w:w="2151" w:type="dxa"/>
            <w:shd w:val="clear" w:color="auto" w:fill="1F4E79" w:themeFill="accent5" w:themeFillShade="80"/>
            <w:noWrap/>
            <w:vAlign w:val="center"/>
          </w:tcPr>
          <w:p w14:paraId="5551F488" w14:textId="77777777" w:rsidR="003E03ED" w:rsidRPr="00A021B7" w:rsidRDefault="003E03ED" w:rsidP="003E7BC9">
            <w:pPr>
              <w:jc w:val="center"/>
              <w:rPr>
                <w:rFonts w:ascii="Arial" w:hAnsi="Arial" w:cs="Arial"/>
                <w:b/>
                <w:bCs/>
                <w:color w:val="FFFFFF" w:themeColor="background1"/>
                <w:sz w:val="20"/>
                <w:szCs w:val="20"/>
                <w:lang w:val="sr-Cyrl-RS"/>
              </w:rPr>
            </w:pPr>
            <w:r w:rsidRPr="00A021B7">
              <w:rPr>
                <w:rFonts w:ascii="Arial" w:hAnsi="Arial" w:cs="Arial"/>
                <w:b/>
                <w:bCs/>
                <w:color w:val="FFFFFF"/>
                <w:sz w:val="20"/>
                <w:szCs w:val="20"/>
                <w:lang w:val="sr-Cyrl-RS"/>
              </w:rPr>
              <w:t>Држава</w:t>
            </w:r>
          </w:p>
        </w:tc>
        <w:tc>
          <w:tcPr>
            <w:tcW w:w="2403" w:type="dxa"/>
            <w:shd w:val="clear" w:color="auto" w:fill="1F4E79" w:themeFill="accent5" w:themeFillShade="80"/>
            <w:noWrap/>
            <w:vAlign w:val="center"/>
          </w:tcPr>
          <w:p w14:paraId="441EE7CA" w14:textId="77777777" w:rsidR="003E03ED" w:rsidRPr="00A021B7" w:rsidRDefault="003E03ED" w:rsidP="003E7BC9">
            <w:pPr>
              <w:jc w:val="center"/>
              <w:rPr>
                <w:rFonts w:ascii="Arial" w:hAnsi="Arial" w:cs="Arial"/>
                <w:b/>
                <w:bCs/>
                <w:color w:val="FFFFFF"/>
                <w:sz w:val="20"/>
                <w:szCs w:val="20"/>
                <w:lang w:val="sr-Cyrl-RS"/>
              </w:rPr>
            </w:pPr>
            <w:r w:rsidRPr="00A021B7">
              <w:rPr>
                <w:rFonts w:ascii="Arial" w:hAnsi="Arial" w:cs="Arial"/>
                <w:b/>
                <w:bCs/>
                <w:color w:val="FFFFFF"/>
                <w:sz w:val="20"/>
                <w:szCs w:val="20"/>
                <w:lang w:val="sr-Cyrl-RS"/>
              </w:rPr>
              <w:t>Расходи (% БДП)</w:t>
            </w:r>
          </w:p>
        </w:tc>
        <w:tc>
          <w:tcPr>
            <w:tcW w:w="3150" w:type="dxa"/>
            <w:shd w:val="clear" w:color="auto" w:fill="1F4E79" w:themeFill="accent5" w:themeFillShade="80"/>
            <w:noWrap/>
            <w:vAlign w:val="center"/>
          </w:tcPr>
          <w:p w14:paraId="70AEF6D0" w14:textId="77777777" w:rsidR="003E03ED" w:rsidRPr="00A021B7" w:rsidRDefault="003E03ED" w:rsidP="003E7BC9">
            <w:pPr>
              <w:jc w:val="center"/>
              <w:rPr>
                <w:rFonts w:ascii="Arial" w:hAnsi="Arial" w:cs="Arial"/>
                <w:b/>
                <w:bCs/>
                <w:color w:val="FFFFFF"/>
                <w:sz w:val="20"/>
                <w:szCs w:val="20"/>
                <w:lang w:val="sr-Cyrl-RS"/>
              </w:rPr>
            </w:pPr>
            <w:r w:rsidRPr="00A021B7">
              <w:rPr>
                <w:rFonts w:ascii="Arial" w:hAnsi="Arial" w:cs="Arial"/>
                <w:b/>
                <w:bCs/>
                <w:color w:val="FFFFFF"/>
                <w:sz w:val="20"/>
                <w:szCs w:val="20"/>
                <w:lang w:val="sr-Cyrl-RS"/>
              </w:rPr>
              <w:t>Расходи (% јавних расхода)</w:t>
            </w:r>
          </w:p>
        </w:tc>
      </w:tr>
      <w:tr w:rsidR="003E03ED" w:rsidRPr="00A021B7" w14:paraId="6DF15F81" w14:textId="77777777" w:rsidTr="1A8E6423">
        <w:trPr>
          <w:trHeight w:val="20"/>
          <w:jc w:val="center"/>
        </w:trPr>
        <w:tc>
          <w:tcPr>
            <w:tcW w:w="2151" w:type="dxa"/>
            <w:shd w:val="clear" w:color="auto" w:fill="D9D9D9" w:themeFill="background1" w:themeFillShade="D9"/>
            <w:noWrap/>
            <w:vAlign w:val="center"/>
          </w:tcPr>
          <w:p w14:paraId="36198706" w14:textId="77777777" w:rsidR="003E03ED" w:rsidRPr="00A021B7" w:rsidRDefault="003E03ED" w:rsidP="003E7BC9">
            <w:pPr>
              <w:rPr>
                <w:rFonts w:ascii="Arial" w:hAnsi="Arial" w:cs="Arial"/>
                <w:b/>
                <w:bCs/>
                <w:color w:val="FFFFFF"/>
                <w:sz w:val="20"/>
                <w:szCs w:val="20"/>
                <w:lang w:val="sr-Cyrl-RS"/>
              </w:rPr>
            </w:pPr>
            <w:r w:rsidRPr="00A021B7">
              <w:rPr>
                <w:rFonts w:ascii="Arial" w:hAnsi="Arial" w:cs="Arial"/>
                <w:sz w:val="20"/>
                <w:szCs w:val="20"/>
                <w:lang w:val="sr-Cyrl-RS"/>
              </w:rPr>
              <w:t>Румунија</w:t>
            </w:r>
          </w:p>
        </w:tc>
        <w:tc>
          <w:tcPr>
            <w:tcW w:w="2403" w:type="dxa"/>
            <w:shd w:val="clear" w:color="auto" w:fill="FFFFFF" w:themeFill="background1"/>
            <w:noWrap/>
            <w:vAlign w:val="center"/>
          </w:tcPr>
          <w:p w14:paraId="0C5DB213" w14:textId="31260B54" w:rsidR="003E03ED" w:rsidRPr="00A021B7" w:rsidRDefault="003E03ED" w:rsidP="003E7BC9">
            <w:pPr>
              <w:jc w:val="right"/>
              <w:rPr>
                <w:rFonts w:ascii="Arial" w:hAnsi="Arial" w:cs="Arial"/>
                <w:b/>
                <w:bCs/>
                <w:color w:val="FFFFFF"/>
                <w:sz w:val="20"/>
                <w:szCs w:val="20"/>
                <w:lang w:val="sr-Cyrl-RS"/>
              </w:rPr>
            </w:pPr>
            <w:r w:rsidRPr="1A8E6423">
              <w:rPr>
                <w:rFonts w:ascii="Arial" w:hAnsi="Arial" w:cs="Arial"/>
                <w:color w:val="000000" w:themeColor="text1"/>
                <w:sz w:val="20"/>
                <w:szCs w:val="20"/>
                <w:lang w:val="sr-Cyrl-RS"/>
              </w:rPr>
              <w:t>9</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03%</w:t>
            </w:r>
          </w:p>
        </w:tc>
        <w:tc>
          <w:tcPr>
            <w:tcW w:w="3150" w:type="dxa"/>
            <w:shd w:val="clear" w:color="auto" w:fill="FFFFFF" w:themeFill="background1"/>
            <w:noWrap/>
            <w:vAlign w:val="center"/>
          </w:tcPr>
          <w:p w14:paraId="01853290" w14:textId="4A6290EB" w:rsidR="003E03ED" w:rsidRPr="00A021B7" w:rsidRDefault="003E03ED" w:rsidP="003E7BC9">
            <w:pPr>
              <w:jc w:val="right"/>
              <w:rPr>
                <w:rFonts w:ascii="Arial" w:hAnsi="Arial" w:cs="Arial"/>
                <w:b/>
                <w:bCs/>
                <w:color w:val="FFFFFF"/>
                <w:sz w:val="20"/>
                <w:szCs w:val="20"/>
                <w:lang w:val="sr-Cyrl-RS"/>
              </w:rPr>
            </w:pPr>
            <w:r w:rsidRPr="1A8E6423">
              <w:rPr>
                <w:rFonts w:ascii="Arial" w:hAnsi="Arial" w:cs="Arial"/>
                <w:color w:val="000000" w:themeColor="text1"/>
                <w:sz w:val="20"/>
                <w:szCs w:val="20"/>
                <w:lang w:val="sr-Cyrl-RS"/>
              </w:rPr>
              <w:t>28</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08%</w:t>
            </w:r>
          </w:p>
        </w:tc>
      </w:tr>
      <w:tr w:rsidR="003E03ED" w:rsidRPr="00A021B7" w14:paraId="1A88E7BE" w14:textId="77777777" w:rsidTr="1A8E6423">
        <w:trPr>
          <w:trHeight w:val="20"/>
          <w:jc w:val="center"/>
        </w:trPr>
        <w:tc>
          <w:tcPr>
            <w:tcW w:w="2151" w:type="dxa"/>
            <w:shd w:val="clear" w:color="auto" w:fill="D9D9D9" w:themeFill="background1" w:themeFillShade="D9"/>
            <w:noWrap/>
            <w:vAlign w:val="center"/>
          </w:tcPr>
          <w:p w14:paraId="5FE9C39C"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Чешка</w:t>
            </w:r>
          </w:p>
        </w:tc>
        <w:tc>
          <w:tcPr>
            <w:tcW w:w="2403" w:type="dxa"/>
            <w:shd w:val="clear" w:color="auto" w:fill="FFFFFF" w:themeFill="background1"/>
            <w:noWrap/>
            <w:vAlign w:val="center"/>
          </w:tcPr>
          <w:p w14:paraId="260224B2" w14:textId="3524BD31"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10</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19%</w:t>
            </w:r>
          </w:p>
        </w:tc>
        <w:tc>
          <w:tcPr>
            <w:tcW w:w="3150" w:type="dxa"/>
            <w:shd w:val="clear" w:color="auto" w:fill="FFFFFF" w:themeFill="background1"/>
            <w:noWrap/>
            <w:vAlign w:val="center"/>
          </w:tcPr>
          <w:p w14:paraId="3B467F28" w14:textId="05E742C2"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25</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80%</w:t>
            </w:r>
          </w:p>
        </w:tc>
      </w:tr>
      <w:tr w:rsidR="003E03ED" w:rsidRPr="00A021B7" w14:paraId="22105595" w14:textId="77777777" w:rsidTr="1A8E6423">
        <w:trPr>
          <w:trHeight w:val="20"/>
          <w:jc w:val="center"/>
        </w:trPr>
        <w:tc>
          <w:tcPr>
            <w:tcW w:w="2151" w:type="dxa"/>
            <w:shd w:val="clear" w:color="auto" w:fill="D9D9D9" w:themeFill="background1" w:themeFillShade="D9"/>
            <w:noWrap/>
            <w:vAlign w:val="center"/>
          </w:tcPr>
          <w:p w14:paraId="112F1F12"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Хрватска</w:t>
            </w:r>
          </w:p>
        </w:tc>
        <w:tc>
          <w:tcPr>
            <w:tcW w:w="2403" w:type="dxa"/>
            <w:shd w:val="clear" w:color="auto" w:fill="FFFFFF" w:themeFill="background1"/>
            <w:noWrap/>
            <w:vAlign w:val="center"/>
          </w:tcPr>
          <w:p w14:paraId="57C7AE1C" w14:textId="0B8D35F6"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11</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68%</w:t>
            </w:r>
          </w:p>
        </w:tc>
        <w:tc>
          <w:tcPr>
            <w:tcW w:w="3150" w:type="dxa"/>
            <w:shd w:val="clear" w:color="auto" w:fill="FFFFFF" w:themeFill="background1"/>
            <w:noWrap/>
            <w:vAlign w:val="center"/>
          </w:tcPr>
          <w:p w14:paraId="226F4755" w14:textId="3F67D62F"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24</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75%</w:t>
            </w:r>
          </w:p>
        </w:tc>
      </w:tr>
      <w:tr w:rsidR="003E03ED" w:rsidRPr="00A021B7" w14:paraId="283CD424" w14:textId="77777777" w:rsidTr="1A8E6423">
        <w:trPr>
          <w:trHeight w:val="20"/>
          <w:jc w:val="center"/>
        </w:trPr>
        <w:tc>
          <w:tcPr>
            <w:tcW w:w="2151" w:type="dxa"/>
            <w:shd w:val="clear" w:color="auto" w:fill="D9D9D9" w:themeFill="background1" w:themeFillShade="D9"/>
            <w:noWrap/>
            <w:vAlign w:val="center"/>
          </w:tcPr>
          <w:p w14:paraId="67AFF677"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Бугарска</w:t>
            </w:r>
          </w:p>
        </w:tc>
        <w:tc>
          <w:tcPr>
            <w:tcW w:w="2403" w:type="dxa"/>
            <w:shd w:val="clear" w:color="auto" w:fill="FFFFFF" w:themeFill="background1"/>
            <w:noWrap/>
            <w:vAlign w:val="center"/>
          </w:tcPr>
          <w:p w14:paraId="648F1C0E" w14:textId="60F9C215"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6</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83%</w:t>
            </w:r>
          </w:p>
        </w:tc>
        <w:tc>
          <w:tcPr>
            <w:tcW w:w="3150" w:type="dxa"/>
            <w:shd w:val="clear" w:color="auto" w:fill="FFFFFF" w:themeFill="background1"/>
            <w:noWrap/>
            <w:vAlign w:val="center"/>
          </w:tcPr>
          <w:p w14:paraId="61342358" w14:textId="67B80569"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20</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36%</w:t>
            </w:r>
          </w:p>
        </w:tc>
      </w:tr>
      <w:tr w:rsidR="003E03ED" w:rsidRPr="00A021B7" w14:paraId="02FA0DE6" w14:textId="77777777" w:rsidTr="1A8E6423">
        <w:trPr>
          <w:trHeight w:val="20"/>
          <w:jc w:val="center"/>
        </w:trPr>
        <w:tc>
          <w:tcPr>
            <w:tcW w:w="2151" w:type="dxa"/>
            <w:shd w:val="clear" w:color="auto" w:fill="D9D9D9" w:themeFill="background1" w:themeFillShade="D9"/>
            <w:noWrap/>
            <w:vAlign w:val="center"/>
          </w:tcPr>
          <w:p w14:paraId="40A33581"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Словенија</w:t>
            </w:r>
          </w:p>
        </w:tc>
        <w:tc>
          <w:tcPr>
            <w:tcW w:w="2403" w:type="dxa"/>
            <w:shd w:val="clear" w:color="auto" w:fill="FFFFFF" w:themeFill="background1"/>
            <w:noWrap/>
            <w:vAlign w:val="center"/>
          </w:tcPr>
          <w:p w14:paraId="50487A31" w14:textId="0B5D78F6"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8</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19%</w:t>
            </w:r>
          </w:p>
        </w:tc>
        <w:tc>
          <w:tcPr>
            <w:tcW w:w="3150" w:type="dxa"/>
            <w:shd w:val="clear" w:color="auto" w:fill="FFFFFF" w:themeFill="background1"/>
            <w:noWrap/>
            <w:vAlign w:val="center"/>
          </w:tcPr>
          <w:p w14:paraId="07848BF6" w14:textId="0D8BB757"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18</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10%</w:t>
            </w:r>
          </w:p>
        </w:tc>
      </w:tr>
      <w:tr w:rsidR="003E03ED" w:rsidRPr="00A021B7" w14:paraId="28F7BEBF" w14:textId="77777777" w:rsidTr="1A8E6423">
        <w:trPr>
          <w:trHeight w:val="20"/>
          <w:jc w:val="center"/>
        </w:trPr>
        <w:tc>
          <w:tcPr>
            <w:tcW w:w="2151" w:type="dxa"/>
            <w:shd w:val="clear" w:color="auto" w:fill="D9D9D9" w:themeFill="background1" w:themeFillShade="D9"/>
            <w:noWrap/>
            <w:vAlign w:val="center"/>
          </w:tcPr>
          <w:p w14:paraId="4DF3E681" w14:textId="77777777" w:rsidR="003E03ED" w:rsidRPr="00A021B7" w:rsidRDefault="003E03ED" w:rsidP="003E7BC9">
            <w:pPr>
              <w:rPr>
                <w:rFonts w:ascii="Arial" w:hAnsi="Arial" w:cs="Arial"/>
                <w:sz w:val="20"/>
                <w:szCs w:val="20"/>
                <w:lang w:val="sr-Cyrl-RS"/>
              </w:rPr>
            </w:pPr>
            <w:r w:rsidRPr="00A021B7">
              <w:rPr>
                <w:rFonts w:ascii="Arial" w:hAnsi="Arial" w:cs="Arial"/>
                <w:b/>
                <w:bCs/>
                <w:color w:val="000000"/>
                <w:sz w:val="20"/>
                <w:szCs w:val="20"/>
                <w:lang w:val="sr-Cyrl-RS"/>
              </w:rPr>
              <w:t>Србија</w:t>
            </w:r>
          </w:p>
        </w:tc>
        <w:tc>
          <w:tcPr>
            <w:tcW w:w="2403" w:type="dxa"/>
            <w:shd w:val="clear" w:color="auto" w:fill="FFFFFF" w:themeFill="background1"/>
            <w:noWrap/>
            <w:vAlign w:val="center"/>
          </w:tcPr>
          <w:p w14:paraId="20DEB451" w14:textId="2D80B107" w:rsidR="003E03ED" w:rsidRPr="00A021B7" w:rsidRDefault="003E03ED" w:rsidP="003E7BC9">
            <w:pPr>
              <w:jc w:val="right"/>
              <w:rPr>
                <w:rFonts w:ascii="Arial" w:hAnsi="Arial" w:cs="Arial"/>
                <w:color w:val="000000"/>
                <w:sz w:val="20"/>
                <w:szCs w:val="20"/>
                <w:lang w:val="sr-Cyrl-RS"/>
              </w:rPr>
            </w:pPr>
            <w:r w:rsidRPr="1A8E6423">
              <w:rPr>
                <w:rFonts w:ascii="Arial" w:hAnsi="Arial" w:cs="Arial"/>
                <w:b/>
                <w:bCs/>
                <w:color w:val="000000" w:themeColor="text1"/>
                <w:sz w:val="20"/>
                <w:szCs w:val="20"/>
                <w:lang w:val="sr-Cyrl-RS"/>
              </w:rPr>
              <w:t>7</w:t>
            </w:r>
            <w:r w:rsidR="00BB5336" w:rsidRPr="1A8E6423">
              <w:rPr>
                <w:rFonts w:ascii="Arial" w:hAnsi="Arial" w:cs="Arial"/>
                <w:b/>
                <w:bCs/>
                <w:color w:val="000000" w:themeColor="text1"/>
                <w:sz w:val="20"/>
                <w:szCs w:val="20"/>
                <w:lang w:val="sr-Cyrl-RS"/>
              </w:rPr>
              <w:t>,</w:t>
            </w:r>
            <w:r w:rsidRPr="1A8E6423">
              <w:rPr>
                <w:rFonts w:ascii="Arial" w:hAnsi="Arial" w:cs="Arial"/>
                <w:b/>
                <w:bCs/>
                <w:color w:val="000000" w:themeColor="text1"/>
                <w:sz w:val="20"/>
                <w:szCs w:val="20"/>
                <w:lang w:val="sr-Cyrl-RS"/>
              </w:rPr>
              <w:t>28%</w:t>
            </w:r>
          </w:p>
        </w:tc>
        <w:tc>
          <w:tcPr>
            <w:tcW w:w="3150" w:type="dxa"/>
            <w:shd w:val="clear" w:color="auto" w:fill="FFFFFF" w:themeFill="background1"/>
            <w:noWrap/>
            <w:vAlign w:val="center"/>
          </w:tcPr>
          <w:p w14:paraId="1AB83C8D" w14:textId="0AF07715" w:rsidR="003E03ED" w:rsidRPr="00A021B7" w:rsidRDefault="003E03ED" w:rsidP="003E7BC9">
            <w:pPr>
              <w:jc w:val="right"/>
              <w:rPr>
                <w:rFonts w:ascii="Arial" w:hAnsi="Arial" w:cs="Arial"/>
                <w:color w:val="000000"/>
                <w:sz w:val="20"/>
                <w:szCs w:val="20"/>
                <w:lang w:val="sr-Cyrl-RS"/>
              </w:rPr>
            </w:pPr>
            <w:r w:rsidRPr="1A8E6423">
              <w:rPr>
                <w:rFonts w:ascii="Arial" w:hAnsi="Arial" w:cs="Arial"/>
                <w:b/>
                <w:bCs/>
                <w:color w:val="000000" w:themeColor="text1"/>
                <w:sz w:val="20"/>
                <w:szCs w:val="20"/>
                <w:lang w:val="sr-Cyrl-RS"/>
              </w:rPr>
              <w:t>16</w:t>
            </w:r>
            <w:r w:rsidR="00BB5336" w:rsidRPr="1A8E6423">
              <w:rPr>
                <w:rFonts w:ascii="Arial" w:hAnsi="Arial" w:cs="Arial"/>
                <w:b/>
                <w:bCs/>
                <w:color w:val="000000" w:themeColor="text1"/>
                <w:sz w:val="20"/>
                <w:szCs w:val="20"/>
                <w:lang w:val="sr-Cyrl-RS"/>
              </w:rPr>
              <w:t>,</w:t>
            </w:r>
            <w:r w:rsidRPr="1A8E6423">
              <w:rPr>
                <w:rFonts w:ascii="Arial" w:hAnsi="Arial" w:cs="Arial"/>
                <w:b/>
                <w:bCs/>
                <w:color w:val="000000" w:themeColor="text1"/>
                <w:sz w:val="20"/>
                <w:szCs w:val="20"/>
                <w:lang w:val="sr-Cyrl-RS"/>
              </w:rPr>
              <w:t>70%</w:t>
            </w:r>
          </w:p>
        </w:tc>
      </w:tr>
      <w:tr w:rsidR="003E03ED" w:rsidRPr="00A021B7" w14:paraId="4DF7E0E0" w14:textId="77777777" w:rsidTr="1A8E6423">
        <w:trPr>
          <w:trHeight w:val="20"/>
          <w:jc w:val="center"/>
        </w:trPr>
        <w:tc>
          <w:tcPr>
            <w:tcW w:w="2151" w:type="dxa"/>
            <w:shd w:val="clear" w:color="auto" w:fill="D9D9D9" w:themeFill="background1" w:themeFillShade="D9"/>
            <w:noWrap/>
            <w:vAlign w:val="center"/>
          </w:tcPr>
          <w:p w14:paraId="435D70D7" w14:textId="77777777" w:rsidR="003E03ED" w:rsidRPr="00A021B7" w:rsidRDefault="003E03ED" w:rsidP="003E7BC9">
            <w:pPr>
              <w:rPr>
                <w:rFonts w:ascii="Arial" w:hAnsi="Arial" w:cs="Arial"/>
                <w:b/>
                <w:bCs/>
                <w:color w:val="000000"/>
                <w:sz w:val="20"/>
                <w:szCs w:val="20"/>
                <w:lang w:val="sr-Cyrl-RS"/>
              </w:rPr>
            </w:pPr>
            <w:r w:rsidRPr="00A021B7">
              <w:rPr>
                <w:rFonts w:ascii="Arial" w:hAnsi="Arial" w:cs="Arial"/>
                <w:sz w:val="20"/>
                <w:szCs w:val="20"/>
                <w:lang w:val="sr-Cyrl-RS"/>
              </w:rPr>
              <w:t>Албанија</w:t>
            </w:r>
          </w:p>
        </w:tc>
        <w:tc>
          <w:tcPr>
            <w:tcW w:w="2403" w:type="dxa"/>
            <w:shd w:val="clear" w:color="auto" w:fill="FFFFFF" w:themeFill="background1"/>
            <w:noWrap/>
            <w:vAlign w:val="center"/>
          </w:tcPr>
          <w:p w14:paraId="72BEBE92" w14:textId="7B204C01" w:rsidR="003E03ED" w:rsidRPr="00A021B7" w:rsidRDefault="003E03ED" w:rsidP="003E7BC9">
            <w:pPr>
              <w:jc w:val="right"/>
              <w:rPr>
                <w:rFonts w:ascii="Arial" w:hAnsi="Arial" w:cs="Arial"/>
                <w:b/>
                <w:bCs/>
                <w:color w:val="000000"/>
                <w:sz w:val="20"/>
                <w:szCs w:val="20"/>
                <w:lang w:val="sr-Cyrl-RS"/>
              </w:rPr>
            </w:pPr>
            <w:r w:rsidRPr="1A8E6423">
              <w:rPr>
                <w:rFonts w:ascii="Arial" w:hAnsi="Arial" w:cs="Arial"/>
                <w:color w:val="000000" w:themeColor="text1"/>
                <w:sz w:val="20"/>
                <w:szCs w:val="20"/>
                <w:lang w:val="sr-Cyrl-RS"/>
              </w:rPr>
              <w:t>4</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59%</w:t>
            </w:r>
          </w:p>
        </w:tc>
        <w:tc>
          <w:tcPr>
            <w:tcW w:w="3150" w:type="dxa"/>
            <w:shd w:val="clear" w:color="auto" w:fill="FFFFFF" w:themeFill="background1"/>
            <w:noWrap/>
            <w:vAlign w:val="center"/>
          </w:tcPr>
          <w:p w14:paraId="1AA1D868" w14:textId="3C3C84DA" w:rsidR="003E03ED" w:rsidRPr="00A021B7" w:rsidRDefault="003E03ED" w:rsidP="003E7BC9">
            <w:pPr>
              <w:jc w:val="right"/>
              <w:rPr>
                <w:rFonts w:ascii="Arial" w:hAnsi="Arial" w:cs="Arial"/>
                <w:b/>
                <w:bCs/>
                <w:color w:val="000000"/>
                <w:sz w:val="20"/>
                <w:szCs w:val="20"/>
                <w:lang w:val="sr-Cyrl-RS"/>
              </w:rPr>
            </w:pPr>
            <w:r w:rsidRPr="1A8E6423">
              <w:rPr>
                <w:rFonts w:ascii="Arial" w:hAnsi="Arial" w:cs="Arial"/>
                <w:color w:val="000000" w:themeColor="text1"/>
                <w:sz w:val="20"/>
                <w:szCs w:val="20"/>
                <w:lang w:val="sr-Cyrl-RS"/>
              </w:rPr>
              <w:t>15</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90%</w:t>
            </w:r>
          </w:p>
        </w:tc>
      </w:tr>
      <w:tr w:rsidR="003E03ED" w:rsidRPr="00A021B7" w14:paraId="5CBDA94C" w14:textId="77777777" w:rsidTr="1A8E6423">
        <w:trPr>
          <w:trHeight w:val="20"/>
          <w:jc w:val="center"/>
        </w:trPr>
        <w:tc>
          <w:tcPr>
            <w:tcW w:w="2151" w:type="dxa"/>
            <w:shd w:val="clear" w:color="auto" w:fill="D9D9D9" w:themeFill="background1" w:themeFillShade="D9"/>
            <w:noWrap/>
            <w:vAlign w:val="center"/>
          </w:tcPr>
          <w:p w14:paraId="397ADC13"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Словачка</w:t>
            </w:r>
          </w:p>
        </w:tc>
        <w:tc>
          <w:tcPr>
            <w:tcW w:w="2403" w:type="dxa"/>
            <w:shd w:val="clear" w:color="auto" w:fill="FFFFFF" w:themeFill="background1"/>
            <w:noWrap/>
            <w:vAlign w:val="center"/>
          </w:tcPr>
          <w:p w14:paraId="3959918E" w14:textId="7500151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6</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56%</w:t>
            </w:r>
          </w:p>
        </w:tc>
        <w:tc>
          <w:tcPr>
            <w:tcW w:w="3150" w:type="dxa"/>
            <w:shd w:val="clear" w:color="auto" w:fill="FFFFFF" w:themeFill="background1"/>
            <w:noWrap/>
            <w:vAlign w:val="center"/>
          </w:tcPr>
          <w:p w14:paraId="3C31C775" w14:textId="5831F3B1"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15</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80%</w:t>
            </w:r>
          </w:p>
        </w:tc>
      </w:tr>
      <w:tr w:rsidR="003E03ED" w:rsidRPr="00A021B7" w14:paraId="5902AD8F" w14:textId="77777777" w:rsidTr="1A8E6423">
        <w:trPr>
          <w:trHeight w:val="20"/>
          <w:jc w:val="center"/>
        </w:trPr>
        <w:tc>
          <w:tcPr>
            <w:tcW w:w="2151" w:type="dxa"/>
            <w:shd w:val="clear" w:color="auto" w:fill="D9D9D9" w:themeFill="background1" w:themeFillShade="D9"/>
            <w:noWrap/>
            <w:vAlign w:val="center"/>
          </w:tcPr>
          <w:p w14:paraId="7314A19F"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Македонија</w:t>
            </w:r>
          </w:p>
        </w:tc>
        <w:tc>
          <w:tcPr>
            <w:tcW w:w="2403" w:type="dxa"/>
            <w:shd w:val="clear" w:color="auto" w:fill="FFFFFF" w:themeFill="background1"/>
            <w:noWrap/>
            <w:vAlign w:val="center"/>
          </w:tcPr>
          <w:p w14:paraId="798948DE" w14:textId="191BB202"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4</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89%</w:t>
            </w:r>
          </w:p>
        </w:tc>
        <w:tc>
          <w:tcPr>
            <w:tcW w:w="3150" w:type="dxa"/>
            <w:shd w:val="clear" w:color="auto" w:fill="FFFFFF" w:themeFill="background1"/>
            <w:noWrap/>
            <w:vAlign w:val="center"/>
          </w:tcPr>
          <w:p w14:paraId="22BD7372" w14:textId="5D96B0FB"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15</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55%</w:t>
            </w:r>
          </w:p>
        </w:tc>
      </w:tr>
      <w:tr w:rsidR="003E03ED" w:rsidRPr="00A021B7" w14:paraId="629DA9F6" w14:textId="77777777" w:rsidTr="1A8E6423">
        <w:trPr>
          <w:trHeight w:val="20"/>
          <w:jc w:val="center"/>
        </w:trPr>
        <w:tc>
          <w:tcPr>
            <w:tcW w:w="2151" w:type="dxa"/>
            <w:shd w:val="clear" w:color="auto" w:fill="D9D9D9" w:themeFill="background1" w:themeFillShade="D9"/>
            <w:noWrap/>
            <w:vAlign w:val="center"/>
          </w:tcPr>
          <w:p w14:paraId="56C93C49"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lastRenderedPageBreak/>
              <w:t>Мађарска</w:t>
            </w:r>
          </w:p>
        </w:tc>
        <w:tc>
          <w:tcPr>
            <w:tcW w:w="2403" w:type="dxa"/>
            <w:shd w:val="clear" w:color="auto" w:fill="FFFFFF" w:themeFill="background1"/>
            <w:noWrap/>
            <w:vAlign w:val="center"/>
          </w:tcPr>
          <w:p w14:paraId="011AA799" w14:textId="072A6074"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6</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02%</w:t>
            </w:r>
          </w:p>
        </w:tc>
        <w:tc>
          <w:tcPr>
            <w:tcW w:w="3150" w:type="dxa"/>
            <w:shd w:val="clear" w:color="auto" w:fill="FFFFFF" w:themeFill="background1"/>
            <w:noWrap/>
            <w:vAlign w:val="center"/>
          </w:tcPr>
          <w:p w14:paraId="769C3B59" w14:textId="49BB032E"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12</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95%</w:t>
            </w:r>
          </w:p>
        </w:tc>
      </w:tr>
      <w:tr w:rsidR="003E03ED" w:rsidRPr="00A021B7" w14:paraId="633BAA2F" w14:textId="77777777" w:rsidTr="1A8E6423">
        <w:trPr>
          <w:trHeight w:val="20"/>
          <w:jc w:val="center"/>
        </w:trPr>
        <w:tc>
          <w:tcPr>
            <w:tcW w:w="2151" w:type="dxa"/>
            <w:shd w:val="clear" w:color="auto" w:fill="D9D9D9" w:themeFill="background1" w:themeFillShade="D9"/>
            <w:noWrap/>
            <w:vAlign w:val="center"/>
          </w:tcPr>
          <w:p w14:paraId="558E25A5"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БиХ</w:t>
            </w:r>
          </w:p>
        </w:tc>
        <w:tc>
          <w:tcPr>
            <w:tcW w:w="2403" w:type="dxa"/>
            <w:shd w:val="clear" w:color="auto" w:fill="FFFFFF" w:themeFill="background1"/>
            <w:noWrap/>
            <w:vAlign w:val="center"/>
          </w:tcPr>
          <w:p w14:paraId="49471EA1" w14:textId="776C1BAD"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4</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50%</w:t>
            </w:r>
          </w:p>
        </w:tc>
        <w:tc>
          <w:tcPr>
            <w:tcW w:w="3150" w:type="dxa"/>
            <w:shd w:val="clear" w:color="auto" w:fill="FFFFFF" w:themeFill="background1"/>
            <w:noWrap/>
            <w:vAlign w:val="center"/>
          </w:tcPr>
          <w:p w14:paraId="486EF1B6" w14:textId="66B70624"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10</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85%</w:t>
            </w:r>
          </w:p>
        </w:tc>
      </w:tr>
      <w:tr w:rsidR="003E03ED" w:rsidRPr="00A021B7" w14:paraId="42840C11" w14:textId="77777777" w:rsidTr="1A8E6423">
        <w:trPr>
          <w:trHeight w:val="20"/>
          <w:jc w:val="center"/>
        </w:trPr>
        <w:tc>
          <w:tcPr>
            <w:tcW w:w="2151" w:type="dxa"/>
            <w:shd w:val="clear" w:color="auto" w:fill="D9D9D9" w:themeFill="background1" w:themeFillShade="D9"/>
            <w:noWrap/>
            <w:vAlign w:val="center"/>
          </w:tcPr>
          <w:p w14:paraId="02FCA977" w14:textId="77777777" w:rsidR="003E03ED" w:rsidRPr="00A021B7" w:rsidRDefault="003E03ED" w:rsidP="003E7BC9">
            <w:pPr>
              <w:rPr>
                <w:rFonts w:ascii="Arial" w:hAnsi="Arial" w:cs="Arial"/>
                <w:sz w:val="20"/>
                <w:szCs w:val="20"/>
                <w:lang w:val="sr-Cyrl-RS"/>
              </w:rPr>
            </w:pPr>
            <w:r w:rsidRPr="00A021B7">
              <w:rPr>
                <w:rFonts w:ascii="Arial" w:hAnsi="Arial" w:cs="Arial"/>
                <w:sz w:val="20"/>
                <w:szCs w:val="20"/>
                <w:lang w:val="sr-Cyrl-RS"/>
              </w:rPr>
              <w:t>Црна Гора</w:t>
            </w:r>
          </w:p>
        </w:tc>
        <w:tc>
          <w:tcPr>
            <w:tcW w:w="2403" w:type="dxa"/>
            <w:shd w:val="clear" w:color="auto" w:fill="FFFFFF" w:themeFill="background1"/>
            <w:noWrap/>
            <w:vAlign w:val="center"/>
          </w:tcPr>
          <w:p w14:paraId="31FDEC49" w14:textId="353C8D2F"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5</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62%</w:t>
            </w:r>
          </w:p>
        </w:tc>
        <w:tc>
          <w:tcPr>
            <w:tcW w:w="3150" w:type="dxa"/>
            <w:shd w:val="clear" w:color="auto" w:fill="FFFFFF" w:themeFill="background1"/>
            <w:noWrap/>
            <w:vAlign w:val="center"/>
          </w:tcPr>
          <w:p w14:paraId="755E6CE2" w14:textId="662E9782" w:rsidR="003E03ED" w:rsidRPr="00A021B7" w:rsidRDefault="003E03ED" w:rsidP="003E7BC9">
            <w:pPr>
              <w:jc w:val="right"/>
              <w:rPr>
                <w:rFonts w:ascii="Arial" w:hAnsi="Arial" w:cs="Arial"/>
                <w:color w:val="000000"/>
                <w:sz w:val="20"/>
                <w:szCs w:val="20"/>
                <w:lang w:val="sr-Cyrl-RS"/>
              </w:rPr>
            </w:pPr>
            <w:r w:rsidRPr="1A8E6423">
              <w:rPr>
                <w:rFonts w:ascii="Arial" w:hAnsi="Arial" w:cs="Arial"/>
                <w:color w:val="000000" w:themeColor="text1"/>
                <w:sz w:val="20"/>
                <w:szCs w:val="20"/>
                <w:lang w:val="sr-Cyrl-RS"/>
              </w:rPr>
              <w:t>10</w:t>
            </w:r>
            <w:r w:rsidR="00BB5336"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31%</w:t>
            </w:r>
          </w:p>
        </w:tc>
      </w:tr>
    </w:tbl>
    <w:p w14:paraId="5ECFCCA7" w14:textId="77777777" w:rsidR="003E03ED" w:rsidRPr="00A021B7" w:rsidRDefault="003E03ED" w:rsidP="003E7BC9">
      <w:pPr>
        <w:rPr>
          <w:rFonts w:ascii="Arial" w:hAnsi="Arial" w:cs="Arial"/>
          <w:b/>
          <w:bCs/>
          <w:sz w:val="20"/>
          <w:szCs w:val="20"/>
          <w:lang w:val="sr-Cyrl-RS"/>
        </w:rPr>
      </w:pPr>
    </w:p>
    <w:p w14:paraId="0664861F" w14:textId="77777777" w:rsidR="00301D48" w:rsidRPr="00A021B7" w:rsidRDefault="00301D48" w:rsidP="003E7BC9">
      <w:pPr>
        <w:pStyle w:val="Heading3"/>
        <w:spacing w:before="0" w:after="0"/>
        <w:rPr>
          <w:rFonts w:ascii="Arial" w:hAnsi="Arial" w:cs="Arial"/>
          <w:noProof w:val="0"/>
          <w:sz w:val="24"/>
          <w:szCs w:val="24"/>
          <w:lang w:val="sr-Cyrl-RS"/>
        </w:rPr>
      </w:pPr>
      <w:bookmarkStart w:id="76" w:name="_Toc52865781"/>
      <w:bookmarkStart w:id="77" w:name="_Toc52866192"/>
      <w:bookmarkStart w:id="78" w:name="_Toc56508441"/>
    </w:p>
    <w:p w14:paraId="64EB12C2" w14:textId="0E30EF99" w:rsidR="00CE205B" w:rsidRPr="00A021B7" w:rsidRDefault="003E03ED" w:rsidP="004935B9">
      <w:pPr>
        <w:pStyle w:val="Heading3"/>
        <w:rPr>
          <w:noProof w:val="0"/>
          <w:lang w:val="sr-Cyrl-RS"/>
        </w:rPr>
      </w:pPr>
      <w:bookmarkStart w:id="79" w:name="_Toc60136077"/>
      <w:r w:rsidRPr="00A021B7">
        <w:rPr>
          <w:noProof w:val="0"/>
          <w:lang w:val="sr-Cyrl-RS"/>
        </w:rPr>
        <w:t>I</w:t>
      </w:r>
      <w:r w:rsidR="0092288B" w:rsidRPr="00A021B7">
        <w:rPr>
          <w:noProof w:val="0"/>
          <w:lang w:val="sr-Cyrl-RS"/>
        </w:rPr>
        <w:t>V</w:t>
      </w:r>
      <w:r w:rsidRPr="00A021B7">
        <w:rPr>
          <w:noProof w:val="0"/>
          <w:lang w:val="sr-Cyrl-RS"/>
        </w:rPr>
        <w:t>.</w:t>
      </w:r>
      <w:r w:rsidR="0092288B" w:rsidRPr="00A021B7">
        <w:rPr>
          <w:noProof w:val="0"/>
          <w:lang w:val="sr-Cyrl-RS"/>
        </w:rPr>
        <w:t>5.</w:t>
      </w:r>
      <w:r w:rsidRPr="00A021B7">
        <w:rPr>
          <w:noProof w:val="0"/>
          <w:lang w:val="sr-Cyrl-RS"/>
        </w:rPr>
        <w:t>4. Управљање јавним финансијама локалне самоуправе</w:t>
      </w:r>
      <w:bookmarkEnd w:id="76"/>
      <w:bookmarkEnd w:id="77"/>
      <w:bookmarkEnd w:id="78"/>
      <w:bookmarkEnd w:id="79"/>
    </w:p>
    <w:p w14:paraId="293B927E" w14:textId="77777777" w:rsidR="003E03ED" w:rsidRPr="00A021B7" w:rsidRDefault="003E03ED" w:rsidP="003E7BC9">
      <w:pPr>
        <w:rPr>
          <w:rFonts w:ascii="Arial" w:hAnsi="Arial" w:cs="Arial"/>
          <w:b/>
          <w:bCs/>
          <w:sz w:val="20"/>
          <w:szCs w:val="20"/>
          <w:lang w:val="sr-Cyrl-RS"/>
        </w:rPr>
      </w:pPr>
    </w:p>
    <w:p w14:paraId="6D6FA278" w14:textId="6A958F87" w:rsidR="003E03ED" w:rsidRPr="00A021B7" w:rsidRDefault="35687A16" w:rsidP="000F4ADF">
      <w:pPr>
        <w:ind w:firstLine="720"/>
        <w:jc w:val="both"/>
        <w:rPr>
          <w:rFonts w:ascii="Arial" w:hAnsi="Arial" w:cs="Arial"/>
          <w:sz w:val="20"/>
          <w:szCs w:val="20"/>
          <w:lang w:val="sr-Cyrl-RS"/>
        </w:rPr>
      </w:pPr>
      <w:r w:rsidRPr="00A021B7">
        <w:rPr>
          <w:rFonts w:ascii="Arial" w:hAnsi="Arial" w:cs="Arial"/>
          <w:sz w:val="20"/>
          <w:szCs w:val="20"/>
          <w:lang w:val="sr-Cyrl-RS"/>
        </w:rPr>
        <w:t>Претпоставка ефикасног система финансирања ЛС је адекватно управљање јавним финансијама које омогућава ЈЛС да планирају, мобилишу и користе финансијска средства за бољи квалитет јавних добара и услуга. Поред добро постављеног нормативног оквира, за квалитет управљања јавним финансијама на локалном нивоу пресудни су процесни аспекти и сами носиоци тих процеса, пре свега знања и вештине локалних финансијских службеника, свест руководилаца о управљачкој одговорности за финансијско пословање ЛС и широка координација секторских служби у усклађивању развојног планирања и извршавања надлежности са финансијским могућностима ЈЛС. Процеси о којима је реч односе се на све компоненте буџетског циклуса</w:t>
      </w:r>
      <w:r w:rsidR="000F4ADF">
        <w:rPr>
          <w:rFonts w:ascii="Arial" w:hAnsi="Arial" w:cs="Arial"/>
          <w:sz w:val="20"/>
          <w:szCs w:val="20"/>
          <w:lang w:val="sr-Cyrl-RS"/>
        </w:rPr>
        <w:t>,</w:t>
      </w:r>
      <w:r w:rsidRPr="00A021B7">
        <w:rPr>
          <w:rFonts w:ascii="Arial" w:hAnsi="Arial" w:cs="Arial"/>
          <w:sz w:val="20"/>
          <w:szCs w:val="20"/>
          <w:lang w:val="sr-Cyrl-RS"/>
        </w:rPr>
        <w:t xml:space="preserve"> укључујући стратешко планирање, средњорочни оквир расхода, годишње буџетирање, као и управљање приходима, набавке, контрол</w:t>
      </w:r>
      <w:r w:rsidR="0064679C">
        <w:rPr>
          <w:rFonts w:ascii="Arial" w:hAnsi="Arial" w:cs="Arial"/>
          <w:sz w:val="20"/>
          <w:szCs w:val="20"/>
          <w:lang w:val="sr-Cyrl-RS"/>
        </w:rPr>
        <w:t>у</w:t>
      </w:r>
      <w:r w:rsidRPr="00A021B7">
        <w:rPr>
          <w:rFonts w:ascii="Arial" w:hAnsi="Arial" w:cs="Arial"/>
          <w:sz w:val="20"/>
          <w:szCs w:val="20"/>
          <w:lang w:val="sr-Cyrl-RS"/>
        </w:rPr>
        <w:t xml:space="preserve"> рачуноводство, извештавање, праћење и оцењивање, (интерну) ревизију и екстерни надзор.</w:t>
      </w:r>
      <w:r w:rsidR="003E03ED" w:rsidRPr="00A021B7">
        <w:rPr>
          <w:rFonts w:ascii="Arial" w:hAnsi="Arial" w:cs="Arial"/>
          <w:sz w:val="20"/>
          <w:szCs w:val="20"/>
          <w:vertAlign w:val="superscript"/>
          <w:lang w:val="sr-Cyrl-RS"/>
        </w:rPr>
        <w:footnoteReference w:id="69"/>
      </w:r>
      <w:r w:rsidRPr="00A021B7">
        <w:rPr>
          <w:rFonts w:ascii="Arial" w:hAnsi="Arial" w:cs="Arial"/>
          <w:sz w:val="20"/>
          <w:szCs w:val="20"/>
          <w:lang w:val="sr-Cyrl-RS"/>
        </w:rPr>
        <w:t xml:space="preserve"> Уз подстицај и подршку међународних актера (ММФ, ЕУ, ОЕЦД/СИГМА, развојни партнери Србије)</w:t>
      </w:r>
      <w:r w:rsidR="000F4ADF">
        <w:rPr>
          <w:rFonts w:ascii="Arial" w:hAnsi="Arial" w:cs="Arial"/>
          <w:sz w:val="20"/>
          <w:szCs w:val="20"/>
          <w:lang w:val="sr-Cyrl-RS"/>
        </w:rPr>
        <w:t>,</w:t>
      </w:r>
      <w:r w:rsidRPr="00A021B7">
        <w:rPr>
          <w:rFonts w:ascii="Arial" w:hAnsi="Arial" w:cs="Arial"/>
          <w:sz w:val="20"/>
          <w:szCs w:val="20"/>
          <w:lang w:val="sr-Cyrl-RS"/>
        </w:rPr>
        <w:t xml:space="preserve"> </w:t>
      </w:r>
      <w:r w:rsidR="000F4ADF">
        <w:rPr>
          <w:rFonts w:ascii="Arial" w:hAnsi="Arial" w:cs="Arial"/>
          <w:sz w:val="20"/>
          <w:szCs w:val="20"/>
          <w:lang w:val="sr-Cyrl-RS"/>
        </w:rPr>
        <w:t>а</w:t>
      </w:r>
      <w:r w:rsidRPr="00A021B7">
        <w:rPr>
          <w:rFonts w:ascii="Arial" w:hAnsi="Arial" w:cs="Arial"/>
          <w:sz w:val="20"/>
          <w:szCs w:val="20"/>
          <w:lang w:val="sr-Cyrl-RS"/>
        </w:rPr>
        <w:t xml:space="preserve"> у циљу реформисања и унапређивања системских процеса </w:t>
      </w:r>
      <w:r w:rsidR="000F4ADF">
        <w:rPr>
          <w:rFonts w:ascii="Arial" w:hAnsi="Arial" w:cs="Arial"/>
          <w:sz w:val="20"/>
          <w:szCs w:val="20"/>
          <w:lang w:val="sr-Cyrl-RS"/>
        </w:rPr>
        <w:t>тако</w:t>
      </w:r>
      <w:r w:rsidRPr="00A021B7">
        <w:rPr>
          <w:rFonts w:ascii="Arial" w:hAnsi="Arial" w:cs="Arial"/>
          <w:sz w:val="20"/>
          <w:szCs w:val="20"/>
          <w:lang w:val="sr-Cyrl-RS"/>
        </w:rPr>
        <w:t xml:space="preserve"> да се оствари фискална консолидација и постигну очекивани резултати у овом домену у процесу приступања ЕУ, Влада је крајем 2015. године усвојила Програм реформе управљања јавним финансијама (ПРУЈФ) за период 2016</w:t>
      </w:r>
      <w:r w:rsidR="000F4ADF">
        <w:rPr>
          <w:rFonts w:ascii="Arial" w:hAnsi="Arial" w:cs="Arial"/>
          <w:sz w:val="20"/>
          <w:szCs w:val="20"/>
          <w:lang w:val="sr-Cyrl-RS"/>
        </w:rPr>
        <w:t>–</w:t>
      </w:r>
      <w:r w:rsidRPr="00A021B7">
        <w:rPr>
          <w:rFonts w:ascii="Arial" w:hAnsi="Arial" w:cs="Arial"/>
          <w:sz w:val="20"/>
          <w:szCs w:val="20"/>
          <w:lang w:val="sr-Cyrl-RS"/>
        </w:rPr>
        <w:t>2020. ПРУЈФ прати буџетски циклус у целини са циљем да допринесе бољем повезивању извршења буџета са различитим политикама Владе, и повећању транспарентности ових процеса.</w:t>
      </w:r>
      <w:r w:rsidR="003E03ED" w:rsidRPr="00A021B7">
        <w:rPr>
          <w:rFonts w:ascii="Arial" w:hAnsi="Arial" w:cs="Arial"/>
          <w:sz w:val="20"/>
          <w:szCs w:val="20"/>
          <w:vertAlign w:val="superscript"/>
          <w:lang w:val="sr-Cyrl-RS"/>
        </w:rPr>
        <w:footnoteReference w:id="70"/>
      </w:r>
      <w:r w:rsidRPr="00A021B7">
        <w:rPr>
          <w:rFonts w:ascii="Arial" w:hAnsi="Arial" w:cs="Arial"/>
          <w:sz w:val="20"/>
          <w:szCs w:val="20"/>
          <w:lang w:val="sr-Cyrl-RS"/>
        </w:rPr>
        <w:t xml:space="preserve"> </w:t>
      </w:r>
      <w:r w:rsidR="000F4ADF">
        <w:rPr>
          <w:rFonts w:ascii="Arial" w:hAnsi="Arial" w:cs="Arial"/>
          <w:sz w:val="20"/>
          <w:szCs w:val="20"/>
          <w:lang w:val="sr-Cyrl-RS"/>
        </w:rPr>
        <w:t>Н</w:t>
      </w:r>
      <w:r w:rsidRPr="00A021B7">
        <w:rPr>
          <w:rFonts w:ascii="Arial" w:hAnsi="Arial" w:cs="Arial"/>
          <w:sz w:val="20"/>
          <w:szCs w:val="20"/>
          <w:lang w:val="sr-Cyrl-RS"/>
        </w:rPr>
        <w:t xml:space="preserve">акон 2020. године релевантан ће бити нови ПРУЈФ </w:t>
      </w:r>
      <w:r w:rsidR="000F4ADF">
        <w:rPr>
          <w:rFonts w:ascii="Arial" w:hAnsi="Arial" w:cs="Arial"/>
          <w:sz w:val="20"/>
          <w:szCs w:val="20"/>
          <w:lang w:val="sr-Cyrl-RS"/>
        </w:rPr>
        <w:t xml:space="preserve">за период </w:t>
      </w:r>
      <w:r w:rsidRPr="00A021B7">
        <w:rPr>
          <w:rFonts w:ascii="Arial" w:hAnsi="Arial" w:cs="Arial"/>
          <w:sz w:val="20"/>
          <w:szCs w:val="20"/>
          <w:lang w:val="sr-Cyrl-RS"/>
        </w:rPr>
        <w:t>2021</w:t>
      </w:r>
      <w:r w:rsidR="000F4ADF">
        <w:rPr>
          <w:rFonts w:ascii="Arial" w:hAnsi="Arial" w:cs="Arial"/>
          <w:sz w:val="20"/>
          <w:szCs w:val="20"/>
          <w:lang w:val="sr-Cyrl-RS"/>
        </w:rPr>
        <w:t>–</w:t>
      </w:r>
      <w:r w:rsidRPr="00A021B7">
        <w:rPr>
          <w:rFonts w:ascii="Arial" w:hAnsi="Arial" w:cs="Arial"/>
          <w:sz w:val="20"/>
          <w:szCs w:val="20"/>
          <w:lang w:val="sr-Cyrl-RS"/>
        </w:rPr>
        <w:t>2025</w:t>
      </w:r>
      <w:r w:rsidR="000F4ADF">
        <w:rPr>
          <w:rFonts w:ascii="Arial" w:hAnsi="Arial" w:cs="Arial"/>
          <w:sz w:val="20"/>
          <w:szCs w:val="20"/>
          <w:lang w:val="sr-Cyrl-RS"/>
        </w:rPr>
        <w:t>. године,</w:t>
      </w:r>
      <w:r w:rsidRPr="00A021B7">
        <w:rPr>
          <w:rFonts w:ascii="Arial" w:hAnsi="Arial" w:cs="Arial"/>
          <w:sz w:val="20"/>
          <w:szCs w:val="20"/>
          <w:lang w:val="sr-Cyrl-RS"/>
        </w:rPr>
        <w:t xml:space="preserve"> чија израда је актуелна у 2020. години.</w:t>
      </w:r>
    </w:p>
    <w:p w14:paraId="6EB8C65C" w14:textId="77777777" w:rsidR="003E03ED" w:rsidRPr="00A021B7" w:rsidRDefault="003E03ED" w:rsidP="003E7BC9">
      <w:pPr>
        <w:jc w:val="both"/>
        <w:rPr>
          <w:rFonts w:ascii="Arial" w:hAnsi="Arial" w:cs="Arial"/>
          <w:sz w:val="20"/>
          <w:szCs w:val="20"/>
          <w:lang w:val="sr-Cyrl-RS"/>
        </w:rPr>
      </w:pPr>
    </w:p>
    <w:p w14:paraId="419E9F7F" w14:textId="7EF77DBA"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Еволуција концепта управљања јавним финансијама присутна је и на локалном нивоу, тако да и ЈЛС пролазе транзицију од традиционалнијег приступа фокусираног на контролу инпута (улазних података) у годишњем циклусу, ка модернијем приступу који потенцира праћење односа средстава и обавеза, а посебно остваривање учинака и исхода у оквиру средњорочног циклуса. У буџетском делу промена фокуса се огледа у замени, од 2015. године (на основу ЗОБС), линијског буџета </w:t>
      </w:r>
      <w:r w:rsidR="000F4ADF" w:rsidRPr="1A8E6423">
        <w:rPr>
          <w:rFonts w:ascii="Arial" w:hAnsi="Arial" w:cs="Arial"/>
          <w:sz w:val="20"/>
          <w:szCs w:val="20"/>
          <w:lang w:val="sr-Cyrl-RS"/>
        </w:rPr>
        <w:t>–</w:t>
      </w:r>
      <w:r w:rsidRPr="1A8E6423">
        <w:rPr>
          <w:rFonts w:ascii="Arial" w:hAnsi="Arial" w:cs="Arial"/>
          <w:sz w:val="20"/>
          <w:szCs w:val="20"/>
          <w:lang w:val="sr-Cyrl-RS"/>
        </w:rPr>
        <w:t xml:space="preserve"> буџетом учинка</w:t>
      </w:r>
      <w:r w:rsidR="000F4ADF" w:rsidRPr="1A8E6423">
        <w:rPr>
          <w:rFonts w:ascii="Arial" w:hAnsi="Arial" w:cs="Arial"/>
          <w:sz w:val="20"/>
          <w:szCs w:val="20"/>
          <w:lang w:val="sr-Cyrl-RS"/>
        </w:rPr>
        <w:t>,</w:t>
      </w:r>
      <w:r w:rsidRPr="1A8E6423">
        <w:rPr>
          <w:rFonts w:ascii="Arial" w:hAnsi="Arial" w:cs="Arial"/>
          <w:sz w:val="20"/>
          <w:szCs w:val="20"/>
          <w:lang w:val="sr-Cyrl-RS"/>
        </w:rPr>
        <w:t xml:space="preserve"> односно програмским буџетом (методологија разрађена Упутством Министарства финансија за израду програмског буџета).</w:t>
      </w:r>
    </w:p>
    <w:p w14:paraId="7D59B083" w14:textId="77777777" w:rsidR="003E03ED" w:rsidRPr="00A021B7" w:rsidRDefault="003E03ED" w:rsidP="1A8E6423">
      <w:pPr>
        <w:ind w:firstLine="720"/>
        <w:jc w:val="both"/>
        <w:rPr>
          <w:rFonts w:ascii="Arial" w:hAnsi="Arial" w:cs="Arial"/>
          <w:sz w:val="20"/>
          <w:szCs w:val="20"/>
          <w:lang w:val="sr-Cyrl-RS"/>
        </w:rPr>
      </w:pPr>
    </w:p>
    <w:p w14:paraId="74D58893" w14:textId="1DE5A2B2" w:rsidR="003E03ED" w:rsidRPr="00A021B7" w:rsidRDefault="003E03ED" w:rsidP="1A8E6423">
      <w:pPr>
        <w:ind w:firstLine="720"/>
        <w:jc w:val="both"/>
        <w:rPr>
          <w:rFonts w:ascii="Arial" w:hAnsi="Arial" w:cs="Arial"/>
          <w:sz w:val="20"/>
          <w:szCs w:val="20"/>
          <w:lang w:val="sr-Cyrl-RS"/>
        </w:rPr>
      </w:pPr>
      <w:r w:rsidRPr="1A8E6423">
        <w:rPr>
          <w:rFonts w:ascii="Arial" w:hAnsi="Arial" w:cs="Arial"/>
          <w:sz w:val="20"/>
          <w:szCs w:val="20"/>
          <w:lang w:val="sr-Cyrl-RS"/>
        </w:rPr>
        <w:t>У изради својих одлука о буџету, градови и општине у Србији углавном исправно примењују програмску класификацију буџета у складу са Упутством Министарства финансија за израду програмског буџета. Квалитет и транспарентност програмског буџетирања огледа се у разради даљих програмских информација у одлукама о буџету ЛС – односно описа програма, програмских активности и пројеката, средњорочних циљева, као и показатеља учинка (индикатора) за праћење постизања наведених циљева.</w:t>
      </w:r>
      <w:r w:rsidRPr="1A8E6423">
        <w:rPr>
          <w:rFonts w:ascii="Arial" w:eastAsia="Calibri" w:hAnsi="Arial" w:cs="Arial"/>
          <w:sz w:val="20"/>
          <w:szCs w:val="20"/>
          <w:lang w:val="sr-Cyrl-RS"/>
        </w:rPr>
        <w:t xml:space="preserve"> </w:t>
      </w:r>
      <w:r w:rsidRPr="1A8E6423">
        <w:rPr>
          <w:rFonts w:ascii="Arial" w:hAnsi="Arial" w:cs="Arial"/>
          <w:sz w:val="20"/>
          <w:szCs w:val="20"/>
          <w:lang w:val="sr-Cyrl-RS"/>
        </w:rPr>
        <w:t xml:space="preserve">Израда квалитетних програмских информација представља изазов за буџетске кориснике (на свим нивоима управе). </w:t>
      </w:r>
      <w:r w:rsidR="00DE6BDD" w:rsidRPr="1A8E6423">
        <w:rPr>
          <w:rFonts w:ascii="Arial" w:hAnsi="Arial" w:cs="Arial"/>
          <w:sz w:val="20"/>
          <w:szCs w:val="20"/>
          <w:lang w:val="sr-Cyrl-RS"/>
        </w:rPr>
        <w:t>Л</w:t>
      </w:r>
      <w:r w:rsidRPr="1A8E6423">
        <w:rPr>
          <w:rFonts w:ascii="Arial" w:hAnsi="Arial" w:cs="Arial"/>
          <w:sz w:val="20"/>
          <w:szCs w:val="20"/>
          <w:lang w:val="sr-Cyrl-RS"/>
        </w:rPr>
        <w:t xml:space="preserve">окалне власти оствариле су напредак у процесу програмског буџетирања те данас (2020) 81% ЛС у својим одлукама о буџету приказује програмске информације у складу са ЗОБС (45% ЛС је то радило у 2015. години). </w:t>
      </w:r>
      <w:r w:rsidR="00B12048" w:rsidRPr="1A8E6423">
        <w:rPr>
          <w:rFonts w:ascii="Arial" w:hAnsi="Arial" w:cs="Arial"/>
          <w:sz w:val="20"/>
          <w:szCs w:val="20"/>
          <w:lang w:val="sr-Cyrl-RS"/>
        </w:rPr>
        <w:t xml:space="preserve">У значајној мери овај помак може се приписати </w:t>
      </w:r>
      <w:r w:rsidR="000F4ADF" w:rsidRPr="1A8E6423">
        <w:rPr>
          <w:rFonts w:ascii="Arial" w:hAnsi="Arial" w:cs="Arial"/>
          <w:sz w:val="20"/>
          <w:szCs w:val="20"/>
          <w:lang w:val="sr-Cyrl-RS"/>
        </w:rPr>
        <w:t>п</w:t>
      </w:r>
      <w:r w:rsidR="00B12048" w:rsidRPr="1A8E6423">
        <w:rPr>
          <w:rFonts w:ascii="Arial" w:hAnsi="Arial" w:cs="Arial"/>
          <w:sz w:val="20"/>
          <w:szCs w:val="20"/>
          <w:lang w:val="sr-Cyrl-RS"/>
        </w:rPr>
        <w:t xml:space="preserve">рограму </w:t>
      </w:r>
      <w:r w:rsidR="00B12048" w:rsidRPr="1A8E6423">
        <w:rPr>
          <w:rFonts w:ascii="Arial" w:hAnsi="Arial" w:cs="Arial"/>
          <w:i/>
          <w:iCs/>
          <w:sz w:val="20"/>
          <w:szCs w:val="20"/>
          <w:lang w:val="sr-Cyrl-RS"/>
        </w:rPr>
        <w:t>Exchange</w:t>
      </w:r>
      <w:r w:rsidR="00B12048" w:rsidRPr="1A8E6423">
        <w:rPr>
          <w:rFonts w:ascii="Arial" w:hAnsi="Arial" w:cs="Arial"/>
          <w:sz w:val="20"/>
          <w:szCs w:val="20"/>
          <w:lang w:val="sr-Cyrl-RS"/>
        </w:rPr>
        <w:t>, који финансира Европска унија као најсвеобухватнију интервенцију у домену програмског буџетирања на локалном нивоу, и то посебно петој фази (2017</w:t>
      </w:r>
      <w:r w:rsidR="000F4ADF" w:rsidRPr="1A8E6423">
        <w:rPr>
          <w:rFonts w:ascii="Arial" w:hAnsi="Arial" w:cs="Arial"/>
          <w:sz w:val="20"/>
          <w:szCs w:val="20"/>
          <w:lang w:val="sr-Cyrl-RS"/>
        </w:rPr>
        <w:t>–</w:t>
      </w:r>
      <w:r w:rsidR="00B12048" w:rsidRPr="1A8E6423">
        <w:rPr>
          <w:rFonts w:ascii="Arial" w:hAnsi="Arial" w:cs="Arial"/>
          <w:sz w:val="20"/>
          <w:szCs w:val="20"/>
          <w:lang w:val="sr-Cyrl-RS"/>
        </w:rPr>
        <w:t>2021)</w:t>
      </w:r>
      <w:r w:rsidR="000F4ADF" w:rsidRPr="1A8E6423">
        <w:rPr>
          <w:rFonts w:ascii="Arial" w:hAnsi="Arial" w:cs="Arial"/>
          <w:sz w:val="20"/>
          <w:szCs w:val="20"/>
          <w:lang w:val="sr-Cyrl-RS"/>
        </w:rPr>
        <w:t>,</w:t>
      </w:r>
      <w:r w:rsidR="00B12048" w:rsidRPr="1A8E6423">
        <w:rPr>
          <w:rFonts w:ascii="Arial" w:hAnsi="Arial" w:cs="Arial"/>
          <w:sz w:val="20"/>
          <w:szCs w:val="20"/>
          <w:lang w:val="sr-Cyrl-RS"/>
        </w:rPr>
        <w:t xml:space="preserve"> коју спроводе МДУЛС и Сектор за уговарање и финансирање програма из средстава ЕУ у МФИН</w:t>
      </w:r>
      <w:r w:rsidR="000F4ADF" w:rsidRPr="1A8E6423">
        <w:rPr>
          <w:rFonts w:ascii="Arial" w:hAnsi="Arial" w:cs="Arial"/>
          <w:sz w:val="20"/>
          <w:szCs w:val="20"/>
          <w:lang w:val="sr-Cyrl-RS"/>
        </w:rPr>
        <w:t>,</w:t>
      </w:r>
      <w:r w:rsidR="00B12048" w:rsidRPr="1A8E6423">
        <w:rPr>
          <w:rFonts w:ascii="Arial" w:hAnsi="Arial" w:cs="Arial"/>
          <w:sz w:val="20"/>
          <w:szCs w:val="20"/>
          <w:lang w:val="sr-Cyrl-RS"/>
        </w:rPr>
        <w:t xml:space="preserve"> а где је СКГО имплементациони партнер. </w:t>
      </w:r>
      <w:r w:rsidRPr="1A8E6423">
        <w:rPr>
          <w:rFonts w:ascii="Arial" w:hAnsi="Arial" w:cs="Arial"/>
          <w:sz w:val="20"/>
          <w:szCs w:val="20"/>
          <w:lang w:val="sr-Cyrl-RS"/>
        </w:rPr>
        <w:t xml:space="preserve">Захтевност процеса посебно долази до изражаја при изради </w:t>
      </w:r>
      <w:r w:rsidRPr="1A8E6423">
        <w:rPr>
          <w:rFonts w:ascii="Arial" w:hAnsi="Arial" w:cs="Arial"/>
          <w:sz w:val="20"/>
          <w:szCs w:val="20"/>
          <w:lang w:val="sr-Cyrl-RS"/>
        </w:rPr>
        <w:lastRenderedPageBreak/>
        <w:t xml:space="preserve">извештаја о учинку програма, који чине саставни део образложења уз одлуке о завршном рачуну ЛС (члан 78. ЗОБС и Упутство Министарства финансија за праћење и извештавање о учинку програма), када се отвара простор за преиспитивање иницијално постављене структуре и квалитета програмских информација, релевантности циљева, доступности и мерљивости индикатора итд. Захтеван, али и обавезан и преко потребан аспект односи се такође на инкорпорирање родне перспективе у буџет, </w:t>
      </w:r>
      <w:r w:rsidR="000F4ADF" w:rsidRPr="1A8E6423">
        <w:rPr>
          <w:rFonts w:ascii="Arial" w:hAnsi="Arial" w:cs="Arial"/>
          <w:sz w:val="20"/>
          <w:szCs w:val="20"/>
          <w:lang w:val="sr-Cyrl-RS"/>
        </w:rPr>
        <w:t>чији је</w:t>
      </w:r>
      <w:r w:rsidRPr="1A8E6423">
        <w:rPr>
          <w:rFonts w:ascii="Arial" w:hAnsi="Arial" w:cs="Arial"/>
          <w:sz w:val="20"/>
          <w:szCs w:val="20"/>
          <w:lang w:val="sr-Cyrl-RS"/>
        </w:rPr>
        <w:t xml:space="preserve"> циљ</w:t>
      </w:r>
      <w:r w:rsidRPr="1A8E6423">
        <w:rPr>
          <w:rFonts w:ascii="Arial" w:eastAsia="Calibri" w:hAnsi="Arial" w:cs="Arial"/>
          <w:i/>
          <w:iCs/>
          <w:color w:val="000000" w:themeColor="text1"/>
          <w:sz w:val="20"/>
          <w:szCs w:val="20"/>
          <w:lang w:val="sr-Cyrl-RS"/>
        </w:rPr>
        <w:t xml:space="preserve"> </w:t>
      </w:r>
      <w:r w:rsidRPr="1A8E6423">
        <w:rPr>
          <w:rFonts w:ascii="Arial" w:hAnsi="Arial" w:cs="Arial"/>
          <w:sz w:val="20"/>
          <w:szCs w:val="20"/>
          <w:lang w:val="sr-Cyrl-RS"/>
        </w:rPr>
        <w:t xml:space="preserve">реструктурирање прихода и расхода </w:t>
      </w:r>
      <w:r w:rsidR="000F4ADF" w:rsidRPr="1A8E6423">
        <w:rPr>
          <w:rFonts w:ascii="Arial" w:hAnsi="Arial" w:cs="Arial"/>
          <w:sz w:val="20"/>
          <w:szCs w:val="20"/>
          <w:lang w:val="sr-Cyrl-RS"/>
        </w:rPr>
        <w:t>ради</w:t>
      </w:r>
      <w:r w:rsidRPr="1A8E6423">
        <w:rPr>
          <w:rFonts w:ascii="Arial" w:hAnsi="Arial" w:cs="Arial"/>
          <w:sz w:val="20"/>
          <w:szCs w:val="20"/>
          <w:lang w:val="sr-Cyrl-RS"/>
        </w:rPr>
        <w:t xml:space="preserve"> унапређења родне равноправности (члан 2. ЗОБС). Родно одговорно буџетирање треба да побољша ефективност и транспарентност буџета и омогући бољи увид у користи које жене и мушкарци имају од буџетских политика, што је за сада у скромном обиму, могуће идентификовати код мање од 50% ЛС.</w:t>
      </w:r>
    </w:p>
    <w:p w14:paraId="3750B7CF" w14:textId="2EA86308" w:rsidR="009F51E5" w:rsidRPr="00A021B7" w:rsidRDefault="009F51E5" w:rsidP="1A8E6423">
      <w:pPr>
        <w:ind w:firstLine="720"/>
        <w:jc w:val="both"/>
        <w:rPr>
          <w:rFonts w:ascii="Arial" w:hAnsi="Arial" w:cs="Arial"/>
          <w:sz w:val="20"/>
          <w:szCs w:val="20"/>
          <w:lang w:val="sr-Cyrl-RS"/>
        </w:rPr>
      </w:pPr>
    </w:p>
    <w:p w14:paraId="52F4439B" w14:textId="7AC0B853" w:rsidR="009F51E5" w:rsidRPr="00A021B7" w:rsidRDefault="3B71F9F7"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Веома важан аспект процеса буџетског планирања јесте </w:t>
      </w:r>
      <w:r w:rsidR="00367AA9">
        <w:rPr>
          <w:rFonts w:ascii="Arial" w:hAnsi="Arial" w:cs="Arial"/>
          <w:sz w:val="20"/>
          <w:szCs w:val="20"/>
          <w:lang w:val="sr-Cyrl-RS"/>
        </w:rPr>
        <w:t>учешће</w:t>
      </w:r>
      <w:r w:rsidR="00367AA9" w:rsidRPr="00A021B7">
        <w:rPr>
          <w:rFonts w:ascii="Arial" w:hAnsi="Arial" w:cs="Arial"/>
          <w:sz w:val="20"/>
          <w:szCs w:val="20"/>
          <w:lang w:val="sr-Cyrl-RS"/>
        </w:rPr>
        <w:t xml:space="preserve"> </w:t>
      </w:r>
      <w:r w:rsidRPr="00A021B7">
        <w:rPr>
          <w:rFonts w:ascii="Arial" w:hAnsi="Arial" w:cs="Arial"/>
          <w:sz w:val="20"/>
          <w:szCs w:val="20"/>
          <w:lang w:val="sr-Cyrl-RS"/>
        </w:rPr>
        <w:t xml:space="preserve">јавности у овом процесу. </w:t>
      </w:r>
      <w:r w:rsidR="39E9C269" w:rsidRPr="00A021B7">
        <w:rPr>
          <w:rFonts w:ascii="Arial" w:hAnsi="Arial" w:cs="Arial"/>
          <w:sz w:val="20"/>
          <w:szCs w:val="20"/>
          <w:lang w:val="sr-Cyrl-RS"/>
        </w:rPr>
        <w:t>У складу са ЗЛС (измене и допуне 2018. године), предвиђено је обавезно спровођење јавне расправе о инвестиционом делу одлуке о буџету ЈЛС</w:t>
      </w:r>
      <w:r w:rsidRPr="00A021B7">
        <w:rPr>
          <w:rFonts w:ascii="Arial" w:hAnsi="Arial" w:cs="Arial"/>
          <w:sz w:val="20"/>
          <w:szCs w:val="20"/>
          <w:lang w:val="sr-Cyrl-RS"/>
        </w:rPr>
        <w:t>.</w:t>
      </w:r>
      <w:r w:rsidR="39E9C269" w:rsidRPr="00A021B7">
        <w:rPr>
          <w:rFonts w:ascii="Arial" w:hAnsi="Arial" w:cs="Arial"/>
          <w:sz w:val="20"/>
          <w:szCs w:val="20"/>
          <w:lang w:val="sr-Cyrl-RS"/>
        </w:rPr>
        <w:t xml:space="preserve"> Иако је у </w:t>
      </w:r>
      <w:r w:rsidR="2E3C3912" w:rsidRPr="00A021B7">
        <w:rPr>
          <w:rFonts w:ascii="Arial" w:hAnsi="Arial" w:cs="Arial"/>
          <w:sz w:val="20"/>
          <w:szCs w:val="20"/>
          <w:lang w:val="sr-Cyrl-RS"/>
        </w:rPr>
        <w:t>Ј</w:t>
      </w:r>
      <w:r w:rsidR="39E9C269" w:rsidRPr="00A021B7">
        <w:rPr>
          <w:rFonts w:ascii="Arial" w:hAnsi="Arial" w:cs="Arial"/>
          <w:sz w:val="20"/>
          <w:szCs w:val="20"/>
          <w:lang w:val="sr-Cyrl-RS"/>
        </w:rPr>
        <w:t>ЛС и раније постојала пракса спровођења јавне расправе у одређеној мери (процена је да је</w:t>
      </w:r>
      <w:r w:rsidR="00F13BD6">
        <w:rPr>
          <w:rFonts w:ascii="Arial" w:hAnsi="Arial" w:cs="Arial"/>
          <w:sz w:val="20"/>
          <w:szCs w:val="20"/>
          <w:lang w:val="sr-Cyrl-RS"/>
        </w:rPr>
        <w:t>,</w:t>
      </w:r>
      <w:r w:rsidR="39E9C269" w:rsidRPr="00A021B7">
        <w:rPr>
          <w:rFonts w:ascii="Arial" w:hAnsi="Arial" w:cs="Arial"/>
          <w:sz w:val="20"/>
          <w:szCs w:val="20"/>
          <w:lang w:val="sr-Cyrl-RS"/>
        </w:rPr>
        <w:t xml:space="preserve"> рецимо</w:t>
      </w:r>
      <w:r w:rsidR="00F13BD6">
        <w:rPr>
          <w:rFonts w:ascii="Arial" w:hAnsi="Arial" w:cs="Arial"/>
          <w:sz w:val="20"/>
          <w:szCs w:val="20"/>
          <w:lang w:val="sr-Cyrl-RS"/>
        </w:rPr>
        <w:t>,</w:t>
      </w:r>
      <w:r w:rsidR="39E9C269" w:rsidRPr="00A021B7">
        <w:rPr>
          <w:rFonts w:ascii="Arial" w:hAnsi="Arial" w:cs="Arial"/>
          <w:sz w:val="20"/>
          <w:szCs w:val="20"/>
          <w:lang w:val="sr-Cyrl-RS"/>
        </w:rPr>
        <w:t xml:space="preserve"> у 2017. години 60% </w:t>
      </w:r>
      <w:r w:rsidR="2E3C3912" w:rsidRPr="00A021B7">
        <w:rPr>
          <w:rFonts w:ascii="Arial" w:hAnsi="Arial" w:cs="Arial"/>
          <w:sz w:val="20"/>
          <w:szCs w:val="20"/>
          <w:lang w:val="sr-Cyrl-RS"/>
        </w:rPr>
        <w:t>Ј</w:t>
      </w:r>
      <w:r w:rsidR="39E9C269" w:rsidRPr="00A021B7">
        <w:rPr>
          <w:rFonts w:ascii="Arial" w:hAnsi="Arial" w:cs="Arial"/>
          <w:sz w:val="20"/>
          <w:szCs w:val="20"/>
          <w:lang w:val="sr-Cyrl-RS"/>
        </w:rPr>
        <w:t xml:space="preserve">ЛС спровело јавну расправу о буџету бар у минималном обиму), на основу резултата </w:t>
      </w:r>
      <w:r w:rsidR="39E9C269" w:rsidRPr="1A8E6423">
        <w:rPr>
          <w:rFonts w:ascii="Arial" w:hAnsi="Arial" w:cs="Arial"/>
          <w:i/>
          <w:iCs/>
          <w:sz w:val="20"/>
          <w:szCs w:val="20"/>
          <w:lang w:val="sr-Cyrl-RS"/>
        </w:rPr>
        <w:t>Индекса транспарентности локалне самоуправе 2020</w:t>
      </w:r>
      <w:r w:rsidR="00F13BD6">
        <w:rPr>
          <w:rFonts w:ascii="Arial" w:hAnsi="Arial" w:cs="Arial"/>
          <w:sz w:val="20"/>
          <w:szCs w:val="20"/>
          <w:lang w:val="sr-Cyrl-RS"/>
        </w:rPr>
        <w:t>,</w:t>
      </w:r>
      <w:r w:rsidR="39E9C269" w:rsidRPr="00A021B7">
        <w:rPr>
          <w:rFonts w:ascii="Arial" w:hAnsi="Arial" w:cs="Arial"/>
          <w:sz w:val="20"/>
          <w:szCs w:val="20"/>
          <w:lang w:val="sr-Cyrl-RS"/>
        </w:rPr>
        <w:t xml:space="preserve"> који је израдила Транспарентност Србија</w:t>
      </w:r>
      <w:r w:rsidR="00F13BD6">
        <w:rPr>
          <w:rFonts w:ascii="Arial" w:hAnsi="Arial" w:cs="Arial"/>
          <w:sz w:val="20"/>
          <w:szCs w:val="20"/>
          <w:lang w:val="sr-Cyrl-RS"/>
        </w:rPr>
        <w:t>,</w:t>
      </w:r>
      <w:r w:rsidR="39E9C269" w:rsidRPr="00A021B7">
        <w:rPr>
          <w:rFonts w:ascii="Arial" w:hAnsi="Arial" w:cs="Arial"/>
          <w:sz w:val="20"/>
          <w:szCs w:val="20"/>
          <w:lang w:val="sr-Cyrl-RS"/>
        </w:rPr>
        <w:t xml:space="preserve"> </w:t>
      </w:r>
      <w:r w:rsidR="00F13BD6">
        <w:rPr>
          <w:rFonts w:ascii="Arial" w:hAnsi="Arial" w:cs="Arial"/>
          <w:sz w:val="20"/>
          <w:szCs w:val="20"/>
          <w:lang w:val="sr-Cyrl-RS"/>
        </w:rPr>
        <w:t xml:space="preserve">види се да је </w:t>
      </w:r>
      <w:r w:rsidR="39E9C269" w:rsidRPr="00A021B7">
        <w:rPr>
          <w:rFonts w:ascii="Arial" w:hAnsi="Arial" w:cs="Arial"/>
          <w:sz w:val="20"/>
          <w:szCs w:val="20"/>
          <w:lang w:val="sr-Cyrl-RS"/>
        </w:rPr>
        <w:t>око три четвртине локалних самоуправа (77%) у Србији спровело јавну расправу о буџету за 2020</w:t>
      </w:r>
      <w:r w:rsidR="003606C2" w:rsidRPr="00A021B7">
        <w:rPr>
          <w:rStyle w:val="FootnoteReference"/>
          <w:rFonts w:ascii="Arial" w:hAnsi="Arial" w:cs="Arial"/>
          <w:sz w:val="20"/>
          <w:szCs w:val="20"/>
          <w:lang w:val="sr-Cyrl-RS"/>
        </w:rPr>
        <w:footnoteReference w:id="71"/>
      </w:r>
      <w:r w:rsidR="39E9C269" w:rsidRPr="00A021B7">
        <w:rPr>
          <w:rFonts w:ascii="Arial" w:hAnsi="Arial" w:cs="Arial"/>
          <w:sz w:val="20"/>
          <w:szCs w:val="20"/>
          <w:lang w:val="sr-Cyrl-RS"/>
        </w:rPr>
        <w:t>. годину</w:t>
      </w:r>
      <w:r w:rsidR="00F13BD6">
        <w:rPr>
          <w:rFonts w:ascii="Arial" w:hAnsi="Arial" w:cs="Arial"/>
          <w:sz w:val="20"/>
          <w:szCs w:val="20"/>
          <w:lang w:val="sr-Cyrl-RS"/>
        </w:rPr>
        <w:t>,</w:t>
      </w:r>
      <w:r w:rsidR="39E9C269" w:rsidRPr="00A021B7">
        <w:rPr>
          <w:rFonts w:ascii="Arial" w:hAnsi="Arial" w:cs="Arial"/>
          <w:sz w:val="20"/>
          <w:szCs w:val="20"/>
          <w:lang w:val="sr-Cyrl-RS"/>
        </w:rPr>
        <w:t xml:space="preserve"> што указује на раст свести </w:t>
      </w:r>
      <w:r w:rsidR="2E3C3912" w:rsidRPr="00A021B7">
        <w:rPr>
          <w:rFonts w:ascii="Arial" w:hAnsi="Arial" w:cs="Arial"/>
          <w:sz w:val="20"/>
          <w:szCs w:val="20"/>
          <w:lang w:val="sr-Cyrl-RS"/>
        </w:rPr>
        <w:t>Ј</w:t>
      </w:r>
      <w:r w:rsidR="39E9C269" w:rsidRPr="00A021B7">
        <w:rPr>
          <w:rFonts w:ascii="Arial" w:hAnsi="Arial" w:cs="Arial"/>
          <w:sz w:val="20"/>
          <w:szCs w:val="20"/>
          <w:lang w:val="sr-Cyrl-RS"/>
        </w:rPr>
        <w:t>ЛС о неопходности информисања и прибављањ</w:t>
      </w:r>
      <w:r w:rsidR="00F13BD6">
        <w:rPr>
          <w:rFonts w:ascii="Arial" w:hAnsi="Arial" w:cs="Arial"/>
          <w:sz w:val="20"/>
          <w:szCs w:val="20"/>
          <w:lang w:val="sr-Cyrl-RS"/>
        </w:rPr>
        <w:t>а</w:t>
      </w:r>
      <w:r w:rsidR="39E9C269" w:rsidRPr="00A021B7">
        <w:rPr>
          <w:rFonts w:ascii="Arial" w:hAnsi="Arial" w:cs="Arial"/>
          <w:sz w:val="20"/>
          <w:szCs w:val="20"/>
          <w:lang w:val="sr-Cyrl-RS"/>
        </w:rPr>
        <w:t xml:space="preserve"> мишљења грађана о планираном трошењу буџетских средстава. Када је реч о изради водича кроз буџет </w:t>
      </w:r>
      <w:r w:rsidR="00F13BD6" w:rsidRPr="00A021B7">
        <w:rPr>
          <w:rFonts w:ascii="Arial" w:hAnsi="Arial" w:cs="Arial"/>
          <w:sz w:val="20"/>
          <w:szCs w:val="20"/>
          <w:lang w:val="sr-Cyrl-RS"/>
        </w:rPr>
        <w:t>за грађане</w:t>
      </w:r>
      <w:r w:rsidR="00F13BD6">
        <w:rPr>
          <w:rFonts w:ascii="Arial" w:hAnsi="Arial" w:cs="Arial"/>
          <w:sz w:val="20"/>
          <w:szCs w:val="20"/>
          <w:lang w:val="sr-Cyrl-RS"/>
        </w:rPr>
        <w:t>,</w:t>
      </w:r>
      <w:r w:rsidR="00F13BD6" w:rsidRPr="00A021B7">
        <w:rPr>
          <w:rFonts w:ascii="Arial" w:hAnsi="Arial" w:cs="Arial"/>
          <w:sz w:val="20"/>
          <w:szCs w:val="20"/>
          <w:lang w:val="sr-Cyrl-RS"/>
        </w:rPr>
        <w:t xml:space="preserve"> </w:t>
      </w:r>
      <w:r w:rsidR="39E9C269" w:rsidRPr="00A021B7">
        <w:rPr>
          <w:rFonts w:ascii="Arial" w:hAnsi="Arial" w:cs="Arial"/>
          <w:sz w:val="20"/>
          <w:szCs w:val="20"/>
          <w:lang w:val="sr-Cyrl-RS"/>
        </w:rPr>
        <w:t>које апострофира и М</w:t>
      </w:r>
      <w:r w:rsidR="2E3C3912" w:rsidRPr="00A021B7">
        <w:rPr>
          <w:rFonts w:ascii="Arial" w:hAnsi="Arial" w:cs="Arial"/>
          <w:sz w:val="20"/>
          <w:szCs w:val="20"/>
          <w:lang w:val="sr-Cyrl-RS"/>
        </w:rPr>
        <w:t>инистарство финансија</w:t>
      </w:r>
      <w:r w:rsidR="39E9C269" w:rsidRPr="00A021B7">
        <w:rPr>
          <w:rFonts w:ascii="Arial" w:hAnsi="Arial" w:cs="Arial"/>
          <w:sz w:val="20"/>
          <w:szCs w:val="20"/>
          <w:lang w:val="sr-Cyrl-RS"/>
        </w:rPr>
        <w:t xml:space="preserve"> у својим годишњим инструкцијама ка </w:t>
      </w:r>
      <w:r w:rsidR="2E3C3912" w:rsidRPr="00A021B7">
        <w:rPr>
          <w:rFonts w:ascii="Arial" w:hAnsi="Arial" w:cs="Arial"/>
          <w:sz w:val="20"/>
          <w:szCs w:val="20"/>
          <w:lang w:val="sr-Cyrl-RS"/>
        </w:rPr>
        <w:t>Ј</w:t>
      </w:r>
      <w:r w:rsidR="39E9C269" w:rsidRPr="00A021B7">
        <w:rPr>
          <w:rFonts w:ascii="Arial" w:hAnsi="Arial" w:cs="Arial"/>
          <w:sz w:val="20"/>
          <w:szCs w:val="20"/>
          <w:lang w:val="sr-Cyrl-RS"/>
        </w:rPr>
        <w:t>ЛС, мапирање крајем 2017</w:t>
      </w:r>
      <w:r w:rsidR="48B59E0D" w:rsidRPr="00A021B7">
        <w:rPr>
          <w:rFonts w:ascii="Arial" w:hAnsi="Arial" w:cs="Arial"/>
          <w:sz w:val="20"/>
          <w:szCs w:val="20"/>
          <w:lang w:val="sr-Cyrl-RS"/>
        </w:rPr>
        <w:t xml:space="preserve">. године и </w:t>
      </w:r>
      <w:r w:rsidR="39E9C269" w:rsidRPr="00A021B7">
        <w:rPr>
          <w:rFonts w:ascii="Arial" w:hAnsi="Arial" w:cs="Arial"/>
          <w:sz w:val="20"/>
          <w:szCs w:val="20"/>
          <w:lang w:val="sr-Cyrl-RS"/>
        </w:rPr>
        <w:t>почетком 2018. године показало је да је свега 12% ЛС практиковало израду ових водича</w:t>
      </w:r>
      <w:r w:rsidR="48B59E0D" w:rsidRPr="00A021B7">
        <w:rPr>
          <w:rFonts w:ascii="Arial" w:hAnsi="Arial" w:cs="Arial"/>
          <w:sz w:val="20"/>
          <w:szCs w:val="20"/>
          <w:lang w:val="sr-Cyrl-RS"/>
        </w:rPr>
        <w:t>.</w:t>
      </w:r>
      <w:r w:rsidR="66435957" w:rsidRPr="00A021B7">
        <w:rPr>
          <w:rFonts w:ascii="Arial" w:hAnsi="Arial" w:cs="Arial"/>
          <w:sz w:val="20"/>
          <w:szCs w:val="20"/>
          <w:lang w:val="sr-Cyrl-RS"/>
        </w:rPr>
        <w:t xml:space="preserve"> </w:t>
      </w:r>
      <w:r w:rsidR="00F13BD6">
        <w:rPr>
          <w:rFonts w:ascii="Arial" w:hAnsi="Arial" w:cs="Arial"/>
          <w:sz w:val="20"/>
          <w:szCs w:val="20"/>
          <w:lang w:val="sr-Cyrl-RS"/>
        </w:rPr>
        <w:t>Кад је реч о</w:t>
      </w:r>
      <w:r w:rsidR="39E9C269" w:rsidRPr="00A021B7">
        <w:rPr>
          <w:rFonts w:ascii="Arial" w:hAnsi="Arial" w:cs="Arial"/>
          <w:sz w:val="20"/>
          <w:szCs w:val="20"/>
          <w:lang w:val="sr-Cyrl-RS"/>
        </w:rPr>
        <w:t xml:space="preserve"> буџет</w:t>
      </w:r>
      <w:r w:rsidR="00F13BD6">
        <w:rPr>
          <w:rFonts w:ascii="Arial" w:hAnsi="Arial" w:cs="Arial"/>
          <w:sz w:val="20"/>
          <w:szCs w:val="20"/>
          <w:lang w:val="sr-Cyrl-RS"/>
        </w:rPr>
        <w:t>у</w:t>
      </w:r>
      <w:r w:rsidR="39E9C269" w:rsidRPr="00A021B7">
        <w:rPr>
          <w:rFonts w:ascii="Arial" w:hAnsi="Arial" w:cs="Arial"/>
          <w:sz w:val="20"/>
          <w:szCs w:val="20"/>
          <w:lang w:val="sr-Cyrl-RS"/>
        </w:rPr>
        <w:t xml:space="preserve"> за 2020. годину</w:t>
      </w:r>
      <w:r w:rsidR="00F13BD6">
        <w:rPr>
          <w:rFonts w:ascii="Arial" w:hAnsi="Arial" w:cs="Arial"/>
          <w:sz w:val="20"/>
          <w:szCs w:val="20"/>
          <w:lang w:val="sr-Cyrl-RS"/>
        </w:rPr>
        <w:t>, налаз говори</w:t>
      </w:r>
      <w:r w:rsidR="39E9C269" w:rsidRPr="00A021B7">
        <w:rPr>
          <w:rFonts w:ascii="Arial" w:hAnsi="Arial" w:cs="Arial"/>
          <w:sz w:val="20"/>
          <w:szCs w:val="20"/>
          <w:lang w:val="sr-Cyrl-RS"/>
        </w:rPr>
        <w:t xml:space="preserve"> да је око 52% </w:t>
      </w:r>
      <w:r w:rsidR="2E3C3912" w:rsidRPr="00A021B7">
        <w:rPr>
          <w:rFonts w:ascii="Arial" w:hAnsi="Arial" w:cs="Arial"/>
          <w:sz w:val="20"/>
          <w:szCs w:val="20"/>
          <w:lang w:val="sr-Cyrl-RS"/>
        </w:rPr>
        <w:t>Ј</w:t>
      </w:r>
      <w:r w:rsidR="39E9C269" w:rsidRPr="00A021B7">
        <w:rPr>
          <w:rFonts w:ascii="Arial" w:hAnsi="Arial" w:cs="Arial"/>
          <w:sz w:val="20"/>
          <w:szCs w:val="20"/>
          <w:lang w:val="sr-Cyrl-RS"/>
        </w:rPr>
        <w:t>ЛС израдило ове материјале и учинило их доступним јавности</w:t>
      </w:r>
      <w:r w:rsidR="66435957" w:rsidRPr="00A021B7">
        <w:rPr>
          <w:rFonts w:ascii="Arial" w:hAnsi="Arial" w:cs="Arial"/>
          <w:sz w:val="20"/>
          <w:szCs w:val="20"/>
          <w:lang w:val="sr-Cyrl-RS"/>
        </w:rPr>
        <w:t xml:space="preserve">, што је у великој мери последица </w:t>
      </w:r>
      <w:r w:rsidR="672BCE04" w:rsidRPr="00A021B7">
        <w:rPr>
          <w:rFonts w:ascii="Arial" w:hAnsi="Arial" w:cs="Arial"/>
          <w:sz w:val="20"/>
          <w:szCs w:val="20"/>
          <w:lang w:val="sr-Cyrl-RS"/>
        </w:rPr>
        <w:t xml:space="preserve">неколико важних активности: </w:t>
      </w:r>
      <w:r w:rsidR="1346B0DD" w:rsidRPr="00A021B7">
        <w:rPr>
          <w:rFonts w:ascii="Arial" w:hAnsi="Arial" w:cs="Arial"/>
          <w:sz w:val="20"/>
          <w:szCs w:val="20"/>
          <w:lang w:val="sr-Cyrl-RS"/>
        </w:rPr>
        <w:t xml:space="preserve">указивања на потребу </w:t>
      </w:r>
      <w:r w:rsidR="00F13BD6">
        <w:rPr>
          <w:rFonts w:ascii="Arial" w:hAnsi="Arial" w:cs="Arial"/>
          <w:sz w:val="20"/>
          <w:szCs w:val="20"/>
          <w:lang w:val="sr-Cyrl-RS"/>
        </w:rPr>
        <w:t xml:space="preserve">за </w:t>
      </w:r>
      <w:r w:rsidR="1346B0DD" w:rsidRPr="00A021B7">
        <w:rPr>
          <w:rFonts w:ascii="Arial" w:hAnsi="Arial" w:cs="Arial"/>
          <w:sz w:val="20"/>
          <w:szCs w:val="20"/>
          <w:lang w:val="sr-Cyrl-RS"/>
        </w:rPr>
        <w:t>развијањ</w:t>
      </w:r>
      <w:r w:rsidR="00F13BD6">
        <w:rPr>
          <w:rFonts w:ascii="Arial" w:hAnsi="Arial" w:cs="Arial"/>
          <w:sz w:val="20"/>
          <w:szCs w:val="20"/>
          <w:lang w:val="sr-Cyrl-RS"/>
        </w:rPr>
        <w:t>ем</w:t>
      </w:r>
      <w:r w:rsidR="1346B0DD" w:rsidRPr="00A021B7">
        <w:rPr>
          <w:rFonts w:ascii="Arial" w:hAnsi="Arial" w:cs="Arial"/>
          <w:sz w:val="20"/>
          <w:szCs w:val="20"/>
          <w:lang w:val="sr-Cyrl-RS"/>
        </w:rPr>
        <w:t xml:space="preserve"> оваквих водича од стране Министарства финансија, </w:t>
      </w:r>
      <w:r w:rsidR="66435957" w:rsidRPr="00A021B7">
        <w:rPr>
          <w:rFonts w:ascii="Arial" w:hAnsi="Arial" w:cs="Arial"/>
          <w:sz w:val="20"/>
          <w:szCs w:val="20"/>
          <w:lang w:val="sr-Cyrl-RS"/>
        </w:rPr>
        <w:t xml:space="preserve">развијања модела од стране СКГО и његове промоције у раду са </w:t>
      </w:r>
      <w:r w:rsidR="2E3C3912" w:rsidRPr="00A021B7">
        <w:rPr>
          <w:rFonts w:ascii="Arial" w:hAnsi="Arial" w:cs="Arial"/>
          <w:sz w:val="20"/>
          <w:szCs w:val="20"/>
          <w:lang w:val="sr-Cyrl-RS"/>
        </w:rPr>
        <w:t>Ј</w:t>
      </w:r>
      <w:r w:rsidR="66435957" w:rsidRPr="00A021B7">
        <w:rPr>
          <w:rFonts w:ascii="Arial" w:hAnsi="Arial" w:cs="Arial"/>
          <w:sz w:val="20"/>
          <w:szCs w:val="20"/>
          <w:lang w:val="sr-Cyrl-RS"/>
        </w:rPr>
        <w:t>ЛС</w:t>
      </w:r>
      <w:r w:rsidR="1346B0DD" w:rsidRPr="00A021B7">
        <w:rPr>
          <w:rFonts w:ascii="Arial" w:hAnsi="Arial" w:cs="Arial"/>
          <w:sz w:val="20"/>
          <w:szCs w:val="20"/>
          <w:lang w:val="sr-Cyrl-RS"/>
        </w:rPr>
        <w:t xml:space="preserve"> </w:t>
      </w:r>
      <w:r w:rsidR="672BCE04" w:rsidRPr="00A021B7">
        <w:rPr>
          <w:rFonts w:ascii="Arial" w:hAnsi="Arial" w:cs="Arial"/>
          <w:sz w:val="20"/>
          <w:szCs w:val="20"/>
          <w:lang w:val="sr-Cyrl-RS"/>
        </w:rPr>
        <w:t xml:space="preserve">и </w:t>
      </w:r>
      <w:r w:rsidR="4A78EA4E" w:rsidRPr="00A021B7">
        <w:rPr>
          <w:rFonts w:ascii="Arial" w:hAnsi="Arial" w:cs="Arial"/>
          <w:sz w:val="20"/>
          <w:szCs w:val="20"/>
          <w:lang w:val="sr-Cyrl-RS"/>
        </w:rPr>
        <w:t xml:space="preserve">подршке </w:t>
      </w:r>
      <w:r w:rsidR="1346B0DD" w:rsidRPr="00A021B7">
        <w:rPr>
          <w:rFonts w:ascii="Arial" w:hAnsi="Arial" w:cs="Arial"/>
          <w:sz w:val="20"/>
          <w:szCs w:val="20"/>
          <w:lang w:val="sr-Cyrl-RS"/>
        </w:rPr>
        <w:t xml:space="preserve">различитих </w:t>
      </w:r>
      <w:r w:rsidR="4A78EA4E" w:rsidRPr="00A021B7">
        <w:rPr>
          <w:rFonts w:ascii="Arial" w:hAnsi="Arial" w:cs="Arial"/>
          <w:sz w:val="20"/>
          <w:szCs w:val="20"/>
          <w:lang w:val="sr-Cyrl-RS"/>
        </w:rPr>
        <w:t xml:space="preserve">партнера </w:t>
      </w:r>
      <w:r w:rsidR="2AE48569" w:rsidRPr="00A021B7">
        <w:rPr>
          <w:rFonts w:ascii="Arial" w:hAnsi="Arial" w:cs="Arial"/>
          <w:sz w:val="20"/>
          <w:szCs w:val="20"/>
          <w:lang w:val="sr-Cyrl-RS"/>
        </w:rPr>
        <w:t>кроз пројекте или на други начин рад</w:t>
      </w:r>
      <w:r w:rsidR="2E3C3912" w:rsidRPr="00A021B7">
        <w:rPr>
          <w:rFonts w:ascii="Arial" w:hAnsi="Arial" w:cs="Arial"/>
          <w:sz w:val="20"/>
          <w:szCs w:val="20"/>
          <w:lang w:val="sr-Cyrl-RS"/>
        </w:rPr>
        <w:t>а</w:t>
      </w:r>
      <w:r w:rsidR="2AE48569" w:rsidRPr="00A021B7">
        <w:rPr>
          <w:rFonts w:ascii="Arial" w:hAnsi="Arial" w:cs="Arial"/>
          <w:sz w:val="20"/>
          <w:szCs w:val="20"/>
          <w:lang w:val="sr-Cyrl-RS"/>
        </w:rPr>
        <w:t xml:space="preserve"> са локалним властима.</w:t>
      </w:r>
    </w:p>
    <w:p w14:paraId="3EE55A53" w14:textId="77777777" w:rsidR="003E03ED" w:rsidRPr="00A021B7" w:rsidRDefault="003E03ED" w:rsidP="1A8E6423">
      <w:pPr>
        <w:ind w:firstLine="720"/>
        <w:jc w:val="both"/>
        <w:rPr>
          <w:rFonts w:ascii="Arial" w:hAnsi="Arial" w:cs="Arial"/>
          <w:sz w:val="20"/>
          <w:szCs w:val="20"/>
          <w:lang w:val="sr-Cyrl-RS"/>
        </w:rPr>
      </w:pPr>
    </w:p>
    <w:p w14:paraId="7FC703C8" w14:textId="744EA9B0" w:rsidR="003E03ED" w:rsidRPr="0093538B" w:rsidRDefault="003E03ED" w:rsidP="1A8E6423">
      <w:pPr>
        <w:ind w:firstLine="720"/>
        <w:jc w:val="both"/>
        <w:rPr>
          <w:rFonts w:ascii="Arial" w:hAnsi="Arial" w:cs="Arial"/>
          <w:sz w:val="20"/>
          <w:szCs w:val="20"/>
          <w:lang w:val="sr-Cyrl-RS"/>
        </w:rPr>
      </w:pPr>
      <w:r w:rsidRPr="0093538B">
        <w:rPr>
          <w:rFonts w:ascii="Arial" w:hAnsi="Arial" w:cs="Arial"/>
          <w:sz w:val="20"/>
          <w:szCs w:val="20"/>
          <w:lang w:val="sr-Cyrl-RS"/>
        </w:rPr>
        <w:t xml:space="preserve">Важно је напоменути да су у Републици Србији битне претпоставке у ширем контексту </w:t>
      </w:r>
      <w:r w:rsidR="00827CC5" w:rsidRPr="0093538B">
        <w:rPr>
          <w:rFonts w:ascii="Arial" w:hAnsi="Arial" w:cs="Arial"/>
          <w:sz w:val="20"/>
          <w:szCs w:val="20"/>
          <w:lang w:val="sr-Cyrl-RS"/>
        </w:rPr>
        <w:t xml:space="preserve">планског система постављене </w:t>
      </w:r>
      <w:r w:rsidRPr="0093538B">
        <w:rPr>
          <w:rFonts w:ascii="Arial" w:hAnsi="Arial" w:cs="Arial"/>
          <w:sz w:val="20"/>
          <w:szCs w:val="20"/>
          <w:lang w:val="sr-Cyrl-RS"/>
        </w:rPr>
        <w:t xml:space="preserve">2018/2019. године (усвајањем Закона о планском систему и пратећих </w:t>
      </w:r>
      <w:r w:rsidR="00F13BD6" w:rsidRPr="0093538B">
        <w:rPr>
          <w:rFonts w:ascii="Arial" w:hAnsi="Arial" w:cs="Arial"/>
          <w:sz w:val="20"/>
          <w:szCs w:val="20"/>
          <w:lang w:val="sr-Cyrl-RS"/>
        </w:rPr>
        <w:t>у</w:t>
      </w:r>
      <w:r w:rsidRPr="0093538B">
        <w:rPr>
          <w:rFonts w:ascii="Arial" w:hAnsi="Arial" w:cs="Arial"/>
          <w:sz w:val="20"/>
          <w:szCs w:val="20"/>
          <w:lang w:val="sr-Cyrl-RS"/>
        </w:rPr>
        <w:t>редби), што</w:t>
      </w:r>
      <w:r w:rsidR="00F13BD6" w:rsidRPr="0093538B">
        <w:rPr>
          <w:rFonts w:ascii="Arial" w:hAnsi="Arial" w:cs="Arial"/>
          <w:sz w:val="20"/>
          <w:szCs w:val="20"/>
          <w:lang w:val="sr-Cyrl-RS"/>
        </w:rPr>
        <w:t>,</w:t>
      </w:r>
      <w:r w:rsidRPr="0093538B">
        <w:rPr>
          <w:rFonts w:ascii="Arial" w:hAnsi="Arial" w:cs="Arial"/>
          <w:sz w:val="20"/>
          <w:szCs w:val="20"/>
          <w:lang w:val="sr-Cyrl-RS"/>
        </w:rPr>
        <w:t xml:space="preserve"> уз даље прилагођавање буџетирања новом оквиру</w:t>
      </w:r>
      <w:r w:rsidR="00F13BD6" w:rsidRPr="0093538B">
        <w:rPr>
          <w:rFonts w:ascii="Arial" w:hAnsi="Arial" w:cs="Arial"/>
          <w:sz w:val="20"/>
          <w:szCs w:val="20"/>
          <w:lang w:val="sr-Cyrl-RS"/>
        </w:rPr>
        <w:t>,</w:t>
      </w:r>
      <w:r w:rsidRPr="0093538B">
        <w:rPr>
          <w:rFonts w:ascii="Arial" w:hAnsi="Arial" w:cs="Arial"/>
          <w:sz w:val="20"/>
          <w:szCs w:val="20"/>
          <w:lang w:val="sr-Cyrl-RS"/>
        </w:rPr>
        <w:t xml:space="preserve"> подразумева </w:t>
      </w:r>
      <w:r w:rsidR="00827CC5" w:rsidRPr="0093538B">
        <w:rPr>
          <w:rFonts w:ascii="Arial" w:hAnsi="Arial" w:cs="Arial"/>
          <w:sz w:val="20"/>
          <w:szCs w:val="20"/>
          <w:lang w:val="sr-Cyrl-RS"/>
        </w:rPr>
        <w:t>упоредо</w:t>
      </w:r>
      <w:r w:rsidRPr="0093538B">
        <w:rPr>
          <w:rFonts w:ascii="Arial" w:hAnsi="Arial" w:cs="Arial"/>
          <w:sz w:val="20"/>
          <w:szCs w:val="20"/>
          <w:lang w:val="sr-Cyrl-RS"/>
        </w:rPr>
        <w:t xml:space="preserve"> и синхронизовано реформисање других повезаних процеса и подсистема управљања јавним финансијама у ЈЛС. То се посебно односи на </w:t>
      </w:r>
      <w:r w:rsidR="00CE205B" w:rsidRPr="0093538B">
        <w:rPr>
          <w:rFonts w:ascii="Arial" w:hAnsi="Arial" w:cs="Arial"/>
          <w:sz w:val="20"/>
          <w:szCs w:val="20"/>
          <w:lang w:val="sr-Cyrl-RS"/>
        </w:rPr>
        <w:t>планове развоја</w:t>
      </w:r>
      <w:r w:rsidR="0014738A" w:rsidRPr="0093538B">
        <w:rPr>
          <w:rFonts w:ascii="Arial" w:hAnsi="Arial" w:cs="Arial"/>
          <w:sz w:val="20"/>
          <w:szCs w:val="20"/>
          <w:lang w:val="sr-Cyrl-RS"/>
        </w:rPr>
        <w:t xml:space="preserve"> ЈЛС</w:t>
      </w:r>
      <w:r w:rsidR="00305400" w:rsidRPr="0093538B">
        <w:rPr>
          <w:rFonts w:ascii="Arial" w:hAnsi="Arial" w:cs="Arial"/>
          <w:sz w:val="20"/>
          <w:szCs w:val="20"/>
          <w:lang w:val="sr-Cyrl-RS"/>
        </w:rPr>
        <w:t xml:space="preserve"> и </w:t>
      </w:r>
      <w:r w:rsidR="004932D1" w:rsidRPr="0093538B">
        <w:rPr>
          <w:rFonts w:ascii="Arial" w:hAnsi="Arial" w:cs="Arial"/>
          <w:sz w:val="20"/>
          <w:szCs w:val="20"/>
          <w:lang w:val="sr-Cyrl-RS"/>
        </w:rPr>
        <w:t xml:space="preserve">средњорочно </w:t>
      </w:r>
      <w:r w:rsidRPr="0093538B">
        <w:rPr>
          <w:rFonts w:ascii="Arial" w:hAnsi="Arial" w:cs="Arial"/>
          <w:sz w:val="20"/>
          <w:szCs w:val="20"/>
          <w:lang w:val="sr-Cyrl-RS"/>
        </w:rPr>
        <w:t>планирање</w:t>
      </w:r>
      <w:r w:rsidR="00F13BD6" w:rsidRPr="0093538B">
        <w:rPr>
          <w:rFonts w:ascii="Arial" w:hAnsi="Arial" w:cs="Arial"/>
          <w:sz w:val="20"/>
          <w:szCs w:val="20"/>
          <w:lang w:val="sr-Cyrl-RS"/>
        </w:rPr>
        <w:t>,</w:t>
      </w:r>
      <w:r w:rsidRPr="0093538B">
        <w:rPr>
          <w:rFonts w:ascii="Arial" w:hAnsi="Arial" w:cs="Arial"/>
          <w:sz w:val="20"/>
          <w:szCs w:val="20"/>
          <w:lang w:val="sr-Cyrl-RS"/>
        </w:rPr>
        <w:t xml:space="preserve"> које је фигурирало као обавеза у оквиру ЗОБС и раније, али је само делимично заживело кроз програмско буџетирање и трогодишње пројектовање планираних расхода и издатака у оквиру одлука о буџету ЈЛС. Нови Закон о планском систему и Уредба о средњорочном планирању уводе знатно прецизнији оквир </w:t>
      </w:r>
      <w:r w:rsidR="00827CC5" w:rsidRPr="0093538B">
        <w:rPr>
          <w:rFonts w:ascii="Arial" w:hAnsi="Arial" w:cs="Arial"/>
          <w:sz w:val="20"/>
          <w:szCs w:val="20"/>
          <w:lang w:val="sr-Cyrl-RS"/>
        </w:rPr>
        <w:t>овог</w:t>
      </w:r>
      <w:r w:rsidRPr="0093538B">
        <w:rPr>
          <w:rFonts w:ascii="Arial" w:hAnsi="Arial" w:cs="Arial"/>
          <w:sz w:val="20"/>
          <w:szCs w:val="20"/>
          <w:lang w:val="sr-Cyrl-RS"/>
        </w:rPr>
        <w:t xml:space="preserve"> процес</w:t>
      </w:r>
      <w:r w:rsidR="00827CC5" w:rsidRPr="0093538B">
        <w:rPr>
          <w:rFonts w:ascii="Arial" w:hAnsi="Arial" w:cs="Arial"/>
          <w:sz w:val="20"/>
          <w:szCs w:val="20"/>
          <w:lang w:val="sr-Cyrl-RS"/>
        </w:rPr>
        <w:t>а</w:t>
      </w:r>
      <w:r w:rsidR="00F13BD6" w:rsidRPr="0093538B">
        <w:rPr>
          <w:rFonts w:ascii="Arial" w:hAnsi="Arial" w:cs="Arial"/>
          <w:sz w:val="20"/>
          <w:szCs w:val="20"/>
          <w:lang w:val="sr-Cyrl-RS"/>
        </w:rPr>
        <w:t>,</w:t>
      </w:r>
      <w:r w:rsidR="006743D2" w:rsidRPr="0093538B">
        <w:rPr>
          <w:rFonts w:ascii="Arial" w:hAnsi="Arial" w:cs="Arial"/>
          <w:sz w:val="20"/>
          <w:szCs w:val="20"/>
          <w:lang w:val="sr-Cyrl-RS"/>
        </w:rPr>
        <w:t xml:space="preserve"> као и обједињени календар средњорочног планирања и буџетирања, </w:t>
      </w:r>
      <w:r w:rsidR="006C733F" w:rsidRPr="0093538B">
        <w:rPr>
          <w:rFonts w:ascii="Arial" w:hAnsi="Arial" w:cs="Arial"/>
          <w:sz w:val="20"/>
          <w:szCs w:val="20"/>
          <w:lang w:val="sr-Cyrl-RS"/>
        </w:rPr>
        <w:t xml:space="preserve">и из њих произлазе и захтеви у погледу ЈЛС као обвезника средњорочног планирања, при чему средњорочни план града/општине обухвата све области </w:t>
      </w:r>
      <w:r w:rsidR="00827CC5" w:rsidRPr="0093538B">
        <w:rPr>
          <w:rFonts w:ascii="Arial" w:hAnsi="Arial" w:cs="Arial"/>
          <w:sz w:val="20"/>
          <w:szCs w:val="20"/>
          <w:lang w:val="sr-Cyrl-RS"/>
        </w:rPr>
        <w:t xml:space="preserve">и </w:t>
      </w:r>
      <w:r w:rsidR="006C733F" w:rsidRPr="0093538B">
        <w:rPr>
          <w:rFonts w:ascii="Arial" w:hAnsi="Arial" w:cs="Arial"/>
          <w:sz w:val="20"/>
          <w:szCs w:val="20"/>
          <w:lang w:val="sr-Cyrl-RS"/>
        </w:rPr>
        <w:t>надлежности које ЈЛС спроводи</w:t>
      </w:r>
      <w:r w:rsidR="00F13BD6" w:rsidRPr="0093538B">
        <w:rPr>
          <w:rFonts w:ascii="Arial" w:hAnsi="Arial" w:cs="Arial"/>
          <w:sz w:val="20"/>
          <w:szCs w:val="20"/>
          <w:lang w:val="sr-Cyrl-RS"/>
        </w:rPr>
        <w:t>,</w:t>
      </w:r>
      <w:r w:rsidR="006C733F" w:rsidRPr="0093538B">
        <w:rPr>
          <w:rFonts w:ascii="Arial" w:hAnsi="Arial" w:cs="Arial"/>
          <w:sz w:val="20"/>
          <w:szCs w:val="20"/>
          <w:lang w:val="sr-Cyrl-RS"/>
        </w:rPr>
        <w:t xml:space="preserve"> и треба да </w:t>
      </w:r>
      <w:r w:rsidR="00827CC5" w:rsidRPr="0093538B">
        <w:rPr>
          <w:rFonts w:ascii="Arial" w:hAnsi="Arial" w:cs="Arial"/>
          <w:sz w:val="20"/>
          <w:szCs w:val="20"/>
          <w:lang w:val="sr-Cyrl-RS"/>
        </w:rPr>
        <w:t>омогући спровођење</w:t>
      </w:r>
      <w:r w:rsidR="006C733F" w:rsidRPr="0093538B">
        <w:rPr>
          <w:rFonts w:ascii="Arial" w:hAnsi="Arial" w:cs="Arial"/>
          <w:sz w:val="20"/>
          <w:szCs w:val="20"/>
          <w:lang w:val="sr-Cyrl-RS"/>
        </w:rPr>
        <w:t xml:space="preserve"> </w:t>
      </w:r>
      <w:r w:rsidR="00F13BD6" w:rsidRPr="0093538B">
        <w:rPr>
          <w:rFonts w:ascii="Arial" w:hAnsi="Arial" w:cs="Arial"/>
          <w:sz w:val="20"/>
          <w:szCs w:val="20"/>
          <w:lang w:val="sr-Cyrl-RS"/>
        </w:rPr>
        <w:t>п</w:t>
      </w:r>
      <w:r w:rsidR="006C733F" w:rsidRPr="0093538B">
        <w:rPr>
          <w:rFonts w:ascii="Arial" w:hAnsi="Arial" w:cs="Arial"/>
          <w:sz w:val="20"/>
          <w:szCs w:val="20"/>
          <w:lang w:val="sr-Cyrl-RS"/>
        </w:rPr>
        <w:t>лан</w:t>
      </w:r>
      <w:r w:rsidR="00827CC5" w:rsidRPr="0093538B">
        <w:rPr>
          <w:rFonts w:ascii="Arial" w:hAnsi="Arial" w:cs="Arial"/>
          <w:sz w:val="20"/>
          <w:szCs w:val="20"/>
          <w:lang w:val="sr-Cyrl-RS"/>
        </w:rPr>
        <w:t>а</w:t>
      </w:r>
      <w:r w:rsidR="006C733F" w:rsidRPr="0093538B">
        <w:rPr>
          <w:rFonts w:ascii="Arial" w:hAnsi="Arial" w:cs="Arial"/>
          <w:sz w:val="20"/>
          <w:szCs w:val="20"/>
          <w:lang w:val="sr-Cyrl-RS"/>
        </w:rPr>
        <w:t xml:space="preserve"> развоја ЈЛС и </w:t>
      </w:r>
      <w:r w:rsidR="006743D2" w:rsidRPr="0093538B">
        <w:rPr>
          <w:rFonts w:ascii="Arial" w:hAnsi="Arial" w:cs="Arial"/>
          <w:sz w:val="20"/>
          <w:szCs w:val="20"/>
          <w:lang w:val="sr-Cyrl-RS"/>
        </w:rPr>
        <w:t xml:space="preserve">да </w:t>
      </w:r>
      <w:r w:rsidR="006C733F" w:rsidRPr="0093538B">
        <w:rPr>
          <w:rFonts w:ascii="Arial" w:hAnsi="Arial" w:cs="Arial"/>
          <w:sz w:val="20"/>
          <w:szCs w:val="20"/>
          <w:lang w:val="sr-Cyrl-RS"/>
        </w:rPr>
        <w:t>истовремено</w:t>
      </w:r>
      <w:r w:rsidR="006743D2" w:rsidRPr="0093538B">
        <w:rPr>
          <w:rFonts w:ascii="Arial" w:hAnsi="Arial" w:cs="Arial"/>
          <w:sz w:val="20"/>
          <w:szCs w:val="20"/>
          <w:lang w:val="sr-Cyrl-RS"/>
        </w:rPr>
        <w:t xml:space="preserve"> успостави везу са свим нивоима програмске структуре буџета конкретне ЈЛС.</w:t>
      </w:r>
    </w:p>
    <w:p w14:paraId="10E90380" w14:textId="77777777" w:rsidR="002C0805" w:rsidRPr="00A021B7" w:rsidRDefault="002C0805" w:rsidP="003E7BC9">
      <w:pPr>
        <w:jc w:val="both"/>
        <w:rPr>
          <w:rFonts w:ascii="Arial" w:hAnsi="Arial" w:cs="Arial"/>
          <w:iCs/>
          <w:sz w:val="20"/>
          <w:szCs w:val="20"/>
          <w:lang w:val="sr-Cyrl-RS"/>
        </w:rPr>
      </w:pPr>
    </w:p>
    <w:tbl>
      <w:tblPr>
        <w:tblStyle w:val="TableGrid1"/>
        <w:tblW w:w="0" w:type="auto"/>
        <w:tblLook w:val="04A0" w:firstRow="1" w:lastRow="0" w:firstColumn="1" w:lastColumn="0" w:noHBand="0" w:noVBand="1"/>
      </w:tblPr>
      <w:tblGrid>
        <w:gridCol w:w="9010"/>
      </w:tblGrid>
      <w:tr w:rsidR="003E03ED" w:rsidRPr="00A021B7" w14:paraId="7E6995D3" w14:textId="77777777" w:rsidTr="1A8E6423">
        <w:tc>
          <w:tcPr>
            <w:tcW w:w="9016" w:type="dxa"/>
          </w:tcPr>
          <w:p w14:paraId="5637F215" w14:textId="410F7AA5" w:rsidR="003E03ED" w:rsidRPr="00A021B7" w:rsidRDefault="003E03ED" w:rsidP="1A8E6423">
            <w:pPr>
              <w:jc w:val="both"/>
              <w:rPr>
                <w:rFonts w:ascii="Arial" w:hAnsi="Arial" w:cs="Arial"/>
                <w:b/>
                <w:bCs/>
                <w:i/>
                <w:iCs/>
                <w:sz w:val="20"/>
                <w:szCs w:val="20"/>
                <w:lang w:val="sr-Cyrl-RS"/>
              </w:rPr>
            </w:pPr>
            <w:r w:rsidRPr="1A8E6423">
              <w:rPr>
                <w:rFonts w:ascii="Arial" w:hAnsi="Arial" w:cs="Arial"/>
                <w:b/>
                <w:bCs/>
                <w:i/>
                <w:iCs/>
                <w:sz w:val="20"/>
                <w:szCs w:val="20"/>
                <w:lang w:val="sr-Cyrl-RS"/>
              </w:rPr>
              <w:t>Реформе у области јавних инвестиција</w:t>
            </w:r>
          </w:p>
          <w:p w14:paraId="3B4EEC64" w14:textId="77777777" w:rsidR="003E03ED" w:rsidRPr="00A021B7" w:rsidRDefault="003E03ED" w:rsidP="003E7BC9">
            <w:pPr>
              <w:jc w:val="both"/>
              <w:rPr>
                <w:rFonts w:ascii="Arial" w:hAnsi="Arial" w:cs="Arial"/>
                <w:iCs/>
                <w:sz w:val="20"/>
                <w:szCs w:val="20"/>
                <w:lang w:val="sr-Cyrl-RS"/>
              </w:rPr>
            </w:pPr>
          </w:p>
          <w:p w14:paraId="5DCF8D38" w14:textId="349F8962" w:rsidR="003E03ED" w:rsidRPr="00A021B7" w:rsidRDefault="35687A16" w:rsidP="1A8E6423">
            <w:pPr>
              <w:ind w:firstLine="338"/>
              <w:jc w:val="both"/>
              <w:rPr>
                <w:rFonts w:ascii="Arial" w:hAnsi="Arial" w:cs="Arial"/>
                <w:sz w:val="20"/>
                <w:szCs w:val="20"/>
                <w:lang w:val="sr-Cyrl-RS"/>
              </w:rPr>
            </w:pPr>
            <w:r w:rsidRPr="00A021B7">
              <w:rPr>
                <w:rFonts w:ascii="Arial" w:hAnsi="Arial" w:cs="Arial"/>
                <w:sz w:val="20"/>
                <w:szCs w:val="20"/>
                <w:lang w:val="sr-Cyrl-RS"/>
              </w:rPr>
              <w:t xml:space="preserve">Циклус планирања, буџетирања и спровођења пројеката јавних инвестиција на локалном нивоу (на свим нивоима) јесте саставни део општих планских и буџетских циклуса, али финансијски посебно захтеван и условљен применом других системских прописа (осим ЗОБС, </w:t>
            </w:r>
            <w:r w:rsidR="00F13BD6">
              <w:rPr>
                <w:rFonts w:ascii="Arial" w:hAnsi="Arial" w:cs="Arial"/>
                <w:sz w:val="20"/>
                <w:szCs w:val="20"/>
                <w:lang w:val="sr-Cyrl-RS"/>
              </w:rPr>
              <w:t>нпр.</w:t>
            </w:r>
            <w:r w:rsidR="00F13BD6" w:rsidRPr="00A021B7">
              <w:rPr>
                <w:rFonts w:ascii="Arial" w:hAnsi="Arial" w:cs="Arial"/>
                <w:sz w:val="20"/>
                <w:szCs w:val="20"/>
                <w:lang w:val="sr-Cyrl-RS"/>
              </w:rPr>
              <w:t xml:space="preserve"> </w:t>
            </w:r>
            <w:r w:rsidRPr="00A021B7">
              <w:rPr>
                <w:rFonts w:ascii="Arial" w:hAnsi="Arial" w:cs="Arial"/>
                <w:sz w:val="20"/>
                <w:szCs w:val="20"/>
                <w:lang w:val="sr-Cyrl-RS"/>
              </w:rPr>
              <w:t>Закона о планирању и изградњи</w:t>
            </w:r>
            <w:r w:rsidR="00F13BD6">
              <w:rPr>
                <w:rFonts w:ascii="Arial" w:hAnsi="Arial" w:cs="Arial"/>
                <w:sz w:val="20"/>
                <w:szCs w:val="20"/>
                <w:lang w:val="sr-Cyrl-RS"/>
              </w:rPr>
              <w:t xml:space="preserve"> и др.</w:t>
            </w:r>
            <w:r w:rsidRPr="00A021B7">
              <w:rPr>
                <w:rFonts w:ascii="Arial" w:hAnsi="Arial" w:cs="Arial"/>
                <w:sz w:val="20"/>
                <w:szCs w:val="20"/>
                <w:lang w:val="sr-Cyrl-RS"/>
              </w:rPr>
              <w:t>) те секторске легислативе (у домену заштите животне средине, енергетике, саобраћаја и сл.). Уредба о управљању капиталним пројектима</w:t>
            </w:r>
            <w:r w:rsidR="003E03ED" w:rsidRPr="00A021B7">
              <w:rPr>
                <w:rFonts w:ascii="Arial" w:hAnsi="Arial" w:cs="Arial"/>
                <w:sz w:val="20"/>
                <w:szCs w:val="20"/>
                <w:vertAlign w:val="superscript"/>
                <w:lang w:val="sr-Cyrl-RS"/>
              </w:rPr>
              <w:footnoteReference w:id="72"/>
            </w:r>
            <w:r w:rsidRPr="00A021B7">
              <w:rPr>
                <w:rFonts w:ascii="Arial" w:hAnsi="Arial" w:cs="Arial"/>
                <w:sz w:val="20"/>
                <w:szCs w:val="20"/>
                <w:lang w:val="sr-Cyrl-RS"/>
              </w:rPr>
              <w:t xml:space="preserve"> (у примени од краја јануара 2020. године) на свеобухватан начин уређује рангирање капиталних инвестиција на основу стратешке релевантности, степена припремљености и оцењене изводљивости, чиме се конкретизује нова методологија за управљање капиталним пројектима чији је фокус на инвестицијама веће вредности (изнад 5 милиона евра), док је опредељено/прописано да се у погледу пројеката мање вредности </w:t>
            </w:r>
            <w:r w:rsidRPr="00A021B7">
              <w:rPr>
                <w:rFonts w:ascii="Arial" w:hAnsi="Arial" w:cs="Arial"/>
                <w:sz w:val="20"/>
                <w:szCs w:val="20"/>
                <w:lang w:val="sr-Cyrl-RS"/>
              </w:rPr>
              <w:lastRenderedPageBreak/>
              <w:t>(типичнијих за ЛС) планирање расхода врши у складу са упутством за припрему буџета на основу ЗОБС.</w:t>
            </w:r>
          </w:p>
        </w:tc>
      </w:tr>
    </w:tbl>
    <w:p w14:paraId="33A5C2DA" w14:textId="77777777" w:rsidR="003E03ED" w:rsidRPr="00A021B7" w:rsidRDefault="003E03ED" w:rsidP="003E7BC9">
      <w:pPr>
        <w:jc w:val="both"/>
        <w:rPr>
          <w:rFonts w:ascii="Arial" w:hAnsi="Arial" w:cs="Arial"/>
          <w:iCs/>
          <w:sz w:val="20"/>
          <w:szCs w:val="20"/>
          <w:lang w:val="sr-Cyrl-RS"/>
        </w:rPr>
      </w:pPr>
    </w:p>
    <w:p w14:paraId="79310121" w14:textId="2725119B" w:rsidR="003E03ED" w:rsidRPr="00A021B7" w:rsidRDefault="35687A16" w:rsidP="1A8E6423">
      <w:pPr>
        <w:ind w:firstLine="720"/>
        <w:jc w:val="both"/>
        <w:rPr>
          <w:rFonts w:ascii="Arial" w:hAnsi="Arial" w:cs="Arial"/>
          <w:sz w:val="20"/>
          <w:szCs w:val="20"/>
          <w:lang w:val="sr-Cyrl-RS"/>
        </w:rPr>
      </w:pPr>
      <w:r w:rsidRPr="1A8E6423">
        <w:rPr>
          <w:rFonts w:ascii="Arial" w:hAnsi="Arial" w:cs="Arial"/>
          <w:sz w:val="20"/>
          <w:szCs w:val="20"/>
          <w:lang w:val="sr-Cyrl-RS"/>
        </w:rPr>
        <w:t>Прожимајући аспект управљања јавним финансијама односи се на интерну финансијску контролу у јавном сектору (ИФКЈ) кој</w:t>
      </w:r>
      <w:r w:rsidR="00F13BD6" w:rsidRPr="1A8E6423">
        <w:rPr>
          <w:rFonts w:ascii="Arial" w:hAnsi="Arial" w:cs="Arial"/>
          <w:sz w:val="20"/>
          <w:szCs w:val="20"/>
          <w:lang w:val="sr-Cyrl-RS"/>
        </w:rPr>
        <w:t>у</w:t>
      </w:r>
      <w:r w:rsidRPr="1A8E6423">
        <w:rPr>
          <w:rFonts w:ascii="Arial" w:hAnsi="Arial" w:cs="Arial"/>
          <w:sz w:val="20"/>
          <w:szCs w:val="20"/>
          <w:lang w:val="sr-Cyrl-RS"/>
        </w:rPr>
        <w:t xml:space="preserve"> ЗОБС третира кроз неколико важних елемената: финансијско управљање и контролу (ФУК); интерну ревизију (ИР); хармонизацију коју обавља Централна јединица за хармонизацију (ЦЈХ) у Министарству финансија. Иако су ови процеси дефинисани системским буџетским законом, њихова суштинска примена реализује се хоризонтално</w:t>
      </w:r>
      <w:r w:rsidR="00F13BD6" w:rsidRPr="1A8E6423">
        <w:rPr>
          <w:rFonts w:ascii="Arial" w:hAnsi="Arial" w:cs="Arial"/>
          <w:sz w:val="20"/>
          <w:szCs w:val="20"/>
          <w:lang w:val="sr-Cyrl-RS"/>
        </w:rPr>
        <w:t>,</w:t>
      </w:r>
      <w:r w:rsidRPr="1A8E6423">
        <w:rPr>
          <w:rFonts w:ascii="Arial" w:hAnsi="Arial" w:cs="Arial"/>
          <w:sz w:val="20"/>
          <w:szCs w:val="20"/>
          <w:lang w:val="sr-Cyrl-RS"/>
        </w:rPr>
        <w:t xml:space="preserve"> на нивоу управе</w:t>
      </w:r>
      <w:r w:rsidR="00F13BD6" w:rsidRPr="1A8E6423">
        <w:rPr>
          <w:rFonts w:ascii="Arial" w:hAnsi="Arial" w:cs="Arial"/>
          <w:sz w:val="20"/>
          <w:szCs w:val="20"/>
          <w:lang w:val="sr-Cyrl-RS"/>
        </w:rPr>
        <w:t>,</w:t>
      </w:r>
      <w:r w:rsidRPr="1A8E6423">
        <w:rPr>
          <w:rFonts w:ascii="Arial" w:hAnsi="Arial" w:cs="Arial"/>
          <w:sz w:val="20"/>
          <w:szCs w:val="20"/>
          <w:lang w:val="sr-Cyrl-RS"/>
        </w:rPr>
        <w:t xml:space="preserve"> и вертикално</w:t>
      </w:r>
      <w:r w:rsidR="00F13BD6" w:rsidRPr="1A8E6423">
        <w:rPr>
          <w:rFonts w:ascii="Arial" w:hAnsi="Arial" w:cs="Arial"/>
          <w:sz w:val="20"/>
          <w:szCs w:val="20"/>
          <w:lang w:val="sr-Cyrl-RS"/>
        </w:rPr>
        <w:t>,</w:t>
      </w:r>
      <w:r w:rsidRPr="1A8E6423">
        <w:rPr>
          <w:rFonts w:ascii="Arial" w:hAnsi="Arial" w:cs="Arial"/>
          <w:sz w:val="20"/>
          <w:szCs w:val="20"/>
          <w:lang w:val="sr-Cyrl-RS"/>
        </w:rPr>
        <w:t xml:space="preserve"> дефинисањем линија руководилачке одговорности у свим аспектима функционисања администрације. Отуда је природна повезаност ових функција управе са општим планским процесима, и консолидовање општих циљева унапређења пословања за потребе ФУК и ИР са елементима програмског буџетирања и средњорочног планирања. У претходној де</w:t>
      </w:r>
      <w:r w:rsidR="00F13BD6" w:rsidRPr="1A8E6423">
        <w:rPr>
          <w:rFonts w:ascii="Arial" w:hAnsi="Arial" w:cs="Arial"/>
          <w:sz w:val="20"/>
          <w:szCs w:val="20"/>
          <w:lang w:val="sr-Cyrl-RS"/>
        </w:rPr>
        <w:t>ценији</w:t>
      </w:r>
      <w:r w:rsidRPr="1A8E6423">
        <w:rPr>
          <w:rFonts w:ascii="Arial" w:hAnsi="Arial" w:cs="Arial"/>
          <w:sz w:val="20"/>
          <w:szCs w:val="20"/>
          <w:lang w:val="sr-Cyrl-RS"/>
        </w:rPr>
        <w:t xml:space="preserve"> (посебно од усвајања прве Стратегије ИФКЈ, 2009. године) учињени су знатни напори да се основе система поставе и надограђују</w:t>
      </w:r>
      <w:r w:rsidR="00F13BD6" w:rsidRPr="1A8E6423">
        <w:rPr>
          <w:rFonts w:ascii="Arial" w:hAnsi="Arial" w:cs="Arial"/>
          <w:sz w:val="20"/>
          <w:szCs w:val="20"/>
          <w:lang w:val="sr-Cyrl-RS"/>
        </w:rPr>
        <w:t>,</w:t>
      </w:r>
      <w:r w:rsidRPr="1A8E6423">
        <w:rPr>
          <w:rFonts w:ascii="Arial" w:hAnsi="Arial" w:cs="Arial"/>
          <w:sz w:val="20"/>
          <w:szCs w:val="20"/>
          <w:lang w:val="sr-Cyrl-RS"/>
        </w:rPr>
        <w:t xml:space="preserve"> посебно на нивоу централних корисника јавних средстава. Ово је донекле било условљено и захтевима из процеса европских интеграција у оквиру преговарачког поглавља 32</w:t>
      </w:r>
      <w:r w:rsidR="00F13BD6" w:rsidRPr="1A8E6423">
        <w:rPr>
          <w:rFonts w:ascii="Arial" w:hAnsi="Arial" w:cs="Arial"/>
          <w:sz w:val="20"/>
          <w:szCs w:val="20"/>
          <w:lang w:val="sr-Cyrl-RS"/>
        </w:rPr>
        <w:t>,</w:t>
      </w:r>
      <w:r w:rsidRPr="1A8E6423">
        <w:rPr>
          <w:rFonts w:ascii="Arial" w:hAnsi="Arial" w:cs="Arial"/>
          <w:sz w:val="20"/>
          <w:szCs w:val="20"/>
          <w:lang w:val="sr-Cyrl-RS"/>
        </w:rPr>
        <w:t xml:space="preserve"> који су у мањој мери потенцирали кориснике на локалном нивоу. Исто је констатовано и новом Стратегијом </w:t>
      </w:r>
      <w:r w:rsidRPr="1A8E6423">
        <w:rPr>
          <w:rFonts w:ascii="Arial" w:eastAsia="Arial" w:hAnsi="Arial" w:cs="Arial"/>
          <w:sz w:val="20"/>
          <w:szCs w:val="20"/>
          <w:lang w:val="sr-Cyrl-RS"/>
        </w:rPr>
        <w:t xml:space="preserve">развоја интерне финансијске контроле у јавном сектору у Републици Србији за период 2017–2020. </w:t>
      </w:r>
      <w:r w:rsidR="00A43ED8" w:rsidRPr="1A8E6423">
        <w:rPr>
          <w:rFonts w:ascii="Arial" w:eastAsia="Arial" w:hAnsi="Arial" w:cs="Arial"/>
          <w:sz w:val="20"/>
          <w:szCs w:val="20"/>
          <w:lang w:val="sr-Cyrl-RS"/>
        </w:rPr>
        <w:t>г</w:t>
      </w:r>
      <w:r w:rsidRPr="1A8E6423">
        <w:rPr>
          <w:rFonts w:ascii="Arial" w:eastAsia="Arial" w:hAnsi="Arial" w:cs="Arial"/>
          <w:sz w:val="20"/>
          <w:szCs w:val="20"/>
          <w:lang w:val="sr-Cyrl-RS"/>
        </w:rPr>
        <w:t>одине</w:t>
      </w:r>
      <w:r w:rsidR="00A43ED8" w:rsidRPr="1A8E6423">
        <w:rPr>
          <w:rFonts w:ascii="Arial" w:eastAsia="Arial" w:hAnsi="Arial" w:cs="Arial"/>
          <w:sz w:val="20"/>
          <w:szCs w:val="20"/>
          <w:lang w:val="sr-Cyrl-RS"/>
        </w:rPr>
        <w:t xml:space="preserve"> („</w:t>
      </w:r>
      <w:r w:rsidR="00A43ED8" w:rsidRPr="1A8E6423">
        <w:rPr>
          <w:rFonts w:ascii="Arial" w:hAnsi="Arial" w:cs="Arial"/>
          <w:sz w:val="20"/>
          <w:szCs w:val="20"/>
          <w:lang w:val="sr-Cyrl-RS"/>
        </w:rPr>
        <w:t>Службени гласник РС”, број 51/2017</w:t>
      </w:r>
      <w:r w:rsidR="00A43ED8" w:rsidRPr="1A8E6423">
        <w:rPr>
          <w:rFonts w:ascii="Arial" w:eastAsia="Arial" w:hAnsi="Arial" w:cs="Arial"/>
          <w:sz w:val="20"/>
          <w:szCs w:val="20"/>
          <w:lang w:val="sr-Cyrl-RS"/>
        </w:rPr>
        <w:t>)</w:t>
      </w:r>
      <w:r w:rsidRPr="1A8E6423">
        <w:rPr>
          <w:rFonts w:ascii="Arial" w:hAnsi="Arial" w:cs="Arial"/>
          <w:sz w:val="20"/>
          <w:szCs w:val="20"/>
          <w:lang w:val="sr-Cyrl-RS"/>
        </w:rPr>
        <w:t>,</w:t>
      </w:r>
      <w:r w:rsidR="00A43ED8" w:rsidRPr="1A8E6423">
        <w:rPr>
          <w:rFonts w:ascii="Arial" w:hAnsi="Arial" w:cs="Arial"/>
          <w:sz w:val="20"/>
          <w:szCs w:val="20"/>
          <w:lang w:val="sr-Cyrl-RS"/>
        </w:rPr>
        <w:t xml:space="preserve"> </w:t>
      </w:r>
      <w:r w:rsidRPr="1A8E6423">
        <w:rPr>
          <w:rFonts w:ascii="Arial" w:hAnsi="Arial" w:cs="Arial"/>
          <w:sz w:val="20"/>
          <w:szCs w:val="20"/>
          <w:lang w:val="sr-Cyrl-RS"/>
        </w:rPr>
        <w:t>где је јасно наглашена потреба</w:t>
      </w:r>
      <w:r w:rsidR="00983DCC" w:rsidRPr="1A8E6423">
        <w:rPr>
          <w:rFonts w:ascii="Arial" w:hAnsi="Arial" w:cs="Arial"/>
          <w:sz w:val="20"/>
          <w:szCs w:val="20"/>
          <w:lang w:val="sr-Cyrl-RS"/>
        </w:rPr>
        <w:t xml:space="preserve"> за</w:t>
      </w:r>
      <w:r w:rsidRPr="1A8E6423">
        <w:rPr>
          <w:rFonts w:ascii="Arial" w:hAnsi="Arial" w:cs="Arial"/>
          <w:sz w:val="20"/>
          <w:szCs w:val="20"/>
          <w:lang w:val="sr-Cyrl-RS"/>
        </w:rPr>
        <w:t xml:space="preserve"> унапређењ</w:t>
      </w:r>
      <w:r w:rsidR="00983DCC" w:rsidRPr="1A8E6423">
        <w:rPr>
          <w:rFonts w:ascii="Arial" w:hAnsi="Arial" w:cs="Arial"/>
          <w:sz w:val="20"/>
          <w:szCs w:val="20"/>
          <w:lang w:val="sr-Cyrl-RS"/>
        </w:rPr>
        <w:t>ем</w:t>
      </w:r>
      <w:r w:rsidRPr="1A8E6423">
        <w:rPr>
          <w:rFonts w:ascii="Arial" w:hAnsi="Arial" w:cs="Arial"/>
          <w:sz w:val="20"/>
          <w:szCs w:val="20"/>
          <w:lang w:val="sr-Cyrl-RS"/>
        </w:rPr>
        <w:t xml:space="preserve"> система на локалном нивоу.</w:t>
      </w:r>
    </w:p>
    <w:p w14:paraId="68054A51" w14:textId="77777777" w:rsidR="003E03ED" w:rsidRPr="00A021B7" w:rsidRDefault="003E03ED" w:rsidP="003E7BC9">
      <w:pPr>
        <w:rPr>
          <w:rFonts w:ascii="Arial" w:hAnsi="Arial" w:cs="Arial"/>
          <w:b/>
          <w:bCs/>
          <w:sz w:val="20"/>
          <w:szCs w:val="20"/>
          <w:lang w:val="sr-Cyrl-RS"/>
        </w:rPr>
      </w:pPr>
    </w:p>
    <w:p w14:paraId="2E010508" w14:textId="77777777" w:rsidR="00CE205B" w:rsidRPr="00A021B7" w:rsidRDefault="003E03ED" w:rsidP="004935B9">
      <w:pPr>
        <w:pStyle w:val="Heading3"/>
        <w:rPr>
          <w:noProof w:val="0"/>
          <w:lang w:val="sr-Cyrl-RS"/>
        </w:rPr>
      </w:pPr>
      <w:bookmarkStart w:id="80" w:name="_Toc52865782"/>
      <w:bookmarkStart w:id="81" w:name="_Toc52866193"/>
      <w:bookmarkStart w:id="82" w:name="_Toc56508442"/>
      <w:bookmarkStart w:id="83" w:name="_Toc60136078"/>
      <w:r w:rsidRPr="00A021B7">
        <w:rPr>
          <w:noProof w:val="0"/>
          <w:lang w:val="sr-Cyrl-RS"/>
        </w:rPr>
        <w:t>I</w:t>
      </w:r>
      <w:r w:rsidR="0092288B" w:rsidRPr="00A021B7">
        <w:rPr>
          <w:noProof w:val="0"/>
          <w:lang w:val="sr-Cyrl-RS"/>
        </w:rPr>
        <w:t>V</w:t>
      </w:r>
      <w:r w:rsidRPr="00A021B7">
        <w:rPr>
          <w:noProof w:val="0"/>
          <w:lang w:val="sr-Cyrl-RS"/>
        </w:rPr>
        <w:t>.5.</w:t>
      </w:r>
      <w:r w:rsidR="0092288B" w:rsidRPr="00A021B7">
        <w:rPr>
          <w:noProof w:val="0"/>
          <w:lang w:val="sr-Cyrl-RS"/>
        </w:rPr>
        <w:t>5.</w:t>
      </w:r>
      <w:r w:rsidRPr="00A021B7">
        <w:rPr>
          <w:noProof w:val="0"/>
          <w:lang w:val="sr-Cyrl-RS"/>
        </w:rPr>
        <w:t xml:space="preserve"> Изазови у систему финансирања локалне самоуправе</w:t>
      </w:r>
      <w:bookmarkEnd w:id="80"/>
      <w:bookmarkEnd w:id="81"/>
      <w:bookmarkEnd w:id="82"/>
      <w:bookmarkEnd w:id="83"/>
    </w:p>
    <w:p w14:paraId="782AC431" w14:textId="77777777" w:rsidR="003E03ED" w:rsidRPr="00A021B7" w:rsidRDefault="003E03ED" w:rsidP="003E7BC9">
      <w:pPr>
        <w:tabs>
          <w:tab w:val="left" w:pos="990"/>
        </w:tabs>
        <w:jc w:val="both"/>
        <w:rPr>
          <w:rFonts w:ascii="Arial" w:hAnsi="Arial" w:cs="Arial"/>
          <w:sz w:val="20"/>
          <w:szCs w:val="20"/>
          <w:lang w:val="sr-Cyrl-RS"/>
        </w:rPr>
      </w:pPr>
    </w:p>
    <w:p w14:paraId="1BB58629" w14:textId="34DB5FD1"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Од почетка примене ЗОФЛС до данас, било је измена и допуна и периода када није примењиван овај пропис</w:t>
      </w:r>
      <w:r w:rsidR="00983DCC">
        <w:rPr>
          <w:rFonts w:ascii="Arial" w:hAnsi="Arial" w:cs="Arial"/>
          <w:sz w:val="20"/>
          <w:szCs w:val="20"/>
          <w:lang w:val="sr-Cyrl-RS"/>
        </w:rPr>
        <w:t xml:space="preserve"> који је кључан</w:t>
      </w:r>
      <w:r w:rsidRPr="00A021B7">
        <w:rPr>
          <w:rFonts w:ascii="Arial" w:hAnsi="Arial" w:cs="Arial"/>
          <w:sz w:val="20"/>
          <w:szCs w:val="20"/>
          <w:lang w:val="sr-Cyrl-RS"/>
        </w:rPr>
        <w:t xml:space="preserve"> за финансирање локалне самоуправе и више промена у вези са приходима локалних власти. Осим изменама ЗОФЛС, приходи локалне самоуправе мењани су и изменама других закона. Већ током 2009. године ненаменски трансфер смањен је за око 15 милијарди РСД као последица суочавања са економском кризом и фискалног дефицита </w:t>
      </w:r>
      <w:r w:rsidR="00983DCC">
        <w:rPr>
          <w:rFonts w:ascii="Arial" w:hAnsi="Arial" w:cs="Arial"/>
          <w:sz w:val="20"/>
          <w:szCs w:val="20"/>
          <w:lang w:val="sr-Cyrl-RS"/>
        </w:rPr>
        <w:t>Р</w:t>
      </w:r>
      <w:r w:rsidRPr="00A021B7">
        <w:rPr>
          <w:rFonts w:ascii="Arial" w:hAnsi="Arial" w:cs="Arial"/>
          <w:sz w:val="20"/>
          <w:szCs w:val="20"/>
          <w:lang w:val="sr-Cyrl-RS"/>
        </w:rPr>
        <w:t xml:space="preserve">епублике. Затим је изменама ЗОФЛС 2011. године, повучен потез у супротном смеру и повећано учешће ЈЛС у порезу на зараде са 40% на 80%, са изузетком </w:t>
      </w:r>
      <w:r w:rsidR="00983DCC">
        <w:rPr>
          <w:rFonts w:ascii="Arial" w:hAnsi="Arial" w:cs="Arial"/>
          <w:sz w:val="20"/>
          <w:szCs w:val="20"/>
          <w:lang w:val="sr-Cyrl-RS"/>
        </w:rPr>
        <w:t>Г</w:t>
      </w:r>
      <w:r w:rsidRPr="00A021B7">
        <w:rPr>
          <w:rFonts w:ascii="Arial" w:hAnsi="Arial" w:cs="Arial"/>
          <w:sz w:val="20"/>
          <w:szCs w:val="20"/>
          <w:lang w:val="sr-Cyrl-RS"/>
        </w:rPr>
        <w:t>рада Београда</w:t>
      </w:r>
      <w:r w:rsidR="00983DCC">
        <w:rPr>
          <w:rFonts w:ascii="Arial" w:hAnsi="Arial" w:cs="Arial"/>
          <w:sz w:val="20"/>
          <w:szCs w:val="20"/>
          <w:lang w:val="sr-Cyrl-RS"/>
        </w:rPr>
        <w:t>,</w:t>
      </w:r>
      <w:r w:rsidRPr="00A021B7">
        <w:rPr>
          <w:rFonts w:ascii="Arial" w:hAnsi="Arial" w:cs="Arial"/>
          <w:sz w:val="20"/>
          <w:szCs w:val="20"/>
          <w:lang w:val="sr-Cyrl-RS"/>
        </w:rPr>
        <w:t xml:space="preserve"> који је остваривао учешће од 70% (додатни приход ЈЛС око 40 милијарди РСД). Током 2012. године измењени су изворни приходи: укинута је накнада за коришћење грађевинског земљишта, фирмарина је реформисана и одређени су максимални износи локалне комуналне таксе за држање моторних возила, чиме су смањени приходи локалне самоуправе </w:t>
      </w:r>
      <w:r w:rsidR="00983DCC">
        <w:rPr>
          <w:rFonts w:ascii="Arial" w:hAnsi="Arial" w:cs="Arial"/>
          <w:sz w:val="20"/>
          <w:szCs w:val="20"/>
          <w:lang w:val="sr-Cyrl-RS"/>
        </w:rPr>
        <w:t>на</w:t>
      </w:r>
      <w:r w:rsidRPr="00A021B7">
        <w:rPr>
          <w:rFonts w:ascii="Arial" w:hAnsi="Arial" w:cs="Arial"/>
          <w:sz w:val="20"/>
          <w:szCs w:val="20"/>
          <w:lang w:val="sr-Cyrl-RS"/>
        </w:rPr>
        <w:t xml:space="preserve"> основу ових накнада и такси. Средином 2013. године измењени су порески прописи када је смањена стопа пореза на зараде (са 12 % на 10%)</w:t>
      </w:r>
      <w:r w:rsidR="00983DCC">
        <w:rPr>
          <w:rFonts w:ascii="Arial" w:hAnsi="Arial" w:cs="Arial"/>
          <w:sz w:val="20"/>
          <w:szCs w:val="20"/>
          <w:lang w:val="sr-Cyrl-RS"/>
        </w:rPr>
        <w:t>,</w:t>
      </w:r>
      <w:r w:rsidRPr="00A021B7">
        <w:rPr>
          <w:rFonts w:ascii="Arial" w:hAnsi="Arial" w:cs="Arial"/>
          <w:sz w:val="20"/>
          <w:szCs w:val="20"/>
          <w:lang w:val="sr-Cyrl-RS"/>
        </w:rPr>
        <w:t xml:space="preserve"> а увећана стопа доприноса </w:t>
      </w:r>
      <w:r w:rsidR="00983DCC" w:rsidRPr="00A021B7">
        <w:rPr>
          <w:rFonts w:ascii="Arial" w:hAnsi="Arial" w:cs="Arial"/>
          <w:sz w:val="20"/>
          <w:szCs w:val="20"/>
          <w:lang w:val="sr-Cyrl-RS"/>
        </w:rPr>
        <w:t xml:space="preserve">ПИО </w:t>
      </w:r>
      <w:r w:rsidRPr="00A021B7">
        <w:rPr>
          <w:rFonts w:ascii="Arial" w:hAnsi="Arial" w:cs="Arial"/>
          <w:sz w:val="20"/>
          <w:szCs w:val="20"/>
          <w:lang w:val="sr-Cyrl-RS"/>
        </w:rPr>
        <w:t>(са 22% на 24%), чиме је дошло до прерасподеле јавних прихода између националног нивоа и локалне самоуправе у корист буџета републике (од око 20. милијарди РСД). У овом периоду дошло је и до прерасподеле прихода од пореза на издавање непокретности</w:t>
      </w:r>
      <w:r w:rsidR="00983DCC">
        <w:rPr>
          <w:rFonts w:ascii="Arial" w:hAnsi="Arial" w:cs="Arial"/>
          <w:sz w:val="20"/>
          <w:szCs w:val="20"/>
          <w:lang w:val="sr-Cyrl-RS"/>
        </w:rPr>
        <w:t>,</w:t>
      </w:r>
      <w:r w:rsidRPr="00A021B7">
        <w:rPr>
          <w:rFonts w:ascii="Arial" w:hAnsi="Arial" w:cs="Arial"/>
          <w:sz w:val="20"/>
          <w:szCs w:val="20"/>
          <w:lang w:val="sr-Cyrl-RS"/>
        </w:rPr>
        <w:t xml:space="preserve"> такође у корист националног нивоа. Следећа законска измена ЗОФЛС извршена је 2016. године са применом од 1.</w:t>
      </w:r>
      <w:r w:rsidR="00983DCC">
        <w:rPr>
          <w:rFonts w:ascii="Arial" w:hAnsi="Arial" w:cs="Arial"/>
          <w:sz w:val="20"/>
          <w:szCs w:val="20"/>
          <w:lang w:val="sr-Cyrl-RS"/>
        </w:rPr>
        <w:t xml:space="preserve"> </w:t>
      </w:r>
      <w:r w:rsidRPr="00A021B7">
        <w:rPr>
          <w:rFonts w:ascii="Arial" w:hAnsi="Arial" w:cs="Arial"/>
          <w:sz w:val="20"/>
          <w:szCs w:val="20"/>
          <w:lang w:val="sr-Cyrl-RS"/>
        </w:rPr>
        <w:t>1.</w:t>
      </w:r>
      <w:r w:rsidR="00983DCC">
        <w:rPr>
          <w:rFonts w:ascii="Arial" w:hAnsi="Arial" w:cs="Arial"/>
          <w:sz w:val="20"/>
          <w:szCs w:val="20"/>
          <w:lang w:val="sr-Cyrl-RS"/>
        </w:rPr>
        <w:t xml:space="preserve"> </w:t>
      </w:r>
      <w:r w:rsidRPr="00A021B7">
        <w:rPr>
          <w:rFonts w:ascii="Arial" w:hAnsi="Arial" w:cs="Arial"/>
          <w:sz w:val="20"/>
          <w:szCs w:val="20"/>
          <w:lang w:val="sr-Cyrl-RS"/>
        </w:rPr>
        <w:t xml:space="preserve">2017. године и односила се на смањење учешћа ЈЛС у порезу на зараде са 80% на 74% за општине, 77% за градове, а за </w:t>
      </w:r>
      <w:r w:rsidR="00983DCC">
        <w:rPr>
          <w:rFonts w:ascii="Arial" w:hAnsi="Arial" w:cs="Arial"/>
          <w:sz w:val="20"/>
          <w:szCs w:val="20"/>
          <w:lang w:val="sr-Cyrl-RS"/>
        </w:rPr>
        <w:t>Г</w:t>
      </w:r>
      <w:r w:rsidRPr="00A021B7">
        <w:rPr>
          <w:rFonts w:ascii="Arial" w:hAnsi="Arial" w:cs="Arial"/>
          <w:sz w:val="20"/>
          <w:szCs w:val="20"/>
          <w:lang w:val="sr-Cyrl-RS"/>
        </w:rPr>
        <w:t xml:space="preserve">рад Београд је смањена са 70% на 66% (за око 5 милијарди РСД је смањен приход локалне самоуправе). Напослетку, усвајањем Закона о накнадама за коришћење јавних добара (2018) формирани су нови приходи локалне самоуправе у складу са тим законом (том приликом укинут је део прихода, првенствено део такси, а садржина и методологија за израчунавање неких прихода </w:t>
      </w:r>
      <w:r w:rsidR="00983DCC">
        <w:rPr>
          <w:rFonts w:ascii="Arial" w:hAnsi="Arial" w:cs="Arial"/>
          <w:sz w:val="20"/>
          <w:szCs w:val="20"/>
          <w:lang w:val="sr-Cyrl-RS"/>
        </w:rPr>
        <w:t>су</w:t>
      </w:r>
      <w:r w:rsidRPr="00A021B7">
        <w:rPr>
          <w:rFonts w:ascii="Arial" w:hAnsi="Arial" w:cs="Arial"/>
          <w:sz w:val="20"/>
          <w:szCs w:val="20"/>
          <w:lang w:val="sr-Cyrl-RS"/>
        </w:rPr>
        <w:t xml:space="preserve"> промењен</w:t>
      </w:r>
      <w:r w:rsidR="00983DCC">
        <w:rPr>
          <w:rFonts w:ascii="Arial" w:hAnsi="Arial" w:cs="Arial"/>
          <w:sz w:val="20"/>
          <w:szCs w:val="20"/>
          <w:lang w:val="sr-Cyrl-RS"/>
        </w:rPr>
        <w:t>е</w:t>
      </w:r>
      <w:r w:rsidRPr="00A021B7">
        <w:rPr>
          <w:rFonts w:ascii="Arial" w:hAnsi="Arial" w:cs="Arial"/>
          <w:sz w:val="20"/>
          <w:szCs w:val="20"/>
          <w:lang w:val="sr-Cyrl-RS"/>
        </w:rPr>
        <w:t>).</w:t>
      </w:r>
      <w:r w:rsidR="003E03ED" w:rsidRPr="00A021B7">
        <w:rPr>
          <w:rFonts w:ascii="Arial" w:hAnsi="Arial" w:cs="Arial"/>
          <w:sz w:val="20"/>
          <w:szCs w:val="20"/>
          <w:vertAlign w:val="superscript"/>
          <w:lang w:val="sr-Cyrl-RS"/>
        </w:rPr>
        <w:footnoteReference w:id="73"/>
      </w:r>
      <w:r w:rsidRPr="00A021B7">
        <w:rPr>
          <w:rFonts w:ascii="Arial" w:hAnsi="Arial" w:cs="Arial"/>
          <w:sz w:val="20"/>
          <w:szCs w:val="20"/>
          <w:lang w:val="sr-Cyrl-RS"/>
        </w:rPr>
        <w:t xml:space="preserve"> Оно што је важно имати у виду јесте да су измене у области прихода локалне самоуправе често вршене у средини буџетске године, што је посебно представљало изазов за систем финансирања локалне самоуправе и управљање локалним буџетом.</w:t>
      </w:r>
    </w:p>
    <w:p w14:paraId="1DE89E33" w14:textId="77777777" w:rsidR="003E03ED" w:rsidRPr="00A021B7" w:rsidRDefault="003E03ED" w:rsidP="1A8E6423">
      <w:pPr>
        <w:ind w:firstLine="720"/>
        <w:jc w:val="both"/>
        <w:rPr>
          <w:rFonts w:ascii="Arial" w:hAnsi="Arial" w:cs="Arial"/>
          <w:sz w:val="20"/>
          <w:szCs w:val="20"/>
          <w:lang w:val="sr-Cyrl-RS"/>
        </w:rPr>
      </w:pPr>
    </w:p>
    <w:p w14:paraId="0009D310" w14:textId="4A61DD30"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Укупан износ ненаменског трансфера се из године у годину не мења, јер се Законом о буџету</w:t>
      </w:r>
      <w:r w:rsidR="00BD43E3">
        <w:rPr>
          <w:rFonts w:ascii="Arial" w:hAnsi="Arial" w:cs="Arial"/>
          <w:sz w:val="20"/>
          <w:szCs w:val="20"/>
          <w:lang w:val="sr-Cyrl-RS"/>
        </w:rPr>
        <w:t>,</w:t>
      </w:r>
      <w:r w:rsidRPr="00A021B7">
        <w:rPr>
          <w:rFonts w:ascii="Arial" w:hAnsi="Arial" w:cs="Arial"/>
          <w:sz w:val="20"/>
          <w:szCs w:val="20"/>
          <w:lang w:val="sr-Cyrl-RS"/>
        </w:rPr>
        <w:t xml:space="preserve"> </w:t>
      </w:r>
      <w:r w:rsidR="00BD43E3">
        <w:rPr>
          <w:rFonts w:ascii="Arial" w:hAnsi="Arial" w:cs="Arial"/>
          <w:sz w:val="20"/>
          <w:szCs w:val="20"/>
          <w:lang w:val="sr-Cyrl-RS"/>
        </w:rPr>
        <w:t>уз изузетак</w:t>
      </w:r>
      <w:r w:rsidR="00BD43E3" w:rsidRPr="00A021B7">
        <w:rPr>
          <w:rFonts w:ascii="Arial" w:hAnsi="Arial" w:cs="Arial"/>
          <w:sz w:val="20"/>
          <w:szCs w:val="20"/>
          <w:lang w:val="sr-Cyrl-RS"/>
        </w:rPr>
        <w:t xml:space="preserve"> </w:t>
      </w:r>
      <w:r w:rsidRPr="00A021B7">
        <w:rPr>
          <w:rFonts w:ascii="Arial" w:hAnsi="Arial" w:cs="Arial"/>
          <w:sz w:val="20"/>
          <w:szCs w:val="20"/>
          <w:lang w:val="sr-Cyrl-RS"/>
        </w:rPr>
        <w:t>у односу на Закон о финансирању локалне самоуправе, последњих неколико година утврђује конкретан износ овог трансфера за сваку ЈЛС. На тај начин се овај трансфер уређује у другом износу и на други начин у односу методологију коју предвиђа ЗОФЛС (1</w:t>
      </w:r>
      <w:r w:rsidR="00BD43E3">
        <w:rPr>
          <w:rFonts w:ascii="Arial" w:hAnsi="Arial" w:cs="Arial"/>
          <w:sz w:val="20"/>
          <w:szCs w:val="20"/>
          <w:lang w:val="sr-Cyrl-RS"/>
        </w:rPr>
        <w:t>,</w:t>
      </w:r>
      <w:r w:rsidRPr="00A021B7">
        <w:rPr>
          <w:rFonts w:ascii="Arial" w:hAnsi="Arial" w:cs="Arial"/>
          <w:sz w:val="20"/>
          <w:szCs w:val="20"/>
          <w:lang w:val="sr-Cyrl-RS"/>
        </w:rPr>
        <w:t xml:space="preserve">7% БДП). Треба истаћи да је локалним властима унапред познат планирани износ прихода од овог трансфера за наредну буџетску годину, јер се Упутством за сачињавање одлуке о буџету ЈЛС </w:t>
      </w:r>
      <w:r w:rsidRPr="00A021B7">
        <w:rPr>
          <w:rFonts w:ascii="Arial" w:hAnsi="Arial" w:cs="Arial"/>
          <w:sz w:val="20"/>
          <w:szCs w:val="20"/>
          <w:lang w:val="sr-Cyrl-RS"/>
        </w:rPr>
        <w:lastRenderedPageBreak/>
        <w:t xml:space="preserve">даје смерница ЈЛС да планирају ненаменске трансфере у идентичном износу као </w:t>
      </w:r>
      <w:r w:rsidR="00BD43E3">
        <w:rPr>
          <w:rFonts w:ascii="Arial" w:hAnsi="Arial" w:cs="Arial"/>
          <w:sz w:val="20"/>
          <w:szCs w:val="20"/>
          <w:lang w:val="sr-Cyrl-RS"/>
        </w:rPr>
        <w:t>у</w:t>
      </w:r>
      <w:r w:rsidR="00BD43E3" w:rsidRPr="00A021B7">
        <w:rPr>
          <w:rFonts w:ascii="Arial" w:hAnsi="Arial" w:cs="Arial"/>
          <w:sz w:val="20"/>
          <w:szCs w:val="20"/>
          <w:lang w:val="sr-Cyrl-RS"/>
        </w:rPr>
        <w:t xml:space="preserve"> </w:t>
      </w:r>
      <w:r w:rsidRPr="00A021B7">
        <w:rPr>
          <w:rFonts w:ascii="Arial" w:hAnsi="Arial" w:cs="Arial"/>
          <w:sz w:val="20"/>
          <w:szCs w:val="20"/>
          <w:lang w:val="sr-Cyrl-RS"/>
        </w:rPr>
        <w:t>претходној години. Последица постојеће ситуације јесте</w:t>
      </w:r>
      <w:r w:rsidR="00BD43E3">
        <w:rPr>
          <w:rFonts w:ascii="Arial" w:hAnsi="Arial" w:cs="Arial"/>
          <w:sz w:val="20"/>
          <w:szCs w:val="20"/>
          <w:lang w:val="sr-Cyrl-RS"/>
        </w:rPr>
        <w:t xml:space="preserve"> то</w:t>
      </w:r>
      <w:r w:rsidRPr="00A021B7">
        <w:rPr>
          <w:rFonts w:ascii="Arial" w:hAnsi="Arial" w:cs="Arial"/>
          <w:sz w:val="20"/>
          <w:szCs w:val="20"/>
          <w:lang w:val="sr-Cyrl-RS"/>
        </w:rPr>
        <w:t xml:space="preserve"> да је укупан износ ненаменског трансфера већ неколико година у </w:t>
      </w:r>
      <w:r w:rsidR="00BD43E3">
        <w:rPr>
          <w:rFonts w:ascii="Arial" w:hAnsi="Arial" w:cs="Arial"/>
          <w:sz w:val="20"/>
          <w:szCs w:val="20"/>
          <w:lang w:val="sr-Cyrl-RS"/>
        </w:rPr>
        <w:t>„</w:t>
      </w:r>
      <w:r w:rsidRPr="00A021B7">
        <w:rPr>
          <w:rFonts w:ascii="Arial" w:hAnsi="Arial" w:cs="Arial"/>
          <w:sz w:val="20"/>
          <w:szCs w:val="20"/>
          <w:lang w:val="sr-Cyrl-RS"/>
        </w:rPr>
        <w:t>замрзнутом” стању, што није интенција ЗОФЛС</w:t>
      </w:r>
      <w:r w:rsidR="00BD43E3">
        <w:rPr>
          <w:rFonts w:ascii="Arial" w:hAnsi="Arial" w:cs="Arial"/>
          <w:sz w:val="20"/>
          <w:szCs w:val="20"/>
          <w:lang w:val="sr-Cyrl-RS"/>
        </w:rPr>
        <w:t>,</w:t>
      </w:r>
      <w:r w:rsidRPr="00A021B7">
        <w:rPr>
          <w:rFonts w:ascii="Arial" w:hAnsi="Arial" w:cs="Arial"/>
          <w:sz w:val="20"/>
          <w:szCs w:val="20"/>
          <w:lang w:val="sr-Cyrl-RS"/>
        </w:rPr>
        <w:t xml:space="preserve"> којим је предвиђено да износ овог трансфера прати кретање БДП-а. Ову несагласност између два закона у вези са приходима локалне самоуправе, потребно је решити у наредном периоду, јер не представља добро нити системско решење. У оквиру процеса дијалога о реформама у овој области треба имати у виду да и сам систем обрачуна ненаменских трансфера који предвиђа ЗОФЛС, услед своје комплексности, није увек лако разумљив локалним властима. Такође, расподела овог трансфера у складу са методологијом из ЗОФЛС која је заснована на степену развијености ЈЛС, захтева иновирање листе развијености ЈЛС (последња листа развијености ЈЛС датира из 2014 године), како овај део методологије не би био предмет критике у вези </w:t>
      </w:r>
      <w:r w:rsidR="00BD43E3">
        <w:rPr>
          <w:rFonts w:ascii="Arial" w:hAnsi="Arial" w:cs="Arial"/>
          <w:sz w:val="20"/>
          <w:szCs w:val="20"/>
          <w:lang w:val="sr-Cyrl-RS"/>
        </w:rPr>
        <w:t xml:space="preserve">са </w:t>
      </w:r>
      <w:r w:rsidRPr="00A021B7">
        <w:rPr>
          <w:rFonts w:ascii="Arial" w:hAnsi="Arial" w:cs="Arial"/>
          <w:sz w:val="20"/>
          <w:szCs w:val="20"/>
          <w:lang w:val="sr-Cyrl-RS"/>
        </w:rPr>
        <w:t>утемељено</w:t>
      </w:r>
      <w:r w:rsidR="00BD43E3">
        <w:rPr>
          <w:rFonts w:ascii="Arial" w:hAnsi="Arial" w:cs="Arial"/>
          <w:sz w:val="20"/>
          <w:szCs w:val="20"/>
          <w:lang w:val="sr-Cyrl-RS"/>
        </w:rPr>
        <w:t>шћу</w:t>
      </w:r>
      <w:r w:rsidRPr="00A021B7">
        <w:rPr>
          <w:rFonts w:ascii="Arial" w:hAnsi="Arial" w:cs="Arial"/>
          <w:sz w:val="20"/>
          <w:szCs w:val="20"/>
          <w:lang w:val="sr-Cyrl-RS"/>
        </w:rPr>
        <w:t xml:space="preserve"> утврђеног степена развоја ЈЛС. Примедбе постоје и у вези са додељивањем средстава подршке из текуће буџетске резерве (намењених за непланиране сврхе или за сврхе за које средства на апропријацима нису била довољна), што такође треба размотрити и унапредити, како ова врста важне додатне подршке не би била предмет критике у вези са недостатком јасних критеријума за добијање ове врсте помоћи из буџета Републике.</w:t>
      </w:r>
      <w:r w:rsidR="003E03ED" w:rsidRPr="00A021B7">
        <w:rPr>
          <w:rFonts w:ascii="Arial" w:hAnsi="Arial" w:cs="Arial"/>
          <w:sz w:val="20"/>
          <w:szCs w:val="20"/>
          <w:vertAlign w:val="superscript"/>
          <w:lang w:val="sr-Cyrl-RS"/>
        </w:rPr>
        <w:footnoteReference w:id="74"/>
      </w:r>
    </w:p>
    <w:p w14:paraId="08614785" w14:textId="77777777" w:rsidR="00FB4475" w:rsidRPr="00A021B7" w:rsidRDefault="00FB4475" w:rsidP="1A8E6423">
      <w:pPr>
        <w:ind w:firstLine="720"/>
        <w:jc w:val="both"/>
        <w:rPr>
          <w:rFonts w:ascii="Arial" w:hAnsi="Arial" w:cs="Arial"/>
          <w:sz w:val="20"/>
          <w:szCs w:val="20"/>
          <w:lang w:val="sr-Cyrl-RS"/>
        </w:rPr>
      </w:pPr>
    </w:p>
    <w:p w14:paraId="5DF40AAC" w14:textId="2988D6CD" w:rsidR="004F6363" w:rsidRPr="00A021B7" w:rsidRDefault="35687A16" w:rsidP="1A8E6423">
      <w:pPr>
        <w:ind w:firstLine="720"/>
        <w:jc w:val="both"/>
        <w:rPr>
          <w:rFonts w:ascii="Arial" w:hAnsi="Arial" w:cs="Arial"/>
          <w:color w:val="000000"/>
          <w:sz w:val="20"/>
          <w:szCs w:val="20"/>
          <w:lang w:val="sr-Cyrl-RS"/>
        </w:rPr>
      </w:pPr>
      <w:r w:rsidRPr="00A021B7">
        <w:rPr>
          <w:rFonts w:ascii="Arial" w:hAnsi="Arial" w:cs="Arial"/>
          <w:sz w:val="20"/>
          <w:szCs w:val="20"/>
          <w:lang w:val="sr-Cyrl-RS"/>
        </w:rPr>
        <w:t>Предвидивост прихода је основа сваког система финансирања локалне самоуправе и један од основних захтева ЈЛС. Значајан број промена у области изворних и уступљених прихода и нејасан систем трансфера, лоше утич</w:t>
      </w:r>
      <w:r w:rsidR="00F4035C">
        <w:rPr>
          <w:rFonts w:ascii="Arial" w:hAnsi="Arial" w:cs="Arial"/>
          <w:sz w:val="20"/>
          <w:szCs w:val="20"/>
          <w:lang w:val="sr-Cyrl-RS"/>
        </w:rPr>
        <w:t>у</w:t>
      </w:r>
      <w:r w:rsidRPr="00A021B7">
        <w:rPr>
          <w:rFonts w:ascii="Arial" w:hAnsi="Arial" w:cs="Arial"/>
          <w:sz w:val="20"/>
          <w:szCs w:val="20"/>
          <w:lang w:val="sr-Cyrl-RS"/>
        </w:rPr>
        <w:t xml:space="preserve"> на предвидивост буџетских прихода ЈЛС, а нарочито негативно делуј</w:t>
      </w:r>
      <w:r w:rsidR="00F4035C">
        <w:rPr>
          <w:rFonts w:ascii="Arial" w:hAnsi="Arial" w:cs="Arial"/>
          <w:sz w:val="20"/>
          <w:szCs w:val="20"/>
          <w:lang w:val="sr-Cyrl-RS"/>
        </w:rPr>
        <w:t>у</w:t>
      </w:r>
      <w:r w:rsidRPr="00A021B7">
        <w:rPr>
          <w:rFonts w:ascii="Arial" w:hAnsi="Arial" w:cs="Arial"/>
          <w:sz w:val="20"/>
          <w:szCs w:val="20"/>
          <w:lang w:val="sr-Cyrl-RS"/>
        </w:rPr>
        <w:t xml:space="preserve"> на успех у вођењу локалне фискалне политике и управљање приходима, као и на процес планирања у ЈЛС. Управо зато је у наредном периоду кључно обезбедити стабилност и предвидивост локалних прихода, посебно прихода који имају изузетан утицај као што су порез на зараде и трансфери. Други кључни захтев ЈЛС, а и </w:t>
      </w:r>
      <w:r w:rsidR="005D7248">
        <w:rPr>
          <w:rFonts w:ascii="Arial" w:hAnsi="Arial" w:cs="Arial"/>
          <w:sz w:val="20"/>
          <w:szCs w:val="20"/>
          <w:lang w:val="sr-Cyrl-RS"/>
        </w:rPr>
        <w:t>начело</w:t>
      </w:r>
      <w:r w:rsidRPr="00A021B7">
        <w:rPr>
          <w:rFonts w:ascii="Arial" w:hAnsi="Arial" w:cs="Arial"/>
          <w:sz w:val="20"/>
          <w:szCs w:val="20"/>
          <w:lang w:val="sr-Cyrl-RS"/>
        </w:rPr>
        <w:t xml:space="preserve"> из самог ЗОФЛС, јесте гаранција довољности прихода (члан 3. ЗОФЛС). У складу са њим, републички ниво јавне власти има обавезу да при сваком преношењу и поверавању нових послова ЈЛС обезбеди средства или изворе прихода за њихово финансирање. Отворено је питање да ли је ов</w:t>
      </w:r>
      <w:r w:rsidR="005D7248">
        <w:rPr>
          <w:rFonts w:ascii="Arial" w:hAnsi="Arial" w:cs="Arial"/>
          <w:sz w:val="20"/>
          <w:szCs w:val="20"/>
          <w:lang w:val="sr-Cyrl-RS"/>
        </w:rPr>
        <w:t>о</w:t>
      </w:r>
      <w:r w:rsidRPr="00A021B7">
        <w:rPr>
          <w:rFonts w:ascii="Arial" w:hAnsi="Arial" w:cs="Arial"/>
          <w:sz w:val="20"/>
          <w:szCs w:val="20"/>
          <w:lang w:val="sr-Cyrl-RS"/>
        </w:rPr>
        <w:t xml:space="preserve"> </w:t>
      </w:r>
      <w:r w:rsidR="005D7248">
        <w:rPr>
          <w:rFonts w:ascii="Arial" w:hAnsi="Arial" w:cs="Arial"/>
          <w:sz w:val="20"/>
          <w:szCs w:val="20"/>
          <w:lang w:val="sr-Cyrl-RS"/>
        </w:rPr>
        <w:t>начело</w:t>
      </w:r>
      <w:r w:rsidRPr="00A021B7">
        <w:rPr>
          <w:rFonts w:ascii="Arial" w:hAnsi="Arial" w:cs="Arial"/>
          <w:sz w:val="20"/>
          <w:szCs w:val="20"/>
          <w:lang w:val="sr-Cyrl-RS"/>
        </w:rPr>
        <w:t xml:space="preserve"> поштован</w:t>
      </w:r>
      <w:r w:rsidR="005D7248">
        <w:rPr>
          <w:rFonts w:ascii="Arial" w:hAnsi="Arial" w:cs="Arial"/>
          <w:sz w:val="20"/>
          <w:szCs w:val="20"/>
          <w:lang w:val="sr-Cyrl-RS"/>
        </w:rPr>
        <w:t>о</w:t>
      </w:r>
      <w:r w:rsidRPr="00A021B7">
        <w:rPr>
          <w:rFonts w:ascii="Arial" w:hAnsi="Arial" w:cs="Arial"/>
          <w:sz w:val="20"/>
          <w:szCs w:val="20"/>
          <w:lang w:val="sr-Cyrl-RS"/>
        </w:rPr>
        <w:t xml:space="preserve"> у претходном периоду или су надлежности преношене без претходне анализе потреба и без нових прихода за финансирање пренесених надлежности. Примену овог </w:t>
      </w:r>
      <w:r w:rsidR="005D7248">
        <w:rPr>
          <w:rFonts w:ascii="Arial" w:hAnsi="Arial" w:cs="Arial"/>
          <w:sz w:val="20"/>
          <w:szCs w:val="20"/>
          <w:lang w:val="sr-Cyrl-RS"/>
        </w:rPr>
        <w:t>начел</w:t>
      </w:r>
      <w:r w:rsidRPr="00A021B7">
        <w:rPr>
          <w:rFonts w:ascii="Arial" w:hAnsi="Arial" w:cs="Arial"/>
          <w:sz w:val="20"/>
          <w:szCs w:val="20"/>
          <w:lang w:val="sr-Cyrl-RS"/>
        </w:rPr>
        <w:t>а треба посматрати</w:t>
      </w:r>
      <w:r w:rsidR="17C5A610" w:rsidRPr="00A021B7">
        <w:rPr>
          <w:rFonts w:ascii="Arial" w:hAnsi="Arial" w:cs="Arial"/>
          <w:sz w:val="20"/>
          <w:szCs w:val="20"/>
          <w:lang w:val="sr-Cyrl-RS"/>
        </w:rPr>
        <w:t xml:space="preserve"> и</w:t>
      </w:r>
      <w:r w:rsidRPr="00A021B7">
        <w:rPr>
          <w:rFonts w:ascii="Arial" w:hAnsi="Arial" w:cs="Arial"/>
          <w:sz w:val="20"/>
          <w:szCs w:val="20"/>
          <w:lang w:val="sr-Cyrl-RS"/>
        </w:rPr>
        <w:t xml:space="preserve"> са становишта да ли </w:t>
      </w:r>
      <w:r w:rsidR="17C5A610" w:rsidRPr="00A021B7">
        <w:rPr>
          <w:rFonts w:ascii="Arial" w:hAnsi="Arial" w:cs="Arial"/>
          <w:sz w:val="20"/>
          <w:szCs w:val="20"/>
          <w:lang w:val="sr-Cyrl-RS"/>
        </w:rPr>
        <w:t xml:space="preserve">и у постојећем систему </w:t>
      </w:r>
      <w:r w:rsidRPr="00A021B7">
        <w:rPr>
          <w:rFonts w:ascii="Arial" w:hAnsi="Arial" w:cs="Arial"/>
          <w:sz w:val="20"/>
          <w:szCs w:val="20"/>
          <w:lang w:val="sr-Cyrl-RS"/>
        </w:rPr>
        <w:t xml:space="preserve">локалне </w:t>
      </w:r>
      <w:r w:rsidR="114AD4DE" w:rsidRPr="00A021B7">
        <w:rPr>
          <w:rFonts w:ascii="Arial" w:hAnsi="Arial" w:cs="Arial"/>
          <w:sz w:val="20"/>
          <w:szCs w:val="20"/>
          <w:lang w:val="sr-Cyrl-RS"/>
        </w:rPr>
        <w:t xml:space="preserve">самоуправе </w:t>
      </w:r>
      <w:r w:rsidRPr="00A021B7">
        <w:rPr>
          <w:rFonts w:ascii="Arial" w:hAnsi="Arial" w:cs="Arial"/>
          <w:sz w:val="20"/>
          <w:szCs w:val="20"/>
          <w:lang w:val="sr-Cyrl-RS"/>
        </w:rPr>
        <w:t xml:space="preserve">има довољно финансијских средстава за </w:t>
      </w:r>
      <w:r w:rsidR="17C5A610" w:rsidRPr="00A021B7">
        <w:rPr>
          <w:rFonts w:ascii="Arial" w:hAnsi="Arial" w:cs="Arial"/>
          <w:sz w:val="20"/>
          <w:szCs w:val="20"/>
          <w:lang w:val="sr-Cyrl-RS"/>
        </w:rPr>
        <w:t>ниво надлежности који му је додељен</w:t>
      </w:r>
      <w:r w:rsidRPr="00A021B7">
        <w:rPr>
          <w:rFonts w:ascii="Arial" w:hAnsi="Arial" w:cs="Arial"/>
          <w:sz w:val="20"/>
          <w:szCs w:val="20"/>
          <w:lang w:val="sr-Cyrl-RS"/>
        </w:rPr>
        <w:t xml:space="preserve">. У претходном периоду није дубље разматрано ово питање, нити је дефинисана барем основна методологија за мерење потребних средстава за финансирање неког посла који се преноси ЈЛС или који већ обављају градови и општине. Из тог разлога, веома је тешко проценити да ли локална самоуправа располаже довољним нивоом прихода за своје надлежности. </w:t>
      </w:r>
      <w:r w:rsidR="00F4035C">
        <w:rPr>
          <w:rFonts w:ascii="Arial" w:hAnsi="Arial" w:cs="Arial"/>
          <w:sz w:val="20"/>
          <w:szCs w:val="20"/>
          <w:lang w:val="sr-Cyrl-RS"/>
        </w:rPr>
        <w:t>С обзиром на</w:t>
      </w:r>
      <w:r w:rsidRPr="00A021B7">
        <w:rPr>
          <w:rFonts w:ascii="Arial" w:hAnsi="Arial" w:cs="Arial"/>
          <w:sz w:val="20"/>
          <w:szCs w:val="20"/>
          <w:lang w:val="sr-Cyrl-RS"/>
        </w:rPr>
        <w:t xml:space="preserve"> компаративну праксу, може се рећи да је у финансијском значају и уделу ЛС у укупним јавним приход</w:t>
      </w:r>
      <w:r w:rsidR="00F4035C">
        <w:rPr>
          <w:rFonts w:ascii="Arial" w:hAnsi="Arial" w:cs="Arial"/>
          <w:sz w:val="20"/>
          <w:szCs w:val="20"/>
          <w:lang w:val="sr-Cyrl-RS"/>
        </w:rPr>
        <w:t>им</w:t>
      </w:r>
      <w:r w:rsidRPr="00A021B7">
        <w:rPr>
          <w:rFonts w:ascii="Arial" w:hAnsi="Arial" w:cs="Arial"/>
          <w:sz w:val="20"/>
          <w:szCs w:val="20"/>
          <w:lang w:val="sr-Cyrl-RS"/>
        </w:rPr>
        <w:t>а и расходима, локална самоуправа у Србији тренутно око просека земаља из свог окружења</w:t>
      </w:r>
      <w:r w:rsidR="003E03ED" w:rsidRPr="00A021B7">
        <w:rPr>
          <w:rFonts w:ascii="Arial" w:hAnsi="Arial" w:cs="Arial"/>
          <w:sz w:val="20"/>
          <w:szCs w:val="20"/>
          <w:vertAlign w:val="superscript"/>
          <w:lang w:val="sr-Cyrl-RS"/>
        </w:rPr>
        <w:footnoteReference w:id="75"/>
      </w:r>
      <w:r w:rsidR="00F4035C">
        <w:rPr>
          <w:rFonts w:ascii="Arial" w:hAnsi="Arial" w:cs="Arial"/>
          <w:sz w:val="20"/>
          <w:szCs w:val="20"/>
          <w:lang w:val="sr-Cyrl-RS"/>
        </w:rPr>
        <w:t>,</w:t>
      </w:r>
      <w:r w:rsidRPr="00A021B7">
        <w:rPr>
          <w:rFonts w:ascii="Arial" w:hAnsi="Arial" w:cs="Arial"/>
          <w:sz w:val="20"/>
          <w:szCs w:val="20"/>
          <w:lang w:val="sr-Cyrl-RS"/>
        </w:rPr>
        <w:t xml:space="preserve"> али и да </w:t>
      </w:r>
      <w:r w:rsidR="00F4035C" w:rsidRPr="00A021B7">
        <w:rPr>
          <w:rFonts w:ascii="Arial" w:hAnsi="Arial" w:cs="Arial"/>
          <w:sz w:val="20"/>
          <w:szCs w:val="20"/>
          <w:lang w:val="sr-Cyrl-RS"/>
        </w:rPr>
        <w:t>зна</w:t>
      </w:r>
      <w:r w:rsidR="00F4035C">
        <w:rPr>
          <w:rFonts w:ascii="Arial" w:hAnsi="Arial" w:cs="Arial"/>
          <w:sz w:val="20"/>
          <w:szCs w:val="20"/>
          <w:lang w:val="sr-Cyrl-RS"/>
        </w:rPr>
        <w:t>т</w:t>
      </w:r>
      <w:r w:rsidR="00F4035C" w:rsidRPr="00A021B7">
        <w:rPr>
          <w:rFonts w:ascii="Arial" w:hAnsi="Arial" w:cs="Arial"/>
          <w:sz w:val="20"/>
          <w:szCs w:val="20"/>
          <w:lang w:val="sr-Cyrl-RS"/>
        </w:rPr>
        <w:t xml:space="preserve">но </w:t>
      </w:r>
      <w:r w:rsidRPr="00A021B7">
        <w:rPr>
          <w:rFonts w:ascii="Arial" w:hAnsi="Arial" w:cs="Arial"/>
          <w:sz w:val="20"/>
          <w:szCs w:val="20"/>
          <w:lang w:val="sr-Cyrl-RS"/>
        </w:rPr>
        <w:t xml:space="preserve">заостаје за </w:t>
      </w:r>
      <w:r w:rsidR="00F4035C">
        <w:rPr>
          <w:rFonts w:ascii="Arial" w:hAnsi="Arial" w:cs="Arial"/>
          <w:sz w:val="20"/>
          <w:szCs w:val="20"/>
          <w:lang w:val="sr-Cyrl-RS"/>
        </w:rPr>
        <w:t>великим</w:t>
      </w:r>
      <w:r w:rsidR="00F4035C" w:rsidRPr="00A021B7">
        <w:rPr>
          <w:rFonts w:ascii="Arial" w:hAnsi="Arial" w:cs="Arial"/>
          <w:sz w:val="20"/>
          <w:szCs w:val="20"/>
          <w:lang w:val="sr-Cyrl-RS"/>
        </w:rPr>
        <w:t xml:space="preserve"> </w:t>
      </w:r>
      <w:r w:rsidRPr="00A021B7">
        <w:rPr>
          <w:rFonts w:ascii="Arial" w:hAnsi="Arial" w:cs="Arial"/>
          <w:sz w:val="20"/>
          <w:szCs w:val="20"/>
          <w:lang w:val="sr-Cyrl-RS"/>
        </w:rPr>
        <w:t>бројем земаља ЕУ и просеком ЕУ28.</w:t>
      </w:r>
      <w:r w:rsidR="003E03ED" w:rsidRPr="00A021B7">
        <w:rPr>
          <w:rFonts w:ascii="Arial" w:hAnsi="Arial" w:cs="Arial"/>
          <w:sz w:val="20"/>
          <w:szCs w:val="20"/>
          <w:vertAlign w:val="superscript"/>
          <w:lang w:val="sr-Cyrl-RS"/>
        </w:rPr>
        <w:footnoteReference w:id="76"/>
      </w:r>
      <w:r w:rsidRPr="00A021B7" w:rsidDel="00F86EEF">
        <w:rPr>
          <w:rFonts w:ascii="Arial" w:hAnsi="Arial" w:cs="Arial"/>
          <w:sz w:val="20"/>
          <w:szCs w:val="20"/>
          <w:lang w:val="sr-Cyrl-RS"/>
        </w:rPr>
        <w:t xml:space="preserve"> </w:t>
      </w:r>
      <w:r w:rsidRPr="00A021B7">
        <w:rPr>
          <w:rFonts w:ascii="Arial" w:hAnsi="Arial" w:cs="Arial"/>
          <w:sz w:val="20"/>
          <w:szCs w:val="20"/>
          <w:lang w:val="sr-Cyrl-RS"/>
        </w:rPr>
        <w:t xml:space="preserve">По правилу, зависно од угла гледања, ставови у вези са овим питањем се </w:t>
      </w:r>
      <w:r w:rsidR="00F4035C">
        <w:rPr>
          <w:rFonts w:ascii="Arial" w:hAnsi="Arial" w:cs="Arial"/>
          <w:sz w:val="20"/>
          <w:szCs w:val="20"/>
          <w:lang w:val="sr-Cyrl-RS"/>
        </w:rPr>
        <w:t>бит</w:t>
      </w:r>
      <w:r w:rsidR="00F4035C" w:rsidRPr="00A021B7">
        <w:rPr>
          <w:rFonts w:ascii="Arial" w:hAnsi="Arial" w:cs="Arial"/>
          <w:sz w:val="20"/>
          <w:szCs w:val="20"/>
          <w:lang w:val="sr-Cyrl-RS"/>
        </w:rPr>
        <w:t xml:space="preserve">но </w:t>
      </w:r>
      <w:r w:rsidRPr="00A021B7">
        <w:rPr>
          <w:rFonts w:ascii="Arial" w:hAnsi="Arial" w:cs="Arial"/>
          <w:sz w:val="20"/>
          <w:szCs w:val="20"/>
          <w:lang w:val="sr-Cyrl-RS"/>
        </w:rPr>
        <w:t>разликују (ЈЛС генерално сматрају да немају довољно средстава</w:t>
      </w:r>
      <w:r w:rsidR="00F4035C">
        <w:rPr>
          <w:rFonts w:ascii="Arial" w:hAnsi="Arial" w:cs="Arial"/>
          <w:sz w:val="20"/>
          <w:szCs w:val="20"/>
          <w:lang w:val="sr-Cyrl-RS"/>
        </w:rPr>
        <w:t>,</w:t>
      </w:r>
      <w:r w:rsidRPr="00A021B7">
        <w:rPr>
          <w:rFonts w:ascii="Arial" w:hAnsi="Arial" w:cs="Arial"/>
          <w:sz w:val="20"/>
          <w:szCs w:val="20"/>
          <w:lang w:val="sr-Cyrl-RS"/>
        </w:rPr>
        <w:t xml:space="preserve"> а национални ниво</w:t>
      </w:r>
      <w:r w:rsidR="00F4035C">
        <w:rPr>
          <w:rFonts w:ascii="Arial" w:hAnsi="Arial" w:cs="Arial"/>
          <w:sz w:val="20"/>
          <w:szCs w:val="20"/>
          <w:lang w:val="sr-Cyrl-RS"/>
        </w:rPr>
        <w:t xml:space="preserve"> сматра</w:t>
      </w:r>
      <w:r w:rsidRPr="00A021B7">
        <w:rPr>
          <w:rFonts w:ascii="Arial" w:hAnsi="Arial" w:cs="Arial"/>
          <w:sz w:val="20"/>
          <w:szCs w:val="20"/>
          <w:lang w:val="sr-Cyrl-RS"/>
        </w:rPr>
        <w:t xml:space="preserve"> да имају, па и то да су у једном периоду имале и више него што је било потребно). Из тог разлога, у наредном периоду је потребно интензивирати активности на дефинисању алата којима ће се барем на основни начин моћи измерити довољност прихода локалне самоуправе за обављање њених послова</w:t>
      </w:r>
      <w:r w:rsidR="00F4035C">
        <w:rPr>
          <w:rFonts w:ascii="Arial" w:hAnsi="Arial" w:cs="Arial"/>
          <w:sz w:val="20"/>
          <w:szCs w:val="20"/>
          <w:lang w:val="sr-Cyrl-RS"/>
        </w:rPr>
        <w:t>,</w:t>
      </w:r>
      <w:r w:rsidRPr="00A021B7">
        <w:rPr>
          <w:rFonts w:ascii="Arial" w:hAnsi="Arial" w:cs="Arial"/>
          <w:sz w:val="20"/>
          <w:szCs w:val="20"/>
          <w:lang w:val="sr-Cyrl-RS"/>
        </w:rPr>
        <w:t xml:space="preserve"> а онда на основу тога и </w:t>
      </w:r>
      <w:r w:rsidRPr="00A021B7">
        <w:rPr>
          <w:rFonts w:ascii="Arial" w:hAnsi="Arial" w:cs="Arial"/>
          <w:sz w:val="20"/>
          <w:szCs w:val="20"/>
          <w:lang w:val="sr-Cyrl-RS"/>
        </w:rPr>
        <w:lastRenderedPageBreak/>
        <w:t>планирати даље јавне политике у вези са финансирањем локалне самоуправе.</w:t>
      </w:r>
      <w:r w:rsidR="339F73C1" w:rsidRPr="00A021B7">
        <w:rPr>
          <w:rFonts w:ascii="Arial" w:hAnsi="Arial" w:cs="Arial"/>
          <w:sz w:val="20"/>
          <w:szCs w:val="20"/>
          <w:lang w:val="sr-Cyrl-RS"/>
        </w:rPr>
        <w:t xml:space="preserve"> </w:t>
      </w:r>
      <w:r w:rsidR="2374F615" w:rsidRPr="00A021B7">
        <w:rPr>
          <w:rFonts w:ascii="Arial" w:hAnsi="Arial" w:cs="Arial"/>
          <w:sz w:val="20"/>
          <w:szCs w:val="20"/>
          <w:lang w:val="sr-Cyrl-RS"/>
        </w:rPr>
        <w:t>У</w:t>
      </w:r>
      <w:r w:rsidR="339F73C1" w:rsidRPr="00A021B7">
        <w:rPr>
          <w:rFonts w:ascii="Arial" w:hAnsi="Arial" w:cs="Arial"/>
          <w:sz w:val="20"/>
          <w:szCs w:val="20"/>
          <w:lang w:val="sr-Cyrl-RS"/>
        </w:rPr>
        <w:t xml:space="preserve"> овом процесу треба посебно </w:t>
      </w:r>
      <w:r w:rsidR="63B7A0A0" w:rsidRPr="00A021B7">
        <w:rPr>
          <w:rFonts w:ascii="Arial" w:hAnsi="Arial" w:cs="Arial"/>
          <w:sz w:val="20"/>
          <w:szCs w:val="20"/>
          <w:lang w:val="sr-Cyrl-RS"/>
        </w:rPr>
        <w:t xml:space="preserve">разматрати положај и подстицаје односно </w:t>
      </w:r>
      <w:r w:rsidR="18D491C6" w:rsidRPr="00A021B7">
        <w:rPr>
          <w:rFonts w:ascii="Arial" w:hAnsi="Arial" w:cs="Arial"/>
          <w:sz w:val="20"/>
          <w:szCs w:val="20"/>
          <w:lang w:val="sr-Cyrl-RS"/>
        </w:rPr>
        <w:t xml:space="preserve">мере за даљу </w:t>
      </w:r>
      <w:r w:rsidR="63B7A0A0" w:rsidRPr="00A021B7">
        <w:rPr>
          <w:rFonts w:ascii="Arial" w:hAnsi="Arial" w:cs="Arial"/>
          <w:sz w:val="20"/>
          <w:szCs w:val="20"/>
          <w:lang w:val="sr-Cyrl-RS"/>
        </w:rPr>
        <w:t xml:space="preserve">подршку за </w:t>
      </w:r>
      <w:r w:rsidR="785FEB5A" w:rsidRPr="00A021B7">
        <w:rPr>
          <w:rFonts w:ascii="Arial" w:hAnsi="Arial" w:cs="Arial"/>
          <w:sz w:val="20"/>
          <w:szCs w:val="20"/>
          <w:lang w:val="sr-Cyrl-RS"/>
        </w:rPr>
        <w:t>оне општине које припадају групи континуирано неразвијених</w:t>
      </w:r>
      <w:r w:rsidR="009A298E" w:rsidRPr="00A021B7">
        <w:rPr>
          <w:rFonts w:ascii="Arial" w:hAnsi="Arial" w:cs="Arial"/>
          <w:sz w:val="20"/>
          <w:szCs w:val="20"/>
          <w:lang w:val="sr-Cyrl-RS"/>
        </w:rPr>
        <w:t xml:space="preserve"> и девастираних</w:t>
      </w:r>
      <w:r w:rsidR="785FEB5A" w:rsidRPr="00A021B7">
        <w:rPr>
          <w:rFonts w:ascii="Arial" w:hAnsi="Arial" w:cs="Arial"/>
          <w:sz w:val="20"/>
          <w:szCs w:val="20"/>
          <w:lang w:val="sr-Cyrl-RS"/>
        </w:rPr>
        <w:t xml:space="preserve"> ЈЛС.</w:t>
      </w:r>
      <w:r w:rsidR="1C72E1AD" w:rsidRPr="00A021B7">
        <w:rPr>
          <w:rFonts w:ascii="Arial" w:hAnsi="Arial" w:cs="Arial"/>
          <w:sz w:val="20"/>
          <w:szCs w:val="20"/>
          <w:lang w:val="sr-Cyrl-RS"/>
        </w:rPr>
        <w:t xml:space="preserve"> </w:t>
      </w:r>
      <w:r w:rsidR="009A298E" w:rsidRPr="00A021B7">
        <w:rPr>
          <w:rFonts w:ascii="Arial" w:hAnsi="Arial" w:cs="Arial"/>
          <w:sz w:val="20"/>
          <w:szCs w:val="20"/>
          <w:lang w:val="sr-Cyrl-RS"/>
        </w:rPr>
        <w:t>Б</w:t>
      </w:r>
      <w:r w:rsidR="3ABDA9EC" w:rsidRPr="00A021B7">
        <w:rPr>
          <w:rFonts w:ascii="Arial" w:hAnsi="Arial" w:cs="Arial"/>
          <w:sz w:val="20"/>
          <w:szCs w:val="20"/>
          <w:lang w:val="sr-Cyrl-RS"/>
        </w:rPr>
        <w:t>ројни социјално</w:t>
      </w:r>
      <w:r w:rsidR="00F4035C">
        <w:rPr>
          <w:rFonts w:ascii="Arial" w:hAnsi="Arial" w:cs="Arial"/>
          <w:sz w:val="20"/>
          <w:szCs w:val="20"/>
          <w:lang w:val="sr-Cyrl-RS"/>
        </w:rPr>
        <w:t>-</w:t>
      </w:r>
      <w:r w:rsidR="3ABDA9EC" w:rsidRPr="00A021B7">
        <w:rPr>
          <w:rFonts w:ascii="Arial" w:hAnsi="Arial" w:cs="Arial"/>
          <w:sz w:val="20"/>
          <w:szCs w:val="20"/>
          <w:lang w:val="sr-Cyrl-RS"/>
        </w:rPr>
        <w:t xml:space="preserve">економски </w:t>
      </w:r>
      <w:r w:rsidR="2C9ECC0F" w:rsidRPr="00A021B7">
        <w:rPr>
          <w:rFonts w:ascii="Arial" w:hAnsi="Arial" w:cs="Arial"/>
          <w:sz w:val="20"/>
          <w:szCs w:val="20"/>
          <w:lang w:val="sr-Cyrl-RS"/>
        </w:rPr>
        <w:t>изазов</w:t>
      </w:r>
      <w:r w:rsidR="009A298E" w:rsidRPr="00A021B7">
        <w:rPr>
          <w:rFonts w:ascii="Arial" w:hAnsi="Arial" w:cs="Arial"/>
          <w:sz w:val="20"/>
          <w:szCs w:val="20"/>
          <w:lang w:val="sr-Cyrl-RS"/>
        </w:rPr>
        <w:t>и</w:t>
      </w:r>
      <w:r w:rsidR="2C9ECC0F" w:rsidRPr="00A021B7">
        <w:rPr>
          <w:rFonts w:ascii="Arial" w:hAnsi="Arial" w:cs="Arial"/>
          <w:sz w:val="20"/>
          <w:szCs w:val="20"/>
          <w:lang w:val="sr-Cyrl-RS"/>
        </w:rPr>
        <w:t xml:space="preserve"> са којима с</w:t>
      </w:r>
      <w:r w:rsidR="220DAED5" w:rsidRPr="00A021B7">
        <w:rPr>
          <w:rFonts w:ascii="Arial" w:hAnsi="Arial" w:cs="Arial"/>
          <w:sz w:val="20"/>
          <w:szCs w:val="20"/>
          <w:lang w:val="sr-Cyrl-RS"/>
        </w:rPr>
        <w:t>е</w:t>
      </w:r>
      <w:r w:rsidR="2C9ECC0F" w:rsidRPr="00A021B7">
        <w:rPr>
          <w:rFonts w:ascii="Arial" w:hAnsi="Arial" w:cs="Arial"/>
          <w:sz w:val="20"/>
          <w:szCs w:val="20"/>
          <w:lang w:val="sr-Cyrl-RS"/>
        </w:rPr>
        <w:t xml:space="preserve"> суочавају</w:t>
      </w:r>
      <w:r w:rsidR="009A298E" w:rsidRPr="00A021B7">
        <w:rPr>
          <w:rFonts w:ascii="Arial" w:hAnsi="Arial" w:cs="Arial"/>
          <w:sz w:val="20"/>
          <w:szCs w:val="20"/>
          <w:lang w:val="sr-Cyrl-RS"/>
        </w:rPr>
        <w:t xml:space="preserve"> првенствено</w:t>
      </w:r>
      <w:r w:rsidR="3ABDA9EC" w:rsidRPr="00A021B7">
        <w:rPr>
          <w:rFonts w:ascii="Arial" w:hAnsi="Arial" w:cs="Arial"/>
          <w:sz w:val="20"/>
          <w:szCs w:val="20"/>
          <w:lang w:val="sr-Cyrl-RS"/>
        </w:rPr>
        <w:t xml:space="preserve"> </w:t>
      </w:r>
      <w:r w:rsidR="3ABDA9EC" w:rsidRPr="00A021B7" w:rsidDel="009A298E">
        <w:rPr>
          <w:rFonts w:ascii="Arial" w:hAnsi="Arial" w:cs="Arial"/>
          <w:sz w:val="20"/>
          <w:szCs w:val="20"/>
          <w:lang w:val="sr-Cyrl-RS"/>
        </w:rPr>
        <w:t>локалн</w:t>
      </w:r>
      <w:r w:rsidR="2C9ECC0F" w:rsidRPr="00A021B7" w:rsidDel="009A298E">
        <w:rPr>
          <w:rFonts w:ascii="Arial" w:hAnsi="Arial" w:cs="Arial"/>
          <w:sz w:val="20"/>
          <w:szCs w:val="20"/>
          <w:lang w:val="sr-Cyrl-RS"/>
        </w:rPr>
        <w:t>е</w:t>
      </w:r>
      <w:r w:rsidR="3ABDA9EC" w:rsidRPr="00A021B7" w:rsidDel="009A298E">
        <w:rPr>
          <w:rFonts w:ascii="Arial" w:hAnsi="Arial" w:cs="Arial"/>
          <w:sz w:val="20"/>
          <w:szCs w:val="20"/>
          <w:lang w:val="sr-Cyrl-RS"/>
        </w:rPr>
        <w:t xml:space="preserve"> </w:t>
      </w:r>
      <w:r w:rsidR="009A298E" w:rsidRPr="00A021B7">
        <w:rPr>
          <w:rFonts w:ascii="Arial" w:hAnsi="Arial" w:cs="Arial"/>
          <w:sz w:val="20"/>
          <w:szCs w:val="20"/>
          <w:lang w:val="sr-Cyrl-RS"/>
        </w:rPr>
        <w:t>самоуправе из групе девастираних ЈЛС</w:t>
      </w:r>
      <w:r w:rsidR="3ABDA9EC" w:rsidRPr="00A021B7">
        <w:rPr>
          <w:rFonts w:ascii="Arial" w:hAnsi="Arial" w:cs="Arial"/>
          <w:sz w:val="20"/>
          <w:szCs w:val="20"/>
          <w:lang w:val="sr-Cyrl-RS"/>
        </w:rPr>
        <w:t xml:space="preserve">, </w:t>
      </w:r>
      <w:r w:rsidR="00F4035C">
        <w:rPr>
          <w:rFonts w:ascii="Arial" w:hAnsi="Arial" w:cs="Arial"/>
          <w:color w:val="000000"/>
          <w:sz w:val="20"/>
          <w:szCs w:val="20"/>
          <w:lang w:val="sr-Cyrl-RS"/>
        </w:rPr>
        <w:t>к</w:t>
      </w:r>
      <w:r w:rsidR="009A298E" w:rsidRPr="00A021B7">
        <w:rPr>
          <w:rFonts w:ascii="Arial" w:hAnsi="Arial" w:cs="Arial"/>
          <w:color w:val="000000"/>
          <w:sz w:val="20"/>
          <w:szCs w:val="20"/>
          <w:lang w:val="sr-Cyrl-RS"/>
        </w:rPr>
        <w:t>а</w:t>
      </w:r>
      <w:r w:rsidR="00F4035C">
        <w:rPr>
          <w:rFonts w:ascii="Arial" w:hAnsi="Arial" w:cs="Arial"/>
          <w:color w:val="000000"/>
          <w:sz w:val="20"/>
          <w:szCs w:val="20"/>
          <w:lang w:val="sr-Cyrl-RS"/>
        </w:rPr>
        <w:t>о</w:t>
      </w:r>
      <w:r w:rsidR="009A298E" w:rsidRPr="00A021B7">
        <w:rPr>
          <w:rFonts w:ascii="Arial" w:hAnsi="Arial" w:cs="Arial"/>
          <w:color w:val="000000"/>
          <w:sz w:val="20"/>
          <w:szCs w:val="20"/>
          <w:lang w:val="sr-Cyrl-RS"/>
        </w:rPr>
        <w:t xml:space="preserve"> последицу имају </w:t>
      </w:r>
      <w:r w:rsidR="00F4035C">
        <w:rPr>
          <w:rFonts w:ascii="Arial" w:hAnsi="Arial" w:cs="Arial"/>
          <w:color w:val="000000"/>
          <w:sz w:val="20"/>
          <w:szCs w:val="20"/>
          <w:lang w:val="sr-Cyrl-RS"/>
        </w:rPr>
        <w:t xml:space="preserve">то </w:t>
      </w:r>
      <w:r w:rsidR="009A298E" w:rsidRPr="00A021B7">
        <w:rPr>
          <w:rFonts w:ascii="Arial" w:hAnsi="Arial" w:cs="Arial"/>
          <w:color w:val="000000"/>
          <w:sz w:val="20"/>
          <w:szCs w:val="20"/>
          <w:lang w:val="sr-Cyrl-RS"/>
        </w:rPr>
        <w:t>да с</w:t>
      </w:r>
      <w:r w:rsidR="00F4035C">
        <w:rPr>
          <w:rFonts w:ascii="Arial" w:hAnsi="Arial" w:cs="Arial"/>
          <w:color w:val="000000"/>
          <w:sz w:val="20"/>
          <w:szCs w:val="20"/>
          <w:lang w:val="sr-Cyrl-RS"/>
        </w:rPr>
        <w:t>у</w:t>
      </w:r>
      <w:r w:rsidR="009A298E" w:rsidRPr="00A021B7">
        <w:rPr>
          <w:rFonts w:ascii="Arial" w:hAnsi="Arial" w:cs="Arial"/>
          <w:color w:val="000000"/>
          <w:sz w:val="20"/>
          <w:szCs w:val="20"/>
          <w:lang w:val="sr-Cyrl-RS"/>
        </w:rPr>
        <w:t xml:space="preserve"> те локалне заједнице у знатно већој</w:t>
      </w:r>
      <w:r w:rsidR="4ED7664B" w:rsidRPr="00A021B7">
        <w:rPr>
          <w:rFonts w:ascii="Arial" w:hAnsi="Arial" w:cs="Arial"/>
          <w:color w:val="000000"/>
          <w:sz w:val="20"/>
          <w:szCs w:val="20"/>
          <w:lang w:val="sr-Cyrl-RS"/>
        </w:rPr>
        <w:t xml:space="preserve"> зависности од финансијске подршке са централног нивоа</w:t>
      </w:r>
      <w:r w:rsidR="009A298E" w:rsidRPr="00A021B7">
        <w:rPr>
          <w:rFonts w:ascii="Arial" w:hAnsi="Arial" w:cs="Arial"/>
          <w:color w:val="000000"/>
          <w:sz w:val="20"/>
          <w:szCs w:val="20"/>
          <w:lang w:val="sr-Cyrl-RS"/>
        </w:rPr>
        <w:t xml:space="preserve"> у односу на просек целог система локалне самоуправе</w:t>
      </w:r>
      <w:r w:rsidR="6F15B574" w:rsidRPr="00A021B7">
        <w:rPr>
          <w:rFonts w:ascii="Arial" w:hAnsi="Arial" w:cs="Arial"/>
          <w:color w:val="000000"/>
          <w:sz w:val="20"/>
          <w:szCs w:val="20"/>
          <w:lang w:val="sr-Cyrl-RS"/>
        </w:rPr>
        <w:t xml:space="preserve">. </w:t>
      </w:r>
      <w:r w:rsidR="6081567C" w:rsidRPr="00A021B7">
        <w:rPr>
          <w:rFonts w:ascii="Arial" w:hAnsi="Arial" w:cs="Arial"/>
          <w:color w:val="000000"/>
          <w:sz w:val="20"/>
          <w:szCs w:val="20"/>
          <w:lang w:val="sr-Cyrl-RS"/>
        </w:rPr>
        <w:t>Њихови и</w:t>
      </w:r>
      <w:r w:rsidR="1C72E1AD" w:rsidRPr="00A021B7">
        <w:rPr>
          <w:rFonts w:ascii="Arial" w:hAnsi="Arial" w:cs="Arial"/>
          <w:color w:val="000000"/>
          <w:sz w:val="20"/>
          <w:szCs w:val="20"/>
          <w:lang w:val="sr-Cyrl-RS"/>
        </w:rPr>
        <w:t xml:space="preserve">зворни буџетски приходи су </w:t>
      </w:r>
      <w:r w:rsidR="009A298E" w:rsidRPr="00A021B7">
        <w:rPr>
          <w:rFonts w:ascii="Arial" w:hAnsi="Arial" w:cs="Arial"/>
          <w:color w:val="000000"/>
          <w:sz w:val="20"/>
          <w:szCs w:val="20"/>
          <w:lang w:val="sr-Cyrl-RS"/>
        </w:rPr>
        <w:t>знатно нижи</w:t>
      </w:r>
      <w:r w:rsidR="1C72E1AD" w:rsidRPr="00A021B7">
        <w:rPr>
          <w:rFonts w:ascii="Arial" w:hAnsi="Arial" w:cs="Arial"/>
          <w:color w:val="000000"/>
          <w:sz w:val="20"/>
          <w:szCs w:val="20"/>
          <w:lang w:val="sr-Cyrl-RS"/>
        </w:rPr>
        <w:t>, што је</w:t>
      </w:r>
      <w:r w:rsidR="009A298E" w:rsidRPr="00A021B7">
        <w:rPr>
          <w:rFonts w:ascii="Arial" w:hAnsi="Arial" w:cs="Arial"/>
          <w:color w:val="000000" w:themeColor="text1"/>
          <w:sz w:val="20"/>
          <w:szCs w:val="20"/>
          <w:lang w:val="sr-Cyrl-RS"/>
        </w:rPr>
        <w:t xml:space="preserve"> и</w:t>
      </w:r>
      <w:r w:rsidR="1C72E1AD" w:rsidRPr="00A021B7">
        <w:rPr>
          <w:rFonts w:ascii="Arial" w:hAnsi="Arial" w:cs="Arial"/>
          <w:color w:val="000000"/>
          <w:sz w:val="20"/>
          <w:szCs w:val="20"/>
          <w:lang w:val="sr-Cyrl-RS"/>
        </w:rPr>
        <w:t xml:space="preserve"> један од разлога </w:t>
      </w:r>
      <w:r w:rsidR="009A298E" w:rsidRPr="00A021B7">
        <w:rPr>
          <w:rFonts w:ascii="Arial" w:hAnsi="Arial" w:cs="Arial"/>
          <w:color w:val="000000"/>
          <w:sz w:val="20"/>
          <w:szCs w:val="20"/>
          <w:lang w:val="sr-Cyrl-RS"/>
        </w:rPr>
        <w:t>недостатка њихови већих</w:t>
      </w:r>
      <w:r w:rsidR="3F8AA647" w:rsidRPr="00A021B7" w:rsidDel="009A298E">
        <w:rPr>
          <w:rFonts w:ascii="Arial" w:hAnsi="Arial" w:cs="Arial"/>
          <w:color w:val="000000"/>
          <w:sz w:val="20"/>
          <w:szCs w:val="20"/>
          <w:lang w:val="sr-Cyrl-RS"/>
        </w:rPr>
        <w:t xml:space="preserve"> </w:t>
      </w:r>
      <w:r w:rsidR="3F8AA647" w:rsidRPr="00A021B7">
        <w:rPr>
          <w:rFonts w:ascii="Arial" w:hAnsi="Arial" w:cs="Arial"/>
          <w:color w:val="000000"/>
          <w:sz w:val="20"/>
          <w:szCs w:val="20"/>
          <w:lang w:val="sr-Cyrl-RS"/>
        </w:rPr>
        <w:t xml:space="preserve">могућности за </w:t>
      </w:r>
      <w:r w:rsidR="00F4035C">
        <w:rPr>
          <w:rFonts w:ascii="Arial" w:hAnsi="Arial" w:cs="Arial"/>
          <w:color w:val="000000"/>
          <w:sz w:val="20"/>
          <w:szCs w:val="20"/>
          <w:lang w:val="sr-Cyrl-RS"/>
        </w:rPr>
        <w:t>пружање</w:t>
      </w:r>
      <w:r w:rsidR="00F4035C" w:rsidRPr="00A021B7">
        <w:rPr>
          <w:rFonts w:ascii="Arial" w:hAnsi="Arial" w:cs="Arial"/>
          <w:color w:val="000000"/>
          <w:sz w:val="20"/>
          <w:szCs w:val="20"/>
          <w:lang w:val="sr-Cyrl-RS"/>
        </w:rPr>
        <w:t xml:space="preserve"> </w:t>
      </w:r>
      <w:r w:rsidR="1C72E1AD" w:rsidRPr="00A021B7">
        <w:rPr>
          <w:rFonts w:ascii="Arial" w:hAnsi="Arial" w:cs="Arial"/>
          <w:color w:val="000000"/>
          <w:sz w:val="20"/>
          <w:szCs w:val="20"/>
          <w:lang w:val="sr-Cyrl-RS"/>
        </w:rPr>
        <w:t>квалит</w:t>
      </w:r>
      <w:r w:rsidR="009A298E" w:rsidRPr="00A021B7">
        <w:rPr>
          <w:rFonts w:ascii="Arial" w:hAnsi="Arial" w:cs="Arial"/>
          <w:color w:val="000000"/>
          <w:sz w:val="20"/>
          <w:szCs w:val="20"/>
          <w:lang w:val="sr-Cyrl-RS"/>
        </w:rPr>
        <w:t>е</w:t>
      </w:r>
      <w:r w:rsidR="00F4035C">
        <w:rPr>
          <w:rFonts w:ascii="Arial" w:hAnsi="Arial" w:cs="Arial"/>
          <w:color w:val="000000"/>
          <w:sz w:val="20"/>
          <w:szCs w:val="20"/>
          <w:lang w:val="sr-Cyrl-RS"/>
        </w:rPr>
        <w:t>т</w:t>
      </w:r>
      <w:r w:rsidR="3F8AA647" w:rsidRPr="00A021B7">
        <w:rPr>
          <w:rFonts w:ascii="Arial" w:hAnsi="Arial" w:cs="Arial"/>
          <w:color w:val="000000"/>
          <w:sz w:val="20"/>
          <w:szCs w:val="20"/>
          <w:lang w:val="sr-Cyrl-RS"/>
        </w:rPr>
        <w:t>них</w:t>
      </w:r>
      <w:r w:rsidR="226EF31D" w:rsidRPr="00A021B7">
        <w:rPr>
          <w:rFonts w:ascii="Arial" w:hAnsi="Arial" w:cs="Arial"/>
          <w:color w:val="000000"/>
          <w:sz w:val="20"/>
          <w:szCs w:val="20"/>
          <w:lang w:val="sr-Cyrl-RS"/>
        </w:rPr>
        <w:t xml:space="preserve"> јавних</w:t>
      </w:r>
      <w:r w:rsidR="3F8AA647" w:rsidRPr="00A021B7">
        <w:rPr>
          <w:rFonts w:ascii="Arial" w:hAnsi="Arial" w:cs="Arial"/>
          <w:color w:val="000000"/>
          <w:sz w:val="20"/>
          <w:szCs w:val="20"/>
          <w:lang w:val="sr-Cyrl-RS"/>
        </w:rPr>
        <w:t xml:space="preserve"> </w:t>
      </w:r>
      <w:r w:rsidR="1C72E1AD" w:rsidRPr="00A021B7">
        <w:rPr>
          <w:rFonts w:ascii="Arial" w:hAnsi="Arial" w:cs="Arial"/>
          <w:color w:val="000000"/>
          <w:sz w:val="20"/>
          <w:szCs w:val="20"/>
          <w:lang w:val="sr-Cyrl-RS"/>
        </w:rPr>
        <w:t xml:space="preserve">услуга грађанима. </w:t>
      </w:r>
      <w:r w:rsidR="3700BD4B" w:rsidRPr="00A021B7">
        <w:rPr>
          <w:rFonts w:ascii="Arial" w:hAnsi="Arial" w:cs="Arial"/>
          <w:color w:val="000000"/>
          <w:sz w:val="20"/>
          <w:szCs w:val="20"/>
          <w:lang w:val="sr-Cyrl-RS"/>
        </w:rPr>
        <w:t>С</w:t>
      </w:r>
      <w:r w:rsidR="3F8AA647" w:rsidRPr="00A021B7">
        <w:rPr>
          <w:rFonts w:ascii="Arial" w:hAnsi="Arial" w:cs="Arial"/>
          <w:color w:val="000000"/>
          <w:sz w:val="20"/>
          <w:szCs w:val="20"/>
          <w:lang w:val="sr-Cyrl-RS"/>
        </w:rPr>
        <w:t>истем финансирањ</w:t>
      </w:r>
      <w:r w:rsidR="3700BD4B" w:rsidRPr="00A021B7">
        <w:rPr>
          <w:rFonts w:ascii="Arial" w:hAnsi="Arial" w:cs="Arial"/>
          <w:color w:val="000000"/>
          <w:sz w:val="20"/>
          <w:szCs w:val="20"/>
          <w:lang w:val="sr-Cyrl-RS"/>
        </w:rPr>
        <w:t>а</w:t>
      </w:r>
      <w:r w:rsidR="3F8AA647" w:rsidRPr="00A021B7">
        <w:rPr>
          <w:rFonts w:ascii="Arial" w:hAnsi="Arial" w:cs="Arial"/>
          <w:color w:val="000000"/>
          <w:sz w:val="20"/>
          <w:szCs w:val="20"/>
          <w:lang w:val="sr-Cyrl-RS"/>
        </w:rPr>
        <w:t xml:space="preserve"> локалне самоуправе </w:t>
      </w:r>
      <w:r w:rsidR="23EE65AB" w:rsidRPr="00A021B7">
        <w:rPr>
          <w:rFonts w:ascii="Arial" w:hAnsi="Arial" w:cs="Arial"/>
          <w:color w:val="000000"/>
          <w:sz w:val="20"/>
          <w:szCs w:val="20"/>
          <w:lang w:val="sr-Cyrl-RS"/>
        </w:rPr>
        <w:t>и његов</w:t>
      </w:r>
      <w:r w:rsidR="13887895" w:rsidRPr="00A021B7">
        <w:rPr>
          <w:rFonts w:ascii="Arial" w:hAnsi="Arial" w:cs="Arial"/>
          <w:color w:val="000000"/>
          <w:sz w:val="20"/>
          <w:szCs w:val="20"/>
          <w:lang w:val="sr-Cyrl-RS"/>
        </w:rPr>
        <w:t>е мере за финансијско уједначавање</w:t>
      </w:r>
      <w:r w:rsidR="6B3EDEF1" w:rsidRPr="00A021B7">
        <w:rPr>
          <w:rFonts w:ascii="Arial" w:hAnsi="Arial" w:cs="Arial"/>
          <w:color w:val="000000"/>
          <w:sz w:val="20"/>
          <w:szCs w:val="20"/>
          <w:lang w:val="sr-Cyrl-RS"/>
        </w:rPr>
        <w:t xml:space="preserve"> прихода ЈЛС</w:t>
      </w:r>
      <w:r w:rsidR="13887895" w:rsidRPr="00A021B7">
        <w:rPr>
          <w:rFonts w:ascii="Arial" w:hAnsi="Arial" w:cs="Arial"/>
          <w:color w:val="000000"/>
          <w:sz w:val="20"/>
          <w:szCs w:val="20"/>
          <w:lang w:val="sr-Cyrl-RS"/>
        </w:rPr>
        <w:t xml:space="preserve"> или додатну финансијску подршку најугроженијим </w:t>
      </w:r>
      <w:r w:rsidR="6B3EDEF1" w:rsidRPr="00A021B7">
        <w:rPr>
          <w:rFonts w:ascii="Arial" w:hAnsi="Arial" w:cs="Arial"/>
          <w:color w:val="000000"/>
          <w:sz w:val="20"/>
          <w:szCs w:val="20"/>
          <w:lang w:val="sr-Cyrl-RS"/>
        </w:rPr>
        <w:t>ЈЛС,</w:t>
      </w:r>
      <w:r w:rsidR="13887895" w:rsidRPr="00A021B7">
        <w:rPr>
          <w:rFonts w:ascii="Arial" w:hAnsi="Arial" w:cs="Arial"/>
          <w:color w:val="000000"/>
          <w:sz w:val="20"/>
          <w:szCs w:val="20"/>
          <w:lang w:val="sr-Cyrl-RS"/>
        </w:rPr>
        <w:t xml:space="preserve"> </w:t>
      </w:r>
      <w:r w:rsidR="3F8AA647" w:rsidRPr="00A021B7">
        <w:rPr>
          <w:rFonts w:ascii="Arial" w:hAnsi="Arial" w:cs="Arial"/>
          <w:color w:val="000000"/>
          <w:sz w:val="20"/>
          <w:szCs w:val="20"/>
          <w:lang w:val="sr-Cyrl-RS"/>
        </w:rPr>
        <w:t>је</w:t>
      </w:r>
      <w:r w:rsidR="3700BD4B" w:rsidRPr="00A021B7">
        <w:rPr>
          <w:rFonts w:ascii="Arial" w:hAnsi="Arial" w:cs="Arial"/>
          <w:color w:val="000000"/>
          <w:sz w:val="20"/>
          <w:szCs w:val="20"/>
          <w:lang w:val="sr-Cyrl-RS"/>
        </w:rPr>
        <w:t>су део</w:t>
      </w:r>
      <w:r w:rsidR="3F8AA647" w:rsidRPr="00A021B7">
        <w:rPr>
          <w:rFonts w:ascii="Arial" w:hAnsi="Arial" w:cs="Arial"/>
          <w:color w:val="000000"/>
          <w:sz w:val="20"/>
          <w:szCs w:val="20"/>
          <w:lang w:val="sr-Cyrl-RS"/>
        </w:rPr>
        <w:t xml:space="preserve"> кључних механизама</w:t>
      </w:r>
      <w:r w:rsidR="6B3EDEF1" w:rsidRPr="00A021B7">
        <w:rPr>
          <w:rFonts w:ascii="Arial" w:hAnsi="Arial" w:cs="Arial"/>
          <w:color w:val="000000"/>
          <w:sz w:val="20"/>
          <w:szCs w:val="20"/>
          <w:lang w:val="sr-Cyrl-RS"/>
        </w:rPr>
        <w:t>,</w:t>
      </w:r>
      <w:r w:rsidR="3F8AA647" w:rsidRPr="00A021B7">
        <w:rPr>
          <w:rFonts w:ascii="Arial" w:hAnsi="Arial" w:cs="Arial"/>
          <w:color w:val="000000"/>
          <w:sz w:val="20"/>
          <w:szCs w:val="20"/>
          <w:lang w:val="sr-Cyrl-RS"/>
        </w:rPr>
        <w:t xml:space="preserve"> који треба </w:t>
      </w:r>
      <w:r w:rsidR="009A298E" w:rsidRPr="00A021B7">
        <w:rPr>
          <w:rFonts w:ascii="Arial" w:hAnsi="Arial" w:cs="Arial"/>
          <w:color w:val="000000"/>
          <w:sz w:val="20"/>
          <w:szCs w:val="20"/>
          <w:lang w:val="sr-Cyrl-RS"/>
        </w:rPr>
        <w:t xml:space="preserve">у наредном периоду </w:t>
      </w:r>
      <w:r w:rsidR="00F4035C">
        <w:rPr>
          <w:rFonts w:ascii="Arial" w:hAnsi="Arial" w:cs="Arial"/>
          <w:color w:val="000000"/>
          <w:sz w:val="20"/>
          <w:szCs w:val="20"/>
          <w:lang w:val="sr-Cyrl-RS"/>
        </w:rPr>
        <w:t xml:space="preserve">да </w:t>
      </w:r>
      <w:r w:rsidR="3F8AA647" w:rsidRPr="00A021B7">
        <w:rPr>
          <w:rFonts w:ascii="Arial" w:hAnsi="Arial" w:cs="Arial"/>
          <w:color w:val="000000"/>
          <w:sz w:val="20"/>
          <w:szCs w:val="20"/>
          <w:lang w:val="sr-Cyrl-RS"/>
        </w:rPr>
        <w:t>помогн</w:t>
      </w:r>
      <w:r w:rsidR="3700BD4B" w:rsidRPr="00A021B7">
        <w:rPr>
          <w:rFonts w:ascii="Arial" w:hAnsi="Arial" w:cs="Arial"/>
          <w:color w:val="000000"/>
          <w:sz w:val="20"/>
          <w:szCs w:val="20"/>
          <w:lang w:val="sr-Cyrl-RS"/>
        </w:rPr>
        <w:t>у</w:t>
      </w:r>
      <w:r w:rsidR="3F8AA647" w:rsidRPr="00A021B7">
        <w:rPr>
          <w:rFonts w:ascii="Arial" w:hAnsi="Arial" w:cs="Arial"/>
          <w:color w:val="000000"/>
          <w:sz w:val="20"/>
          <w:szCs w:val="20"/>
          <w:lang w:val="sr-Cyrl-RS"/>
        </w:rPr>
        <w:t xml:space="preserve"> </w:t>
      </w:r>
      <w:r w:rsidR="00F4035C">
        <w:rPr>
          <w:rFonts w:ascii="Arial" w:hAnsi="Arial" w:cs="Arial"/>
          <w:color w:val="000000"/>
          <w:sz w:val="20"/>
          <w:szCs w:val="20"/>
          <w:lang w:val="sr-Cyrl-RS"/>
        </w:rPr>
        <w:t xml:space="preserve">кад је реч о </w:t>
      </w:r>
      <w:r w:rsidR="3F8AA647" w:rsidRPr="00A021B7">
        <w:rPr>
          <w:rFonts w:ascii="Arial" w:hAnsi="Arial" w:cs="Arial"/>
          <w:color w:val="000000"/>
          <w:sz w:val="20"/>
          <w:szCs w:val="20"/>
          <w:lang w:val="sr-Cyrl-RS"/>
        </w:rPr>
        <w:t>уједначавањ</w:t>
      </w:r>
      <w:r w:rsidR="00F4035C">
        <w:rPr>
          <w:rFonts w:ascii="Arial" w:hAnsi="Arial" w:cs="Arial"/>
          <w:color w:val="000000"/>
          <w:sz w:val="20"/>
          <w:szCs w:val="20"/>
          <w:lang w:val="sr-Cyrl-RS"/>
        </w:rPr>
        <w:t>у</w:t>
      </w:r>
      <w:r w:rsidR="3F8AA647" w:rsidRPr="00A021B7">
        <w:rPr>
          <w:rFonts w:ascii="Arial" w:hAnsi="Arial" w:cs="Arial"/>
          <w:color w:val="000000"/>
          <w:sz w:val="20"/>
          <w:szCs w:val="20"/>
          <w:lang w:val="sr-Cyrl-RS"/>
        </w:rPr>
        <w:t xml:space="preserve"> </w:t>
      </w:r>
      <w:r w:rsidR="2374F615" w:rsidRPr="00A021B7">
        <w:rPr>
          <w:rFonts w:ascii="Arial" w:hAnsi="Arial" w:cs="Arial"/>
          <w:color w:val="000000"/>
          <w:sz w:val="20"/>
          <w:szCs w:val="20"/>
          <w:lang w:val="sr-Cyrl-RS"/>
        </w:rPr>
        <w:t xml:space="preserve">капацитета </w:t>
      </w:r>
      <w:r w:rsidR="6F648AEF" w:rsidRPr="00A021B7">
        <w:rPr>
          <w:rFonts w:ascii="Arial" w:hAnsi="Arial" w:cs="Arial"/>
          <w:color w:val="000000"/>
          <w:sz w:val="20"/>
          <w:szCs w:val="20"/>
          <w:lang w:val="sr-Cyrl-RS"/>
        </w:rPr>
        <w:t xml:space="preserve">ЈЛС </w:t>
      </w:r>
      <w:r w:rsidR="2374F615" w:rsidRPr="00A021B7">
        <w:rPr>
          <w:rFonts w:ascii="Arial" w:hAnsi="Arial" w:cs="Arial"/>
          <w:color w:val="000000"/>
          <w:sz w:val="20"/>
          <w:szCs w:val="20"/>
          <w:lang w:val="sr-Cyrl-RS"/>
        </w:rPr>
        <w:t xml:space="preserve">и </w:t>
      </w:r>
      <w:r w:rsidR="6F648AEF" w:rsidRPr="00A021B7">
        <w:rPr>
          <w:rFonts w:ascii="Arial" w:hAnsi="Arial" w:cs="Arial"/>
          <w:color w:val="000000"/>
          <w:sz w:val="20"/>
          <w:szCs w:val="20"/>
          <w:lang w:val="sr-Cyrl-RS"/>
        </w:rPr>
        <w:t>да обезбеде услове</w:t>
      </w:r>
      <w:r w:rsidR="5AA6F497" w:rsidRPr="00A021B7">
        <w:rPr>
          <w:rFonts w:ascii="Arial" w:hAnsi="Arial" w:cs="Arial"/>
          <w:color w:val="000000"/>
          <w:sz w:val="20"/>
          <w:szCs w:val="20"/>
          <w:lang w:val="sr-Cyrl-RS"/>
        </w:rPr>
        <w:t xml:space="preserve"> </w:t>
      </w:r>
      <w:r w:rsidR="6F648AEF" w:rsidRPr="00A021B7">
        <w:rPr>
          <w:rFonts w:ascii="Arial" w:hAnsi="Arial" w:cs="Arial"/>
          <w:color w:val="000000"/>
          <w:sz w:val="20"/>
          <w:szCs w:val="20"/>
          <w:lang w:val="sr-Cyrl-RS"/>
        </w:rPr>
        <w:t xml:space="preserve">за </w:t>
      </w:r>
      <w:r w:rsidR="5AA6F497" w:rsidRPr="00A021B7">
        <w:rPr>
          <w:rFonts w:ascii="Arial" w:hAnsi="Arial" w:cs="Arial"/>
          <w:color w:val="000000"/>
          <w:sz w:val="20"/>
          <w:szCs w:val="20"/>
          <w:lang w:val="sr-Cyrl-RS"/>
        </w:rPr>
        <w:t xml:space="preserve">максималну </w:t>
      </w:r>
      <w:r w:rsidR="785FEB5A" w:rsidRPr="00A021B7">
        <w:rPr>
          <w:rFonts w:ascii="Arial" w:hAnsi="Arial" w:cs="Arial"/>
          <w:color w:val="000000"/>
          <w:sz w:val="20"/>
          <w:szCs w:val="20"/>
          <w:lang w:val="sr-Cyrl-RS"/>
        </w:rPr>
        <w:t>стандардизациј</w:t>
      </w:r>
      <w:r w:rsidR="5AA6F497" w:rsidRPr="00A021B7">
        <w:rPr>
          <w:rFonts w:ascii="Arial" w:hAnsi="Arial" w:cs="Arial"/>
          <w:color w:val="000000"/>
          <w:sz w:val="20"/>
          <w:szCs w:val="20"/>
          <w:lang w:val="sr-Cyrl-RS"/>
        </w:rPr>
        <w:t>у</w:t>
      </w:r>
      <w:r w:rsidR="785FEB5A" w:rsidRPr="00A021B7">
        <w:rPr>
          <w:rFonts w:ascii="Arial" w:hAnsi="Arial" w:cs="Arial"/>
          <w:color w:val="000000"/>
          <w:sz w:val="20"/>
          <w:szCs w:val="20"/>
          <w:lang w:val="sr-Cyrl-RS"/>
        </w:rPr>
        <w:t xml:space="preserve"> </w:t>
      </w:r>
      <w:r w:rsidR="6F648AEF" w:rsidRPr="00A021B7">
        <w:rPr>
          <w:rFonts w:ascii="Arial" w:hAnsi="Arial" w:cs="Arial"/>
          <w:color w:val="000000"/>
          <w:sz w:val="20"/>
          <w:szCs w:val="20"/>
          <w:lang w:val="sr-Cyrl-RS"/>
        </w:rPr>
        <w:t xml:space="preserve">локалних јавних </w:t>
      </w:r>
      <w:r w:rsidR="785FEB5A" w:rsidRPr="00A021B7">
        <w:rPr>
          <w:rFonts w:ascii="Arial" w:hAnsi="Arial" w:cs="Arial"/>
          <w:color w:val="000000"/>
          <w:sz w:val="20"/>
          <w:szCs w:val="20"/>
          <w:lang w:val="sr-Cyrl-RS"/>
        </w:rPr>
        <w:t>услуга</w:t>
      </w:r>
      <w:r w:rsidR="5AA6F497" w:rsidRPr="00A021B7">
        <w:rPr>
          <w:rFonts w:ascii="Arial" w:hAnsi="Arial" w:cs="Arial"/>
          <w:color w:val="000000"/>
          <w:sz w:val="20"/>
          <w:szCs w:val="20"/>
          <w:lang w:val="sr-Cyrl-RS"/>
        </w:rPr>
        <w:t>.</w:t>
      </w:r>
    </w:p>
    <w:p w14:paraId="34599DDF" w14:textId="77777777" w:rsidR="00555868" w:rsidRPr="00A021B7" w:rsidRDefault="00555868" w:rsidP="1A8E6423">
      <w:pPr>
        <w:tabs>
          <w:tab w:val="left" w:pos="990"/>
        </w:tabs>
        <w:ind w:firstLine="720"/>
        <w:jc w:val="both"/>
        <w:rPr>
          <w:rFonts w:ascii="Arial" w:hAnsi="Arial" w:cs="Arial"/>
          <w:sz w:val="20"/>
          <w:szCs w:val="20"/>
          <w:lang w:val="sr-Cyrl-RS"/>
        </w:rPr>
      </w:pPr>
    </w:p>
    <w:p w14:paraId="34F31B9D" w14:textId="4A12826A"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Даље кључне реформе система финансирања локалне самоуправе (посебно успостављање пуне предвидивости финансирања и разматрање питања довољности и хоризонталне уједначености прихода ЈЛС), траже првенствено отварање ширег дијалога националног и локалног нивоа јавне власти, као и дијалога унутар самих локалних власти (за реформу система хоризонталног уједначавања и превазилажење разлика између ЈЛС). Кроз процес дубље анализе и отвореног дијалога, потребно је пронаћи адекватна системска и законска решења, која ће додатно унапредити приходе локалне самоуправе (како би они пратили евентуално шире спровођење функционалне прерасподеле надлежности целе јавне управе и потребну интенцију да се јавни послови и услуге приближе грађанима), појачати стабилност и транспарентност целог система финансирања ЛС, унапредити квалитет структуре финансија ЛС и проширити обим јавних расхода који се кроз њих финансирају. </w:t>
      </w:r>
      <w:r w:rsidR="000124DC">
        <w:rPr>
          <w:rFonts w:ascii="Arial" w:hAnsi="Arial" w:cs="Arial"/>
          <w:sz w:val="20"/>
          <w:szCs w:val="20"/>
          <w:lang w:val="sr-Cyrl-RS"/>
        </w:rPr>
        <w:t>С обзиром на</w:t>
      </w:r>
      <w:r w:rsidRPr="00A021B7">
        <w:rPr>
          <w:rFonts w:ascii="Arial" w:hAnsi="Arial" w:cs="Arial"/>
          <w:sz w:val="20"/>
          <w:szCs w:val="20"/>
          <w:lang w:val="sr-Cyrl-RS"/>
        </w:rPr>
        <w:t xml:space="preserve"> комплексност система финансирања, процес дефинисања нових решења не сме да буде исхитрен</w:t>
      </w:r>
      <w:r w:rsidR="000124DC">
        <w:rPr>
          <w:rFonts w:ascii="Arial" w:hAnsi="Arial" w:cs="Arial"/>
          <w:sz w:val="20"/>
          <w:szCs w:val="20"/>
          <w:lang w:val="sr-Cyrl-RS"/>
        </w:rPr>
        <w:t>,</w:t>
      </w:r>
      <w:r w:rsidRPr="00A021B7">
        <w:rPr>
          <w:rFonts w:ascii="Arial" w:hAnsi="Arial" w:cs="Arial"/>
          <w:sz w:val="20"/>
          <w:szCs w:val="20"/>
          <w:lang w:val="sr-Cyrl-RS"/>
        </w:rPr>
        <w:t xml:space="preserve"> већ</w:t>
      </w:r>
      <w:r w:rsidR="000124DC">
        <w:rPr>
          <w:rFonts w:ascii="Arial" w:hAnsi="Arial" w:cs="Arial"/>
          <w:sz w:val="20"/>
          <w:szCs w:val="20"/>
          <w:lang w:val="sr-Cyrl-RS"/>
        </w:rPr>
        <w:t xml:space="preserve"> мора бити</w:t>
      </w:r>
      <w:r w:rsidRPr="00A021B7">
        <w:rPr>
          <w:rFonts w:ascii="Arial" w:hAnsi="Arial" w:cs="Arial"/>
          <w:sz w:val="20"/>
          <w:szCs w:val="20"/>
          <w:lang w:val="sr-Cyrl-RS"/>
        </w:rPr>
        <w:t xml:space="preserve"> поступан и инклузиван и треба да </w:t>
      </w:r>
      <w:r w:rsidR="000124DC">
        <w:rPr>
          <w:rFonts w:ascii="Arial" w:hAnsi="Arial" w:cs="Arial"/>
          <w:sz w:val="20"/>
          <w:szCs w:val="20"/>
          <w:lang w:val="sr-Cyrl-RS"/>
        </w:rPr>
        <w:t>као</w:t>
      </w:r>
      <w:r w:rsidRPr="00A021B7">
        <w:rPr>
          <w:rFonts w:ascii="Arial" w:hAnsi="Arial" w:cs="Arial"/>
          <w:sz w:val="20"/>
          <w:szCs w:val="20"/>
          <w:lang w:val="sr-Cyrl-RS"/>
        </w:rPr>
        <w:t xml:space="preserve"> резултат има шири консензус заинтересованих страна, посебно самих локалних власти. Дијалог би требало најпре започети у оквиру Комисије за финансирање коју предвиђа ЗОФЛС, а затим </w:t>
      </w:r>
      <w:r w:rsidR="000124DC">
        <w:rPr>
          <w:rFonts w:ascii="Arial" w:hAnsi="Arial" w:cs="Arial"/>
          <w:sz w:val="20"/>
          <w:szCs w:val="20"/>
          <w:lang w:val="sr-Cyrl-RS"/>
        </w:rPr>
        <w:t xml:space="preserve">га водити </w:t>
      </w:r>
      <w:r w:rsidRPr="00A021B7">
        <w:rPr>
          <w:rFonts w:ascii="Arial" w:hAnsi="Arial" w:cs="Arial"/>
          <w:sz w:val="20"/>
          <w:szCs w:val="20"/>
          <w:lang w:val="sr-Cyrl-RS"/>
        </w:rPr>
        <w:t>и са свим локалним властима. Задатак ове Комисије и јесте да обезбеди примену начела правичности, ефикасности и отворености система финансирања локалне самоуправе.</w:t>
      </w:r>
      <w:r w:rsidR="003E03ED" w:rsidRPr="00A021B7">
        <w:rPr>
          <w:rFonts w:ascii="Arial" w:hAnsi="Arial" w:cs="Arial"/>
          <w:sz w:val="20"/>
          <w:szCs w:val="20"/>
          <w:vertAlign w:val="superscript"/>
          <w:lang w:val="sr-Cyrl-RS"/>
        </w:rPr>
        <w:footnoteReference w:id="77"/>
      </w:r>
      <w:r w:rsidRPr="00A021B7">
        <w:rPr>
          <w:rFonts w:ascii="Arial" w:hAnsi="Arial" w:cs="Arial"/>
          <w:sz w:val="20"/>
          <w:szCs w:val="20"/>
          <w:lang w:val="sr-Cyrl-RS"/>
        </w:rPr>
        <w:t xml:space="preserve"> Такође, Комисија треба да анализира и доделу наменских трансфера и критеријуме за избор ЈЛС које су њихови корисници. Међутим</w:t>
      </w:r>
      <w:r w:rsidR="000124DC">
        <w:rPr>
          <w:rFonts w:ascii="Arial" w:hAnsi="Arial" w:cs="Arial"/>
          <w:sz w:val="20"/>
          <w:szCs w:val="20"/>
          <w:lang w:val="sr-Cyrl-RS"/>
        </w:rPr>
        <w:t>,</w:t>
      </w:r>
      <w:r w:rsidRPr="00A021B7">
        <w:rPr>
          <w:rFonts w:ascii="Arial" w:hAnsi="Arial" w:cs="Arial"/>
          <w:sz w:val="20"/>
          <w:szCs w:val="20"/>
          <w:lang w:val="sr-Cyrl-RS"/>
        </w:rPr>
        <w:t xml:space="preserve"> ово тело, које чине представници Владе и СКГО, односно ЈЛС, и које је настало по угледу на најбољу европску праксу у овој области, не функционише већ неколико година, што има негативне последице по дијалог локалних и централних власти о финансирању локалне самоуправе. Поновним покретањем рада овог тела могао би се покренути дијалог о реформама система финансирања ЛС и самог Закона о финансирању локалне самоуправе.</w:t>
      </w:r>
    </w:p>
    <w:p w14:paraId="6D77333E" w14:textId="77777777" w:rsidR="003E03ED" w:rsidRPr="00A021B7" w:rsidRDefault="003E03ED" w:rsidP="1A8E6423">
      <w:pPr>
        <w:tabs>
          <w:tab w:val="left" w:pos="990"/>
        </w:tabs>
        <w:ind w:firstLine="720"/>
        <w:jc w:val="both"/>
        <w:rPr>
          <w:rFonts w:ascii="Arial" w:hAnsi="Arial" w:cs="Arial"/>
          <w:sz w:val="20"/>
          <w:szCs w:val="20"/>
          <w:lang w:val="sr-Cyrl-RS"/>
        </w:rPr>
      </w:pPr>
    </w:p>
    <w:p w14:paraId="10F5D03B" w14:textId="359DECB1" w:rsidR="003E03ED" w:rsidRPr="00A021B7" w:rsidRDefault="001217DC" w:rsidP="1A8E6423">
      <w:pPr>
        <w:ind w:firstLine="720"/>
        <w:jc w:val="both"/>
        <w:rPr>
          <w:rFonts w:ascii="Arial" w:hAnsi="Arial" w:cs="Arial"/>
          <w:sz w:val="20"/>
          <w:szCs w:val="20"/>
          <w:lang w:val="sr-Cyrl-RS"/>
        </w:rPr>
      </w:pPr>
      <w:r>
        <w:rPr>
          <w:rFonts w:ascii="Arial" w:hAnsi="Arial" w:cs="Arial"/>
          <w:sz w:val="20"/>
          <w:szCs w:val="20"/>
          <w:lang w:val="sr-Cyrl-RS"/>
        </w:rPr>
        <w:t>За</w:t>
      </w:r>
      <w:r w:rsidR="35687A16" w:rsidRPr="00A021B7">
        <w:rPr>
          <w:rFonts w:ascii="Arial" w:hAnsi="Arial" w:cs="Arial"/>
          <w:sz w:val="20"/>
          <w:szCs w:val="20"/>
          <w:lang w:val="sr-Cyrl-RS"/>
        </w:rPr>
        <w:t xml:space="preserve"> ширењ</w:t>
      </w:r>
      <w:r>
        <w:rPr>
          <w:rFonts w:ascii="Arial" w:hAnsi="Arial" w:cs="Arial"/>
          <w:sz w:val="20"/>
          <w:szCs w:val="20"/>
          <w:lang w:val="sr-Cyrl-RS"/>
        </w:rPr>
        <w:t>е</w:t>
      </w:r>
      <w:r w:rsidR="35687A16" w:rsidRPr="00A021B7">
        <w:rPr>
          <w:rFonts w:ascii="Arial" w:hAnsi="Arial" w:cs="Arial"/>
          <w:sz w:val="20"/>
          <w:szCs w:val="20"/>
          <w:lang w:val="sr-Cyrl-RS"/>
        </w:rPr>
        <w:t xml:space="preserve"> основа за довољност прихода кључну улогу имају и саме локалне власти. У првом делу кроз повећање сопствених прихода, а у другом делу кроз реформу структуре својих расхода. </w:t>
      </w:r>
      <w:r>
        <w:rPr>
          <w:rFonts w:ascii="Arial" w:hAnsi="Arial" w:cs="Arial"/>
          <w:sz w:val="20"/>
          <w:szCs w:val="20"/>
          <w:lang w:val="sr-Cyrl-RS"/>
        </w:rPr>
        <w:t>Као</w:t>
      </w:r>
      <w:r w:rsidR="35687A16" w:rsidRPr="00A021B7">
        <w:rPr>
          <w:rFonts w:ascii="Arial" w:hAnsi="Arial" w:cs="Arial"/>
          <w:sz w:val="20"/>
          <w:szCs w:val="20"/>
          <w:lang w:val="sr-Cyrl-RS"/>
        </w:rPr>
        <w:t xml:space="preserve"> што је констатовано раније, изворни приходи ЈЛС у Србији су разноврсни, што је разлог за позитивну оцену. Посебну тему представљају приходи од пореза на имовину као појединачно највећи изворни приходи. Поједине анализе и процене</w:t>
      </w:r>
      <w:r w:rsidR="003E03ED" w:rsidRPr="00A021B7">
        <w:rPr>
          <w:rFonts w:ascii="Arial" w:hAnsi="Arial" w:cs="Arial"/>
          <w:sz w:val="20"/>
          <w:szCs w:val="20"/>
          <w:vertAlign w:val="superscript"/>
          <w:lang w:val="sr-Cyrl-RS"/>
        </w:rPr>
        <w:footnoteReference w:id="78"/>
      </w:r>
      <w:r w:rsidR="35687A16" w:rsidRPr="00A021B7">
        <w:rPr>
          <w:rFonts w:ascii="Arial" w:hAnsi="Arial" w:cs="Arial"/>
          <w:sz w:val="20"/>
          <w:szCs w:val="20"/>
          <w:lang w:val="sr-Cyrl-RS"/>
        </w:rPr>
        <w:t xml:space="preserve"> указују </w:t>
      </w:r>
      <w:r>
        <w:rPr>
          <w:rFonts w:ascii="Arial" w:hAnsi="Arial" w:cs="Arial"/>
          <w:sz w:val="20"/>
          <w:szCs w:val="20"/>
          <w:lang w:val="sr-Cyrl-RS"/>
        </w:rPr>
        <w:t xml:space="preserve">на то </w:t>
      </w:r>
      <w:r w:rsidR="35687A16" w:rsidRPr="00A021B7">
        <w:rPr>
          <w:rFonts w:ascii="Arial" w:hAnsi="Arial" w:cs="Arial"/>
          <w:sz w:val="20"/>
          <w:szCs w:val="20"/>
          <w:lang w:val="sr-Cyrl-RS"/>
        </w:rPr>
        <w:t>да постоји простор да се</w:t>
      </w:r>
      <w:r w:rsidR="35687A16" w:rsidRPr="00A021B7" w:rsidDel="00B0657D">
        <w:rPr>
          <w:rFonts w:ascii="Arial" w:hAnsi="Arial" w:cs="Arial"/>
          <w:sz w:val="20"/>
          <w:szCs w:val="20"/>
          <w:lang w:val="sr-Cyrl-RS"/>
        </w:rPr>
        <w:t xml:space="preserve"> </w:t>
      </w:r>
      <w:r w:rsidR="35687A16" w:rsidRPr="00A021B7">
        <w:rPr>
          <w:rFonts w:ascii="Arial" w:hAnsi="Arial" w:cs="Arial"/>
          <w:sz w:val="20"/>
          <w:szCs w:val="20"/>
          <w:lang w:val="sr-Cyrl-RS"/>
        </w:rPr>
        <w:t xml:space="preserve">ови приходи повећају, првенствено кроз додатно ширење обухвата имовине која се опорезује (попис и евидентирање) и повећање степена наплате (у неким ЈЛС и кроз промену пореске стопе). </w:t>
      </w:r>
      <w:r>
        <w:rPr>
          <w:rFonts w:ascii="Arial" w:hAnsi="Arial" w:cs="Arial"/>
          <w:sz w:val="20"/>
          <w:szCs w:val="20"/>
          <w:lang w:val="sr-Cyrl-RS"/>
        </w:rPr>
        <w:t>С обзиром на</w:t>
      </w:r>
      <w:r w:rsidR="35687A16" w:rsidRPr="00A021B7">
        <w:rPr>
          <w:rFonts w:ascii="Arial" w:hAnsi="Arial" w:cs="Arial"/>
          <w:sz w:val="20"/>
          <w:szCs w:val="20"/>
          <w:lang w:val="sr-Cyrl-RS"/>
        </w:rPr>
        <w:t xml:space="preserve"> постојећи велики значај овог прихода у систему локалне самоуправе, претходне промене правног оквира које су довеле до значајног увећања пореских обавеза грађана и привреде по овом основу, бројне реформе које су спровођене у значајном </w:t>
      </w:r>
      <w:r w:rsidR="35687A16" w:rsidRPr="00A021B7">
        <w:rPr>
          <w:rFonts w:ascii="Arial" w:hAnsi="Arial" w:cs="Arial"/>
          <w:sz w:val="20"/>
          <w:szCs w:val="20"/>
          <w:lang w:val="sr-Cyrl-RS"/>
        </w:rPr>
        <w:lastRenderedPageBreak/>
        <w:t xml:space="preserve">делу ЈЛС (попис имовине која се опорезује, увећање степена наплате), али и компаративни увид у системе финансирања ЛС у другим земљама и значај таквог прихода у њима, чини се да простор за увећање овог прихода у поређењу са растом у претходној деценији није велики, мада постоји у једној мери. </w:t>
      </w:r>
      <w:r>
        <w:rPr>
          <w:rFonts w:ascii="Arial" w:hAnsi="Arial" w:cs="Arial"/>
          <w:sz w:val="20"/>
          <w:szCs w:val="20"/>
          <w:lang w:val="sr-Cyrl-RS"/>
        </w:rPr>
        <w:t>Ако се и</w:t>
      </w:r>
      <w:r w:rsidR="35687A16" w:rsidRPr="00A021B7">
        <w:rPr>
          <w:rFonts w:ascii="Arial" w:hAnsi="Arial" w:cs="Arial"/>
          <w:sz w:val="20"/>
          <w:szCs w:val="20"/>
          <w:lang w:val="sr-Cyrl-RS"/>
        </w:rPr>
        <w:t>ма у виду да је порез на имовину у статици фактички једини фискално значајан изворни приход, отвара се простор за разматрање даљих унапређења кроз јачање још неколико изворних прихода, чиме би се повећало учешће изворних прихода у укупним приходима, односно самосталност ЈЛС.</w:t>
      </w:r>
      <w:r w:rsidR="003E03ED" w:rsidRPr="00A021B7">
        <w:rPr>
          <w:rFonts w:ascii="Arial" w:hAnsi="Arial" w:cs="Arial"/>
          <w:sz w:val="20"/>
          <w:szCs w:val="20"/>
          <w:vertAlign w:val="superscript"/>
          <w:lang w:val="sr-Cyrl-RS"/>
        </w:rPr>
        <w:footnoteReference w:id="79"/>
      </w:r>
      <w:r w:rsidR="35687A16" w:rsidRPr="00A021B7">
        <w:rPr>
          <w:rFonts w:ascii="Arial" w:hAnsi="Arial" w:cs="Arial"/>
          <w:sz w:val="20"/>
          <w:szCs w:val="20"/>
          <w:lang w:val="sr-Cyrl-RS"/>
        </w:rPr>
        <w:t xml:space="preserve"> Такође, добри резултати који су евидентно постигнути децентрализацијом у овој области, стварањем локалних пореских администрација у претходној деценији и њиховим увезивањем у јединствени електронски систем у последње две године, на средњи рок отварају и питање разматрања могућности и потребних локалних капацитета за наставак процеса фискалне децентрализације преносом надлежности на ниво локалне самоуправе за управљање другим порезима у вези са имовином (порез на пренос апсолутних права и порез на наслеђе и поклон).</w:t>
      </w:r>
    </w:p>
    <w:p w14:paraId="414220E7" w14:textId="77777777" w:rsidR="003E03ED" w:rsidRPr="00A021B7" w:rsidRDefault="003E03ED" w:rsidP="1A8E6423">
      <w:pPr>
        <w:tabs>
          <w:tab w:val="left" w:pos="990"/>
        </w:tabs>
        <w:ind w:firstLine="720"/>
        <w:jc w:val="both"/>
        <w:rPr>
          <w:rFonts w:ascii="Arial" w:hAnsi="Arial" w:cs="Arial"/>
          <w:sz w:val="20"/>
          <w:szCs w:val="20"/>
          <w:lang w:val="sr-Cyrl-RS"/>
        </w:rPr>
      </w:pPr>
    </w:p>
    <w:p w14:paraId="6F507018" w14:textId="69D0A097" w:rsidR="00DA36D1" w:rsidRPr="00A021B7" w:rsidRDefault="35687A16" w:rsidP="1A8E6423">
      <w:pPr>
        <w:tabs>
          <w:tab w:val="left" w:pos="990"/>
        </w:tabs>
        <w:ind w:firstLine="720"/>
        <w:jc w:val="both"/>
        <w:rPr>
          <w:rFonts w:ascii="Arial" w:hAnsi="Arial" w:cs="Arial"/>
          <w:sz w:val="20"/>
          <w:szCs w:val="20"/>
          <w:lang w:val="sr-Cyrl-RS"/>
        </w:rPr>
      </w:pPr>
      <w:r w:rsidRPr="00A021B7">
        <w:rPr>
          <w:rFonts w:ascii="Arial" w:hAnsi="Arial" w:cs="Arial"/>
          <w:sz w:val="20"/>
          <w:szCs w:val="20"/>
          <w:lang w:val="sr-Cyrl-RS"/>
        </w:rPr>
        <w:t>Нужно је и унапређење процеса припреме и доношења локалних буџета, како у погледу садржине и сврсисходности, тако и транспарентности и инклузивности процеса. Одступање од буџетских апропријација доводи у питање одговорно и стручно припремање буџета. Чести и захватни ребаланси током године указују на пробијање планираних позиција при извршавању буџета, што је индикатор недовољне финансијске дисциплине и недостатака у планирању и одређивању приоритета. Први недостатак у овом процесу је јасно препозната</w:t>
      </w:r>
      <w:r w:rsidR="003E03ED" w:rsidRPr="00A021B7">
        <w:rPr>
          <w:rFonts w:ascii="Arial" w:hAnsi="Arial" w:cs="Arial"/>
          <w:sz w:val="20"/>
          <w:szCs w:val="20"/>
          <w:vertAlign w:val="superscript"/>
          <w:lang w:val="sr-Cyrl-RS"/>
        </w:rPr>
        <w:footnoteReference w:id="80"/>
      </w:r>
      <w:r w:rsidRPr="00A021B7">
        <w:rPr>
          <w:rFonts w:ascii="Arial" w:hAnsi="Arial" w:cs="Arial"/>
          <w:sz w:val="20"/>
          <w:szCs w:val="20"/>
          <w:lang w:val="sr-Cyrl-RS"/>
        </w:rPr>
        <w:t xml:space="preserve"> потреба </w:t>
      </w:r>
      <w:r w:rsidR="001217DC">
        <w:rPr>
          <w:rFonts w:ascii="Arial" w:hAnsi="Arial" w:cs="Arial"/>
          <w:sz w:val="20"/>
          <w:szCs w:val="20"/>
          <w:lang w:val="sr-Cyrl-RS"/>
        </w:rPr>
        <w:t xml:space="preserve">за </w:t>
      </w:r>
      <w:r w:rsidRPr="00A021B7">
        <w:rPr>
          <w:rFonts w:ascii="Arial" w:hAnsi="Arial" w:cs="Arial"/>
          <w:sz w:val="20"/>
          <w:szCs w:val="20"/>
          <w:lang w:val="sr-Cyrl-RS"/>
        </w:rPr>
        <w:t>унапређењ</w:t>
      </w:r>
      <w:r w:rsidR="001217DC">
        <w:rPr>
          <w:rFonts w:ascii="Arial" w:hAnsi="Arial" w:cs="Arial"/>
          <w:sz w:val="20"/>
          <w:szCs w:val="20"/>
          <w:lang w:val="sr-Cyrl-RS"/>
        </w:rPr>
        <w:t>ем</w:t>
      </w:r>
      <w:r w:rsidRPr="00A021B7">
        <w:rPr>
          <w:rFonts w:ascii="Arial" w:hAnsi="Arial" w:cs="Arial"/>
          <w:sz w:val="20"/>
          <w:szCs w:val="20"/>
          <w:lang w:val="sr-Cyrl-RS"/>
        </w:rPr>
        <w:t xml:space="preserve"> знања о буџетском процесу, примен</w:t>
      </w:r>
      <w:r w:rsidR="001217DC">
        <w:rPr>
          <w:rFonts w:ascii="Arial" w:hAnsi="Arial" w:cs="Arial"/>
          <w:sz w:val="20"/>
          <w:szCs w:val="20"/>
          <w:lang w:val="sr-Cyrl-RS"/>
        </w:rPr>
        <w:t>ом</w:t>
      </w:r>
      <w:r w:rsidRPr="00A021B7">
        <w:rPr>
          <w:rFonts w:ascii="Arial" w:hAnsi="Arial" w:cs="Arial"/>
          <w:sz w:val="20"/>
          <w:szCs w:val="20"/>
          <w:lang w:val="sr-Cyrl-RS"/>
        </w:rPr>
        <w:t xml:space="preserve"> буџетских класификација и унифицирањ</w:t>
      </w:r>
      <w:r w:rsidR="001217DC">
        <w:rPr>
          <w:rFonts w:ascii="Arial" w:hAnsi="Arial" w:cs="Arial"/>
          <w:sz w:val="20"/>
          <w:szCs w:val="20"/>
          <w:lang w:val="sr-Cyrl-RS"/>
        </w:rPr>
        <w:t>ем</w:t>
      </w:r>
      <w:r w:rsidRPr="00A021B7">
        <w:rPr>
          <w:rFonts w:ascii="Arial" w:hAnsi="Arial" w:cs="Arial"/>
          <w:sz w:val="20"/>
          <w:szCs w:val="20"/>
          <w:lang w:val="sr-Cyrl-RS"/>
        </w:rPr>
        <w:t xml:space="preserve"> буџетских докумената. Недостаје и системски оквир за вођење буџетских преговора на техничком нивоу.</w:t>
      </w:r>
      <w:r w:rsidR="003E03ED" w:rsidRPr="00A021B7">
        <w:rPr>
          <w:rFonts w:ascii="Arial" w:hAnsi="Arial" w:cs="Arial"/>
          <w:sz w:val="20"/>
          <w:szCs w:val="20"/>
          <w:vertAlign w:val="superscript"/>
          <w:lang w:val="sr-Cyrl-RS"/>
        </w:rPr>
        <w:footnoteReference w:id="81"/>
      </w:r>
      <w:r w:rsidRPr="00A021B7">
        <w:rPr>
          <w:rFonts w:ascii="Arial" w:hAnsi="Arial" w:cs="Arial"/>
          <w:sz w:val="20"/>
          <w:szCs w:val="20"/>
          <w:lang w:val="sr-Cyrl-RS"/>
        </w:rPr>
        <w:t xml:space="preserve"> Део изазова у буџетирању у једном броју ЈЛС је и неадекватна организациона сарадња, комуникација и координација рада</w:t>
      </w:r>
      <w:r w:rsidR="001217DC">
        <w:rPr>
          <w:rFonts w:ascii="Arial" w:hAnsi="Arial" w:cs="Arial"/>
          <w:sz w:val="20"/>
          <w:szCs w:val="20"/>
          <w:lang w:val="sr-Cyrl-RS"/>
        </w:rPr>
        <w:t>,</w:t>
      </w:r>
      <w:r w:rsidRPr="00A021B7">
        <w:rPr>
          <w:rFonts w:ascii="Arial" w:hAnsi="Arial" w:cs="Arial"/>
          <w:sz w:val="20"/>
          <w:szCs w:val="20"/>
          <w:lang w:val="sr-Cyrl-RS"/>
        </w:rPr>
        <w:t xml:space="preserve"> како између различитих организационих јединица локалне управе, тако и локалне управе са установама, јавним предузећима и осталим институцијама које чине систем локалне самоуправе. Једна од кључних замерки које се могу упутити ЈЛС јесте недовољно добро планирање прихода и расхода</w:t>
      </w:r>
      <w:r w:rsidR="001217DC">
        <w:rPr>
          <w:rFonts w:ascii="Arial" w:hAnsi="Arial" w:cs="Arial"/>
          <w:sz w:val="20"/>
          <w:szCs w:val="20"/>
          <w:lang w:val="sr-Cyrl-RS"/>
        </w:rPr>
        <w:t>,</w:t>
      </w:r>
      <w:r w:rsidRPr="00A021B7">
        <w:rPr>
          <w:rFonts w:ascii="Arial" w:hAnsi="Arial" w:cs="Arial"/>
          <w:sz w:val="20"/>
          <w:szCs w:val="20"/>
          <w:lang w:val="sr-Cyrl-RS"/>
        </w:rPr>
        <w:t xml:space="preserve"> које представља озбиљан изазов за реформу локалног буџетског процеса. Одступања планираних прихода и расхода од остварених и извршених</w:t>
      </w:r>
      <w:r w:rsidR="003E03ED" w:rsidRPr="00A021B7">
        <w:rPr>
          <w:rFonts w:ascii="Arial" w:hAnsi="Arial" w:cs="Arial"/>
          <w:sz w:val="20"/>
          <w:szCs w:val="20"/>
          <w:vertAlign w:val="superscript"/>
          <w:lang w:val="sr-Cyrl-RS"/>
        </w:rPr>
        <w:footnoteReference w:id="82"/>
      </w:r>
      <w:r w:rsidRPr="00A021B7">
        <w:rPr>
          <w:rFonts w:ascii="Arial" w:hAnsi="Arial" w:cs="Arial"/>
          <w:sz w:val="20"/>
          <w:szCs w:val="20"/>
          <w:lang w:val="sr-Cyrl-RS"/>
        </w:rPr>
        <w:t xml:space="preserve"> показују да у значајном броју ЈЛС постоје већа одступања од буџетског плана. У 2019. години просечно извршење планираних прихода и примања износи око 84%, а само 7 ЈЛС остварује приходе веће од планираних. Са друге стране, велики број ЈЛС остварује мање од 80% планираних прихода (45), као и мање од 70% планираних прихода (21).</w:t>
      </w:r>
      <w:r w:rsidR="003E03ED" w:rsidRPr="00A021B7">
        <w:rPr>
          <w:rFonts w:ascii="Arial" w:hAnsi="Arial" w:cs="Arial"/>
          <w:sz w:val="20"/>
          <w:szCs w:val="20"/>
          <w:vertAlign w:val="superscript"/>
          <w:lang w:val="sr-Cyrl-RS"/>
        </w:rPr>
        <w:footnoteReference w:id="83"/>
      </w:r>
      <w:r w:rsidRPr="00A021B7">
        <w:rPr>
          <w:rFonts w:ascii="Arial" w:hAnsi="Arial" w:cs="Arial"/>
          <w:sz w:val="20"/>
          <w:szCs w:val="20"/>
          <w:lang w:val="sr-Cyrl-RS"/>
        </w:rPr>
        <w:t xml:space="preserve"> Такође, средњорочни буџетски оквир често недостаје у одлукама о буџету, а отворено је и питање да ли се и поштује уколико га има. За адекватно сагледавање буџета и система управљања локалним приходима и расходима важно је имати у виду комуникацију и координацију рада, делегирање овлашћења и одговорности за доношење одлука у управљању приходима и издацима између политичког руководства и управног дела локалне самоуправе. Недовољна комуникација и координација рада, чак и њихов изостанак, који су присутни у једном броју ЈЛС, један су од узрока </w:t>
      </w:r>
      <w:r w:rsidR="001217DC">
        <w:rPr>
          <w:rFonts w:ascii="Arial" w:hAnsi="Arial" w:cs="Arial"/>
          <w:sz w:val="20"/>
          <w:szCs w:val="20"/>
          <w:lang w:val="sr-Cyrl-RS"/>
        </w:rPr>
        <w:t>проблема</w:t>
      </w:r>
      <w:r w:rsidR="001217DC" w:rsidRPr="00A021B7">
        <w:rPr>
          <w:rFonts w:ascii="Arial" w:hAnsi="Arial" w:cs="Arial"/>
          <w:sz w:val="20"/>
          <w:szCs w:val="20"/>
          <w:lang w:val="sr-Cyrl-RS"/>
        </w:rPr>
        <w:t xml:space="preserve"> </w:t>
      </w:r>
      <w:r w:rsidRPr="00A021B7">
        <w:rPr>
          <w:rFonts w:ascii="Arial" w:hAnsi="Arial" w:cs="Arial"/>
          <w:sz w:val="20"/>
          <w:szCs w:val="20"/>
          <w:lang w:val="sr-Cyrl-RS"/>
        </w:rPr>
        <w:t xml:space="preserve">у вези са пројекцијом прихода ЈЛС. Последично, због недостатка координације рада и комуникације унутар општинске управе, предвидивост локалног буџета је смањена и ослања се на предвиђања запослених </w:t>
      </w:r>
      <w:r w:rsidR="001217DC">
        <w:rPr>
          <w:rFonts w:ascii="Arial" w:hAnsi="Arial" w:cs="Arial"/>
          <w:sz w:val="20"/>
          <w:szCs w:val="20"/>
          <w:lang w:val="sr-Cyrl-RS"/>
        </w:rPr>
        <w:t>који раде на</w:t>
      </w:r>
      <w:r w:rsidR="001217DC" w:rsidRPr="00A021B7">
        <w:rPr>
          <w:rFonts w:ascii="Arial" w:hAnsi="Arial" w:cs="Arial"/>
          <w:sz w:val="20"/>
          <w:szCs w:val="20"/>
          <w:lang w:val="sr-Cyrl-RS"/>
        </w:rPr>
        <w:t xml:space="preserve"> </w:t>
      </w:r>
      <w:r w:rsidRPr="00A021B7">
        <w:rPr>
          <w:rFonts w:ascii="Arial" w:hAnsi="Arial" w:cs="Arial"/>
          <w:sz w:val="20"/>
          <w:szCs w:val="20"/>
          <w:lang w:val="sr-Cyrl-RS"/>
        </w:rPr>
        <w:t>буџету применом искуствено-историјских метода.</w:t>
      </w:r>
    </w:p>
    <w:p w14:paraId="54D45FA7" w14:textId="7266696C" w:rsidR="00BE20DC" w:rsidRPr="00A021B7" w:rsidRDefault="00BE20DC" w:rsidP="1A8E6423">
      <w:pPr>
        <w:tabs>
          <w:tab w:val="left" w:pos="990"/>
        </w:tabs>
        <w:ind w:firstLine="720"/>
        <w:jc w:val="both"/>
        <w:rPr>
          <w:rFonts w:ascii="Arial" w:hAnsi="Arial" w:cs="Arial"/>
          <w:sz w:val="20"/>
          <w:szCs w:val="20"/>
          <w:lang w:val="sr-Cyrl-RS"/>
        </w:rPr>
      </w:pPr>
    </w:p>
    <w:p w14:paraId="1B44F00B" w14:textId="1D4CD356" w:rsidR="00B80C05" w:rsidRPr="00A021B7" w:rsidRDefault="7CA66763"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Веома битан део процеса планирања буџета јесте </w:t>
      </w:r>
      <w:r w:rsidR="4D83DFE0" w:rsidRPr="00A021B7">
        <w:rPr>
          <w:rFonts w:ascii="Arial" w:hAnsi="Arial" w:cs="Arial"/>
          <w:sz w:val="20"/>
          <w:szCs w:val="20"/>
          <w:lang w:val="sr-Cyrl-RS"/>
        </w:rPr>
        <w:t>учешће</w:t>
      </w:r>
      <w:r w:rsidRPr="00A021B7">
        <w:rPr>
          <w:rFonts w:ascii="Arial" w:hAnsi="Arial" w:cs="Arial"/>
          <w:sz w:val="20"/>
          <w:szCs w:val="20"/>
          <w:lang w:val="sr-Cyrl-RS"/>
        </w:rPr>
        <w:t xml:space="preserve"> јавности у том процесу. Иако су евидентирани одређени помаци, посебно од измена ЗЛС 2018.</w:t>
      </w:r>
      <w:r w:rsidR="4BB6BE4C" w:rsidRPr="00A021B7">
        <w:rPr>
          <w:rFonts w:ascii="Arial" w:hAnsi="Arial" w:cs="Arial"/>
          <w:sz w:val="20"/>
          <w:szCs w:val="20"/>
          <w:lang w:val="sr-Cyrl-RS"/>
        </w:rPr>
        <w:t xml:space="preserve"> </w:t>
      </w:r>
      <w:r w:rsidRPr="00A021B7">
        <w:rPr>
          <w:rFonts w:ascii="Arial" w:hAnsi="Arial" w:cs="Arial"/>
          <w:sz w:val="20"/>
          <w:szCs w:val="20"/>
          <w:lang w:val="sr-Cyrl-RS"/>
        </w:rPr>
        <w:t xml:space="preserve">године </w:t>
      </w:r>
      <w:r w:rsidR="4BB6BE4C" w:rsidRPr="00A021B7">
        <w:rPr>
          <w:rFonts w:ascii="Arial" w:hAnsi="Arial" w:cs="Arial"/>
          <w:sz w:val="20"/>
          <w:szCs w:val="20"/>
          <w:lang w:val="sr-Cyrl-RS"/>
        </w:rPr>
        <w:t>и</w:t>
      </w:r>
      <w:r w:rsidRPr="00A021B7">
        <w:rPr>
          <w:rFonts w:ascii="Arial" w:hAnsi="Arial" w:cs="Arial"/>
          <w:sz w:val="20"/>
          <w:szCs w:val="20"/>
          <w:lang w:val="sr-Cyrl-RS"/>
        </w:rPr>
        <w:t xml:space="preserve"> увођења обавезне јавне расправе</w:t>
      </w:r>
      <w:r w:rsidR="001217DC">
        <w:rPr>
          <w:rFonts w:ascii="Arial" w:hAnsi="Arial" w:cs="Arial"/>
          <w:sz w:val="20"/>
          <w:szCs w:val="20"/>
          <w:lang w:val="sr-Cyrl-RS"/>
        </w:rPr>
        <w:t>,</w:t>
      </w:r>
      <w:r w:rsidRPr="00A021B7">
        <w:rPr>
          <w:rFonts w:ascii="Arial" w:hAnsi="Arial" w:cs="Arial"/>
          <w:sz w:val="20"/>
          <w:szCs w:val="20"/>
          <w:lang w:val="sr-Cyrl-RS"/>
        </w:rPr>
        <w:t xml:space="preserve"> и даље остају </w:t>
      </w:r>
      <w:r w:rsidR="1C96D757" w:rsidRPr="00A021B7">
        <w:rPr>
          <w:rFonts w:ascii="Arial" w:hAnsi="Arial" w:cs="Arial"/>
          <w:sz w:val="20"/>
          <w:szCs w:val="20"/>
          <w:lang w:val="sr-Cyrl-RS"/>
        </w:rPr>
        <w:t>значајни изазови у овој области. Првенствено је потребно радити на квалитету саме јавне расправе, широком учешћ</w:t>
      </w:r>
      <w:r w:rsidR="4BB6BE4C" w:rsidRPr="00A021B7">
        <w:rPr>
          <w:rFonts w:ascii="Arial" w:hAnsi="Arial" w:cs="Arial"/>
          <w:sz w:val="20"/>
          <w:szCs w:val="20"/>
          <w:lang w:val="sr-Cyrl-RS"/>
        </w:rPr>
        <w:t>у заједнице</w:t>
      </w:r>
      <w:r w:rsidR="001217DC">
        <w:rPr>
          <w:rFonts w:ascii="Arial" w:hAnsi="Arial" w:cs="Arial"/>
          <w:sz w:val="20"/>
          <w:szCs w:val="20"/>
          <w:lang w:val="sr-Cyrl-RS"/>
        </w:rPr>
        <w:t>,</w:t>
      </w:r>
      <w:r w:rsidR="630ABE4C" w:rsidRPr="00A021B7">
        <w:rPr>
          <w:rFonts w:ascii="Arial" w:hAnsi="Arial" w:cs="Arial"/>
          <w:sz w:val="20"/>
          <w:szCs w:val="20"/>
          <w:lang w:val="sr-Cyrl-RS"/>
        </w:rPr>
        <w:t xml:space="preserve"> али и на развоју праксе да се локалној јавности дају повратне информације о ефектима јавне расправе на сам предлог буџета. У анализама које су се бавиле овом темом, констатују се слабији резултати у погледу припреме </w:t>
      </w:r>
      <w:r w:rsidR="630ABE4C" w:rsidRPr="00A021B7">
        <w:rPr>
          <w:rFonts w:ascii="Arial" w:hAnsi="Arial" w:cs="Arial"/>
          <w:sz w:val="20"/>
          <w:szCs w:val="20"/>
          <w:lang w:val="sr-Cyrl-RS"/>
        </w:rPr>
        <w:lastRenderedPageBreak/>
        <w:t>и објављивања извештаја о спроведеној јавној расправи о буџету (око 43% ЛС је то учинило у погледу буџета за 2020. годину</w:t>
      </w:r>
      <w:r w:rsidR="00931A1E" w:rsidRPr="00A021B7">
        <w:rPr>
          <w:rStyle w:val="FootnoteReference"/>
          <w:rFonts w:ascii="Arial" w:hAnsi="Arial" w:cs="Arial"/>
          <w:sz w:val="20"/>
          <w:szCs w:val="20"/>
          <w:lang w:val="sr-Cyrl-RS"/>
        </w:rPr>
        <w:footnoteReference w:id="84"/>
      </w:r>
      <w:r w:rsidR="630ABE4C" w:rsidRPr="00A021B7">
        <w:rPr>
          <w:rFonts w:ascii="Arial" w:hAnsi="Arial" w:cs="Arial"/>
          <w:sz w:val="20"/>
          <w:szCs w:val="20"/>
          <w:lang w:val="sr-Cyrl-RS"/>
        </w:rPr>
        <w:t>) и</w:t>
      </w:r>
      <w:r w:rsidR="001217DC">
        <w:rPr>
          <w:rFonts w:ascii="Arial" w:hAnsi="Arial" w:cs="Arial"/>
          <w:sz w:val="20"/>
          <w:szCs w:val="20"/>
          <w:lang w:val="sr-Cyrl-RS"/>
        </w:rPr>
        <w:t>,</w:t>
      </w:r>
      <w:r w:rsidR="630ABE4C" w:rsidRPr="00A021B7">
        <w:rPr>
          <w:rFonts w:ascii="Arial" w:hAnsi="Arial" w:cs="Arial"/>
          <w:sz w:val="20"/>
          <w:szCs w:val="20"/>
          <w:lang w:val="sr-Cyrl-RS"/>
        </w:rPr>
        <w:t xml:space="preserve"> нарочито</w:t>
      </w:r>
      <w:r w:rsidR="001217DC">
        <w:rPr>
          <w:rFonts w:ascii="Arial" w:hAnsi="Arial" w:cs="Arial"/>
          <w:sz w:val="20"/>
          <w:szCs w:val="20"/>
          <w:lang w:val="sr-Cyrl-RS"/>
        </w:rPr>
        <w:t>,</w:t>
      </w:r>
      <w:r w:rsidR="630ABE4C" w:rsidRPr="00A021B7">
        <w:rPr>
          <w:rFonts w:ascii="Arial" w:hAnsi="Arial" w:cs="Arial"/>
          <w:sz w:val="20"/>
          <w:szCs w:val="20"/>
          <w:lang w:val="sr-Cyrl-RS"/>
        </w:rPr>
        <w:t xml:space="preserve"> у погледу водича за грађане кроз завршни рачун</w:t>
      </w:r>
      <w:r w:rsidR="001217DC">
        <w:rPr>
          <w:rFonts w:ascii="Arial" w:hAnsi="Arial" w:cs="Arial"/>
          <w:sz w:val="20"/>
          <w:szCs w:val="20"/>
          <w:lang w:val="sr-Cyrl-RS"/>
        </w:rPr>
        <w:t>,</w:t>
      </w:r>
      <w:r w:rsidR="630ABE4C" w:rsidRPr="00A021B7">
        <w:rPr>
          <w:rFonts w:ascii="Arial" w:hAnsi="Arial" w:cs="Arial"/>
          <w:sz w:val="20"/>
          <w:szCs w:val="20"/>
          <w:lang w:val="sr-Cyrl-RS"/>
        </w:rPr>
        <w:t xml:space="preserve"> на којима су почели да раде углавном они градови и општине који су имали актуелну техничку подршку.</w:t>
      </w:r>
      <w:r w:rsidR="6CB2DC08" w:rsidRPr="00A021B7">
        <w:rPr>
          <w:rFonts w:ascii="Arial" w:hAnsi="Arial" w:cs="Arial"/>
          <w:sz w:val="20"/>
          <w:szCs w:val="20"/>
          <w:lang w:val="sr-Cyrl-RS"/>
        </w:rPr>
        <w:t xml:space="preserve"> </w:t>
      </w:r>
      <w:r w:rsidR="6FA07082" w:rsidRPr="00A021B7">
        <w:rPr>
          <w:rFonts w:ascii="Arial" w:hAnsi="Arial" w:cs="Arial"/>
          <w:sz w:val="20"/>
          <w:szCs w:val="20"/>
          <w:lang w:val="sr-Cyrl-RS"/>
        </w:rPr>
        <w:t>Поред ових</w:t>
      </w:r>
      <w:r w:rsidR="001217DC">
        <w:rPr>
          <w:rFonts w:ascii="Arial" w:hAnsi="Arial" w:cs="Arial"/>
          <w:sz w:val="20"/>
          <w:szCs w:val="20"/>
          <w:lang w:val="sr-Cyrl-RS"/>
        </w:rPr>
        <w:t>,</w:t>
      </w:r>
      <w:r w:rsidR="6FA07082" w:rsidRPr="00A021B7">
        <w:rPr>
          <w:rFonts w:ascii="Arial" w:hAnsi="Arial" w:cs="Arial"/>
          <w:sz w:val="20"/>
          <w:szCs w:val="20"/>
          <w:lang w:val="sr-Cyrl-RS"/>
        </w:rPr>
        <w:t xml:space="preserve"> једна од битних претпоставки за </w:t>
      </w:r>
      <w:r w:rsidR="001217DC" w:rsidRPr="00A021B7">
        <w:rPr>
          <w:rFonts w:ascii="Arial" w:hAnsi="Arial" w:cs="Arial"/>
          <w:sz w:val="20"/>
          <w:szCs w:val="20"/>
          <w:lang w:val="sr-Cyrl-RS"/>
        </w:rPr>
        <w:t>транспарентност</w:t>
      </w:r>
      <w:r w:rsidR="6FA07082" w:rsidRPr="00A021B7">
        <w:rPr>
          <w:rFonts w:ascii="Arial" w:hAnsi="Arial" w:cs="Arial"/>
          <w:sz w:val="20"/>
          <w:szCs w:val="20"/>
          <w:lang w:val="sr-Cyrl-RS"/>
        </w:rPr>
        <w:t xml:space="preserve"> локалних финансија јесте </w:t>
      </w:r>
      <w:r w:rsidR="3B613956" w:rsidRPr="00A021B7">
        <w:rPr>
          <w:rFonts w:ascii="Arial" w:hAnsi="Arial" w:cs="Arial"/>
          <w:sz w:val="20"/>
          <w:szCs w:val="20"/>
          <w:lang w:val="sr-Cyrl-RS"/>
        </w:rPr>
        <w:t xml:space="preserve">информисање локалне заједнице о спровођењу самог буџета. Иако је део ЈЛС кренуо у веома позитивном правцу (развијањем јавних буџетских портала, редовним информисање заједнице о стању буџета преко интернет </w:t>
      </w:r>
      <w:r w:rsidR="3005EC40" w:rsidRPr="00A021B7">
        <w:rPr>
          <w:rFonts w:ascii="Arial" w:hAnsi="Arial" w:cs="Arial"/>
          <w:sz w:val="20"/>
          <w:szCs w:val="20"/>
          <w:lang w:val="sr-Cyrl-RS"/>
        </w:rPr>
        <w:t>портала ЛС и др.)</w:t>
      </w:r>
      <w:r w:rsidR="001217DC">
        <w:rPr>
          <w:rFonts w:ascii="Arial" w:hAnsi="Arial" w:cs="Arial"/>
          <w:sz w:val="20"/>
          <w:szCs w:val="20"/>
          <w:lang w:val="sr-Cyrl-RS"/>
        </w:rPr>
        <w:t>,</w:t>
      </w:r>
      <w:r w:rsidR="3005EC40" w:rsidRPr="00A021B7">
        <w:rPr>
          <w:rFonts w:ascii="Arial" w:hAnsi="Arial" w:cs="Arial"/>
          <w:sz w:val="20"/>
          <w:szCs w:val="20"/>
          <w:lang w:val="sr-Cyrl-RS"/>
        </w:rPr>
        <w:t xml:space="preserve"> остаје значајан простор да се процес спровођења буџета и праћење стања локалних јавних финансија учини још транспаре</w:t>
      </w:r>
      <w:r w:rsidR="001217DC">
        <w:rPr>
          <w:rFonts w:ascii="Arial" w:hAnsi="Arial" w:cs="Arial"/>
          <w:sz w:val="20"/>
          <w:szCs w:val="20"/>
          <w:lang w:val="sr-Cyrl-RS"/>
        </w:rPr>
        <w:t>н</w:t>
      </w:r>
      <w:r w:rsidR="3005EC40" w:rsidRPr="00A021B7">
        <w:rPr>
          <w:rFonts w:ascii="Arial" w:hAnsi="Arial" w:cs="Arial"/>
          <w:sz w:val="20"/>
          <w:szCs w:val="20"/>
          <w:lang w:val="sr-Cyrl-RS"/>
        </w:rPr>
        <w:t>тнијим, како у самој локалној заједници тако и на нивоу целог система локалне самоуправе.</w:t>
      </w:r>
    </w:p>
    <w:p w14:paraId="6C8EEC74" w14:textId="77777777" w:rsidR="009F51E5" w:rsidRPr="00A021B7" w:rsidRDefault="009F51E5" w:rsidP="1A8E6423">
      <w:pPr>
        <w:tabs>
          <w:tab w:val="left" w:pos="990"/>
        </w:tabs>
        <w:ind w:firstLine="720"/>
        <w:jc w:val="both"/>
        <w:rPr>
          <w:rFonts w:ascii="Arial" w:hAnsi="Arial" w:cs="Arial"/>
          <w:sz w:val="20"/>
          <w:szCs w:val="20"/>
          <w:lang w:val="sr-Cyrl-RS"/>
        </w:rPr>
      </w:pPr>
    </w:p>
    <w:p w14:paraId="73EC7318" w14:textId="27EFBF15" w:rsidR="00BE20DC" w:rsidRPr="00A021B7" w:rsidRDefault="003E03ED" w:rsidP="1A8E6423">
      <w:pPr>
        <w:tabs>
          <w:tab w:val="left" w:pos="990"/>
        </w:tabs>
        <w:ind w:firstLine="720"/>
        <w:jc w:val="both"/>
        <w:rPr>
          <w:rFonts w:ascii="Arial" w:hAnsi="Arial" w:cs="Arial"/>
          <w:sz w:val="20"/>
          <w:szCs w:val="20"/>
          <w:lang w:val="sr-Cyrl-RS"/>
        </w:rPr>
      </w:pPr>
      <w:r w:rsidRPr="1A8E6423">
        <w:rPr>
          <w:rFonts w:ascii="Arial" w:hAnsi="Arial" w:cs="Arial"/>
          <w:sz w:val="20"/>
          <w:szCs w:val="20"/>
          <w:lang w:val="sr-Cyrl-RS"/>
        </w:rPr>
        <w:t xml:space="preserve">Реформа процеса припреме буџета започета увођењем програмског буџетирања неће до краја бити успешна без даље изградње потребног институционалног оквира који подстиче и захтева учинак. </w:t>
      </w:r>
      <w:r w:rsidR="001217DC" w:rsidRPr="1A8E6423">
        <w:rPr>
          <w:rFonts w:ascii="Arial" w:hAnsi="Arial" w:cs="Arial"/>
          <w:sz w:val="20"/>
          <w:szCs w:val="20"/>
          <w:lang w:val="sr-Cyrl-RS"/>
        </w:rPr>
        <w:t>То</w:t>
      </w:r>
      <w:r w:rsidRPr="1A8E6423">
        <w:rPr>
          <w:rFonts w:ascii="Arial" w:hAnsi="Arial" w:cs="Arial"/>
          <w:sz w:val="20"/>
          <w:szCs w:val="20"/>
          <w:lang w:val="sr-Cyrl-RS"/>
        </w:rPr>
        <w:t xml:space="preserve"> захтева, поред унапређења организационе структуре у ЈЛС</w:t>
      </w:r>
      <w:r w:rsidR="001217DC" w:rsidRPr="1A8E6423">
        <w:rPr>
          <w:rFonts w:ascii="Arial" w:hAnsi="Arial" w:cs="Arial"/>
          <w:sz w:val="20"/>
          <w:szCs w:val="20"/>
          <w:lang w:val="sr-Cyrl-RS"/>
        </w:rPr>
        <w:t>,</w:t>
      </w:r>
      <w:r w:rsidRPr="1A8E6423">
        <w:rPr>
          <w:rFonts w:ascii="Arial" w:hAnsi="Arial" w:cs="Arial"/>
          <w:sz w:val="20"/>
          <w:szCs w:val="20"/>
          <w:lang w:val="sr-Cyrl-RS"/>
        </w:rPr>
        <w:t xml:space="preserve"> и јачање система планирања на локалном нивоу, јер је планирање најважнија активност процеса управљања. Квалитетније планирање мора да буде подржано и прилагођавањима и унапређењима на страни програмске структуре буџета ЈЛС да би се истински омогућило интегрисање процеса стратешког планирања са процесом буџетирања, и обезбедиле смислене и квалитетне програмске информације неопходне за процесе праћења и оцењивања.</w:t>
      </w:r>
    </w:p>
    <w:p w14:paraId="3C035371" w14:textId="77777777" w:rsidR="003E03ED" w:rsidRPr="00A021B7" w:rsidRDefault="003E03ED" w:rsidP="1A8E6423">
      <w:pPr>
        <w:tabs>
          <w:tab w:val="left" w:pos="990"/>
        </w:tabs>
        <w:ind w:firstLine="720"/>
        <w:jc w:val="both"/>
        <w:rPr>
          <w:rFonts w:ascii="Arial" w:hAnsi="Arial" w:cs="Arial"/>
          <w:sz w:val="20"/>
          <w:szCs w:val="20"/>
          <w:lang w:val="sr-Cyrl-RS"/>
        </w:rPr>
      </w:pPr>
    </w:p>
    <w:p w14:paraId="66A4E33A" w14:textId="12B82605" w:rsidR="003E03ED" w:rsidRPr="00A021B7" w:rsidRDefault="35687A16" w:rsidP="1A8E6423">
      <w:pPr>
        <w:tabs>
          <w:tab w:val="left" w:pos="990"/>
        </w:tabs>
        <w:ind w:firstLine="720"/>
        <w:jc w:val="both"/>
        <w:rPr>
          <w:rFonts w:ascii="Arial" w:hAnsi="Arial" w:cs="Arial"/>
          <w:color w:val="000000" w:themeColor="text1"/>
          <w:sz w:val="20"/>
          <w:szCs w:val="20"/>
          <w:lang w:val="sr-Cyrl-RS"/>
        </w:rPr>
      </w:pPr>
      <w:r w:rsidRPr="00A021B7">
        <w:rPr>
          <w:rFonts w:ascii="Arial" w:hAnsi="Arial" w:cs="Arial"/>
          <w:sz w:val="20"/>
          <w:szCs w:val="20"/>
          <w:lang w:val="sr-Cyrl-RS"/>
        </w:rPr>
        <w:t>На овај начин би се подстакло и унапређење структуре расхода локалних буџета. То унапређење је превасходно потребно кроз повећање капиталних издатака односно инвестиција у инфраструктуру. У вези са расходима ЈЛС, општи закључак је да је потребно да се даље контролишу и где је могуће смањују расходи за запослене (чији је удео у буџету већ смањен у последњих неколико година</w:t>
      </w:r>
      <w:r w:rsidR="001217DC">
        <w:rPr>
          <w:rFonts w:ascii="Arial" w:hAnsi="Arial" w:cs="Arial"/>
          <w:sz w:val="20"/>
          <w:szCs w:val="20"/>
          <w:lang w:val="sr-Cyrl-RS"/>
        </w:rPr>
        <w:t>,</w:t>
      </w:r>
      <w:r w:rsidRPr="00A021B7">
        <w:rPr>
          <w:rFonts w:ascii="Arial" w:hAnsi="Arial" w:cs="Arial"/>
          <w:sz w:val="20"/>
          <w:szCs w:val="20"/>
          <w:lang w:val="sr-Cyrl-RS"/>
        </w:rPr>
        <w:t xml:space="preserve"> иако </w:t>
      </w:r>
      <w:r w:rsidR="001217DC">
        <w:rPr>
          <w:rFonts w:ascii="Arial" w:hAnsi="Arial" w:cs="Arial"/>
          <w:sz w:val="20"/>
          <w:szCs w:val="20"/>
          <w:lang w:val="sr-Cyrl-RS"/>
        </w:rPr>
        <w:t xml:space="preserve">– </w:t>
      </w:r>
      <w:r w:rsidRPr="00A021B7">
        <w:rPr>
          <w:rFonts w:ascii="Arial" w:hAnsi="Arial" w:cs="Arial"/>
          <w:sz w:val="20"/>
          <w:szCs w:val="20"/>
          <w:lang w:val="sr-Cyrl-RS"/>
        </w:rPr>
        <w:t xml:space="preserve">како је истакнуто </w:t>
      </w:r>
      <w:r w:rsidR="001217DC">
        <w:rPr>
          <w:rFonts w:ascii="Arial" w:hAnsi="Arial" w:cs="Arial"/>
          <w:sz w:val="20"/>
          <w:szCs w:val="20"/>
          <w:lang w:val="sr-Cyrl-RS"/>
        </w:rPr>
        <w:t>– постоји</w:t>
      </w:r>
      <w:r w:rsidRPr="00A021B7">
        <w:rPr>
          <w:rFonts w:ascii="Arial" w:hAnsi="Arial" w:cs="Arial"/>
          <w:sz w:val="20"/>
          <w:szCs w:val="20"/>
          <w:lang w:val="sr-Cyrl-RS"/>
        </w:rPr>
        <w:t xml:space="preserve"> одређени раст у номиналном износу) и расходи за коришћење роба и услуга, па и неке друге категорије расхода, а да се повећају капитални издаци односно инвестиције у капиталну инфраструктуру. По оценама Фискалног савета, једна од највећих структурних слабости финансија локалне самоуправе јесте дугогодишњи мањак јавних инвестиција из локалног буџета и значајно заостајање локалне самоуправе у Србији за земљама Централне и Источне Европе у овој области.</w:t>
      </w:r>
      <w:r w:rsidR="003E03ED" w:rsidRPr="00A021B7">
        <w:rPr>
          <w:rFonts w:ascii="Arial" w:hAnsi="Arial" w:cs="Arial"/>
          <w:sz w:val="20"/>
          <w:szCs w:val="20"/>
          <w:vertAlign w:val="superscript"/>
          <w:lang w:val="sr-Cyrl-RS"/>
        </w:rPr>
        <w:footnoteReference w:id="85"/>
      </w:r>
      <w:r w:rsidRPr="00A021B7">
        <w:rPr>
          <w:rFonts w:ascii="Arial" w:hAnsi="Arial" w:cs="Arial"/>
          <w:sz w:val="20"/>
          <w:szCs w:val="20"/>
          <w:lang w:val="sr-Cyrl-RS"/>
        </w:rPr>
        <w:t xml:space="preserve"> Зато је неопходно унапређивати структуру локалних расхода</w:t>
      </w:r>
      <w:r w:rsidR="001217DC">
        <w:rPr>
          <w:rFonts w:ascii="Arial" w:hAnsi="Arial" w:cs="Arial"/>
          <w:sz w:val="20"/>
          <w:szCs w:val="20"/>
          <w:lang w:val="sr-Cyrl-RS"/>
        </w:rPr>
        <w:t>,</w:t>
      </w:r>
      <w:r w:rsidRPr="00A021B7">
        <w:rPr>
          <w:rFonts w:ascii="Arial" w:hAnsi="Arial" w:cs="Arial"/>
          <w:sz w:val="20"/>
          <w:szCs w:val="20"/>
          <w:lang w:val="sr-Cyrl-RS"/>
        </w:rPr>
        <w:t xml:space="preserve"> али и успоставити систем приоритизације локалних капиталних пројеката у ЈЛС</w:t>
      </w:r>
      <w:r w:rsidR="001217DC">
        <w:rPr>
          <w:rFonts w:ascii="Arial" w:hAnsi="Arial" w:cs="Arial"/>
          <w:sz w:val="20"/>
          <w:szCs w:val="20"/>
          <w:lang w:val="sr-Cyrl-RS"/>
        </w:rPr>
        <w:t>,</w:t>
      </w:r>
      <w:r w:rsidRPr="00A021B7">
        <w:rPr>
          <w:rFonts w:ascii="Arial" w:hAnsi="Arial" w:cs="Arial"/>
          <w:sz w:val="20"/>
          <w:szCs w:val="20"/>
          <w:lang w:val="sr-Cyrl-RS"/>
        </w:rPr>
        <w:t xml:space="preserve"> што захтева како проширење календара буџета локалне власти и на прву половину године, тако и успостављање системског оквира за вођење буџетских преговора на техничком нивоу. У том смислу, за ЈЛС није довољно конкретизован приступ управљања капиталним пројектима инвестиционе вредности испод 5 милиона евра (у складу са новом </w:t>
      </w:r>
      <w:r w:rsidR="001217DC">
        <w:rPr>
          <w:rFonts w:ascii="Arial" w:hAnsi="Arial" w:cs="Arial"/>
          <w:sz w:val="20"/>
          <w:szCs w:val="20"/>
          <w:lang w:val="sr-Cyrl-RS"/>
        </w:rPr>
        <w:t>у</w:t>
      </w:r>
      <w:r w:rsidRPr="00A021B7">
        <w:rPr>
          <w:rFonts w:ascii="Arial" w:hAnsi="Arial" w:cs="Arial"/>
          <w:sz w:val="20"/>
          <w:szCs w:val="20"/>
          <w:lang w:val="sr-Cyrl-RS"/>
        </w:rPr>
        <w:t>редбом), који су типичнији за ЈЛС (просечне вредности 100.000</w:t>
      </w:r>
      <w:r w:rsidR="001217DC">
        <w:rPr>
          <w:rFonts w:ascii="Arial" w:hAnsi="Arial" w:cs="Arial"/>
          <w:sz w:val="20"/>
          <w:szCs w:val="20"/>
          <w:lang w:val="sr-Cyrl-RS"/>
        </w:rPr>
        <w:t>–</w:t>
      </w:r>
      <w:r w:rsidRPr="00A021B7">
        <w:rPr>
          <w:rFonts w:ascii="Arial" w:hAnsi="Arial" w:cs="Arial"/>
          <w:sz w:val="20"/>
          <w:szCs w:val="20"/>
          <w:lang w:val="sr-Cyrl-RS"/>
        </w:rPr>
        <w:t xml:space="preserve">200.000 евра). Будући да је за значајан део јавних инвестиција у Републици Србији одговоран локални ниво власти, методологија (и регулатива) за управљање капиталним инвестицијама би требало да буде разрађена </w:t>
      </w:r>
      <w:r w:rsidR="001217DC">
        <w:rPr>
          <w:rFonts w:ascii="Arial" w:hAnsi="Arial" w:cs="Arial"/>
          <w:sz w:val="20"/>
          <w:szCs w:val="20"/>
          <w:lang w:val="sr-Cyrl-RS"/>
        </w:rPr>
        <w:t>тако</w:t>
      </w:r>
      <w:r w:rsidRPr="00A021B7">
        <w:rPr>
          <w:rFonts w:ascii="Arial" w:hAnsi="Arial" w:cs="Arial"/>
          <w:sz w:val="20"/>
          <w:szCs w:val="20"/>
          <w:lang w:val="sr-Cyrl-RS"/>
        </w:rPr>
        <w:t xml:space="preserve"> да експлицитније одрази најважније специфичности управљања капиталним пројектима у ЈЛС, уз вођење рачуна о административним капацитетима за њену примену. За повећање капиталних инвестиција потребан је и даљи интензиван рад на решавању изазова у области имовинских односа (ефикаснија експропријација, решавање имовинско</w:t>
      </w:r>
      <w:r w:rsidR="001217DC">
        <w:rPr>
          <w:rFonts w:ascii="Arial" w:hAnsi="Arial" w:cs="Arial"/>
          <w:sz w:val="20"/>
          <w:szCs w:val="20"/>
          <w:lang w:val="sr-Cyrl-RS"/>
        </w:rPr>
        <w:t>-</w:t>
      </w:r>
      <w:r w:rsidRPr="00A021B7">
        <w:rPr>
          <w:rFonts w:ascii="Arial" w:hAnsi="Arial" w:cs="Arial"/>
          <w:sz w:val="20"/>
          <w:szCs w:val="20"/>
          <w:lang w:val="sr-Cyrl-RS"/>
        </w:rPr>
        <w:t xml:space="preserve">правних проблема и др.), унапређењу процеса јавних набавки у локалној самоуправи (посебно је важна подршка за </w:t>
      </w:r>
      <w:r w:rsidRPr="00A021B7">
        <w:rPr>
          <w:rFonts w:ascii="Arial" w:hAnsi="Arial" w:cs="Arial"/>
          <w:color w:val="000000" w:themeColor="text1"/>
          <w:sz w:val="20"/>
          <w:szCs w:val="20"/>
          <w:lang w:val="sr-Cyrl-RS"/>
        </w:rPr>
        <w:t>примену нових законских решења у овој области) и на укупном јачању капацитета локалне самоуправе за планирање и спровођење инвестиционих пројеката</w:t>
      </w:r>
      <w:r w:rsidR="001217DC">
        <w:rPr>
          <w:rFonts w:ascii="Arial" w:hAnsi="Arial" w:cs="Arial"/>
          <w:color w:val="000000" w:themeColor="text1"/>
          <w:sz w:val="20"/>
          <w:szCs w:val="20"/>
          <w:lang w:val="sr-Cyrl-RS"/>
        </w:rPr>
        <w:t>.</w:t>
      </w:r>
    </w:p>
    <w:p w14:paraId="5EAE055B" w14:textId="77777777" w:rsidR="003E03ED" w:rsidRPr="00A021B7" w:rsidRDefault="003E03ED" w:rsidP="1A8E6423">
      <w:pPr>
        <w:tabs>
          <w:tab w:val="left" w:pos="990"/>
        </w:tabs>
        <w:ind w:firstLine="720"/>
        <w:jc w:val="both"/>
        <w:rPr>
          <w:rFonts w:ascii="Arial" w:hAnsi="Arial" w:cs="Arial"/>
          <w:color w:val="000000" w:themeColor="text1"/>
          <w:sz w:val="20"/>
          <w:szCs w:val="20"/>
          <w:lang w:val="sr-Cyrl-RS"/>
        </w:rPr>
      </w:pPr>
    </w:p>
    <w:p w14:paraId="4A6C2064" w14:textId="1885921B" w:rsidR="00A00019" w:rsidRPr="00A021B7" w:rsidRDefault="03E0C02E" w:rsidP="1A8E6423">
      <w:pPr>
        <w:tabs>
          <w:tab w:val="left" w:pos="990"/>
        </w:tabs>
        <w:ind w:firstLine="720"/>
        <w:jc w:val="both"/>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Финансијско управљање и контрола обухвата</w:t>
      </w:r>
      <w:r w:rsidR="001217DC">
        <w:rPr>
          <w:rFonts w:ascii="Arial" w:hAnsi="Arial" w:cs="Arial"/>
          <w:color w:val="000000" w:themeColor="text1"/>
          <w:sz w:val="20"/>
          <w:szCs w:val="20"/>
          <w:lang w:val="sr-Cyrl-RS"/>
        </w:rPr>
        <w:t>ју</w:t>
      </w:r>
      <w:r w:rsidRPr="00A021B7">
        <w:rPr>
          <w:rFonts w:ascii="Arial" w:hAnsi="Arial" w:cs="Arial"/>
          <w:color w:val="000000" w:themeColor="text1"/>
          <w:sz w:val="20"/>
          <w:szCs w:val="20"/>
          <w:lang w:val="sr-Cyrl-RS"/>
        </w:rPr>
        <w:t xml:space="preserve"> систем политика, процедура и активности којима се управља трошењем јавних средстава и врши контрола тих расхода</w:t>
      </w:r>
      <w:r w:rsidR="1C5767D9" w:rsidRPr="00A021B7">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w:t>
      </w:r>
      <w:r w:rsidR="35687A16" w:rsidRPr="00A021B7">
        <w:rPr>
          <w:rFonts w:ascii="Arial" w:hAnsi="Arial" w:cs="Arial"/>
          <w:color w:val="000000" w:themeColor="text1"/>
          <w:sz w:val="20"/>
          <w:szCs w:val="20"/>
          <w:lang w:val="sr-Cyrl-RS"/>
        </w:rPr>
        <w:t xml:space="preserve">Њихово </w:t>
      </w:r>
      <w:r w:rsidR="35687A16" w:rsidRPr="00A021B7">
        <w:rPr>
          <w:rFonts w:ascii="Arial" w:hAnsi="Arial" w:cs="Arial"/>
          <w:sz w:val="20"/>
          <w:szCs w:val="20"/>
          <w:lang w:val="sr-Cyrl-RS"/>
        </w:rPr>
        <w:t>унапређивање у ЈЛС пресудно је за успех укупних реформских напора да се побољша</w:t>
      </w:r>
      <w:r w:rsidR="00ED1330">
        <w:rPr>
          <w:rFonts w:ascii="Arial" w:hAnsi="Arial" w:cs="Arial"/>
          <w:sz w:val="20"/>
          <w:szCs w:val="20"/>
          <w:lang w:val="sr-Cyrl-RS"/>
        </w:rPr>
        <w:t>ју</w:t>
      </w:r>
      <w:r w:rsidR="35687A16" w:rsidRPr="00A021B7">
        <w:rPr>
          <w:rFonts w:ascii="Arial" w:hAnsi="Arial" w:cs="Arial"/>
          <w:sz w:val="20"/>
          <w:szCs w:val="20"/>
          <w:lang w:val="sr-Cyrl-RS"/>
        </w:rPr>
        <w:t xml:space="preserve"> ефикасност и делотворност управљања јавним ресурсима, подигне одговорност и постигну услови за улазак у јавни административни оквир ЕУ. Ниво ФУК-а у ЈЛС у извештајима ДРИ генерално се може оценити као још увек неадекватан, а мањак разумевања о значају ФУК и ИР у ЛС је</w:t>
      </w:r>
      <w:r w:rsidR="00ED1330">
        <w:rPr>
          <w:rFonts w:ascii="Arial" w:hAnsi="Arial" w:cs="Arial"/>
          <w:sz w:val="20"/>
          <w:szCs w:val="20"/>
          <w:lang w:val="sr-Cyrl-RS"/>
        </w:rPr>
        <w:t>,</w:t>
      </w:r>
      <w:r w:rsidR="35687A16" w:rsidRPr="00A021B7">
        <w:rPr>
          <w:rFonts w:ascii="Arial" w:hAnsi="Arial" w:cs="Arial"/>
          <w:sz w:val="20"/>
          <w:szCs w:val="20"/>
          <w:lang w:val="sr-Cyrl-RS"/>
        </w:rPr>
        <w:t xml:space="preserve"> чини се</w:t>
      </w:r>
      <w:r w:rsidR="00ED1330">
        <w:rPr>
          <w:rFonts w:ascii="Arial" w:hAnsi="Arial" w:cs="Arial"/>
          <w:sz w:val="20"/>
          <w:szCs w:val="20"/>
          <w:lang w:val="sr-Cyrl-RS"/>
        </w:rPr>
        <w:t>,</w:t>
      </w:r>
      <w:r w:rsidR="35687A16" w:rsidRPr="00A021B7">
        <w:rPr>
          <w:rFonts w:ascii="Arial" w:hAnsi="Arial" w:cs="Arial"/>
          <w:sz w:val="20"/>
          <w:szCs w:val="20"/>
          <w:lang w:val="sr-Cyrl-RS"/>
        </w:rPr>
        <w:t xml:space="preserve"> главна препрека њиховом адекватном функционисању. Према подацима којима располаже СКГО (на бази узорка ЈЛС), у целости уређен систем правила и процедура ФУК при располагању средствима ЈЛС постоји у само око 21% градова, односно око 26% општина. </w:t>
      </w:r>
      <w:r w:rsidR="35687A16" w:rsidRPr="00A021B7">
        <w:rPr>
          <w:rFonts w:ascii="Arial" w:hAnsi="Arial" w:cs="Arial"/>
          <w:sz w:val="20"/>
          <w:szCs w:val="20"/>
          <w:lang w:val="sr-Cyrl-RS"/>
        </w:rPr>
        <w:lastRenderedPageBreak/>
        <w:t>Такође, тек око 40% ЈЛС за сада је ефективно успоставило функцију ИР</w:t>
      </w:r>
      <w:r w:rsidR="003E03ED" w:rsidRPr="00A021B7">
        <w:rPr>
          <w:rFonts w:ascii="Arial" w:hAnsi="Arial" w:cs="Arial"/>
          <w:sz w:val="20"/>
          <w:szCs w:val="20"/>
          <w:vertAlign w:val="superscript"/>
          <w:lang w:val="sr-Cyrl-RS"/>
        </w:rPr>
        <w:footnoteReference w:id="86"/>
      </w:r>
      <w:r w:rsidR="35687A16" w:rsidRPr="00A021B7">
        <w:rPr>
          <w:rFonts w:ascii="Arial" w:hAnsi="Arial" w:cs="Arial"/>
          <w:sz w:val="20"/>
          <w:szCs w:val="20"/>
          <w:lang w:val="sr-Cyrl-RS"/>
        </w:rPr>
        <w:t>. У првим годинама примене, ЈЛС су често систематизовале јединице</w:t>
      </w:r>
      <w:r w:rsidR="00ED1330">
        <w:rPr>
          <w:rFonts w:ascii="Arial" w:hAnsi="Arial" w:cs="Arial"/>
          <w:sz w:val="20"/>
          <w:szCs w:val="20"/>
          <w:lang w:val="sr-Cyrl-RS"/>
        </w:rPr>
        <w:t xml:space="preserve"> </w:t>
      </w:r>
      <w:r w:rsidR="35687A16" w:rsidRPr="00A021B7">
        <w:rPr>
          <w:rFonts w:ascii="Arial" w:hAnsi="Arial" w:cs="Arial"/>
          <w:sz w:val="20"/>
          <w:szCs w:val="20"/>
          <w:lang w:val="sr-Cyrl-RS"/>
        </w:rPr>
        <w:t>/</w:t>
      </w:r>
      <w:r w:rsidR="00ED1330">
        <w:rPr>
          <w:rFonts w:ascii="Arial" w:hAnsi="Arial" w:cs="Arial"/>
          <w:sz w:val="20"/>
          <w:szCs w:val="20"/>
          <w:lang w:val="sr-Cyrl-RS"/>
        </w:rPr>
        <w:t xml:space="preserve"> </w:t>
      </w:r>
      <w:r w:rsidR="35687A16" w:rsidRPr="00A021B7">
        <w:rPr>
          <w:rFonts w:ascii="Arial" w:hAnsi="Arial" w:cs="Arial"/>
          <w:sz w:val="20"/>
          <w:szCs w:val="20"/>
          <w:lang w:val="sr-Cyrl-RS"/>
        </w:rPr>
        <w:t>радна места за ИР</w:t>
      </w:r>
      <w:r w:rsidR="3D38177B" w:rsidRPr="00A021B7">
        <w:rPr>
          <w:rFonts w:ascii="Arial" w:hAnsi="Arial" w:cs="Arial"/>
          <w:sz w:val="20"/>
          <w:szCs w:val="20"/>
          <w:lang w:val="sr-Cyrl-RS"/>
        </w:rPr>
        <w:t xml:space="preserve"> и прописале интерне акте којима се успоставља </w:t>
      </w:r>
      <w:r w:rsidR="3D38177B" w:rsidRPr="00ED1330">
        <w:rPr>
          <w:rFonts w:ascii="Arial" w:hAnsi="Arial" w:cs="Arial"/>
          <w:sz w:val="20"/>
          <w:szCs w:val="20"/>
          <w:lang w:val="sr-Cyrl-RS"/>
        </w:rPr>
        <w:t>ФУК,</w:t>
      </w:r>
      <w:r w:rsidR="78E82161" w:rsidRPr="00ED1330">
        <w:rPr>
          <w:rFonts w:ascii="Arial" w:hAnsi="Arial" w:cs="Arial"/>
          <w:sz w:val="20"/>
          <w:szCs w:val="20"/>
          <w:lang w:val="sr-Cyrl-RS"/>
        </w:rPr>
        <w:t xml:space="preserve"> </w:t>
      </w:r>
      <w:r w:rsidR="35687A16" w:rsidRPr="00ED1330">
        <w:rPr>
          <w:rFonts w:ascii="Arial" w:hAnsi="Arial" w:cs="Arial"/>
          <w:sz w:val="20"/>
          <w:szCs w:val="20"/>
          <w:lang w:val="sr-Cyrl-RS"/>
        </w:rPr>
        <w:t>са</w:t>
      </w:r>
      <w:r w:rsidR="35687A16" w:rsidRPr="00A021B7">
        <w:rPr>
          <w:rFonts w:ascii="Arial" w:hAnsi="Arial" w:cs="Arial"/>
          <w:sz w:val="20"/>
          <w:szCs w:val="20"/>
          <w:lang w:val="sr-Cyrl-RS"/>
        </w:rPr>
        <w:t xml:space="preserve">мо као минимум поштовања законске обавезе и примене правилника о критеријумима, стандардима и методолошким упутствима, а без капацитета да се поставе у основну функцију </w:t>
      </w:r>
      <w:r w:rsidR="00ED1330">
        <w:rPr>
          <w:rFonts w:ascii="Arial" w:hAnsi="Arial" w:cs="Arial"/>
          <w:sz w:val="20"/>
          <w:szCs w:val="20"/>
          <w:lang w:val="sr-Cyrl-RS"/>
        </w:rPr>
        <w:t>–</w:t>
      </w:r>
      <w:r w:rsidR="35687A16" w:rsidRPr="00A021B7">
        <w:rPr>
          <w:rFonts w:ascii="Arial" w:hAnsi="Arial" w:cs="Arial"/>
          <w:sz w:val="20"/>
          <w:szCs w:val="20"/>
          <w:lang w:val="sr-Cyrl-RS"/>
        </w:rPr>
        <w:t xml:space="preserve"> општег унапређења пословања, остваривања стратешких циљева у јавном сектору (на </w:t>
      </w:r>
      <w:r w:rsidR="35687A16" w:rsidRPr="00A021B7">
        <w:rPr>
          <w:rFonts w:ascii="Arial" w:hAnsi="Arial" w:cs="Arial"/>
          <w:color w:val="000000" w:themeColor="text1"/>
          <w:sz w:val="20"/>
          <w:szCs w:val="20"/>
          <w:lang w:val="sr-Cyrl-RS"/>
        </w:rPr>
        <w:t>локалу), осигуравања најбоље вредности/квалитета у складу са расположивим средствима и сл.</w:t>
      </w:r>
      <w:r w:rsidR="4B67150E" w:rsidRPr="00A021B7">
        <w:rPr>
          <w:rFonts w:ascii="Arial" w:hAnsi="Arial" w:cs="Arial"/>
          <w:color w:val="000000" w:themeColor="text1"/>
          <w:sz w:val="20"/>
          <w:szCs w:val="20"/>
          <w:lang w:val="sr-Cyrl-RS"/>
        </w:rPr>
        <w:t xml:space="preserve"> Треба посебно истаћи да је</w:t>
      </w:r>
      <w:r w:rsidR="00ED1330">
        <w:rPr>
          <w:rFonts w:ascii="Arial" w:hAnsi="Arial" w:cs="Arial"/>
          <w:color w:val="000000" w:themeColor="text1"/>
          <w:sz w:val="20"/>
          <w:szCs w:val="20"/>
          <w:lang w:val="sr-Cyrl-RS"/>
        </w:rPr>
        <w:t>,</w:t>
      </w:r>
      <w:r w:rsidR="4B67150E" w:rsidRPr="00A021B7">
        <w:rPr>
          <w:rFonts w:ascii="Arial" w:hAnsi="Arial" w:cs="Arial"/>
          <w:color w:val="000000" w:themeColor="text1"/>
          <w:sz w:val="20"/>
          <w:szCs w:val="20"/>
          <w:lang w:val="sr-Cyrl-RS"/>
        </w:rPr>
        <w:t xml:space="preserve"> </w:t>
      </w:r>
      <w:r w:rsidR="00ED1330">
        <w:rPr>
          <w:rFonts w:ascii="Arial" w:hAnsi="Arial" w:cs="Arial"/>
          <w:color w:val="000000" w:themeColor="text1"/>
          <w:sz w:val="20"/>
          <w:szCs w:val="20"/>
          <w:lang w:val="sr-Cyrl-RS"/>
        </w:rPr>
        <w:t>ради</w:t>
      </w:r>
      <w:r w:rsidRPr="00A021B7">
        <w:rPr>
          <w:rFonts w:ascii="Arial" w:hAnsi="Arial" w:cs="Arial"/>
          <w:color w:val="000000" w:themeColor="text1"/>
          <w:sz w:val="20"/>
          <w:szCs w:val="20"/>
          <w:lang w:val="sr-Cyrl-RS"/>
        </w:rPr>
        <w:t xml:space="preserve"> унапређења стања </w:t>
      </w:r>
      <w:r w:rsidR="00ED1330">
        <w:rPr>
          <w:rFonts w:ascii="Arial" w:hAnsi="Arial" w:cs="Arial"/>
          <w:color w:val="000000" w:themeColor="text1"/>
          <w:sz w:val="20"/>
          <w:szCs w:val="20"/>
          <w:lang w:val="sr-Cyrl-RS"/>
        </w:rPr>
        <w:t>у</w:t>
      </w:r>
      <w:r w:rsidR="00ED1330" w:rsidRPr="00A021B7">
        <w:rPr>
          <w:rFonts w:ascii="Arial" w:hAnsi="Arial" w:cs="Arial"/>
          <w:color w:val="000000" w:themeColor="text1"/>
          <w:sz w:val="20"/>
          <w:szCs w:val="20"/>
          <w:lang w:val="sr-Cyrl-RS"/>
        </w:rPr>
        <w:t xml:space="preserve"> </w:t>
      </w:r>
      <w:r w:rsidRPr="00A021B7">
        <w:rPr>
          <w:rFonts w:ascii="Arial" w:hAnsi="Arial" w:cs="Arial"/>
          <w:color w:val="000000" w:themeColor="text1"/>
          <w:sz w:val="20"/>
          <w:szCs w:val="20"/>
          <w:lang w:val="sr-Cyrl-RS"/>
        </w:rPr>
        <w:t>области ФУК и ИР на локалу, Швајцарска Влада 2016. године покренула пројекат реформе локалних финансија (РЕЛОФ)</w:t>
      </w:r>
      <w:r w:rsidR="00ED1330">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који тренутно кроз </w:t>
      </w:r>
      <w:r w:rsidR="2F49B92D" w:rsidRPr="00A021B7">
        <w:rPr>
          <w:rFonts w:ascii="Arial" w:hAnsi="Arial" w:cs="Arial"/>
          <w:color w:val="000000" w:themeColor="text1"/>
          <w:sz w:val="20"/>
          <w:szCs w:val="20"/>
          <w:lang w:val="sr-Cyrl-RS"/>
        </w:rPr>
        <w:t xml:space="preserve">другу фазу </w:t>
      </w:r>
      <w:r w:rsidRPr="00A021B7">
        <w:rPr>
          <w:rFonts w:ascii="Arial" w:hAnsi="Arial" w:cs="Arial"/>
          <w:color w:val="000000" w:themeColor="text1"/>
          <w:sz w:val="20"/>
          <w:szCs w:val="20"/>
          <w:lang w:val="sr-Cyrl-RS"/>
        </w:rPr>
        <w:t>подржава 33 ЈЛС. Пројекат је до сада дао значајан допринос</w:t>
      </w:r>
      <w:r w:rsidR="3C91F72A" w:rsidRPr="00A021B7">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како имплементацији интерне финансијске контроле у јавном сектору на локалу, тако и у дијалогу о јавним политикама на тему ФУК и ИР и повећању базе знања о овим областима на српском језику.</w:t>
      </w:r>
    </w:p>
    <w:p w14:paraId="6E5B18C9" w14:textId="77777777" w:rsidR="003E03ED" w:rsidRPr="00A021B7" w:rsidRDefault="003E03ED" w:rsidP="1A8E6423">
      <w:pPr>
        <w:tabs>
          <w:tab w:val="left" w:pos="990"/>
        </w:tabs>
        <w:ind w:firstLine="720"/>
        <w:jc w:val="both"/>
        <w:rPr>
          <w:rFonts w:ascii="Arial" w:hAnsi="Arial" w:cs="Arial"/>
          <w:color w:val="000000" w:themeColor="text1"/>
          <w:sz w:val="20"/>
          <w:szCs w:val="20"/>
          <w:lang w:val="sr-Cyrl-RS"/>
        </w:rPr>
      </w:pPr>
    </w:p>
    <w:p w14:paraId="37D2B67B" w14:textId="4C69FC1F" w:rsidR="003E03ED" w:rsidRPr="00A021B7" w:rsidRDefault="003E03ED" w:rsidP="1A8E6423">
      <w:pPr>
        <w:tabs>
          <w:tab w:val="left" w:pos="990"/>
        </w:tabs>
        <w:ind w:firstLine="720"/>
        <w:jc w:val="both"/>
        <w:rPr>
          <w:rFonts w:ascii="Arial" w:hAnsi="Arial" w:cs="Arial"/>
          <w:sz w:val="20"/>
          <w:szCs w:val="20"/>
          <w:lang w:val="sr-Cyrl-RS"/>
        </w:rPr>
      </w:pPr>
      <w:r w:rsidRPr="1A8E6423">
        <w:rPr>
          <w:rFonts w:ascii="Arial" w:hAnsi="Arial" w:cs="Arial"/>
          <w:sz w:val="20"/>
          <w:szCs w:val="20"/>
          <w:lang w:val="sr-Cyrl-RS"/>
        </w:rPr>
        <w:t xml:space="preserve">Када је реч о системским интервенцијама </w:t>
      </w:r>
      <w:r w:rsidR="00ED1330" w:rsidRPr="1A8E6423">
        <w:rPr>
          <w:rFonts w:ascii="Arial" w:hAnsi="Arial" w:cs="Arial"/>
          <w:sz w:val="20"/>
          <w:szCs w:val="20"/>
          <w:lang w:val="sr-Cyrl-RS"/>
        </w:rPr>
        <w:t>с</w:t>
      </w:r>
      <w:r w:rsidRPr="1A8E6423">
        <w:rPr>
          <w:rFonts w:ascii="Arial" w:hAnsi="Arial" w:cs="Arial"/>
          <w:sz w:val="20"/>
          <w:szCs w:val="20"/>
          <w:lang w:val="sr-Cyrl-RS"/>
        </w:rPr>
        <w:t xml:space="preserve"> циљ</w:t>
      </w:r>
      <w:r w:rsidR="00ED1330" w:rsidRPr="1A8E6423">
        <w:rPr>
          <w:rFonts w:ascii="Arial" w:hAnsi="Arial" w:cs="Arial"/>
          <w:sz w:val="20"/>
          <w:szCs w:val="20"/>
          <w:lang w:val="sr-Cyrl-RS"/>
        </w:rPr>
        <w:t>ем</w:t>
      </w:r>
      <w:r w:rsidRPr="1A8E6423">
        <w:rPr>
          <w:rFonts w:ascii="Arial" w:hAnsi="Arial" w:cs="Arial"/>
          <w:sz w:val="20"/>
          <w:szCs w:val="20"/>
          <w:lang w:val="sr-Cyrl-RS"/>
        </w:rPr>
        <w:t xml:space="preserve"> осигурања функционалног система ИФКЈ (и солидне позиције у преговарачком поглављу 32), један начелни правац деловања могао би да буде редефинисање законског оквира у погледу ИФКЈ (а пре свега ФУК) на локалном нивоу и сужавање примене система само на највеће буџетске кориснике. Алтернатива томе могла би бити постепена примена или фазност система од већих ка мањим буџетским корисницима, уз сагледавање опција за увођење заједничких хоризонталних служби за ФУК на нивоу свих </w:t>
      </w:r>
      <w:r w:rsidR="00ED1330" w:rsidRPr="1A8E6423">
        <w:rPr>
          <w:rFonts w:ascii="Arial" w:hAnsi="Arial" w:cs="Arial"/>
          <w:sz w:val="20"/>
          <w:szCs w:val="20"/>
          <w:lang w:val="sr-Cyrl-RS"/>
        </w:rPr>
        <w:t>корисника јавних средстава (</w:t>
      </w:r>
      <w:r w:rsidRPr="1A8E6423">
        <w:rPr>
          <w:rFonts w:ascii="Arial" w:hAnsi="Arial" w:cs="Arial"/>
          <w:sz w:val="20"/>
          <w:szCs w:val="20"/>
          <w:lang w:val="sr-Cyrl-RS"/>
        </w:rPr>
        <w:t>КЈС</w:t>
      </w:r>
      <w:r w:rsidR="00ED1330" w:rsidRPr="1A8E6423">
        <w:rPr>
          <w:rFonts w:ascii="Arial" w:hAnsi="Arial" w:cs="Arial"/>
          <w:sz w:val="20"/>
          <w:szCs w:val="20"/>
          <w:lang w:val="sr-Cyrl-RS"/>
        </w:rPr>
        <w:t>)</w:t>
      </w:r>
      <w:r w:rsidRPr="1A8E6423">
        <w:rPr>
          <w:rFonts w:ascii="Arial" w:hAnsi="Arial" w:cs="Arial"/>
          <w:sz w:val="20"/>
          <w:szCs w:val="20"/>
          <w:lang w:val="sr-Cyrl-RS"/>
        </w:rPr>
        <w:t xml:space="preserve"> у ЈЛС или за више ЈЛС (уколико се остане при захтевима З</w:t>
      </w:r>
      <w:r w:rsidR="00ED1330" w:rsidRPr="1A8E6423">
        <w:rPr>
          <w:rFonts w:ascii="Arial" w:hAnsi="Arial" w:cs="Arial"/>
          <w:sz w:val="20"/>
          <w:szCs w:val="20"/>
          <w:lang w:val="sr-Cyrl-RS"/>
        </w:rPr>
        <w:t>О</w:t>
      </w:r>
      <w:r w:rsidRPr="1A8E6423">
        <w:rPr>
          <w:rFonts w:ascii="Arial" w:hAnsi="Arial" w:cs="Arial"/>
          <w:sz w:val="20"/>
          <w:szCs w:val="20"/>
          <w:lang w:val="sr-Cyrl-RS"/>
        </w:rPr>
        <w:t xml:space="preserve">БС за примену ИФКЈ код свих КЈС без обзира на ниво власти/управе и без обзира на њихов финансијски капацитет, односно обим јавних средстава за која су одговорни). Паралелно са општијим интервенцијама </w:t>
      </w:r>
      <w:r w:rsidR="00ED1330" w:rsidRPr="1A8E6423">
        <w:rPr>
          <w:rFonts w:ascii="Arial" w:hAnsi="Arial" w:cs="Arial"/>
          <w:sz w:val="20"/>
          <w:szCs w:val="20"/>
          <w:lang w:val="sr-Cyrl-RS"/>
        </w:rPr>
        <w:t xml:space="preserve">с </w:t>
      </w:r>
      <w:r w:rsidRPr="1A8E6423">
        <w:rPr>
          <w:rFonts w:ascii="Arial" w:hAnsi="Arial" w:cs="Arial"/>
          <w:sz w:val="20"/>
          <w:szCs w:val="20"/>
          <w:lang w:val="sr-Cyrl-RS"/>
        </w:rPr>
        <w:t>циљ</w:t>
      </w:r>
      <w:r w:rsidR="00ED1330" w:rsidRPr="1A8E6423">
        <w:rPr>
          <w:rFonts w:ascii="Arial" w:hAnsi="Arial" w:cs="Arial"/>
          <w:sz w:val="20"/>
          <w:szCs w:val="20"/>
          <w:lang w:val="sr-Cyrl-RS"/>
        </w:rPr>
        <w:t>ем</w:t>
      </w:r>
      <w:r w:rsidRPr="1A8E6423">
        <w:rPr>
          <w:rFonts w:ascii="Arial" w:hAnsi="Arial" w:cs="Arial"/>
          <w:sz w:val="20"/>
          <w:szCs w:val="20"/>
          <w:lang w:val="sr-Cyrl-RS"/>
        </w:rPr>
        <w:t xml:space="preserve"> подизања капацитета ЈЛС за ФУК и ИР, потребно је осигурати усмеравање ЈЛС у погледу интерних одлука/аката којима се уређују основне операције, контролно окружење, процеси и њихово праћење, планови и регистри ризика пословања, извештавање (ка МФИН) и праћење спровођења препорука ЦЈХ, одговорност руководилаца</w:t>
      </w:r>
      <w:r w:rsidR="00ED1330" w:rsidRPr="1A8E6423">
        <w:rPr>
          <w:rFonts w:ascii="Arial" w:hAnsi="Arial" w:cs="Arial"/>
          <w:sz w:val="20"/>
          <w:szCs w:val="20"/>
          <w:lang w:val="sr-Cyrl-RS"/>
        </w:rPr>
        <w:t xml:space="preserve"> </w:t>
      </w:r>
      <w:r w:rsidRPr="1A8E6423">
        <w:rPr>
          <w:rFonts w:ascii="Arial" w:hAnsi="Arial" w:cs="Arial"/>
          <w:sz w:val="20"/>
          <w:szCs w:val="20"/>
          <w:lang w:val="sr-Cyrl-RS"/>
        </w:rPr>
        <w:t>/</w:t>
      </w:r>
      <w:r w:rsidR="00ED1330" w:rsidRPr="1A8E6423">
        <w:rPr>
          <w:rFonts w:ascii="Arial" w:hAnsi="Arial" w:cs="Arial"/>
          <w:sz w:val="20"/>
          <w:szCs w:val="20"/>
          <w:lang w:val="sr-Cyrl-RS"/>
        </w:rPr>
        <w:t xml:space="preserve"> </w:t>
      </w:r>
      <w:r w:rsidRPr="1A8E6423">
        <w:rPr>
          <w:rFonts w:ascii="Arial" w:hAnsi="Arial" w:cs="Arial"/>
          <w:sz w:val="20"/>
          <w:szCs w:val="20"/>
          <w:lang w:val="sr-Cyrl-RS"/>
        </w:rPr>
        <w:t>управљачка одговорност, припреме за ревизију сврсисходности од стране ДРИ, транспоновање циљева локалних јавних политика у функционисање локалне управе и сл.</w:t>
      </w:r>
    </w:p>
    <w:p w14:paraId="29AF500C" w14:textId="77777777" w:rsidR="003E03ED" w:rsidRPr="00A021B7" w:rsidRDefault="003E03ED" w:rsidP="1A8E6423">
      <w:pPr>
        <w:tabs>
          <w:tab w:val="left" w:pos="990"/>
        </w:tabs>
        <w:ind w:firstLine="720"/>
        <w:jc w:val="both"/>
        <w:rPr>
          <w:rFonts w:ascii="Arial" w:hAnsi="Arial" w:cs="Arial"/>
          <w:sz w:val="20"/>
          <w:szCs w:val="20"/>
          <w:lang w:val="sr-Cyrl-RS"/>
        </w:rPr>
      </w:pPr>
    </w:p>
    <w:p w14:paraId="459E9B26" w14:textId="5EF6D52A" w:rsidR="003E03ED" w:rsidRPr="00A021B7" w:rsidRDefault="35687A16"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Коначно, добро управљање јавним финансијама захтева тачне, поуздане и благовремене информације, за шта је предуслов и добро буџетско рачуноводство. Оријентација на дуги рок у складу са ПРУЈФ јесте прелазак на обрачунско рачуноводство, тако да је као подлога за ову захтевну реформу, фокус у средњем року на стабилизацији и јачању система рачуноводства који је заснован на готовинској основи у складу са </w:t>
      </w:r>
      <w:r w:rsidRPr="1A8E6423">
        <w:rPr>
          <w:rFonts w:ascii="Arial" w:hAnsi="Arial" w:cs="Arial"/>
          <w:i/>
          <w:iCs/>
          <w:sz w:val="20"/>
          <w:szCs w:val="20"/>
          <w:lang w:val="sr-Cyrl-RS"/>
        </w:rPr>
        <w:t>IPSAS</w:t>
      </w:r>
      <w:r w:rsidRPr="00A021B7">
        <w:rPr>
          <w:rFonts w:ascii="Arial" w:hAnsi="Arial" w:cs="Arial"/>
          <w:sz w:val="20"/>
          <w:szCs w:val="20"/>
          <w:lang w:val="sr-Cyrl-RS"/>
        </w:rPr>
        <w:t xml:space="preserve"> стандардима</w:t>
      </w:r>
      <w:r w:rsidR="003E03ED" w:rsidRPr="00A021B7">
        <w:rPr>
          <w:rFonts w:ascii="Arial" w:hAnsi="Arial" w:cs="Arial"/>
          <w:sz w:val="20"/>
          <w:szCs w:val="20"/>
          <w:vertAlign w:val="superscript"/>
          <w:lang w:val="sr-Cyrl-RS"/>
        </w:rPr>
        <w:footnoteReference w:id="87"/>
      </w:r>
      <w:r w:rsidRPr="00A021B7">
        <w:rPr>
          <w:rFonts w:ascii="Arial" w:hAnsi="Arial" w:cs="Arial"/>
          <w:sz w:val="20"/>
          <w:szCs w:val="20"/>
          <w:lang w:val="sr-Cyrl-RS"/>
        </w:rPr>
        <w:t>, пре свега кроз континуиране обуке и побољшање нивоа вештина рачуновођа код свих корисника јавних средстава. Добро управљање јавним финансијама заокружује транспарентност пословања и омогућавање учешћа јавности у одлучивању о алоцирању јавних ресурса, те је императив да се ово осигура посебно на нивоу управе који је најближи грађанима, тј. у локалној самоуправи. Нормативни оквир у овом погледу је, након адаптирања ЗОБС, инструкција Министарства финансија и измена и допуна Закона о локалној самоуправи, надограђен пакетом прописа о планском систему. На основу свега тога већ су постигнути конкретни резултати кроз све доследније спровођење јавних расправа о буџету (у циклусима припреме буџета за 2019. и 2020. годину) и објављивање грађанских водича кроз буџет од стране ЈЛС. Добре праксе у наредном средњорочном периоду треба да се прошире на све ЈЛС, као и на све фазе буџетског циклуса, кроз омогућавање праћења буџета током целе године и разматрања буџетских расхода, обавештавањем јавности о извршењу буџета и реализованим инвестицијама, објављивањем података о кредитној способности и задужености ЈЛС, доступношћу извештаја о ревизији завршног рачуна буџета ЛС, припремљеним и благовременим укључивањем јавности у процес доношења локалних одлука о јавним приходима (уређено и ЗОФЛС) и давањем повратних информација о иницијативама учесника у овим процесима.</w:t>
      </w:r>
    </w:p>
    <w:p w14:paraId="19B6EF64" w14:textId="77777777" w:rsidR="00D71086" w:rsidRPr="00A021B7" w:rsidRDefault="00D71086" w:rsidP="1A8E6423">
      <w:pPr>
        <w:ind w:firstLine="720"/>
        <w:jc w:val="both"/>
        <w:rPr>
          <w:rFonts w:ascii="Arial" w:hAnsi="Arial" w:cs="Arial"/>
          <w:b/>
          <w:bCs/>
          <w:sz w:val="20"/>
          <w:szCs w:val="20"/>
          <w:highlight w:val="yellow"/>
          <w:lang w:val="sr-Cyrl-RS"/>
        </w:rPr>
      </w:pPr>
    </w:p>
    <w:p w14:paraId="1A0A8966" w14:textId="77777777" w:rsidR="00CE205B" w:rsidRPr="00A021B7" w:rsidRDefault="001C7C2E" w:rsidP="004935B9">
      <w:pPr>
        <w:pStyle w:val="Heading2"/>
        <w:rPr>
          <w:lang w:val="sr-Cyrl-RS"/>
        </w:rPr>
      </w:pPr>
      <w:bookmarkStart w:id="84" w:name="_Toc52865783"/>
      <w:bookmarkStart w:id="85" w:name="_Toc52866194"/>
      <w:bookmarkStart w:id="86" w:name="_Toc56508443"/>
      <w:bookmarkStart w:id="87" w:name="_Toc60136079"/>
      <w:r w:rsidRPr="00A021B7">
        <w:rPr>
          <w:lang w:val="sr-Cyrl-RS"/>
        </w:rPr>
        <w:t>IV.6. Управљање људским ресурсима у локалној управи</w:t>
      </w:r>
      <w:bookmarkEnd w:id="84"/>
      <w:bookmarkEnd w:id="85"/>
      <w:bookmarkEnd w:id="86"/>
      <w:bookmarkEnd w:id="87"/>
    </w:p>
    <w:p w14:paraId="2145DF21" w14:textId="77777777" w:rsidR="001C7C2E" w:rsidRPr="00A021B7" w:rsidRDefault="001C7C2E" w:rsidP="003E7BC9">
      <w:pPr>
        <w:jc w:val="both"/>
        <w:rPr>
          <w:rFonts w:ascii="Arial" w:hAnsi="Arial" w:cs="Arial"/>
          <w:b/>
          <w:bCs/>
          <w:sz w:val="20"/>
          <w:szCs w:val="20"/>
          <w:lang w:val="sr-Cyrl-RS"/>
        </w:rPr>
      </w:pPr>
    </w:p>
    <w:p w14:paraId="108DBCFF" w14:textId="7DCE4465" w:rsidR="001C7C2E" w:rsidRPr="00A021B7" w:rsidRDefault="001C7C2E" w:rsidP="1A8E6423">
      <w:pPr>
        <w:ind w:firstLine="720"/>
        <w:jc w:val="both"/>
        <w:rPr>
          <w:rFonts w:ascii="Arial" w:hAnsi="Arial" w:cs="Arial"/>
          <w:sz w:val="20"/>
          <w:szCs w:val="20"/>
          <w:lang w:val="sr-Cyrl-RS"/>
        </w:rPr>
      </w:pPr>
      <w:r w:rsidRPr="1A8E6423">
        <w:rPr>
          <w:rFonts w:ascii="Arial" w:hAnsi="Arial" w:cs="Arial"/>
          <w:sz w:val="20"/>
          <w:szCs w:val="20"/>
          <w:lang w:val="sr-Cyrl-RS"/>
        </w:rPr>
        <w:lastRenderedPageBreak/>
        <w:t>Људске</w:t>
      </w:r>
      <w:r w:rsidR="004D21A1" w:rsidRPr="1A8E6423">
        <w:rPr>
          <w:rFonts w:ascii="Arial" w:hAnsi="Arial" w:cs="Arial"/>
          <w:sz w:val="20"/>
          <w:szCs w:val="20"/>
          <w:lang w:val="sr-Cyrl-RS"/>
        </w:rPr>
        <w:t xml:space="preserve"> </w:t>
      </w:r>
      <w:r w:rsidRPr="1A8E6423">
        <w:rPr>
          <w:rFonts w:ascii="Arial" w:hAnsi="Arial" w:cs="Arial"/>
          <w:sz w:val="20"/>
          <w:szCs w:val="20"/>
          <w:lang w:val="sr-Cyrl-RS"/>
        </w:rPr>
        <w:t xml:space="preserve">ресурсе у локалној самоуправи чине свеукупна знања, вештине, способности, мотивација, посвећеност раду, оданост и креативне могућности извршилаца, изабраних и постављених лица и свих битних </w:t>
      </w:r>
      <w:r w:rsidR="0044359D" w:rsidRPr="1A8E6423">
        <w:rPr>
          <w:rFonts w:ascii="Arial" w:hAnsi="Arial" w:cs="Arial"/>
          <w:sz w:val="20"/>
          <w:szCs w:val="20"/>
          <w:lang w:val="sr-Cyrl-RS"/>
        </w:rPr>
        <w:t>чинилаца</w:t>
      </w:r>
      <w:r w:rsidRPr="1A8E6423">
        <w:rPr>
          <w:rFonts w:ascii="Arial" w:hAnsi="Arial" w:cs="Arial"/>
          <w:sz w:val="20"/>
          <w:szCs w:val="20"/>
          <w:lang w:val="sr-Cyrl-RS"/>
        </w:rPr>
        <w:t xml:space="preserve">, односно сви људски капацитети које локална самоуправа може ангажовати да би остварила своју визију, мисију, политику и стратешке циљеве развоја. Управљање људским ресурсима </w:t>
      </w:r>
      <w:r w:rsidR="00BC4B1D" w:rsidRPr="1A8E6423">
        <w:rPr>
          <w:rFonts w:ascii="Arial" w:hAnsi="Arial" w:cs="Arial"/>
          <w:sz w:val="20"/>
          <w:szCs w:val="20"/>
          <w:lang w:val="sr-Cyrl-RS"/>
        </w:rPr>
        <w:t xml:space="preserve">(УЉР) </w:t>
      </w:r>
      <w:r w:rsidRPr="1A8E6423">
        <w:rPr>
          <w:rFonts w:ascii="Arial" w:hAnsi="Arial" w:cs="Arial"/>
          <w:sz w:val="20"/>
          <w:szCs w:val="20"/>
          <w:lang w:val="sr-Cyrl-RS"/>
        </w:rPr>
        <w:t xml:space="preserve">представља низ повезаних активности и задатака у организационом систему, усмерених ка обезбеђивању </w:t>
      </w:r>
      <w:r w:rsidR="00BC4B1D" w:rsidRPr="1A8E6423">
        <w:rPr>
          <w:rFonts w:ascii="Arial" w:hAnsi="Arial" w:cs="Arial"/>
          <w:sz w:val="20"/>
          <w:szCs w:val="20"/>
          <w:lang w:val="sr-Cyrl-RS"/>
        </w:rPr>
        <w:t xml:space="preserve">одговарајућег </w:t>
      </w:r>
      <w:r w:rsidRPr="1A8E6423">
        <w:rPr>
          <w:rFonts w:ascii="Arial" w:hAnsi="Arial" w:cs="Arial"/>
          <w:sz w:val="20"/>
          <w:szCs w:val="20"/>
          <w:lang w:val="sr-Cyrl-RS"/>
        </w:rPr>
        <w:t>броја и структуре запослених, јачањ</w:t>
      </w:r>
      <w:r w:rsidR="002139E5" w:rsidRPr="1A8E6423">
        <w:rPr>
          <w:rFonts w:ascii="Arial" w:hAnsi="Arial" w:cs="Arial"/>
          <w:sz w:val="20"/>
          <w:szCs w:val="20"/>
          <w:lang w:val="sr-Cyrl-RS"/>
        </w:rPr>
        <w:t>у</w:t>
      </w:r>
      <w:r w:rsidRPr="1A8E6423">
        <w:rPr>
          <w:rFonts w:ascii="Arial" w:hAnsi="Arial" w:cs="Arial"/>
          <w:sz w:val="20"/>
          <w:szCs w:val="20"/>
          <w:lang w:val="sr-Cyrl-RS"/>
        </w:rPr>
        <w:t xml:space="preserve"> њихових знања, вештина, мотивације, радне етике и понашања потребних за остваривање текућих, развојних и стратешких циљева организације.</w:t>
      </w:r>
    </w:p>
    <w:p w14:paraId="28984B78" w14:textId="77777777" w:rsidR="001C7C2E" w:rsidRPr="00A021B7" w:rsidRDefault="001C7C2E" w:rsidP="1A8E6423">
      <w:pPr>
        <w:ind w:firstLine="720"/>
        <w:jc w:val="both"/>
        <w:rPr>
          <w:rFonts w:ascii="Arial" w:hAnsi="Arial" w:cs="Arial"/>
          <w:sz w:val="20"/>
          <w:szCs w:val="20"/>
          <w:lang w:val="sr-Cyrl-RS"/>
        </w:rPr>
      </w:pPr>
    </w:p>
    <w:p w14:paraId="75940359" w14:textId="4D785C0D" w:rsidR="001C7C2E" w:rsidRPr="00A021B7" w:rsidRDefault="5145412E"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Усвајањем и ступањем на снагу Закона о запосленима у аутономним покрајинама и </w:t>
      </w:r>
      <w:r w:rsidR="2A6E14AA" w:rsidRPr="00A021B7">
        <w:rPr>
          <w:rFonts w:ascii="Arial" w:hAnsi="Arial" w:cs="Arial"/>
          <w:sz w:val="20"/>
          <w:szCs w:val="20"/>
          <w:lang w:val="sr-Cyrl-RS"/>
        </w:rPr>
        <w:t xml:space="preserve">ЈЛС </w:t>
      </w:r>
      <w:r w:rsidR="53A316CC" w:rsidRPr="00A021B7">
        <w:rPr>
          <w:rFonts w:ascii="Arial" w:hAnsi="Arial" w:cs="Arial"/>
          <w:sz w:val="20"/>
          <w:szCs w:val="20"/>
          <w:lang w:val="sr-Cyrl-RS"/>
        </w:rPr>
        <w:t xml:space="preserve">(Закон о запосленима у АП и ЈЛС) </w:t>
      </w:r>
      <w:r w:rsidRPr="00A021B7">
        <w:rPr>
          <w:rFonts w:ascii="Arial" w:hAnsi="Arial" w:cs="Arial"/>
          <w:sz w:val="20"/>
          <w:szCs w:val="20"/>
          <w:lang w:val="sr-Cyrl-RS"/>
        </w:rPr>
        <w:t>2016. године</w:t>
      </w:r>
      <w:r w:rsidRPr="00A021B7" w:rsidDel="007651DD">
        <w:rPr>
          <w:rFonts w:ascii="Arial" w:hAnsi="Arial" w:cs="Arial"/>
          <w:sz w:val="20"/>
          <w:szCs w:val="20"/>
          <w:lang w:val="sr-Cyrl-RS"/>
        </w:rPr>
        <w:t xml:space="preserve"> </w:t>
      </w:r>
      <w:r w:rsidRPr="00A021B7">
        <w:rPr>
          <w:rFonts w:ascii="Arial" w:hAnsi="Arial" w:cs="Arial"/>
          <w:sz w:val="20"/>
          <w:szCs w:val="20"/>
          <w:lang w:val="sr-Cyrl-RS"/>
        </w:rPr>
        <w:t xml:space="preserve">успостављена су основна начела каријерног службеничког система за службенике запослене у органима аутономне покрајине и </w:t>
      </w:r>
      <w:r w:rsidR="6D41345D" w:rsidRPr="00A021B7">
        <w:rPr>
          <w:rFonts w:ascii="Arial" w:hAnsi="Arial" w:cs="Arial"/>
          <w:sz w:val="20"/>
          <w:szCs w:val="20"/>
          <w:lang w:val="sr-Cyrl-RS"/>
        </w:rPr>
        <w:t>ЈЛС</w:t>
      </w:r>
      <w:r w:rsidR="278EF055" w:rsidRPr="00A021B7">
        <w:rPr>
          <w:rFonts w:ascii="Arial" w:hAnsi="Arial" w:cs="Arial"/>
          <w:sz w:val="20"/>
          <w:szCs w:val="20"/>
          <w:lang w:val="sr-Cyrl-RS"/>
        </w:rPr>
        <w:t xml:space="preserve">. </w:t>
      </w:r>
      <w:r w:rsidRPr="00A021B7">
        <w:rPr>
          <w:rFonts w:ascii="Arial" w:hAnsi="Arial" w:cs="Arial"/>
          <w:sz w:val="20"/>
          <w:szCs w:val="20"/>
          <w:lang w:val="sr-Cyrl-RS"/>
        </w:rPr>
        <w:t xml:space="preserve">Овим </w:t>
      </w:r>
      <w:r w:rsidR="0B9D96B8" w:rsidRPr="00A021B7">
        <w:rPr>
          <w:rFonts w:ascii="Arial" w:hAnsi="Arial" w:cs="Arial"/>
          <w:sz w:val="20"/>
          <w:szCs w:val="20"/>
          <w:lang w:val="sr-Cyrl-RS"/>
        </w:rPr>
        <w:t xml:space="preserve">је </w:t>
      </w:r>
      <w:r w:rsidR="6C9A93AB" w:rsidRPr="00A021B7">
        <w:rPr>
          <w:rFonts w:ascii="Arial" w:hAnsi="Arial" w:cs="Arial"/>
          <w:sz w:val="20"/>
          <w:szCs w:val="20"/>
          <w:lang w:val="sr-Cyrl-RS"/>
        </w:rPr>
        <w:t xml:space="preserve">локални службенички </w:t>
      </w:r>
      <w:r w:rsidR="0B9D96B8" w:rsidRPr="00A021B7">
        <w:rPr>
          <w:rFonts w:ascii="Arial" w:hAnsi="Arial" w:cs="Arial"/>
          <w:sz w:val="20"/>
          <w:szCs w:val="20"/>
          <w:lang w:val="sr-Cyrl-RS"/>
        </w:rPr>
        <w:t>систем</w:t>
      </w:r>
      <w:r w:rsidR="6C9A93AB" w:rsidRPr="00A021B7">
        <w:rPr>
          <w:rFonts w:ascii="Arial" w:hAnsi="Arial" w:cs="Arial"/>
          <w:sz w:val="20"/>
          <w:szCs w:val="20"/>
          <w:lang w:val="sr-Cyrl-RS"/>
        </w:rPr>
        <w:t xml:space="preserve"> постављен на истим или сличним </w:t>
      </w:r>
      <w:r w:rsidR="002139E5" w:rsidRPr="00A021B7">
        <w:rPr>
          <w:rFonts w:ascii="Arial" w:hAnsi="Arial" w:cs="Arial"/>
          <w:sz w:val="20"/>
          <w:szCs w:val="20"/>
          <w:lang w:val="sr-Cyrl-RS"/>
        </w:rPr>
        <w:t>основама</w:t>
      </w:r>
      <w:r w:rsidR="6C9A93AB" w:rsidRPr="00A021B7">
        <w:rPr>
          <w:rFonts w:ascii="Arial" w:hAnsi="Arial" w:cs="Arial"/>
          <w:sz w:val="20"/>
          <w:szCs w:val="20"/>
          <w:lang w:val="sr-Cyrl-RS"/>
        </w:rPr>
        <w:t xml:space="preserve"> као државни службенички систем</w:t>
      </w:r>
      <w:r w:rsidR="002139E5">
        <w:rPr>
          <w:rFonts w:ascii="Arial" w:hAnsi="Arial" w:cs="Arial"/>
          <w:sz w:val="20"/>
          <w:szCs w:val="20"/>
          <w:lang w:val="sr-Cyrl-RS"/>
        </w:rPr>
        <w:t>,</w:t>
      </w:r>
      <w:r w:rsidR="6C9A93AB" w:rsidRPr="00A021B7">
        <w:rPr>
          <w:rFonts w:ascii="Arial" w:hAnsi="Arial" w:cs="Arial"/>
          <w:sz w:val="20"/>
          <w:szCs w:val="20"/>
          <w:lang w:val="sr-Cyrl-RS"/>
        </w:rPr>
        <w:t xml:space="preserve"> што у перспективи омогућава кретање кадрова</w:t>
      </w:r>
      <w:r w:rsidR="002139E5">
        <w:rPr>
          <w:rFonts w:ascii="Arial" w:hAnsi="Arial" w:cs="Arial"/>
          <w:sz w:val="20"/>
          <w:szCs w:val="20"/>
          <w:lang w:val="sr-Cyrl-RS"/>
        </w:rPr>
        <w:t>,</w:t>
      </w:r>
      <w:r w:rsidR="4AD40CF4" w:rsidRPr="00A021B7">
        <w:rPr>
          <w:rFonts w:ascii="Arial" w:hAnsi="Arial" w:cs="Arial"/>
          <w:sz w:val="20"/>
          <w:szCs w:val="20"/>
          <w:lang w:val="sr-Cyrl-RS"/>
        </w:rPr>
        <w:t xml:space="preserve"> и у већини</w:t>
      </w:r>
      <w:r w:rsidRPr="00A021B7">
        <w:rPr>
          <w:rFonts w:ascii="Arial" w:hAnsi="Arial" w:cs="Arial"/>
          <w:sz w:val="20"/>
          <w:szCs w:val="20"/>
          <w:lang w:val="sr-Cyrl-RS"/>
        </w:rPr>
        <w:t xml:space="preserve"> су испуњен</w:t>
      </w:r>
      <w:r w:rsidR="4DBAE295" w:rsidRPr="00A021B7">
        <w:rPr>
          <w:rFonts w:ascii="Arial" w:hAnsi="Arial" w:cs="Arial"/>
          <w:sz w:val="20"/>
          <w:szCs w:val="20"/>
          <w:lang w:val="sr-Cyrl-RS"/>
        </w:rPr>
        <w:t>и нормативн</w:t>
      </w:r>
      <w:r w:rsidR="4AD40CF4" w:rsidRPr="00A021B7">
        <w:rPr>
          <w:rFonts w:ascii="Arial" w:hAnsi="Arial" w:cs="Arial"/>
          <w:sz w:val="20"/>
          <w:szCs w:val="20"/>
          <w:lang w:val="sr-Cyrl-RS"/>
        </w:rPr>
        <w:t>и</w:t>
      </w:r>
      <w:r w:rsidR="4DBAE295" w:rsidRPr="00A021B7">
        <w:rPr>
          <w:rFonts w:ascii="Arial" w:hAnsi="Arial" w:cs="Arial"/>
          <w:sz w:val="20"/>
          <w:szCs w:val="20"/>
          <w:lang w:val="sr-Cyrl-RS"/>
        </w:rPr>
        <w:t xml:space="preserve"> услови</w:t>
      </w:r>
      <w:r w:rsidRPr="00A021B7">
        <w:rPr>
          <w:rFonts w:ascii="Arial" w:hAnsi="Arial" w:cs="Arial"/>
          <w:sz w:val="20"/>
          <w:szCs w:val="20"/>
          <w:lang w:val="sr-Cyrl-RS"/>
        </w:rPr>
        <w:t xml:space="preserve"> за</w:t>
      </w:r>
      <w:r w:rsidR="512CDFFD" w:rsidRPr="00A021B7">
        <w:rPr>
          <w:rFonts w:ascii="Arial" w:hAnsi="Arial" w:cs="Arial"/>
          <w:sz w:val="20"/>
          <w:szCs w:val="20"/>
          <w:lang w:val="sr-Cyrl-RS"/>
        </w:rPr>
        <w:t xml:space="preserve"> </w:t>
      </w:r>
      <w:r w:rsidR="4ACE10DC" w:rsidRPr="00A021B7">
        <w:rPr>
          <w:rFonts w:ascii="Arial" w:hAnsi="Arial" w:cs="Arial"/>
          <w:sz w:val="20"/>
          <w:szCs w:val="20"/>
          <w:lang w:val="sr-Cyrl-RS"/>
        </w:rPr>
        <w:t>даље спровођење</w:t>
      </w:r>
      <w:r w:rsidR="092AF7C6" w:rsidRPr="00A021B7">
        <w:rPr>
          <w:rFonts w:ascii="Arial" w:hAnsi="Arial" w:cs="Arial"/>
          <w:sz w:val="20"/>
          <w:szCs w:val="20"/>
          <w:lang w:val="sr-Cyrl-RS"/>
        </w:rPr>
        <w:t xml:space="preserve"> стратешких циљева у </w:t>
      </w:r>
      <w:r w:rsidR="43D4663A" w:rsidRPr="00A021B7">
        <w:rPr>
          <w:rFonts w:ascii="Arial" w:hAnsi="Arial" w:cs="Arial"/>
          <w:sz w:val="20"/>
          <w:szCs w:val="20"/>
          <w:lang w:val="sr-Cyrl-RS"/>
        </w:rPr>
        <w:t>овој области</w:t>
      </w:r>
      <w:r w:rsidR="002139E5">
        <w:rPr>
          <w:rFonts w:ascii="Arial" w:hAnsi="Arial" w:cs="Arial"/>
          <w:sz w:val="20"/>
          <w:szCs w:val="20"/>
          <w:lang w:val="sr-Cyrl-RS"/>
        </w:rPr>
        <w:t>,</w:t>
      </w:r>
      <w:r w:rsidR="43D4663A" w:rsidRPr="00A021B7">
        <w:rPr>
          <w:rFonts w:ascii="Arial" w:hAnsi="Arial" w:cs="Arial"/>
          <w:sz w:val="20"/>
          <w:szCs w:val="20"/>
          <w:lang w:val="sr-Cyrl-RS"/>
        </w:rPr>
        <w:t xml:space="preserve"> као што су; </w:t>
      </w:r>
      <w:r w:rsidRPr="00A021B7">
        <w:rPr>
          <w:rFonts w:ascii="Arial" w:hAnsi="Arial" w:cs="Arial"/>
          <w:sz w:val="20"/>
          <w:szCs w:val="20"/>
          <w:lang w:val="sr-Cyrl-RS"/>
        </w:rPr>
        <w:t>професионализациј</w:t>
      </w:r>
      <w:r w:rsidR="43D4663A" w:rsidRPr="00A021B7">
        <w:rPr>
          <w:rFonts w:ascii="Arial" w:hAnsi="Arial" w:cs="Arial"/>
          <w:sz w:val="20"/>
          <w:szCs w:val="20"/>
          <w:lang w:val="sr-Cyrl-RS"/>
        </w:rPr>
        <w:t>а</w:t>
      </w:r>
      <w:r w:rsidRPr="00A021B7">
        <w:rPr>
          <w:rFonts w:ascii="Arial" w:hAnsi="Arial" w:cs="Arial"/>
          <w:sz w:val="20"/>
          <w:szCs w:val="20"/>
          <w:lang w:val="sr-Cyrl-RS"/>
        </w:rPr>
        <w:t>,</w:t>
      </w:r>
      <w:r w:rsidR="512CDFFD" w:rsidRPr="00A021B7">
        <w:rPr>
          <w:rFonts w:ascii="Arial" w:hAnsi="Arial" w:cs="Arial"/>
          <w:sz w:val="20"/>
          <w:szCs w:val="20"/>
          <w:lang w:val="sr-Cyrl-RS"/>
        </w:rPr>
        <w:t xml:space="preserve"> </w:t>
      </w:r>
      <w:r w:rsidRPr="00A021B7">
        <w:rPr>
          <w:rFonts w:ascii="Arial" w:hAnsi="Arial" w:cs="Arial"/>
          <w:sz w:val="20"/>
          <w:szCs w:val="20"/>
          <w:lang w:val="sr-Cyrl-RS"/>
        </w:rPr>
        <w:t>деполитизациј</w:t>
      </w:r>
      <w:r w:rsidR="43D4663A" w:rsidRPr="00A021B7">
        <w:rPr>
          <w:rFonts w:ascii="Arial" w:hAnsi="Arial" w:cs="Arial"/>
          <w:sz w:val="20"/>
          <w:szCs w:val="20"/>
          <w:lang w:val="sr-Cyrl-RS"/>
        </w:rPr>
        <w:t>а</w:t>
      </w:r>
      <w:r w:rsidRPr="00A021B7">
        <w:rPr>
          <w:rFonts w:ascii="Arial" w:hAnsi="Arial" w:cs="Arial"/>
          <w:sz w:val="20"/>
          <w:szCs w:val="20"/>
          <w:lang w:val="sr-Cyrl-RS"/>
        </w:rPr>
        <w:t>, каријерни развој, напредовање у служби и стручно усавршавање службеника. Закон о запосленима у АП и ЈЛС је</w:t>
      </w:r>
      <w:r w:rsidR="512CDFFD" w:rsidRPr="00A021B7">
        <w:rPr>
          <w:rFonts w:ascii="Arial" w:hAnsi="Arial" w:cs="Arial"/>
          <w:sz w:val="20"/>
          <w:szCs w:val="20"/>
          <w:lang w:val="sr-Cyrl-RS"/>
        </w:rPr>
        <w:t xml:space="preserve"> </w:t>
      </w:r>
      <w:r w:rsidRPr="00A021B7">
        <w:rPr>
          <w:rFonts w:ascii="Arial" w:hAnsi="Arial" w:cs="Arial"/>
          <w:sz w:val="20"/>
          <w:szCs w:val="20"/>
          <w:lang w:val="sr-Cyrl-RS"/>
        </w:rPr>
        <w:t>и од великог значаја</w:t>
      </w:r>
      <w:r w:rsidR="512CDFFD" w:rsidRPr="00A021B7">
        <w:rPr>
          <w:rFonts w:ascii="Arial" w:hAnsi="Arial" w:cs="Arial"/>
          <w:sz w:val="20"/>
          <w:szCs w:val="20"/>
          <w:lang w:val="sr-Cyrl-RS"/>
        </w:rPr>
        <w:t xml:space="preserve"> </w:t>
      </w:r>
      <w:r w:rsidRPr="00A021B7">
        <w:rPr>
          <w:rFonts w:ascii="Arial" w:hAnsi="Arial" w:cs="Arial"/>
          <w:sz w:val="20"/>
          <w:szCs w:val="20"/>
          <w:lang w:val="sr-Cyrl-RS"/>
        </w:rPr>
        <w:t xml:space="preserve">за модернизацију јавне управе, јер уводи потпуно нов, савремени приступ управљању људским ресурсима. </w:t>
      </w:r>
      <w:r w:rsidR="302B10B9" w:rsidRPr="00A021B7">
        <w:rPr>
          <w:rFonts w:ascii="Arial" w:hAnsi="Arial" w:cs="Arial"/>
          <w:sz w:val="20"/>
          <w:szCs w:val="20"/>
          <w:lang w:val="sr-Cyrl-RS"/>
        </w:rPr>
        <w:t xml:space="preserve">Од </w:t>
      </w:r>
      <w:r w:rsidRPr="00A021B7">
        <w:rPr>
          <w:rFonts w:ascii="Arial" w:hAnsi="Arial" w:cs="Arial"/>
          <w:sz w:val="20"/>
          <w:szCs w:val="20"/>
          <w:lang w:val="sr-Cyrl-RS"/>
        </w:rPr>
        <w:t>2016. године, без обзира на све тешкоће и изазове са којима су се ЈЛС суочиле у области УЉР</w:t>
      </w:r>
      <w:r w:rsidR="302B10B9" w:rsidRPr="00A021B7">
        <w:rPr>
          <w:rFonts w:ascii="Arial" w:hAnsi="Arial" w:cs="Arial"/>
          <w:sz w:val="20"/>
          <w:szCs w:val="20"/>
          <w:lang w:val="sr-Cyrl-RS"/>
        </w:rPr>
        <w:t>,</w:t>
      </w:r>
      <w:r w:rsidRPr="00A021B7">
        <w:rPr>
          <w:rFonts w:ascii="Arial" w:hAnsi="Arial" w:cs="Arial"/>
          <w:sz w:val="20"/>
          <w:szCs w:val="20"/>
          <w:lang w:val="sr-Cyrl-RS"/>
        </w:rPr>
        <w:t xml:space="preserve"> али и другим повезаним областима, можемо рећи да је постигнут </w:t>
      </w:r>
      <w:r w:rsidR="6F584B31" w:rsidRPr="00A021B7">
        <w:rPr>
          <w:rFonts w:ascii="Arial" w:hAnsi="Arial" w:cs="Arial"/>
          <w:sz w:val="20"/>
          <w:szCs w:val="20"/>
          <w:lang w:val="sr-Cyrl-RS"/>
        </w:rPr>
        <w:t>одређени</w:t>
      </w:r>
      <w:r w:rsidRPr="00A021B7">
        <w:rPr>
          <w:rFonts w:ascii="Arial" w:hAnsi="Arial" w:cs="Arial"/>
          <w:sz w:val="20"/>
          <w:szCs w:val="20"/>
          <w:lang w:val="sr-Cyrl-RS"/>
        </w:rPr>
        <w:t xml:space="preserve"> напредак на изградњи система УЉР у ЈЛС и повезаних институција на централном нивоу. После готово четири године примене </w:t>
      </w:r>
      <w:r w:rsidR="36F071B9" w:rsidRPr="00A021B7">
        <w:rPr>
          <w:rFonts w:ascii="Arial" w:hAnsi="Arial" w:cs="Arial"/>
          <w:sz w:val="20"/>
          <w:szCs w:val="20"/>
          <w:lang w:val="sr-Cyrl-RS"/>
        </w:rPr>
        <w:t xml:space="preserve">овог </w:t>
      </w:r>
      <w:r w:rsidRPr="00A021B7">
        <w:rPr>
          <w:rFonts w:ascii="Arial" w:hAnsi="Arial" w:cs="Arial"/>
          <w:sz w:val="20"/>
          <w:szCs w:val="20"/>
          <w:lang w:val="sr-Cyrl-RS"/>
        </w:rPr>
        <w:t>Закона</w:t>
      </w:r>
      <w:r w:rsidRPr="1A8E6423">
        <w:rPr>
          <w:rFonts w:ascii="Arial" w:hAnsi="Arial" w:cs="Arial"/>
          <w:i/>
          <w:iCs/>
          <w:sz w:val="20"/>
          <w:szCs w:val="20"/>
          <w:lang w:val="sr-Cyrl-RS"/>
        </w:rPr>
        <w:t xml:space="preserve">, </w:t>
      </w:r>
      <w:r w:rsidRPr="00A021B7">
        <w:rPr>
          <w:rFonts w:ascii="Arial" w:hAnsi="Arial" w:cs="Arial"/>
          <w:sz w:val="20"/>
          <w:szCs w:val="20"/>
          <w:lang w:val="sr-Cyrl-RS"/>
        </w:rPr>
        <w:t xml:space="preserve">уз </w:t>
      </w:r>
      <w:r w:rsidR="3FA5A677" w:rsidRPr="00A021B7">
        <w:rPr>
          <w:rFonts w:ascii="Arial" w:hAnsi="Arial" w:cs="Arial"/>
          <w:sz w:val="20"/>
          <w:szCs w:val="20"/>
          <w:lang w:val="sr-Cyrl-RS"/>
        </w:rPr>
        <w:t>значајне</w:t>
      </w:r>
      <w:r w:rsidRPr="00A021B7">
        <w:rPr>
          <w:rFonts w:ascii="Arial" w:hAnsi="Arial" w:cs="Arial"/>
          <w:sz w:val="20"/>
          <w:szCs w:val="20"/>
          <w:lang w:val="sr-Cyrl-RS"/>
        </w:rPr>
        <w:t xml:space="preserve"> измене у </w:t>
      </w:r>
      <w:r w:rsidR="36F071B9" w:rsidRPr="00A021B7">
        <w:rPr>
          <w:rFonts w:ascii="Arial" w:hAnsi="Arial" w:cs="Arial"/>
          <w:sz w:val="20"/>
          <w:szCs w:val="20"/>
          <w:lang w:val="sr-Cyrl-RS"/>
        </w:rPr>
        <w:t>два наврата</w:t>
      </w:r>
      <w:r w:rsidRPr="00A021B7">
        <w:rPr>
          <w:rFonts w:ascii="Arial" w:hAnsi="Arial" w:cs="Arial"/>
          <w:sz w:val="20"/>
          <w:szCs w:val="20"/>
          <w:lang w:val="sr-Cyrl-RS"/>
        </w:rPr>
        <w:t xml:space="preserve">, усвојени су и сви кључни подзаконски акти – уредбе, правилници и упутства, а ступили су на снагу и други битни кровни закони. Изменама и допунама Закона о запосленима у АП и ЈЛС из 2017. и 2018. године </w:t>
      </w:r>
      <w:r w:rsidR="28611B20" w:rsidRPr="00A021B7">
        <w:rPr>
          <w:rFonts w:ascii="Arial" w:hAnsi="Arial" w:cs="Arial"/>
          <w:sz w:val="20"/>
          <w:szCs w:val="20"/>
          <w:lang w:val="sr-Cyrl-RS"/>
        </w:rPr>
        <w:t xml:space="preserve">ближе </w:t>
      </w:r>
      <w:r w:rsidR="002139E5">
        <w:rPr>
          <w:rFonts w:ascii="Arial" w:hAnsi="Arial" w:cs="Arial"/>
          <w:sz w:val="20"/>
          <w:szCs w:val="20"/>
          <w:lang w:val="sr-Cyrl-RS"/>
        </w:rPr>
        <w:t>су</w:t>
      </w:r>
      <w:r w:rsidR="28611B20" w:rsidRPr="00A021B7">
        <w:rPr>
          <w:rFonts w:ascii="Arial" w:hAnsi="Arial" w:cs="Arial"/>
          <w:sz w:val="20"/>
          <w:szCs w:val="20"/>
          <w:lang w:val="sr-Cyrl-RS"/>
        </w:rPr>
        <w:t xml:space="preserve"> регулисан</w:t>
      </w:r>
      <w:r w:rsidR="002139E5">
        <w:rPr>
          <w:rFonts w:ascii="Arial" w:hAnsi="Arial" w:cs="Arial"/>
          <w:sz w:val="20"/>
          <w:szCs w:val="20"/>
          <w:lang w:val="sr-Cyrl-RS"/>
        </w:rPr>
        <w:t>и</w:t>
      </w:r>
      <w:r w:rsidR="28611B20" w:rsidRPr="00A021B7">
        <w:rPr>
          <w:rFonts w:ascii="Arial" w:hAnsi="Arial" w:cs="Arial"/>
          <w:sz w:val="20"/>
          <w:szCs w:val="20"/>
          <w:lang w:val="sr-Cyrl-RS"/>
        </w:rPr>
        <w:t xml:space="preserve"> област стручног усавршавања и</w:t>
      </w:r>
      <w:r w:rsidR="36A3E046" w:rsidRPr="00A021B7">
        <w:rPr>
          <w:rFonts w:ascii="Arial" w:hAnsi="Arial" w:cs="Arial"/>
          <w:sz w:val="20"/>
          <w:szCs w:val="20"/>
          <w:lang w:val="sr-Cyrl-RS"/>
        </w:rPr>
        <w:t xml:space="preserve"> поступак оцењивања запослених уз увођење значајних промена</w:t>
      </w:r>
      <w:r w:rsidRPr="00A021B7">
        <w:rPr>
          <w:rFonts w:ascii="Arial" w:hAnsi="Arial" w:cs="Arial"/>
          <w:sz w:val="20"/>
          <w:szCs w:val="20"/>
          <w:lang w:val="sr-Cyrl-RS"/>
        </w:rPr>
        <w:t xml:space="preserve">. </w:t>
      </w:r>
      <w:r w:rsidR="36F90C5D" w:rsidRPr="00A021B7">
        <w:rPr>
          <w:rFonts w:ascii="Arial" w:hAnsi="Arial" w:cs="Arial"/>
          <w:sz w:val="20"/>
          <w:szCs w:val="20"/>
          <w:lang w:val="sr-Cyrl-RS"/>
        </w:rPr>
        <w:t xml:space="preserve">Један од најважнијих доприноса овог </w:t>
      </w:r>
      <w:r w:rsidR="002139E5">
        <w:rPr>
          <w:rFonts w:ascii="Arial" w:hAnsi="Arial" w:cs="Arial"/>
          <w:sz w:val="20"/>
          <w:szCs w:val="20"/>
          <w:lang w:val="sr-Cyrl-RS"/>
        </w:rPr>
        <w:t>з</w:t>
      </w:r>
      <w:r w:rsidR="36F90C5D" w:rsidRPr="00A021B7">
        <w:rPr>
          <w:rFonts w:ascii="Arial" w:hAnsi="Arial" w:cs="Arial"/>
          <w:sz w:val="20"/>
          <w:szCs w:val="20"/>
          <w:lang w:val="sr-Cyrl-RS"/>
        </w:rPr>
        <w:t xml:space="preserve">акона јесте </w:t>
      </w:r>
      <w:r w:rsidR="57BE37C8" w:rsidRPr="00A021B7">
        <w:rPr>
          <w:rFonts w:ascii="Arial" w:hAnsi="Arial" w:cs="Arial"/>
          <w:sz w:val="20"/>
          <w:szCs w:val="20"/>
          <w:lang w:val="sr-Cyrl-RS"/>
        </w:rPr>
        <w:t>увођење стандардизованог система и процедура за заснивање радног односа у свим ЈЛС</w:t>
      </w:r>
      <w:r w:rsidR="4720C949" w:rsidRPr="00A021B7">
        <w:rPr>
          <w:rFonts w:ascii="Arial" w:hAnsi="Arial" w:cs="Arial"/>
          <w:sz w:val="20"/>
          <w:szCs w:val="20"/>
          <w:lang w:val="sr-Cyrl-RS"/>
        </w:rPr>
        <w:t>,</w:t>
      </w:r>
      <w:r w:rsidR="57BE37C8" w:rsidRPr="00A021B7">
        <w:rPr>
          <w:rFonts w:ascii="Arial" w:hAnsi="Arial" w:cs="Arial"/>
          <w:sz w:val="20"/>
          <w:szCs w:val="20"/>
          <w:lang w:val="sr-Cyrl-RS"/>
        </w:rPr>
        <w:t xml:space="preserve"> </w:t>
      </w:r>
      <w:r w:rsidR="35C9D379" w:rsidRPr="00A021B7">
        <w:rPr>
          <w:rFonts w:ascii="Arial" w:hAnsi="Arial" w:cs="Arial"/>
          <w:sz w:val="20"/>
          <w:szCs w:val="20"/>
          <w:lang w:val="sr-Cyrl-RS"/>
        </w:rPr>
        <w:t>а тим</w:t>
      </w:r>
      <w:r w:rsidR="4720C949" w:rsidRPr="00A021B7">
        <w:rPr>
          <w:rFonts w:ascii="Arial" w:hAnsi="Arial" w:cs="Arial"/>
          <w:sz w:val="20"/>
          <w:szCs w:val="20"/>
          <w:lang w:val="sr-Cyrl-RS"/>
        </w:rPr>
        <w:t>е</w:t>
      </w:r>
      <w:r w:rsidR="35C9D379" w:rsidRPr="00A021B7">
        <w:rPr>
          <w:rFonts w:ascii="Arial" w:hAnsi="Arial" w:cs="Arial"/>
          <w:sz w:val="20"/>
          <w:szCs w:val="20"/>
          <w:lang w:val="sr-Cyrl-RS"/>
        </w:rPr>
        <w:t xml:space="preserve"> и приближавање статуса запослених у ЈЛС</w:t>
      </w:r>
      <w:r w:rsidR="4425FB91" w:rsidRPr="00A021B7">
        <w:rPr>
          <w:rFonts w:ascii="Arial" w:hAnsi="Arial" w:cs="Arial"/>
          <w:sz w:val="20"/>
          <w:szCs w:val="20"/>
          <w:lang w:val="sr-Cyrl-RS"/>
        </w:rPr>
        <w:t xml:space="preserve"> статусу</w:t>
      </w:r>
      <w:r w:rsidR="35C9D379" w:rsidRPr="00A021B7">
        <w:rPr>
          <w:rFonts w:ascii="Arial" w:hAnsi="Arial" w:cs="Arial"/>
          <w:sz w:val="20"/>
          <w:szCs w:val="20"/>
          <w:lang w:val="sr-Cyrl-RS"/>
        </w:rPr>
        <w:t xml:space="preserve"> државни</w:t>
      </w:r>
      <w:r w:rsidR="2FC005A4" w:rsidRPr="00A021B7">
        <w:rPr>
          <w:rFonts w:ascii="Arial" w:hAnsi="Arial" w:cs="Arial"/>
          <w:sz w:val="20"/>
          <w:szCs w:val="20"/>
          <w:lang w:val="sr-Cyrl-RS"/>
        </w:rPr>
        <w:t xml:space="preserve">х </w:t>
      </w:r>
      <w:r w:rsidR="35C9D379" w:rsidRPr="00A021B7">
        <w:rPr>
          <w:rFonts w:ascii="Arial" w:hAnsi="Arial" w:cs="Arial"/>
          <w:sz w:val="20"/>
          <w:szCs w:val="20"/>
          <w:lang w:val="sr-Cyrl-RS"/>
        </w:rPr>
        <w:t>службени</w:t>
      </w:r>
      <w:r w:rsidR="4B1D3969" w:rsidRPr="00A021B7">
        <w:rPr>
          <w:rFonts w:ascii="Arial" w:hAnsi="Arial" w:cs="Arial"/>
          <w:sz w:val="20"/>
          <w:szCs w:val="20"/>
          <w:lang w:val="sr-Cyrl-RS"/>
        </w:rPr>
        <w:t>ка</w:t>
      </w:r>
      <w:r w:rsidR="35C9D379" w:rsidRPr="00A021B7">
        <w:rPr>
          <w:rFonts w:ascii="Arial" w:hAnsi="Arial" w:cs="Arial"/>
          <w:sz w:val="20"/>
          <w:szCs w:val="20"/>
          <w:lang w:val="sr-Cyrl-RS"/>
        </w:rPr>
        <w:t>, што се огледа</w:t>
      </w:r>
      <w:r w:rsidR="713D92B8" w:rsidRPr="00A021B7">
        <w:rPr>
          <w:rFonts w:ascii="Arial" w:hAnsi="Arial" w:cs="Arial"/>
          <w:sz w:val="20"/>
          <w:szCs w:val="20"/>
          <w:lang w:val="sr-Cyrl-RS"/>
        </w:rPr>
        <w:t xml:space="preserve"> </w:t>
      </w:r>
      <w:r w:rsidR="35C9D379" w:rsidRPr="00A021B7">
        <w:rPr>
          <w:rFonts w:ascii="Arial" w:hAnsi="Arial" w:cs="Arial"/>
          <w:sz w:val="20"/>
          <w:szCs w:val="20"/>
          <w:lang w:val="sr-Cyrl-RS"/>
        </w:rPr>
        <w:t>кроз</w:t>
      </w:r>
      <w:r w:rsidR="7207C294" w:rsidRPr="00A021B7">
        <w:rPr>
          <w:rFonts w:ascii="Arial" w:hAnsi="Arial" w:cs="Arial"/>
          <w:sz w:val="20"/>
          <w:szCs w:val="20"/>
          <w:lang w:val="sr-Cyrl-RS"/>
        </w:rPr>
        <w:t xml:space="preserve"> усаглашавање звања службеника на државном и локалном нивоу</w:t>
      </w:r>
      <w:r w:rsidR="4AF6A61D" w:rsidRPr="00A021B7">
        <w:rPr>
          <w:rFonts w:ascii="Arial" w:hAnsi="Arial" w:cs="Arial"/>
          <w:sz w:val="20"/>
          <w:szCs w:val="20"/>
          <w:lang w:val="sr-Cyrl-RS"/>
        </w:rPr>
        <w:t>,</w:t>
      </w:r>
      <w:r w:rsidR="7207C294" w:rsidRPr="00A021B7">
        <w:rPr>
          <w:rFonts w:ascii="Arial" w:hAnsi="Arial" w:cs="Arial"/>
          <w:sz w:val="20"/>
          <w:szCs w:val="20"/>
          <w:lang w:val="sr-Cyrl-RS"/>
        </w:rPr>
        <w:t xml:space="preserve"> као и кроз</w:t>
      </w:r>
      <w:r w:rsidR="35C9D379" w:rsidRPr="00A021B7">
        <w:rPr>
          <w:rFonts w:ascii="Arial" w:hAnsi="Arial" w:cs="Arial"/>
          <w:sz w:val="20"/>
          <w:szCs w:val="20"/>
          <w:lang w:val="sr-Cyrl-RS"/>
        </w:rPr>
        <w:t xml:space="preserve"> могућност преуз</w:t>
      </w:r>
      <w:r w:rsidR="52BE4D9B" w:rsidRPr="00A021B7">
        <w:rPr>
          <w:rFonts w:ascii="Arial" w:hAnsi="Arial" w:cs="Arial"/>
          <w:sz w:val="20"/>
          <w:szCs w:val="20"/>
          <w:lang w:val="sr-Cyrl-RS"/>
        </w:rPr>
        <w:t>имања запослених из локалне упр</w:t>
      </w:r>
      <w:r w:rsidR="23493F01" w:rsidRPr="00A021B7">
        <w:rPr>
          <w:rFonts w:ascii="Arial" w:hAnsi="Arial" w:cs="Arial"/>
          <w:sz w:val="20"/>
          <w:szCs w:val="20"/>
          <w:lang w:val="sr-Cyrl-RS"/>
        </w:rPr>
        <w:t>а</w:t>
      </w:r>
      <w:r w:rsidR="52BE4D9B" w:rsidRPr="00A021B7">
        <w:rPr>
          <w:rFonts w:ascii="Arial" w:hAnsi="Arial" w:cs="Arial"/>
          <w:sz w:val="20"/>
          <w:szCs w:val="20"/>
          <w:lang w:val="sr-Cyrl-RS"/>
        </w:rPr>
        <w:t>ве у државну</w:t>
      </w:r>
      <w:r w:rsidR="3FA5A677" w:rsidRPr="00A021B7">
        <w:rPr>
          <w:rFonts w:ascii="Arial" w:hAnsi="Arial" w:cs="Arial"/>
          <w:sz w:val="20"/>
          <w:szCs w:val="20"/>
          <w:lang w:val="sr-Cyrl-RS"/>
        </w:rPr>
        <w:t xml:space="preserve"> управу</w:t>
      </w:r>
      <w:r w:rsidR="52BE4D9B" w:rsidRPr="00A021B7">
        <w:rPr>
          <w:rFonts w:ascii="Arial" w:hAnsi="Arial" w:cs="Arial"/>
          <w:sz w:val="20"/>
          <w:szCs w:val="20"/>
          <w:lang w:val="sr-Cyrl-RS"/>
        </w:rPr>
        <w:t xml:space="preserve"> и обрнуто</w:t>
      </w:r>
      <w:r w:rsidR="7CC72014" w:rsidRPr="00A021B7">
        <w:rPr>
          <w:rFonts w:ascii="Arial" w:hAnsi="Arial" w:cs="Arial"/>
          <w:sz w:val="20"/>
          <w:szCs w:val="20"/>
          <w:lang w:val="sr-Cyrl-RS"/>
        </w:rPr>
        <w:t xml:space="preserve">. </w:t>
      </w:r>
      <w:r w:rsidR="4AF6A61D" w:rsidRPr="00A021B7">
        <w:rPr>
          <w:rFonts w:ascii="Arial" w:hAnsi="Arial" w:cs="Arial"/>
          <w:sz w:val="20"/>
          <w:szCs w:val="20"/>
          <w:lang w:val="sr-Cyrl-RS"/>
        </w:rPr>
        <w:t>З</w:t>
      </w:r>
      <w:r w:rsidRPr="00A021B7">
        <w:rPr>
          <w:rFonts w:ascii="Arial" w:hAnsi="Arial" w:cs="Arial"/>
          <w:sz w:val="20"/>
          <w:szCs w:val="20"/>
          <w:lang w:val="sr-Cyrl-RS"/>
        </w:rPr>
        <w:t xml:space="preserve">а ове две кључне функције </w:t>
      </w:r>
      <w:r w:rsidR="4AF6A61D" w:rsidRPr="00A021B7">
        <w:rPr>
          <w:rFonts w:ascii="Arial" w:hAnsi="Arial" w:cs="Arial"/>
          <w:sz w:val="20"/>
          <w:szCs w:val="20"/>
          <w:lang w:val="sr-Cyrl-RS"/>
        </w:rPr>
        <w:t xml:space="preserve">УЉР </w:t>
      </w:r>
      <w:r w:rsidRPr="00A021B7">
        <w:rPr>
          <w:rFonts w:ascii="Arial" w:hAnsi="Arial" w:cs="Arial"/>
          <w:sz w:val="20"/>
          <w:szCs w:val="20"/>
          <w:lang w:val="sr-Cyrl-RS"/>
        </w:rPr>
        <w:t xml:space="preserve">усвојени су и подзаконски акти који су омогућили да се иницирају и спроведу конкретни, практични кораци ка успостављању свеобухватног система </w:t>
      </w:r>
      <w:r w:rsidR="74239138" w:rsidRPr="00A021B7">
        <w:rPr>
          <w:rFonts w:ascii="Arial" w:hAnsi="Arial" w:cs="Arial"/>
          <w:sz w:val="20"/>
          <w:szCs w:val="20"/>
          <w:lang w:val="sr-Cyrl-RS"/>
        </w:rPr>
        <w:t>УЉР</w:t>
      </w:r>
      <w:r w:rsidRPr="00A021B7">
        <w:rPr>
          <w:rFonts w:ascii="Arial" w:hAnsi="Arial" w:cs="Arial"/>
          <w:sz w:val="20"/>
          <w:szCs w:val="20"/>
          <w:lang w:val="sr-Cyrl-RS"/>
        </w:rPr>
        <w:t>. Т</w:t>
      </w:r>
      <w:r w:rsidR="732539EF" w:rsidRPr="00A021B7">
        <w:rPr>
          <w:rFonts w:ascii="Arial" w:hAnsi="Arial" w:cs="Arial"/>
          <w:sz w:val="20"/>
          <w:szCs w:val="20"/>
          <w:lang w:val="sr-Cyrl-RS"/>
        </w:rPr>
        <w:t>о</w:t>
      </w:r>
      <w:r w:rsidRPr="00A021B7">
        <w:rPr>
          <w:rFonts w:ascii="Arial" w:hAnsi="Arial" w:cs="Arial"/>
          <w:sz w:val="20"/>
          <w:szCs w:val="20"/>
          <w:lang w:val="sr-Cyrl-RS"/>
        </w:rPr>
        <w:t xml:space="preserve">ком 2017. године успостављена је и почела са радом Национална академија за јавну управу (НАЈУ), као кровна институција </w:t>
      </w:r>
      <w:r w:rsidR="74239138" w:rsidRPr="00A021B7">
        <w:rPr>
          <w:rFonts w:ascii="Arial" w:hAnsi="Arial" w:cs="Arial"/>
          <w:sz w:val="20"/>
          <w:szCs w:val="20"/>
          <w:lang w:val="sr-Cyrl-RS"/>
        </w:rPr>
        <w:t xml:space="preserve">за </w:t>
      </w:r>
      <w:r w:rsidRPr="00A021B7">
        <w:rPr>
          <w:rFonts w:ascii="Arial" w:hAnsi="Arial" w:cs="Arial"/>
          <w:sz w:val="20"/>
          <w:szCs w:val="20"/>
          <w:lang w:val="sr-Cyrl-RS"/>
        </w:rPr>
        <w:t>стручно усавршавање у јавној управи</w:t>
      </w:r>
      <w:r w:rsidR="00452EFA" w:rsidRPr="00A021B7">
        <w:rPr>
          <w:rFonts w:ascii="Arial" w:hAnsi="Arial" w:cs="Arial"/>
          <w:sz w:val="20"/>
          <w:szCs w:val="20"/>
          <w:vertAlign w:val="superscript"/>
          <w:lang w:val="sr-Cyrl-RS"/>
        </w:rPr>
        <w:footnoteReference w:id="88"/>
      </w:r>
      <w:r w:rsidR="002139E5">
        <w:rPr>
          <w:rFonts w:ascii="Arial" w:hAnsi="Arial" w:cs="Arial"/>
          <w:sz w:val="20"/>
          <w:szCs w:val="20"/>
          <w:lang w:val="sr-Cyrl-RS"/>
        </w:rPr>
        <w:t>,</w:t>
      </w:r>
      <w:r w:rsidRPr="00A021B7">
        <w:rPr>
          <w:rFonts w:ascii="Arial" w:hAnsi="Arial" w:cs="Arial"/>
          <w:sz w:val="20"/>
          <w:szCs w:val="20"/>
          <w:lang w:val="sr-Cyrl-RS"/>
        </w:rPr>
        <w:t xml:space="preserve"> која</w:t>
      </w:r>
      <w:r w:rsidR="002139E5">
        <w:rPr>
          <w:rFonts w:ascii="Arial" w:hAnsi="Arial" w:cs="Arial"/>
          <w:sz w:val="20"/>
          <w:szCs w:val="20"/>
          <w:lang w:val="sr-Cyrl-RS"/>
        </w:rPr>
        <w:t>,</w:t>
      </w:r>
      <w:r w:rsidRPr="00A021B7">
        <w:rPr>
          <w:rFonts w:ascii="Arial" w:hAnsi="Arial" w:cs="Arial"/>
          <w:sz w:val="20"/>
          <w:szCs w:val="20"/>
          <w:lang w:val="sr-Cyrl-RS"/>
        </w:rPr>
        <w:t xml:space="preserve"> уз Савет за стручно усавршавање запослених у ЈЛС</w:t>
      </w:r>
      <w:r w:rsidR="52A9247C" w:rsidRPr="00A021B7">
        <w:rPr>
          <w:rFonts w:ascii="Arial" w:hAnsi="Arial" w:cs="Arial"/>
          <w:sz w:val="20"/>
          <w:szCs w:val="20"/>
          <w:lang w:val="sr-Cyrl-RS"/>
        </w:rPr>
        <w:t xml:space="preserve">, </w:t>
      </w:r>
      <w:r w:rsidRPr="00A021B7">
        <w:rPr>
          <w:rFonts w:ascii="Arial" w:hAnsi="Arial" w:cs="Arial"/>
          <w:sz w:val="20"/>
          <w:szCs w:val="20"/>
          <w:lang w:val="sr-Cyrl-RS"/>
        </w:rPr>
        <w:t>МДУЛС</w:t>
      </w:r>
      <w:r w:rsidR="691A63EA" w:rsidRPr="00A021B7">
        <w:rPr>
          <w:rFonts w:ascii="Arial" w:hAnsi="Arial" w:cs="Arial"/>
          <w:sz w:val="20"/>
          <w:szCs w:val="20"/>
          <w:lang w:val="sr-Cyrl-RS"/>
        </w:rPr>
        <w:t xml:space="preserve"> и СКГО</w:t>
      </w:r>
      <w:r w:rsidRPr="00A021B7">
        <w:rPr>
          <w:rFonts w:ascii="Arial" w:hAnsi="Arial" w:cs="Arial"/>
          <w:sz w:val="20"/>
          <w:szCs w:val="20"/>
          <w:lang w:val="sr-Cyrl-RS"/>
        </w:rPr>
        <w:t>, чини институционални оквир за подршку ЈЛС и спровођење активности у области стручног усавршавања. Новим правним оквиром дефинисан</w:t>
      </w:r>
      <w:r w:rsidR="002139E5">
        <w:rPr>
          <w:rFonts w:ascii="Arial" w:hAnsi="Arial" w:cs="Arial"/>
          <w:sz w:val="20"/>
          <w:szCs w:val="20"/>
          <w:lang w:val="sr-Cyrl-RS"/>
        </w:rPr>
        <w:t>и</w:t>
      </w:r>
      <w:r w:rsidRPr="00A021B7">
        <w:rPr>
          <w:rFonts w:ascii="Arial" w:hAnsi="Arial" w:cs="Arial"/>
          <w:sz w:val="20"/>
          <w:szCs w:val="20"/>
          <w:lang w:val="sr-Cyrl-RS"/>
        </w:rPr>
        <w:t xml:space="preserve"> </w:t>
      </w:r>
      <w:r w:rsidR="002139E5">
        <w:rPr>
          <w:rFonts w:ascii="Arial" w:hAnsi="Arial" w:cs="Arial"/>
          <w:sz w:val="20"/>
          <w:szCs w:val="20"/>
          <w:lang w:val="sr-Cyrl-RS"/>
        </w:rPr>
        <w:t>су</w:t>
      </w:r>
      <w:r w:rsidRPr="00A021B7">
        <w:rPr>
          <w:rFonts w:ascii="Arial" w:hAnsi="Arial" w:cs="Arial"/>
          <w:sz w:val="20"/>
          <w:szCs w:val="20"/>
          <w:lang w:val="sr-Cyrl-RS"/>
        </w:rPr>
        <w:t xml:space="preserve"> и номенклатура програма стручног усавршавања локалних службеника</w:t>
      </w:r>
      <w:r w:rsidR="001C7C2E" w:rsidRPr="00A021B7">
        <w:rPr>
          <w:rFonts w:ascii="Arial" w:hAnsi="Arial" w:cs="Arial"/>
          <w:sz w:val="20"/>
          <w:szCs w:val="20"/>
          <w:vertAlign w:val="superscript"/>
          <w:lang w:val="sr-Cyrl-RS"/>
        </w:rPr>
        <w:footnoteReference w:id="89"/>
      </w:r>
      <w:r w:rsidRPr="00A021B7">
        <w:rPr>
          <w:rFonts w:ascii="Arial" w:hAnsi="Arial" w:cs="Arial"/>
          <w:sz w:val="20"/>
          <w:szCs w:val="20"/>
          <w:lang w:val="sr-Cyrl-RS"/>
        </w:rPr>
        <w:t xml:space="preserve"> и п</w:t>
      </w:r>
      <w:r w:rsidR="179BC825" w:rsidRPr="00A021B7">
        <w:rPr>
          <w:rFonts w:ascii="Arial" w:hAnsi="Arial" w:cs="Arial"/>
          <w:sz w:val="20"/>
          <w:szCs w:val="20"/>
          <w:lang w:val="sr-Cyrl-RS"/>
        </w:rPr>
        <w:t>роцес</w:t>
      </w:r>
      <w:r w:rsidRPr="00A021B7">
        <w:rPr>
          <w:rFonts w:ascii="Arial" w:hAnsi="Arial" w:cs="Arial"/>
          <w:sz w:val="20"/>
          <w:szCs w:val="20"/>
          <w:lang w:val="sr-Cyrl-RS"/>
        </w:rPr>
        <w:t xml:space="preserve"> утврђивања потреба</w:t>
      </w:r>
      <w:r w:rsidR="179BC825" w:rsidRPr="00A021B7">
        <w:rPr>
          <w:rFonts w:ascii="Arial" w:hAnsi="Arial" w:cs="Arial"/>
          <w:sz w:val="20"/>
          <w:szCs w:val="20"/>
          <w:lang w:val="sr-Cyrl-RS"/>
        </w:rPr>
        <w:t xml:space="preserve">, </w:t>
      </w:r>
      <w:r w:rsidRPr="00A021B7">
        <w:rPr>
          <w:rFonts w:ascii="Arial" w:hAnsi="Arial" w:cs="Arial"/>
          <w:sz w:val="20"/>
          <w:szCs w:val="20"/>
          <w:lang w:val="sr-Cyrl-RS"/>
        </w:rPr>
        <w:t>припреме и спровођења програма стручног усавршавања.</w:t>
      </w:r>
    </w:p>
    <w:p w14:paraId="4A51557B" w14:textId="77777777" w:rsidR="001C7C2E" w:rsidRPr="00A021B7" w:rsidRDefault="001C7C2E" w:rsidP="1A8E6423">
      <w:pPr>
        <w:ind w:firstLine="720"/>
        <w:jc w:val="both"/>
        <w:rPr>
          <w:rFonts w:ascii="Arial" w:hAnsi="Arial" w:cs="Arial"/>
          <w:sz w:val="20"/>
          <w:szCs w:val="20"/>
          <w:lang w:val="sr-Cyrl-RS"/>
        </w:rPr>
      </w:pPr>
    </w:p>
    <w:p w14:paraId="2D493C1B" w14:textId="0AC3DD83" w:rsidR="001C7C2E" w:rsidRPr="00A021B7" w:rsidRDefault="5145412E" w:rsidP="1A8E6423">
      <w:pPr>
        <w:pStyle w:val="FootnoteText"/>
        <w:ind w:firstLine="720"/>
        <w:jc w:val="both"/>
        <w:rPr>
          <w:rFonts w:ascii="Arial" w:hAnsi="Arial" w:cs="Arial"/>
          <w:color w:val="000000" w:themeColor="text1"/>
          <w:lang w:val="sr-Cyrl-RS"/>
        </w:rPr>
      </w:pPr>
      <w:r w:rsidRPr="00A021B7">
        <w:rPr>
          <w:rFonts w:ascii="Arial" w:hAnsi="Arial" w:cs="Arial"/>
          <w:color w:val="000000"/>
          <w:lang w:val="sr-Cyrl-RS"/>
        </w:rPr>
        <w:t>Једно од најсложенијих питања за јавни сектор у Републици Србији односи се на плате запослених. Да би се дугорочно решило ово питање</w:t>
      </w:r>
      <w:r w:rsidR="02235692" w:rsidRPr="00A021B7">
        <w:rPr>
          <w:rFonts w:ascii="Arial" w:hAnsi="Arial" w:cs="Arial"/>
          <w:color w:val="000000"/>
          <w:lang w:val="sr-Cyrl-RS"/>
        </w:rPr>
        <w:t>,</w:t>
      </w:r>
      <w:r w:rsidRPr="00A021B7">
        <w:rPr>
          <w:rFonts w:ascii="Arial" w:hAnsi="Arial" w:cs="Arial"/>
          <w:color w:val="000000"/>
          <w:lang w:val="sr-Cyrl-RS"/>
        </w:rPr>
        <w:t xml:space="preserve"> а </w:t>
      </w:r>
      <w:r w:rsidR="02235692" w:rsidRPr="00A021B7">
        <w:rPr>
          <w:rFonts w:ascii="Arial" w:hAnsi="Arial" w:cs="Arial"/>
          <w:color w:val="000000"/>
          <w:lang w:val="sr-Cyrl-RS"/>
        </w:rPr>
        <w:t xml:space="preserve">да </w:t>
      </w:r>
      <w:r w:rsidRPr="00A021B7">
        <w:rPr>
          <w:rFonts w:ascii="Arial" w:hAnsi="Arial" w:cs="Arial"/>
          <w:color w:val="000000"/>
          <w:lang w:val="sr-Cyrl-RS"/>
        </w:rPr>
        <w:t xml:space="preserve">при томе решење </w:t>
      </w:r>
      <w:r w:rsidR="02235692" w:rsidRPr="00A021B7">
        <w:rPr>
          <w:rFonts w:ascii="Arial" w:hAnsi="Arial" w:cs="Arial"/>
          <w:color w:val="000000"/>
          <w:lang w:val="sr-Cyrl-RS"/>
        </w:rPr>
        <w:t>поштује</w:t>
      </w:r>
      <w:r w:rsidRPr="00A021B7" w:rsidDel="00195536">
        <w:rPr>
          <w:rFonts w:ascii="Arial" w:hAnsi="Arial" w:cs="Arial"/>
          <w:color w:val="000000"/>
          <w:lang w:val="sr-Cyrl-RS"/>
        </w:rPr>
        <w:t xml:space="preserve"> </w:t>
      </w:r>
      <w:r w:rsidRPr="00A021B7">
        <w:rPr>
          <w:rFonts w:ascii="Arial" w:hAnsi="Arial" w:cs="Arial"/>
          <w:color w:val="000000"/>
          <w:lang w:val="sr-Cyrl-RS"/>
        </w:rPr>
        <w:t>успостављен</w:t>
      </w:r>
      <w:r w:rsidR="005D7248">
        <w:rPr>
          <w:rFonts w:ascii="Arial" w:hAnsi="Arial" w:cs="Arial"/>
          <w:color w:val="000000"/>
          <w:lang w:val="sr-Cyrl-RS"/>
        </w:rPr>
        <w:t>а</w:t>
      </w:r>
      <w:r w:rsidR="512CDFFD" w:rsidRPr="00A021B7">
        <w:rPr>
          <w:rFonts w:ascii="Arial" w:hAnsi="Arial" w:cs="Arial"/>
          <w:color w:val="000000"/>
          <w:lang w:val="sr-Cyrl-RS"/>
        </w:rPr>
        <w:t xml:space="preserve"> </w:t>
      </w:r>
      <w:r w:rsidRPr="00A021B7">
        <w:rPr>
          <w:rFonts w:ascii="Arial" w:hAnsi="Arial" w:cs="Arial"/>
          <w:color w:val="000000"/>
          <w:lang w:val="sr-Cyrl-RS"/>
        </w:rPr>
        <w:t>европск</w:t>
      </w:r>
      <w:r w:rsidR="005D7248">
        <w:rPr>
          <w:rFonts w:ascii="Arial" w:hAnsi="Arial" w:cs="Arial"/>
          <w:color w:val="000000"/>
          <w:lang w:val="sr-Cyrl-RS"/>
        </w:rPr>
        <w:t>а</w:t>
      </w:r>
      <w:r w:rsidRPr="00A021B7">
        <w:rPr>
          <w:rFonts w:ascii="Arial" w:hAnsi="Arial" w:cs="Arial"/>
          <w:color w:val="000000"/>
          <w:lang w:val="sr-Cyrl-RS"/>
        </w:rPr>
        <w:t xml:space="preserve"> </w:t>
      </w:r>
      <w:r w:rsidR="005D7248">
        <w:rPr>
          <w:rFonts w:ascii="Arial" w:hAnsi="Arial" w:cs="Arial"/>
          <w:color w:val="000000"/>
          <w:lang w:val="sr-Cyrl-RS"/>
        </w:rPr>
        <w:t>начела</w:t>
      </w:r>
      <w:r w:rsidRPr="00A021B7">
        <w:rPr>
          <w:rFonts w:ascii="Arial" w:hAnsi="Arial" w:cs="Arial"/>
          <w:color w:val="000000"/>
          <w:lang w:val="sr-Cyrl-RS"/>
        </w:rPr>
        <w:t xml:space="preserve">, приступило се изради нових законских решења, која предвиђају увођење платних разреда за територијалну аутономију и локалну самоуправу. </w:t>
      </w:r>
      <w:r w:rsidRPr="00A021B7">
        <w:rPr>
          <w:rFonts w:ascii="Arial" w:hAnsi="Arial" w:cs="Arial"/>
          <w:lang w:val="sr-Cyrl-RS"/>
        </w:rPr>
        <w:t xml:space="preserve">Наиме, Народна скупштина Републике Србије </w:t>
      </w:r>
      <w:r w:rsidR="33180442" w:rsidRPr="00A021B7">
        <w:rPr>
          <w:rFonts w:ascii="Arial" w:hAnsi="Arial" w:cs="Arial"/>
          <w:lang w:val="sr-Cyrl-RS"/>
        </w:rPr>
        <w:t xml:space="preserve">усвојила </w:t>
      </w:r>
      <w:r w:rsidRPr="00A021B7">
        <w:rPr>
          <w:rFonts w:ascii="Arial" w:hAnsi="Arial" w:cs="Arial"/>
          <w:lang w:val="sr-Cyrl-RS"/>
        </w:rPr>
        <w:t>је</w:t>
      </w:r>
      <w:r w:rsidRPr="00A021B7" w:rsidDel="00195536">
        <w:rPr>
          <w:rFonts w:ascii="Arial" w:hAnsi="Arial" w:cs="Arial"/>
          <w:lang w:val="sr-Cyrl-RS"/>
        </w:rPr>
        <w:t xml:space="preserve"> </w:t>
      </w:r>
      <w:r w:rsidRPr="00A021B7">
        <w:rPr>
          <w:rFonts w:ascii="Arial" w:hAnsi="Arial" w:cs="Arial"/>
          <w:lang w:val="sr-Cyrl-RS"/>
        </w:rPr>
        <w:t>два кључна закона са одложеном применом која је односе како на плате запослених у јавном сектору, тако и на плате запослених у ЈЛС. То су Закон о систему плата запослених у јавном сектору</w:t>
      </w:r>
      <w:r w:rsidR="00CB0C2B" w:rsidRPr="00A021B7">
        <w:rPr>
          <w:rFonts w:ascii="Arial" w:hAnsi="Arial" w:cs="Arial"/>
          <w:lang w:val="sr-Cyrl-RS"/>
        </w:rPr>
        <w:t xml:space="preserve"> </w:t>
      </w:r>
      <w:r w:rsidR="00CB0C2B" w:rsidRPr="1A8E6423">
        <w:rPr>
          <w:rFonts w:ascii="Arial" w:hAnsi="Arial" w:cs="Arial"/>
          <w:lang w:val="sr-Cyrl-RS"/>
        </w:rPr>
        <w:t>(„Службени гласник РС”, бр. 18/16, 108/16, 113/1</w:t>
      </w:r>
      <w:r w:rsidR="001479C1" w:rsidRPr="1A8E6423">
        <w:rPr>
          <w:rFonts w:ascii="Arial" w:hAnsi="Arial" w:cs="Arial"/>
          <w:lang w:val="sr-Cyrl-RS"/>
        </w:rPr>
        <w:t xml:space="preserve">7, </w:t>
      </w:r>
      <w:r w:rsidR="00CB0C2B" w:rsidRPr="1A8E6423">
        <w:rPr>
          <w:rFonts w:ascii="Arial" w:hAnsi="Arial" w:cs="Arial"/>
          <w:lang w:val="sr-Cyrl-RS"/>
        </w:rPr>
        <w:t>95/18</w:t>
      </w:r>
      <w:r w:rsidR="001479C1" w:rsidRPr="1A8E6423">
        <w:rPr>
          <w:rFonts w:ascii="Arial" w:hAnsi="Arial" w:cs="Arial"/>
          <w:lang w:val="sr-Cyrl-RS"/>
        </w:rPr>
        <w:t xml:space="preserve"> и 86/19</w:t>
      </w:r>
      <w:r w:rsidR="00CB0C2B" w:rsidRPr="1A8E6423">
        <w:rPr>
          <w:rFonts w:ascii="Arial" w:hAnsi="Arial" w:cs="Arial"/>
          <w:lang w:val="sr-Cyrl-RS"/>
        </w:rPr>
        <w:t>)</w:t>
      </w:r>
      <w:r w:rsidRPr="00A021B7">
        <w:rPr>
          <w:rFonts w:ascii="Arial" w:hAnsi="Arial" w:cs="Arial"/>
          <w:lang w:val="sr-Cyrl-RS"/>
        </w:rPr>
        <w:t xml:space="preserve"> и Закон о платама службеника и намештеника у органима аутономне покрајине и јединицама локалне самоуправе</w:t>
      </w:r>
      <w:r w:rsidR="00CB0C2B" w:rsidRPr="00A021B7">
        <w:rPr>
          <w:rFonts w:ascii="Arial" w:hAnsi="Arial" w:cs="Arial"/>
          <w:lang w:val="sr-Cyrl-RS"/>
        </w:rPr>
        <w:t xml:space="preserve"> </w:t>
      </w:r>
      <w:r w:rsidR="00CB0C2B" w:rsidRPr="1A8E6423">
        <w:rPr>
          <w:rFonts w:ascii="Arial" w:hAnsi="Arial" w:cs="Arial"/>
          <w:color w:val="000000" w:themeColor="text1"/>
          <w:lang w:val="sr-Cyrl-RS"/>
        </w:rPr>
        <w:t>(„Службени г</w:t>
      </w:r>
      <w:r w:rsidR="001479C1" w:rsidRPr="1A8E6423">
        <w:rPr>
          <w:rFonts w:ascii="Arial" w:hAnsi="Arial" w:cs="Arial"/>
          <w:color w:val="000000" w:themeColor="text1"/>
          <w:lang w:val="sr-Cyrl-RS"/>
        </w:rPr>
        <w:t>ласник РС”, бр. 113/17,</w:t>
      </w:r>
      <w:r w:rsidR="00CB0C2B" w:rsidRPr="1A8E6423">
        <w:rPr>
          <w:rFonts w:ascii="Arial" w:hAnsi="Arial" w:cs="Arial"/>
          <w:color w:val="000000" w:themeColor="text1"/>
          <w:lang w:val="sr-Cyrl-RS"/>
        </w:rPr>
        <w:t xml:space="preserve"> 95/18</w:t>
      </w:r>
      <w:r w:rsidR="001479C1" w:rsidRPr="1A8E6423">
        <w:rPr>
          <w:rFonts w:ascii="Arial" w:hAnsi="Arial" w:cs="Arial"/>
          <w:color w:val="000000" w:themeColor="text1"/>
          <w:lang w:val="sr-Cyrl-RS"/>
        </w:rPr>
        <w:t xml:space="preserve"> и 86/19</w:t>
      </w:r>
      <w:r w:rsidR="00CB0C2B" w:rsidRPr="1A8E6423">
        <w:rPr>
          <w:rFonts w:ascii="Arial" w:hAnsi="Arial" w:cs="Arial"/>
          <w:color w:val="000000" w:themeColor="text1"/>
          <w:lang w:val="sr-Cyrl-RS"/>
        </w:rPr>
        <w:t>)</w:t>
      </w:r>
      <w:r w:rsidR="00CB0C2B" w:rsidRPr="00A021B7">
        <w:rPr>
          <w:rFonts w:ascii="Arial" w:hAnsi="Arial" w:cs="Arial"/>
          <w:lang w:val="sr-Cyrl-RS"/>
        </w:rPr>
        <w:t>.</w:t>
      </w:r>
      <w:r w:rsidRPr="00A021B7">
        <w:rPr>
          <w:rFonts w:ascii="Arial" w:hAnsi="Arial" w:cs="Arial"/>
          <w:lang w:val="sr-Cyrl-RS"/>
        </w:rPr>
        <w:t xml:space="preserve"> Најзначајније новине које уводи Закон о систему плата запослених у јавном сектору јесу каталог радних места, односно звања, положаја и функција јавном сектору, платне групе и платни разреди.</w:t>
      </w:r>
      <w:r w:rsidRPr="00A021B7">
        <w:rPr>
          <w:rFonts w:ascii="Arial" w:hAnsi="Arial" w:cs="Arial"/>
          <w:color w:val="000000"/>
          <w:lang w:val="sr-Cyrl-RS"/>
        </w:rPr>
        <w:t xml:space="preserve"> Платни разреди су компатибилни са осталим релативно новим институтима службеничког система, као што су оцењивање службеника, напредовање у служби и награђивање. Међутим, док је оцењивање постало законска обавеза за службенике у аутономној </w:t>
      </w:r>
      <w:r w:rsidRPr="00A021B7">
        <w:rPr>
          <w:rFonts w:ascii="Arial" w:hAnsi="Arial" w:cs="Arial"/>
          <w:color w:val="000000"/>
          <w:lang w:val="sr-Cyrl-RS"/>
        </w:rPr>
        <w:lastRenderedPageBreak/>
        <w:t xml:space="preserve">покрајини и </w:t>
      </w:r>
      <w:r w:rsidR="7108D0AB" w:rsidRPr="00A021B7">
        <w:rPr>
          <w:rFonts w:ascii="Arial" w:hAnsi="Arial" w:cs="Arial"/>
          <w:color w:val="000000"/>
          <w:lang w:val="sr-Cyrl-RS"/>
        </w:rPr>
        <w:t xml:space="preserve">ЈЛС </w:t>
      </w:r>
      <w:r w:rsidRPr="00A021B7">
        <w:rPr>
          <w:rFonts w:ascii="Arial" w:hAnsi="Arial" w:cs="Arial"/>
          <w:color w:val="000000"/>
          <w:lang w:val="sr-Cyrl-RS"/>
        </w:rPr>
        <w:t xml:space="preserve">од 2016. године, примена система плата се и даље одлаже. На запослене у локалној самоуправи и сада се примењује важећи </w:t>
      </w:r>
      <w:r w:rsidRPr="00A021B7">
        <w:rPr>
          <w:rFonts w:ascii="Arial" w:hAnsi="Arial" w:cs="Arial"/>
          <w:color w:val="000000" w:themeColor="text1"/>
          <w:lang w:val="sr-Cyrl-RS"/>
        </w:rPr>
        <w:t>Закон о платама у државним органима и јавним службама</w:t>
      </w:r>
      <w:r w:rsidR="00CB0C2B" w:rsidRPr="00A021B7">
        <w:rPr>
          <w:rFonts w:ascii="Arial" w:hAnsi="Arial" w:cs="Arial"/>
          <w:color w:val="000000" w:themeColor="text1"/>
          <w:lang w:val="sr-Cyrl-RS"/>
        </w:rPr>
        <w:t xml:space="preserve"> </w:t>
      </w:r>
      <w:r w:rsidR="00CB0C2B" w:rsidRPr="1A8E6423">
        <w:rPr>
          <w:rFonts w:ascii="Arial" w:hAnsi="Arial" w:cs="Arial"/>
          <w:color w:val="000000" w:themeColor="text1"/>
          <w:lang w:val="sr-Cyrl-RS"/>
        </w:rPr>
        <w:t>(„Службени гласник РС”, бр. 34/01, 62/06 – други закон, 63/06 – исправка другог закона, 116/08 – други закони, 92/11, 99/11 – други закон, 10/13, 55/13, 99/14, 21/16 – други закон, 113/17 – други закони и 95/18 – други закони</w:t>
      </w:r>
      <w:r w:rsidR="00CB0C2B" w:rsidRPr="008E01C1">
        <w:rPr>
          <w:rFonts w:ascii="Arial" w:hAnsi="Arial" w:cs="Arial"/>
          <w:color w:val="000000" w:themeColor="text1"/>
          <w:lang w:val="sr-Cyrl-RS"/>
        </w:rPr>
        <w:t>)</w:t>
      </w:r>
      <w:r w:rsidR="008E01C1" w:rsidRPr="008E01C1">
        <w:rPr>
          <w:rFonts w:ascii="Arial" w:hAnsi="Arial" w:cs="Arial"/>
          <w:color w:val="000000" w:themeColor="text1"/>
          <w:lang w:val="sr-Cyrl-RS"/>
        </w:rPr>
        <w:t xml:space="preserve"> и</w:t>
      </w:r>
      <w:r w:rsidRPr="008E01C1">
        <w:rPr>
          <w:rFonts w:ascii="Arial" w:hAnsi="Arial" w:cs="Arial"/>
          <w:color w:val="000000" w:themeColor="text1"/>
          <w:lang w:val="sr-Cyrl-RS"/>
        </w:rPr>
        <w:t xml:space="preserve"> </w:t>
      </w:r>
      <w:r w:rsidRPr="00A021B7">
        <w:rPr>
          <w:rFonts w:ascii="Arial" w:hAnsi="Arial" w:cs="Arial"/>
          <w:color w:val="000000" w:themeColor="text1"/>
          <w:lang w:val="sr-Cyrl-RS"/>
        </w:rPr>
        <w:t>подзаконск</w:t>
      </w:r>
      <w:r w:rsidR="008E01C1">
        <w:rPr>
          <w:rFonts w:ascii="Arial" w:hAnsi="Arial" w:cs="Arial"/>
          <w:color w:val="000000" w:themeColor="text1"/>
          <w:lang w:val="sr-Cyrl-RS"/>
        </w:rPr>
        <w:t>и</w:t>
      </w:r>
      <w:r w:rsidRPr="00A021B7">
        <w:rPr>
          <w:rFonts w:ascii="Arial" w:hAnsi="Arial" w:cs="Arial"/>
          <w:color w:val="000000" w:themeColor="text1"/>
          <w:lang w:val="sr-Cyrl-RS"/>
        </w:rPr>
        <w:t xml:space="preserve"> акт</w:t>
      </w:r>
      <w:r w:rsidR="008E01C1">
        <w:rPr>
          <w:rFonts w:ascii="Arial" w:hAnsi="Arial" w:cs="Arial"/>
          <w:color w:val="000000" w:themeColor="text1"/>
          <w:lang w:val="sr-Cyrl-RS"/>
        </w:rPr>
        <w:t>и</w:t>
      </w:r>
      <w:r w:rsidR="001C7C2E" w:rsidRPr="00A021B7">
        <w:rPr>
          <w:rFonts w:ascii="Arial" w:hAnsi="Arial" w:cs="Arial"/>
          <w:color w:val="000000" w:themeColor="text1"/>
          <w:vertAlign w:val="superscript"/>
          <w:lang w:val="sr-Cyrl-RS"/>
        </w:rPr>
        <w:footnoteReference w:id="90"/>
      </w:r>
      <w:r w:rsidR="008E01C1">
        <w:rPr>
          <w:rFonts w:ascii="Arial" w:hAnsi="Arial" w:cs="Arial"/>
          <w:color w:val="000000" w:themeColor="text1"/>
          <w:lang w:val="sr-Cyrl-RS"/>
        </w:rPr>
        <w:t>,</w:t>
      </w:r>
      <w:r w:rsidRPr="00A021B7">
        <w:rPr>
          <w:rFonts w:ascii="Arial" w:hAnsi="Arial" w:cs="Arial"/>
          <w:color w:val="000000" w:themeColor="text1"/>
          <w:lang w:val="sr-Cyrl-RS"/>
        </w:rPr>
        <w:t xml:space="preserve"> уз </w:t>
      </w:r>
      <w:r w:rsidR="5F1C2AA0" w:rsidRPr="00A021B7">
        <w:rPr>
          <w:rFonts w:ascii="Arial" w:hAnsi="Arial" w:cs="Arial"/>
          <w:color w:val="000000" w:themeColor="text1"/>
          <w:lang w:val="sr-Cyrl-RS"/>
        </w:rPr>
        <w:t xml:space="preserve">Посебни </w:t>
      </w:r>
      <w:r w:rsidRPr="00A021B7">
        <w:rPr>
          <w:rFonts w:ascii="Arial" w:hAnsi="Arial" w:cs="Arial"/>
          <w:color w:val="000000" w:themeColor="text1"/>
          <w:lang w:val="sr-Cyrl-RS"/>
        </w:rPr>
        <w:t xml:space="preserve">колективни уговор за запослене у јединицама локалне самоуправе, који је закључен у мају 2019. </w:t>
      </w:r>
      <w:r w:rsidR="001479C1" w:rsidRPr="00A021B7">
        <w:rPr>
          <w:rFonts w:ascii="Arial" w:hAnsi="Arial" w:cs="Arial"/>
          <w:color w:val="000000" w:themeColor="text1"/>
          <w:lang w:val="sr-Cyrl-RS"/>
        </w:rPr>
        <w:t>г</w:t>
      </w:r>
      <w:r w:rsidRPr="00A021B7">
        <w:rPr>
          <w:rFonts w:ascii="Arial" w:hAnsi="Arial" w:cs="Arial"/>
          <w:color w:val="000000" w:themeColor="text1"/>
          <w:lang w:val="sr-Cyrl-RS"/>
        </w:rPr>
        <w:t>одине</w:t>
      </w:r>
      <w:r w:rsidR="001479C1" w:rsidRPr="00A021B7">
        <w:rPr>
          <w:rFonts w:ascii="Arial" w:hAnsi="Arial" w:cs="Arial"/>
          <w:color w:val="000000" w:themeColor="text1"/>
          <w:lang w:val="sr-Cyrl-RS"/>
        </w:rPr>
        <w:t xml:space="preserve"> („Службени гласник РС”, бр. 38/19 и 55/20).</w:t>
      </w:r>
    </w:p>
    <w:p w14:paraId="6D93AB47" w14:textId="77777777" w:rsidR="001C7C2E" w:rsidRPr="00A021B7" w:rsidRDefault="001C7C2E" w:rsidP="1A8E6423">
      <w:pPr>
        <w:ind w:firstLine="720"/>
        <w:jc w:val="both"/>
        <w:rPr>
          <w:rFonts w:ascii="Arial" w:hAnsi="Arial" w:cs="Arial"/>
          <w:sz w:val="20"/>
          <w:szCs w:val="20"/>
          <w:lang w:val="sr-Cyrl-RS"/>
        </w:rPr>
      </w:pPr>
    </w:p>
    <w:p w14:paraId="551EA9F8" w14:textId="2620AE00" w:rsidR="001C7C2E" w:rsidRPr="00A021B7" w:rsidRDefault="154FDBB7" w:rsidP="1A8E6423">
      <w:pPr>
        <w:ind w:firstLine="720"/>
        <w:jc w:val="both"/>
        <w:rPr>
          <w:rFonts w:ascii="Arial" w:hAnsi="Arial" w:cs="Arial"/>
          <w:sz w:val="20"/>
          <w:szCs w:val="20"/>
          <w:lang w:val="sr-Cyrl-RS"/>
        </w:rPr>
      </w:pPr>
      <w:r w:rsidRPr="00A021B7">
        <w:rPr>
          <w:rFonts w:ascii="Arial" w:hAnsi="Arial" w:cs="Arial"/>
          <w:sz w:val="20"/>
          <w:szCs w:val="20"/>
          <w:lang w:val="sr-Cyrl-RS"/>
        </w:rPr>
        <w:t>Значајна подршка</w:t>
      </w:r>
      <w:r w:rsidR="696BDEEC" w:rsidRPr="00A021B7">
        <w:rPr>
          <w:rFonts w:ascii="Arial" w:hAnsi="Arial" w:cs="Arial"/>
          <w:sz w:val="20"/>
          <w:szCs w:val="20"/>
          <w:lang w:val="sr-Cyrl-RS"/>
        </w:rPr>
        <w:t xml:space="preserve"> </w:t>
      </w:r>
      <w:r w:rsidR="5145412E" w:rsidRPr="00A021B7">
        <w:rPr>
          <w:rFonts w:ascii="Arial" w:hAnsi="Arial" w:cs="Arial"/>
          <w:sz w:val="20"/>
          <w:szCs w:val="20"/>
          <w:lang w:val="sr-Cyrl-RS"/>
        </w:rPr>
        <w:t xml:space="preserve">увођењу функције </w:t>
      </w:r>
      <w:r w:rsidR="6387E442" w:rsidRPr="00A021B7">
        <w:rPr>
          <w:rFonts w:ascii="Arial" w:hAnsi="Arial" w:cs="Arial"/>
          <w:sz w:val="20"/>
          <w:szCs w:val="20"/>
          <w:lang w:val="sr-Cyrl-RS"/>
        </w:rPr>
        <w:t xml:space="preserve">УЉР </w:t>
      </w:r>
      <w:r w:rsidR="5145412E" w:rsidRPr="00A021B7">
        <w:rPr>
          <w:rFonts w:ascii="Arial" w:hAnsi="Arial" w:cs="Arial"/>
          <w:sz w:val="20"/>
          <w:szCs w:val="20"/>
          <w:lang w:val="sr-Cyrl-RS"/>
        </w:rPr>
        <w:t>у локалној самоуправи</w:t>
      </w:r>
      <w:r w:rsidR="5145412E" w:rsidRPr="00A021B7" w:rsidDel="00914DBA">
        <w:rPr>
          <w:rFonts w:ascii="Arial" w:hAnsi="Arial" w:cs="Arial"/>
          <w:sz w:val="20"/>
          <w:szCs w:val="20"/>
          <w:lang w:val="sr-Cyrl-RS"/>
        </w:rPr>
        <w:t xml:space="preserve"> </w:t>
      </w:r>
      <w:r w:rsidRPr="00A021B7">
        <w:rPr>
          <w:rFonts w:ascii="Arial" w:hAnsi="Arial" w:cs="Arial"/>
          <w:sz w:val="20"/>
          <w:szCs w:val="20"/>
          <w:lang w:val="sr-Cyrl-RS"/>
        </w:rPr>
        <w:t>обезбеђена је кроз сарадњу</w:t>
      </w:r>
      <w:r w:rsidR="5145412E" w:rsidRPr="00A021B7">
        <w:rPr>
          <w:rFonts w:ascii="Arial" w:hAnsi="Arial" w:cs="Arial"/>
          <w:sz w:val="20"/>
          <w:szCs w:val="20"/>
          <w:lang w:val="sr-Cyrl-RS"/>
        </w:rPr>
        <w:t xml:space="preserve"> МДУЛС</w:t>
      </w:r>
      <w:r w:rsidRPr="00A021B7">
        <w:rPr>
          <w:rFonts w:ascii="Arial" w:hAnsi="Arial" w:cs="Arial"/>
          <w:sz w:val="20"/>
          <w:szCs w:val="20"/>
          <w:lang w:val="sr-Cyrl-RS"/>
        </w:rPr>
        <w:t xml:space="preserve">, </w:t>
      </w:r>
      <w:r w:rsidR="5145412E" w:rsidRPr="00A021B7">
        <w:rPr>
          <w:rFonts w:ascii="Arial" w:hAnsi="Arial" w:cs="Arial"/>
          <w:sz w:val="20"/>
          <w:szCs w:val="20"/>
          <w:lang w:val="sr-Cyrl-RS"/>
        </w:rPr>
        <w:t>СКГО</w:t>
      </w:r>
      <w:r w:rsidRPr="00A021B7">
        <w:rPr>
          <w:rFonts w:ascii="Arial" w:hAnsi="Arial" w:cs="Arial"/>
          <w:sz w:val="20"/>
          <w:szCs w:val="20"/>
          <w:lang w:val="sr-Cyrl-RS"/>
        </w:rPr>
        <w:t xml:space="preserve"> и Канцеларије Савета Европе у Србији и финансијску</w:t>
      </w:r>
      <w:r w:rsidR="5145412E" w:rsidRPr="00A021B7">
        <w:rPr>
          <w:rFonts w:ascii="Arial" w:hAnsi="Arial" w:cs="Arial"/>
          <w:sz w:val="20"/>
          <w:szCs w:val="20"/>
          <w:lang w:val="sr-Cyrl-RS"/>
        </w:rPr>
        <w:t xml:space="preserve"> подршку Европске </w:t>
      </w:r>
      <w:r w:rsidR="6387E442" w:rsidRPr="00A021B7">
        <w:rPr>
          <w:rFonts w:ascii="Arial" w:hAnsi="Arial" w:cs="Arial"/>
          <w:sz w:val="20"/>
          <w:szCs w:val="20"/>
          <w:lang w:val="sr-Cyrl-RS"/>
        </w:rPr>
        <w:t xml:space="preserve">уније </w:t>
      </w:r>
      <w:r w:rsidR="5145412E" w:rsidRPr="00A021B7">
        <w:rPr>
          <w:rFonts w:ascii="Arial" w:hAnsi="Arial" w:cs="Arial"/>
          <w:sz w:val="20"/>
          <w:szCs w:val="20"/>
          <w:lang w:val="sr-Cyrl-RS"/>
        </w:rPr>
        <w:t>и Савета Европе.</w:t>
      </w:r>
      <w:r w:rsidR="001C7C2E" w:rsidRPr="00A021B7">
        <w:rPr>
          <w:rFonts w:ascii="Arial" w:hAnsi="Arial" w:cs="Arial"/>
          <w:sz w:val="20"/>
          <w:szCs w:val="20"/>
          <w:vertAlign w:val="superscript"/>
          <w:lang w:val="sr-Cyrl-RS"/>
        </w:rPr>
        <w:footnoteReference w:id="91"/>
      </w:r>
      <w:r w:rsidR="5145412E" w:rsidRPr="00A021B7">
        <w:rPr>
          <w:rFonts w:ascii="Arial" w:hAnsi="Arial" w:cs="Arial"/>
          <w:sz w:val="20"/>
          <w:szCs w:val="20"/>
          <w:lang w:val="sr-Cyrl-RS"/>
        </w:rPr>
        <w:t xml:space="preserve"> Током првих неколико година примене новог правног оквира</w:t>
      </w:r>
      <w:r w:rsidR="5145412E" w:rsidRPr="1A8E6423">
        <w:rPr>
          <w:rFonts w:ascii="Arial" w:hAnsi="Arial" w:cs="Arial"/>
          <w:i/>
          <w:iCs/>
          <w:sz w:val="20"/>
          <w:szCs w:val="20"/>
          <w:lang w:val="sr-Cyrl-RS"/>
        </w:rPr>
        <w:t xml:space="preserve"> </w:t>
      </w:r>
      <w:r w:rsidR="5145412E" w:rsidRPr="00A021B7">
        <w:rPr>
          <w:rFonts w:ascii="Arial" w:hAnsi="Arial" w:cs="Arial"/>
          <w:sz w:val="20"/>
          <w:szCs w:val="20"/>
          <w:lang w:val="sr-Cyrl-RS"/>
        </w:rPr>
        <w:t xml:space="preserve">изграђени су темељи за савремено </w:t>
      </w:r>
      <w:r w:rsidR="2BCC0A48" w:rsidRPr="00A021B7">
        <w:rPr>
          <w:rFonts w:ascii="Arial" w:hAnsi="Arial" w:cs="Arial"/>
          <w:sz w:val="20"/>
          <w:szCs w:val="20"/>
          <w:lang w:val="sr-Cyrl-RS"/>
        </w:rPr>
        <w:t>УЉР</w:t>
      </w:r>
      <w:r w:rsidR="5145412E" w:rsidRPr="00A021B7">
        <w:rPr>
          <w:rFonts w:ascii="Arial" w:hAnsi="Arial" w:cs="Arial"/>
          <w:sz w:val="20"/>
          <w:szCs w:val="20"/>
          <w:lang w:val="sr-Cyrl-RS"/>
        </w:rPr>
        <w:t xml:space="preserve">, док је успостављање </w:t>
      </w:r>
      <w:r w:rsidR="0B36289D" w:rsidRPr="00A021B7">
        <w:rPr>
          <w:rFonts w:ascii="Arial" w:hAnsi="Arial" w:cs="Arial"/>
          <w:sz w:val="20"/>
          <w:szCs w:val="20"/>
          <w:lang w:val="sr-Cyrl-RS"/>
        </w:rPr>
        <w:t xml:space="preserve">доброг и </w:t>
      </w:r>
      <w:r w:rsidR="5145412E" w:rsidRPr="00A021B7">
        <w:rPr>
          <w:rFonts w:ascii="Arial" w:hAnsi="Arial" w:cs="Arial"/>
          <w:sz w:val="20"/>
          <w:szCs w:val="20"/>
          <w:lang w:val="sr-Cyrl-RS"/>
        </w:rPr>
        <w:t>функционалног система</w:t>
      </w:r>
      <w:r w:rsidR="40ADA10E" w:rsidRPr="00A021B7">
        <w:rPr>
          <w:rFonts w:ascii="Arial" w:hAnsi="Arial" w:cs="Arial"/>
          <w:sz w:val="20"/>
          <w:szCs w:val="20"/>
          <w:lang w:val="sr-Cyrl-RS"/>
        </w:rPr>
        <w:t xml:space="preserve"> </w:t>
      </w:r>
      <w:r w:rsidR="2BCC0A48" w:rsidRPr="00A021B7">
        <w:rPr>
          <w:rFonts w:ascii="Arial" w:hAnsi="Arial" w:cs="Arial"/>
          <w:sz w:val="20"/>
          <w:szCs w:val="20"/>
          <w:lang w:val="sr-Cyrl-RS"/>
        </w:rPr>
        <w:t xml:space="preserve">УЉР </w:t>
      </w:r>
      <w:r w:rsidR="5145412E" w:rsidRPr="00A021B7">
        <w:rPr>
          <w:rFonts w:ascii="Arial" w:hAnsi="Arial" w:cs="Arial"/>
          <w:sz w:val="20"/>
          <w:szCs w:val="20"/>
          <w:lang w:val="sr-Cyrl-RS"/>
        </w:rPr>
        <w:t>процес који захтева стратешки приступ и трајаће ду</w:t>
      </w:r>
      <w:r w:rsidR="3FA5A677" w:rsidRPr="00A021B7">
        <w:rPr>
          <w:rFonts w:ascii="Arial" w:hAnsi="Arial" w:cs="Arial"/>
          <w:sz w:val="20"/>
          <w:szCs w:val="20"/>
          <w:lang w:val="sr-Cyrl-RS"/>
        </w:rPr>
        <w:t>ж</w:t>
      </w:r>
      <w:r w:rsidR="5145412E" w:rsidRPr="00A021B7">
        <w:rPr>
          <w:rFonts w:ascii="Arial" w:hAnsi="Arial" w:cs="Arial"/>
          <w:sz w:val="20"/>
          <w:szCs w:val="20"/>
          <w:lang w:val="sr-Cyrl-RS"/>
        </w:rPr>
        <w:t>и низ година. Због тога је ова тема од централног значаја за реформу система локалне самоуправе (управе) уопште. Брже и квалитетније промене и напредак могућ</w:t>
      </w:r>
      <w:r w:rsidR="007A0890">
        <w:rPr>
          <w:rFonts w:ascii="Arial" w:hAnsi="Arial" w:cs="Arial"/>
          <w:sz w:val="20"/>
          <w:szCs w:val="20"/>
          <w:lang w:val="sr-Cyrl-RS"/>
        </w:rPr>
        <w:t>и</w:t>
      </w:r>
      <w:r w:rsidR="5145412E" w:rsidRPr="00A021B7">
        <w:rPr>
          <w:rFonts w:ascii="Arial" w:hAnsi="Arial" w:cs="Arial"/>
          <w:sz w:val="20"/>
          <w:szCs w:val="20"/>
          <w:lang w:val="sr-Cyrl-RS"/>
        </w:rPr>
        <w:t xml:space="preserve"> су једино ако се осигурају услови за суштинску примену усвојених прописа, као и системски приступ у свим сегментима функције </w:t>
      </w:r>
      <w:r w:rsidR="2BCC0A48" w:rsidRPr="00A021B7">
        <w:rPr>
          <w:rFonts w:ascii="Arial" w:hAnsi="Arial" w:cs="Arial"/>
          <w:sz w:val="20"/>
          <w:szCs w:val="20"/>
          <w:lang w:val="sr-Cyrl-RS"/>
        </w:rPr>
        <w:t>УЉР</w:t>
      </w:r>
      <w:r w:rsidR="5145412E" w:rsidRPr="00A021B7">
        <w:rPr>
          <w:rFonts w:ascii="Arial" w:hAnsi="Arial" w:cs="Arial"/>
          <w:sz w:val="20"/>
          <w:szCs w:val="20"/>
          <w:lang w:val="sr-Cyrl-RS"/>
        </w:rPr>
        <w:t>, на стратешком, тактичком и оперативном нивоу.</w:t>
      </w:r>
    </w:p>
    <w:p w14:paraId="146B6D95" w14:textId="77777777" w:rsidR="001C7C2E" w:rsidRPr="00A021B7" w:rsidRDefault="001C7C2E" w:rsidP="1A8E6423">
      <w:pPr>
        <w:ind w:firstLine="720"/>
        <w:jc w:val="both"/>
        <w:rPr>
          <w:rFonts w:ascii="Arial" w:hAnsi="Arial" w:cs="Arial"/>
          <w:sz w:val="20"/>
          <w:szCs w:val="20"/>
          <w:lang w:val="sr-Cyrl-RS"/>
        </w:rPr>
      </w:pPr>
    </w:p>
    <w:p w14:paraId="7857A27A" w14:textId="705E1777" w:rsidR="001C7C2E" w:rsidRPr="00A021B7" w:rsidRDefault="5145412E" w:rsidP="1A8E6423">
      <w:pPr>
        <w:ind w:firstLine="720"/>
        <w:contextualSpacing/>
        <w:jc w:val="both"/>
        <w:rPr>
          <w:rFonts w:ascii="Arial" w:hAnsi="Arial" w:cs="Arial"/>
          <w:sz w:val="20"/>
          <w:szCs w:val="20"/>
          <w:lang w:val="sr-Cyrl-RS" w:eastAsia="ar-SA"/>
        </w:rPr>
      </w:pPr>
      <w:r w:rsidRPr="00A021B7">
        <w:rPr>
          <w:rFonts w:ascii="Arial" w:hAnsi="Arial" w:cs="Arial"/>
          <w:sz w:val="20"/>
          <w:szCs w:val="20"/>
          <w:lang w:val="sr-Cyrl-RS" w:eastAsia="ar-SA"/>
        </w:rPr>
        <w:t xml:space="preserve">Под људским ресурсима у локалној управи подразумевамо капацитет: </w:t>
      </w:r>
      <w:r w:rsidR="2BCC0A48" w:rsidRPr="00A021B7">
        <w:rPr>
          <w:rFonts w:ascii="Arial" w:hAnsi="Arial" w:cs="Arial"/>
          <w:sz w:val="20"/>
          <w:szCs w:val="20"/>
          <w:lang w:val="sr-Cyrl-RS" w:eastAsia="ar-SA"/>
        </w:rPr>
        <w:t>(</w:t>
      </w:r>
      <w:r w:rsidRPr="00A021B7">
        <w:rPr>
          <w:rFonts w:ascii="Arial" w:hAnsi="Arial" w:cs="Arial"/>
          <w:sz w:val="20"/>
          <w:szCs w:val="20"/>
          <w:lang w:val="sr-Cyrl-RS" w:eastAsia="ar-SA"/>
        </w:rPr>
        <w:t>1) политички изабраних локалних власти и доносилаца одлука да креирају атмосферу промене и подрже процес реформе локалне управе (градоначелник</w:t>
      </w:r>
      <w:r w:rsidR="007A0890">
        <w:rPr>
          <w:rFonts w:ascii="Arial" w:hAnsi="Arial" w:cs="Arial"/>
          <w:sz w:val="20"/>
          <w:szCs w:val="20"/>
          <w:lang w:val="sr-Cyrl-RS" w:eastAsia="ar-SA"/>
        </w:rPr>
        <w:t xml:space="preserve"> </w:t>
      </w:r>
      <w:r w:rsidRPr="00A021B7">
        <w:rPr>
          <w:rFonts w:ascii="Arial" w:hAnsi="Arial" w:cs="Arial"/>
          <w:sz w:val="20"/>
          <w:szCs w:val="20"/>
          <w:lang w:val="sr-Cyrl-RS" w:eastAsia="ar-SA"/>
        </w:rPr>
        <w:t>/</w:t>
      </w:r>
      <w:r w:rsidR="007A0890">
        <w:rPr>
          <w:rFonts w:ascii="Arial" w:hAnsi="Arial" w:cs="Arial"/>
          <w:sz w:val="20"/>
          <w:szCs w:val="20"/>
          <w:lang w:val="sr-Cyrl-RS" w:eastAsia="ar-SA"/>
        </w:rPr>
        <w:t xml:space="preserve"> </w:t>
      </w:r>
      <w:r w:rsidRPr="00A021B7">
        <w:rPr>
          <w:rFonts w:ascii="Arial" w:hAnsi="Arial" w:cs="Arial"/>
          <w:sz w:val="20"/>
          <w:szCs w:val="20"/>
          <w:lang w:val="sr-Cyrl-RS" w:eastAsia="ar-SA"/>
        </w:rPr>
        <w:t xml:space="preserve">председник општине, </w:t>
      </w:r>
      <w:r w:rsidR="2BCC0A48" w:rsidRPr="00A021B7">
        <w:rPr>
          <w:rFonts w:ascii="Arial" w:hAnsi="Arial" w:cs="Arial"/>
          <w:sz w:val="20"/>
          <w:szCs w:val="20"/>
          <w:lang w:val="sr-Cyrl-RS" w:eastAsia="ar-SA"/>
        </w:rPr>
        <w:t>скупштина, веће</w:t>
      </w:r>
      <w:r w:rsidRPr="00A021B7">
        <w:rPr>
          <w:rFonts w:ascii="Arial" w:hAnsi="Arial" w:cs="Arial"/>
          <w:sz w:val="20"/>
          <w:szCs w:val="20"/>
          <w:lang w:val="sr-Cyrl-RS" w:eastAsia="ar-SA"/>
        </w:rPr>
        <w:t>) и</w:t>
      </w:r>
      <w:r w:rsidRPr="00A021B7" w:rsidDel="00BE2587">
        <w:rPr>
          <w:rFonts w:ascii="Arial" w:hAnsi="Arial" w:cs="Arial"/>
          <w:sz w:val="20"/>
          <w:szCs w:val="20"/>
          <w:lang w:val="sr-Cyrl-RS" w:eastAsia="ar-SA"/>
        </w:rPr>
        <w:t xml:space="preserve"> </w:t>
      </w:r>
      <w:r w:rsidR="007A0890" w:rsidRPr="00A021B7">
        <w:rPr>
          <w:rFonts w:ascii="Arial" w:hAnsi="Arial" w:cs="Arial"/>
          <w:sz w:val="20"/>
          <w:szCs w:val="20"/>
          <w:lang w:val="sr-Cyrl-RS" w:eastAsia="ar-SA"/>
        </w:rPr>
        <w:t>носилаца</w:t>
      </w:r>
      <w:r w:rsidR="4CF04E74" w:rsidRPr="00A021B7">
        <w:rPr>
          <w:rFonts w:ascii="Arial" w:hAnsi="Arial" w:cs="Arial"/>
          <w:sz w:val="20"/>
          <w:szCs w:val="20"/>
          <w:lang w:val="sr-Cyrl-RS" w:eastAsia="ar-SA"/>
        </w:rPr>
        <w:t xml:space="preserve"> </w:t>
      </w:r>
      <w:r w:rsidRPr="00A021B7">
        <w:rPr>
          <w:rFonts w:ascii="Arial" w:hAnsi="Arial" w:cs="Arial"/>
          <w:sz w:val="20"/>
          <w:szCs w:val="20"/>
          <w:lang w:val="sr-Cyrl-RS" w:eastAsia="ar-SA"/>
        </w:rPr>
        <w:t>јавно-службеничког система</w:t>
      </w:r>
      <w:r w:rsidR="5CB1C161" w:rsidRPr="00A021B7">
        <w:rPr>
          <w:rFonts w:ascii="Arial" w:hAnsi="Arial" w:cs="Arial"/>
          <w:sz w:val="20"/>
          <w:szCs w:val="20"/>
          <w:lang w:val="sr-Cyrl-RS" w:eastAsia="ar-SA"/>
        </w:rPr>
        <w:t>;</w:t>
      </w:r>
      <w:r w:rsidRPr="00A021B7">
        <w:rPr>
          <w:rFonts w:ascii="Arial" w:hAnsi="Arial" w:cs="Arial"/>
          <w:sz w:val="20"/>
          <w:szCs w:val="20"/>
          <w:lang w:val="sr-Cyrl-RS" w:eastAsia="ar-SA"/>
        </w:rPr>
        <w:t xml:space="preserve"> </w:t>
      </w:r>
      <w:r w:rsidR="2BCC0A48" w:rsidRPr="00A021B7">
        <w:rPr>
          <w:rFonts w:ascii="Arial" w:hAnsi="Arial" w:cs="Arial"/>
          <w:sz w:val="20"/>
          <w:szCs w:val="20"/>
          <w:lang w:val="sr-Cyrl-RS" w:eastAsia="ar-SA"/>
        </w:rPr>
        <w:t>(</w:t>
      </w:r>
      <w:r w:rsidRPr="00A021B7">
        <w:rPr>
          <w:rFonts w:ascii="Arial" w:hAnsi="Arial" w:cs="Arial"/>
          <w:sz w:val="20"/>
          <w:szCs w:val="20"/>
          <w:lang w:val="sr-Cyrl-RS" w:eastAsia="ar-SA"/>
        </w:rPr>
        <w:t xml:space="preserve">2) начелника управе, као стуба јавно-службеничког система и носиоца управне реформе (службеник на положају); </w:t>
      </w:r>
      <w:r w:rsidR="2BCC0A48" w:rsidRPr="00A021B7">
        <w:rPr>
          <w:rFonts w:ascii="Arial" w:hAnsi="Arial" w:cs="Arial"/>
          <w:sz w:val="20"/>
          <w:szCs w:val="20"/>
          <w:lang w:val="sr-Cyrl-RS" w:eastAsia="ar-SA"/>
        </w:rPr>
        <w:t>(</w:t>
      </w:r>
      <w:r w:rsidRPr="00A021B7">
        <w:rPr>
          <w:rFonts w:ascii="Arial" w:hAnsi="Arial" w:cs="Arial"/>
          <w:sz w:val="20"/>
          <w:szCs w:val="20"/>
          <w:lang w:val="sr-Cyrl-RS" w:eastAsia="ar-SA"/>
        </w:rPr>
        <w:t xml:space="preserve">3) службеника за </w:t>
      </w:r>
      <w:r w:rsidR="14D6FC5B" w:rsidRPr="00A021B7">
        <w:rPr>
          <w:rFonts w:ascii="Arial" w:hAnsi="Arial" w:cs="Arial"/>
          <w:sz w:val="20"/>
          <w:szCs w:val="20"/>
          <w:lang w:val="sr-Cyrl-RS"/>
        </w:rPr>
        <w:t>УЉР</w:t>
      </w:r>
      <w:r w:rsidRPr="00A021B7">
        <w:rPr>
          <w:rFonts w:ascii="Arial" w:hAnsi="Arial" w:cs="Arial"/>
          <w:sz w:val="20"/>
          <w:szCs w:val="20"/>
          <w:lang w:val="sr-Cyrl-RS" w:eastAsia="ar-SA"/>
        </w:rPr>
        <w:t xml:space="preserve">, као координатора ове кључне функције и посредника између начелника управе и руководилаца организационих јединица; </w:t>
      </w:r>
      <w:r w:rsidR="2BCC0A48" w:rsidRPr="00A021B7">
        <w:rPr>
          <w:rFonts w:ascii="Arial" w:hAnsi="Arial" w:cs="Arial"/>
          <w:sz w:val="20"/>
          <w:szCs w:val="20"/>
          <w:lang w:val="sr-Cyrl-RS" w:eastAsia="ar-SA"/>
        </w:rPr>
        <w:t>(</w:t>
      </w:r>
      <w:r w:rsidRPr="00A021B7">
        <w:rPr>
          <w:rFonts w:ascii="Arial" w:hAnsi="Arial" w:cs="Arial"/>
          <w:sz w:val="20"/>
          <w:szCs w:val="20"/>
          <w:lang w:val="sr-Cyrl-RS" w:eastAsia="ar-SA"/>
        </w:rPr>
        <w:t xml:space="preserve">4) руководилаца организационих јединица, као споне између доносилаца одлука и извршилаца послова у оквиру надлежности локалне самоуправе и </w:t>
      </w:r>
      <w:r w:rsidR="2BCC0A48" w:rsidRPr="00A021B7">
        <w:rPr>
          <w:rFonts w:ascii="Arial" w:hAnsi="Arial" w:cs="Arial"/>
          <w:sz w:val="20"/>
          <w:szCs w:val="20"/>
          <w:lang w:val="sr-Cyrl-RS" w:eastAsia="ar-SA"/>
        </w:rPr>
        <w:t>(</w:t>
      </w:r>
      <w:r w:rsidRPr="00A021B7">
        <w:rPr>
          <w:rFonts w:ascii="Arial" w:hAnsi="Arial" w:cs="Arial"/>
          <w:sz w:val="20"/>
          <w:szCs w:val="20"/>
          <w:lang w:val="sr-Cyrl-RS" w:eastAsia="ar-SA"/>
        </w:rPr>
        <w:t xml:space="preserve">5) запослених у локалној самоуправи (службеника и намештеника). Свака од наведених пет категорија људских ресурса </w:t>
      </w:r>
      <w:r w:rsidR="4CF04E74" w:rsidRPr="00A021B7">
        <w:rPr>
          <w:rFonts w:ascii="Arial" w:hAnsi="Arial" w:cs="Arial"/>
          <w:sz w:val="20"/>
          <w:szCs w:val="20"/>
          <w:lang w:val="sr-Cyrl-RS" w:eastAsia="ar-SA"/>
        </w:rPr>
        <w:t xml:space="preserve">изискује </w:t>
      </w:r>
      <w:r w:rsidRPr="00A021B7">
        <w:rPr>
          <w:rFonts w:ascii="Arial" w:hAnsi="Arial" w:cs="Arial"/>
          <w:sz w:val="20"/>
          <w:szCs w:val="20"/>
          <w:lang w:val="sr-Cyrl-RS" w:eastAsia="ar-SA"/>
        </w:rPr>
        <w:t>специфичан приступ и различит концепт у делу унапређења капацитета.</w:t>
      </w:r>
      <w:r w:rsidR="00530DB6" w:rsidRPr="00A021B7">
        <w:rPr>
          <w:rStyle w:val="FootnoteReference"/>
          <w:rFonts w:ascii="Arial" w:hAnsi="Arial" w:cs="Arial"/>
          <w:sz w:val="20"/>
          <w:szCs w:val="20"/>
          <w:lang w:val="sr-Cyrl-RS" w:eastAsia="ar-SA"/>
        </w:rPr>
        <w:footnoteReference w:id="92"/>
      </w:r>
    </w:p>
    <w:p w14:paraId="550108BF" w14:textId="1FBD5ACF" w:rsidR="006853AE" w:rsidRPr="00A021B7" w:rsidRDefault="146E08B1" w:rsidP="1A8E6423">
      <w:pPr>
        <w:ind w:firstLine="720"/>
        <w:contextualSpacing/>
        <w:jc w:val="both"/>
        <w:rPr>
          <w:rFonts w:ascii="Arial" w:hAnsi="Arial" w:cs="Arial"/>
          <w:sz w:val="20"/>
          <w:szCs w:val="20"/>
          <w:lang w:val="sr-Cyrl-RS" w:eastAsia="ar-SA"/>
        </w:rPr>
      </w:pPr>
      <w:r w:rsidRPr="00A021B7">
        <w:rPr>
          <w:rFonts w:ascii="Arial" w:hAnsi="Arial" w:cs="Arial"/>
          <w:sz w:val="20"/>
          <w:szCs w:val="20"/>
          <w:lang w:val="sr-Cyrl-RS" w:eastAsia="ar-SA"/>
        </w:rPr>
        <w:t>За категорију политички изабраних доносилаца одлука, у скупштинама 145 јединица локалне самоуправе (без ЈЛС на КиМ) има</w:t>
      </w:r>
      <w:r w:rsidR="007A0890">
        <w:rPr>
          <w:rFonts w:ascii="Arial" w:hAnsi="Arial" w:cs="Arial"/>
          <w:sz w:val="20"/>
          <w:szCs w:val="20"/>
          <w:lang w:val="sr-Cyrl-RS" w:eastAsia="ar-SA"/>
        </w:rPr>
        <w:t>мо</w:t>
      </w:r>
      <w:r w:rsidRPr="00A021B7">
        <w:rPr>
          <w:rFonts w:ascii="Arial" w:hAnsi="Arial" w:cs="Arial"/>
          <w:sz w:val="20"/>
          <w:szCs w:val="20"/>
          <w:lang w:val="sr-Cyrl-RS" w:eastAsia="ar-SA"/>
        </w:rPr>
        <w:t xml:space="preserve"> 5551 одборник</w:t>
      </w:r>
      <w:r w:rsidR="007A0890">
        <w:rPr>
          <w:rFonts w:ascii="Arial" w:hAnsi="Arial" w:cs="Arial"/>
          <w:sz w:val="20"/>
          <w:szCs w:val="20"/>
          <w:lang w:val="sr-Cyrl-RS" w:eastAsia="ar-SA"/>
        </w:rPr>
        <w:t>а</w:t>
      </w:r>
      <w:r w:rsidRPr="00A021B7">
        <w:rPr>
          <w:rFonts w:ascii="Arial" w:hAnsi="Arial" w:cs="Arial"/>
          <w:sz w:val="20"/>
          <w:szCs w:val="20"/>
          <w:lang w:val="sr-Cyrl-RS" w:eastAsia="ar-SA"/>
        </w:rPr>
        <w:t>, 290 председника општине</w:t>
      </w:r>
      <w:r w:rsidR="007A0890">
        <w:rPr>
          <w:rFonts w:ascii="Arial" w:hAnsi="Arial" w:cs="Arial"/>
          <w:sz w:val="20"/>
          <w:szCs w:val="20"/>
          <w:lang w:val="sr-Cyrl-RS" w:eastAsia="ar-SA"/>
        </w:rPr>
        <w:t xml:space="preserve"> </w:t>
      </w:r>
      <w:r w:rsidR="578B8164" w:rsidRPr="00A021B7">
        <w:rPr>
          <w:rFonts w:ascii="Arial" w:hAnsi="Arial" w:cs="Arial"/>
          <w:sz w:val="20"/>
          <w:szCs w:val="20"/>
          <w:lang w:val="sr-Cyrl-RS" w:eastAsia="ar-SA"/>
        </w:rPr>
        <w:t>/</w:t>
      </w:r>
      <w:r w:rsidR="007A0890">
        <w:rPr>
          <w:rFonts w:ascii="Arial" w:hAnsi="Arial" w:cs="Arial"/>
          <w:sz w:val="20"/>
          <w:szCs w:val="20"/>
          <w:lang w:val="sr-Cyrl-RS" w:eastAsia="ar-SA"/>
        </w:rPr>
        <w:t xml:space="preserve"> </w:t>
      </w:r>
      <w:r w:rsidR="578B8164" w:rsidRPr="00A021B7">
        <w:rPr>
          <w:rFonts w:ascii="Arial" w:hAnsi="Arial" w:cs="Arial"/>
          <w:sz w:val="20"/>
          <w:szCs w:val="20"/>
          <w:lang w:val="sr-Cyrl-RS" w:eastAsia="ar-SA"/>
        </w:rPr>
        <w:t>градоначелника и њихових заменика</w:t>
      </w:r>
      <w:r w:rsidR="75712DE0" w:rsidRPr="00A021B7">
        <w:rPr>
          <w:rFonts w:ascii="Arial" w:hAnsi="Arial" w:cs="Arial"/>
          <w:sz w:val="20"/>
          <w:szCs w:val="20"/>
          <w:lang w:val="sr-Cyrl-RS" w:eastAsia="ar-SA"/>
        </w:rPr>
        <w:t xml:space="preserve"> и максимално 1021 члан</w:t>
      </w:r>
      <w:r w:rsidR="007A0890">
        <w:rPr>
          <w:rFonts w:ascii="Arial" w:hAnsi="Arial" w:cs="Arial"/>
          <w:sz w:val="20"/>
          <w:szCs w:val="20"/>
          <w:lang w:val="sr-Cyrl-RS" w:eastAsia="ar-SA"/>
        </w:rPr>
        <w:t>а</w:t>
      </w:r>
      <w:r w:rsidR="75712DE0" w:rsidRPr="00A021B7">
        <w:rPr>
          <w:rFonts w:ascii="Arial" w:hAnsi="Arial" w:cs="Arial"/>
          <w:sz w:val="20"/>
          <w:szCs w:val="20"/>
          <w:lang w:val="sr-Cyrl-RS" w:eastAsia="ar-SA"/>
        </w:rPr>
        <w:t xml:space="preserve"> општинског/градског већа након</w:t>
      </w:r>
      <w:r w:rsidR="75712DE0">
        <w:rPr>
          <w:rFonts w:ascii="Arial" w:hAnsi="Arial" w:cs="Arial"/>
          <w:sz w:val="20"/>
          <w:szCs w:val="20"/>
          <w:lang w:val="sr-Latn-RS" w:eastAsia="ar-SA"/>
        </w:rPr>
        <w:t xml:space="preserve"> </w:t>
      </w:r>
      <w:r w:rsidR="75712DE0" w:rsidRPr="00A021B7">
        <w:rPr>
          <w:rFonts w:ascii="Arial" w:hAnsi="Arial" w:cs="Arial"/>
          <w:sz w:val="20"/>
          <w:szCs w:val="20"/>
          <w:lang w:val="sr-Cyrl-RS" w:eastAsia="ar-SA"/>
        </w:rPr>
        <w:t>локалних избора одржаних после 28.</w:t>
      </w:r>
      <w:r w:rsidR="007A0890">
        <w:rPr>
          <w:rFonts w:ascii="Arial" w:hAnsi="Arial" w:cs="Arial"/>
          <w:sz w:val="20"/>
          <w:szCs w:val="20"/>
          <w:lang w:val="sr-Cyrl-RS" w:eastAsia="ar-SA"/>
        </w:rPr>
        <w:t xml:space="preserve"> </w:t>
      </w:r>
      <w:r w:rsidR="75712DE0" w:rsidRPr="00A021B7">
        <w:rPr>
          <w:rFonts w:ascii="Arial" w:hAnsi="Arial" w:cs="Arial"/>
          <w:sz w:val="20"/>
          <w:szCs w:val="20"/>
          <w:lang w:val="sr-Cyrl-RS" w:eastAsia="ar-SA"/>
        </w:rPr>
        <w:t>6.</w:t>
      </w:r>
      <w:r w:rsidR="007A0890">
        <w:rPr>
          <w:rFonts w:ascii="Arial" w:hAnsi="Arial" w:cs="Arial"/>
          <w:sz w:val="20"/>
          <w:szCs w:val="20"/>
          <w:lang w:val="sr-Cyrl-RS" w:eastAsia="ar-SA"/>
        </w:rPr>
        <w:t xml:space="preserve"> </w:t>
      </w:r>
      <w:r w:rsidR="75712DE0" w:rsidRPr="00A021B7">
        <w:rPr>
          <w:rFonts w:ascii="Arial" w:hAnsi="Arial" w:cs="Arial"/>
          <w:sz w:val="20"/>
          <w:szCs w:val="20"/>
          <w:lang w:val="sr-Cyrl-RS" w:eastAsia="ar-SA"/>
        </w:rPr>
        <w:t>2018.</w:t>
      </w:r>
      <w:r w:rsidR="0033686B" w:rsidRPr="00A021B7">
        <w:rPr>
          <w:rStyle w:val="FootnoteReference"/>
          <w:rFonts w:ascii="Arial" w:hAnsi="Arial" w:cs="Arial"/>
          <w:sz w:val="20"/>
          <w:szCs w:val="20"/>
          <w:lang w:val="sr-Cyrl-RS" w:eastAsia="ar-SA"/>
        </w:rPr>
        <w:footnoteReference w:id="93"/>
      </w:r>
      <w:r w:rsidR="75712DE0" w:rsidRPr="00A021B7">
        <w:rPr>
          <w:rFonts w:ascii="Arial" w:hAnsi="Arial" w:cs="Arial"/>
          <w:sz w:val="20"/>
          <w:szCs w:val="20"/>
          <w:lang w:val="sr-Cyrl-RS" w:eastAsia="ar-SA"/>
        </w:rPr>
        <w:t xml:space="preserve"> </w:t>
      </w:r>
      <w:r w:rsidR="1B7B6DB5" w:rsidRPr="00A021B7">
        <w:rPr>
          <w:rFonts w:ascii="Arial" w:hAnsi="Arial" w:cs="Arial"/>
          <w:sz w:val="20"/>
          <w:szCs w:val="20"/>
          <w:lang w:val="sr-Cyrl-RS" w:eastAsia="ar-SA"/>
        </w:rPr>
        <w:t>У ову категорију би</w:t>
      </w:r>
      <w:r w:rsidR="007A0890">
        <w:rPr>
          <w:rFonts w:ascii="Arial" w:hAnsi="Arial" w:cs="Arial"/>
          <w:sz w:val="20"/>
          <w:szCs w:val="20"/>
          <w:lang w:val="sr-Cyrl-RS" w:eastAsia="ar-SA"/>
        </w:rPr>
        <w:t>смо</w:t>
      </w:r>
      <w:r w:rsidR="1B7B6DB5" w:rsidRPr="00A021B7">
        <w:rPr>
          <w:rFonts w:ascii="Arial" w:hAnsi="Arial" w:cs="Arial"/>
          <w:sz w:val="20"/>
          <w:szCs w:val="20"/>
          <w:lang w:val="sr-Cyrl-RS" w:eastAsia="ar-SA"/>
        </w:rPr>
        <w:t xml:space="preserve"> могли да сврстамо и помоћнике градоначелника</w:t>
      </w:r>
      <w:r w:rsidR="007A0890">
        <w:rPr>
          <w:rFonts w:ascii="Arial" w:hAnsi="Arial" w:cs="Arial"/>
          <w:sz w:val="20"/>
          <w:szCs w:val="20"/>
          <w:lang w:val="sr-Cyrl-RS" w:eastAsia="ar-SA"/>
        </w:rPr>
        <w:t xml:space="preserve"> </w:t>
      </w:r>
      <w:r w:rsidR="1B7B6DB5" w:rsidRPr="00A021B7">
        <w:rPr>
          <w:rFonts w:ascii="Arial" w:hAnsi="Arial" w:cs="Arial"/>
          <w:sz w:val="20"/>
          <w:szCs w:val="20"/>
          <w:lang w:val="sr-Cyrl-RS" w:eastAsia="ar-SA"/>
        </w:rPr>
        <w:t>/</w:t>
      </w:r>
      <w:r w:rsidR="007A0890">
        <w:rPr>
          <w:rFonts w:ascii="Arial" w:hAnsi="Arial" w:cs="Arial"/>
          <w:sz w:val="20"/>
          <w:szCs w:val="20"/>
          <w:lang w:val="sr-Cyrl-RS" w:eastAsia="ar-SA"/>
        </w:rPr>
        <w:t xml:space="preserve"> </w:t>
      </w:r>
      <w:r w:rsidR="1B7B6DB5" w:rsidRPr="00A021B7">
        <w:rPr>
          <w:rFonts w:ascii="Arial" w:hAnsi="Arial" w:cs="Arial"/>
          <w:sz w:val="20"/>
          <w:szCs w:val="20"/>
          <w:lang w:val="sr-Cyrl-RS" w:eastAsia="ar-SA"/>
        </w:rPr>
        <w:t>председника општине</w:t>
      </w:r>
      <w:r w:rsidR="007A0890">
        <w:rPr>
          <w:rFonts w:ascii="Arial" w:hAnsi="Arial" w:cs="Arial"/>
          <w:sz w:val="20"/>
          <w:szCs w:val="20"/>
          <w:lang w:val="sr-Cyrl-RS" w:eastAsia="ar-SA"/>
        </w:rPr>
        <w:t>,</w:t>
      </w:r>
      <w:r w:rsidR="66481918" w:rsidRPr="00A021B7">
        <w:rPr>
          <w:rFonts w:ascii="Arial" w:hAnsi="Arial" w:cs="Arial"/>
          <w:sz w:val="20"/>
          <w:szCs w:val="20"/>
          <w:lang w:val="sr-Cyrl-RS" w:eastAsia="ar-SA"/>
        </w:rPr>
        <w:t xml:space="preserve"> којих максимално може бити 279 након локалних избора одржаних после 28.</w:t>
      </w:r>
      <w:r w:rsidR="007A0890">
        <w:rPr>
          <w:rFonts w:ascii="Arial" w:hAnsi="Arial" w:cs="Arial"/>
          <w:sz w:val="20"/>
          <w:szCs w:val="20"/>
          <w:lang w:val="sr-Cyrl-RS" w:eastAsia="ar-SA"/>
        </w:rPr>
        <w:t xml:space="preserve"> </w:t>
      </w:r>
      <w:r w:rsidR="66481918" w:rsidRPr="00A021B7">
        <w:rPr>
          <w:rFonts w:ascii="Arial" w:hAnsi="Arial" w:cs="Arial"/>
          <w:sz w:val="20"/>
          <w:szCs w:val="20"/>
          <w:lang w:val="sr-Cyrl-RS" w:eastAsia="ar-SA"/>
        </w:rPr>
        <w:t>6.</w:t>
      </w:r>
      <w:r w:rsidR="007A0890">
        <w:rPr>
          <w:rFonts w:ascii="Arial" w:hAnsi="Arial" w:cs="Arial"/>
          <w:sz w:val="20"/>
          <w:szCs w:val="20"/>
          <w:lang w:val="sr-Cyrl-RS" w:eastAsia="ar-SA"/>
        </w:rPr>
        <w:t xml:space="preserve"> </w:t>
      </w:r>
      <w:r w:rsidR="66481918" w:rsidRPr="00A021B7">
        <w:rPr>
          <w:rFonts w:ascii="Arial" w:hAnsi="Arial" w:cs="Arial"/>
          <w:sz w:val="20"/>
          <w:szCs w:val="20"/>
          <w:lang w:val="sr-Cyrl-RS" w:eastAsia="ar-SA"/>
        </w:rPr>
        <w:t>2018.</w:t>
      </w:r>
      <w:r w:rsidR="00777158" w:rsidRPr="00A021B7">
        <w:rPr>
          <w:rStyle w:val="FootnoteReference"/>
          <w:rFonts w:ascii="Arial" w:hAnsi="Arial" w:cs="Arial"/>
          <w:sz w:val="20"/>
          <w:szCs w:val="20"/>
          <w:lang w:val="sr-Cyrl-RS" w:eastAsia="ar-SA"/>
        </w:rPr>
        <w:footnoteReference w:id="94"/>
      </w:r>
    </w:p>
    <w:p w14:paraId="23B96CEB" w14:textId="6C35F6D2" w:rsidR="001C7C2E" w:rsidRPr="00A021B7" w:rsidRDefault="001C7C2E" w:rsidP="1A8E6423">
      <w:pPr>
        <w:ind w:firstLine="720"/>
        <w:jc w:val="both"/>
        <w:rPr>
          <w:rFonts w:ascii="Arial" w:hAnsi="Arial" w:cs="Arial"/>
          <w:sz w:val="20"/>
          <w:szCs w:val="20"/>
          <w:lang w:val="sr-Cyrl-RS"/>
        </w:rPr>
      </w:pPr>
    </w:p>
    <w:p w14:paraId="1B942B92" w14:textId="218CAA07" w:rsidR="001C7C2E" w:rsidRPr="00A021B7" w:rsidRDefault="001C7C2E" w:rsidP="1A8E6423">
      <w:pPr>
        <w:ind w:firstLine="720"/>
        <w:jc w:val="both"/>
        <w:rPr>
          <w:rFonts w:ascii="Arial" w:hAnsi="Arial" w:cs="Arial"/>
          <w:sz w:val="20"/>
          <w:szCs w:val="20"/>
          <w:lang w:val="sr-Cyrl-RS" w:eastAsia="ar-SA"/>
        </w:rPr>
      </w:pPr>
      <w:r w:rsidRPr="1A8E6423">
        <w:rPr>
          <w:rFonts w:ascii="Arial" w:hAnsi="Arial" w:cs="Arial"/>
          <w:sz w:val="20"/>
          <w:szCs w:val="20"/>
          <w:lang w:val="sr-Cyrl-RS" w:eastAsia="ar-SA"/>
        </w:rPr>
        <w:t>У првим деценијама овог века фокус укупних реформи локалне самоуправе стављен је</w:t>
      </w:r>
      <w:r w:rsidR="007A0890"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исправно</w:t>
      </w:r>
      <w:r w:rsidR="007A0890"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на пружање квалитетних услуга, контакте и сарадњу са грађанима, </w:t>
      </w:r>
      <w:r w:rsidR="0001784A" w:rsidRPr="1A8E6423">
        <w:rPr>
          <w:rFonts w:ascii="Arial" w:hAnsi="Arial" w:cs="Arial"/>
          <w:sz w:val="20"/>
          <w:szCs w:val="20"/>
          <w:lang w:val="sr-Cyrl-RS" w:eastAsia="ar-SA"/>
        </w:rPr>
        <w:t>удружењима</w:t>
      </w:r>
      <w:r w:rsidRPr="1A8E6423">
        <w:rPr>
          <w:rFonts w:ascii="Arial" w:hAnsi="Arial" w:cs="Arial"/>
          <w:sz w:val="20"/>
          <w:szCs w:val="20"/>
          <w:lang w:val="sr-Cyrl-RS" w:eastAsia="ar-SA"/>
        </w:rPr>
        <w:t xml:space="preserve">, пословним сектором, потенцијалним инвеститорима, донаторима, међународним финансијским институцијама итд. Током последњих </w:t>
      </w:r>
      <w:r w:rsidR="00C26342" w:rsidRPr="1A8E6423">
        <w:rPr>
          <w:rFonts w:ascii="Arial" w:hAnsi="Arial" w:cs="Arial"/>
          <w:sz w:val="20"/>
          <w:szCs w:val="20"/>
          <w:lang w:val="sr-Cyrl-RS" w:eastAsia="ar-SA"/>
        </w:rPr>
        <w:t xml:space="preserve">20 </w:t>
      </w:r>
      <w:r w:rsidRPr="1A8E6423">
        <w:rPr>
          <w:rFonts w:ascii="Arial" w:hAnsi="Arial" w:cs="Arial"/>
          <w:sz w:val="20"/>
          <w:szCs w:val="20"/>
          <w:lang w:val="sr-Cyrl-RS" w:eastAsia="ar-SA"/>
        </w:rPr>
        <w:t xml:space="preserve">година, ЈЛС су више пута, у налетима, добијале нове надлежности, обавезе и одговорности. </w:t>
      </w:r>
      <w:r w:rsidR="00256BE2" w:rsidRPr="1A8E6423">
        <w:rPr>
          <w:rFonts w:ascii="Arial" w:hAnsi="Arial" w:cs="Arial"/>
          <w:sz w:val="20"/>
          <w:szCs w:val="20"/>
          <w:lang w:val="sr-Cyrl-RS" w:eastAsia="ar-SA"/>
        </w:rPr>
        <w:t xml:space="preserve">Све је то изискивало увођење и примену нових, модерних </w:t>
      </w:r>
      <w:r w:rsidR="00256BE2" w:rsidRPr="1A8E6423">
        <w:rPr>
          <w:rFonts w:ascii="Arial" w:hAnsi="Arial" w:cs="Arial"/>
          <w:sz w:val="20"/>
          <w:szCs w:val="20"/>
          <w:lang w:val="sr-Cyrl-RS" w:eastAsia="ar-SA"/>
        </w:rPr>
        <w:lastRenderedPageBreak/>
        <w:t xml:space="preserve">начела, процеса и процедура. </w:t>
      </w:r>
      <w:r w:rsidR="00713846" w:rsidRPr="1A8E6423">
        <w:rPr>
          <w:rFonts w:ascii="Arial" w:hAnsi="Arial" w:cs="Arial"/>
          <w:sz w:val="20"/>
          <w:szCs w:val="20"/>
          <w:lang w:val="sr-Cyrl-RS" w:eastAsia="ar-SA"/>
        </w:rPr>
        <w:t>Л</w:t>
      </w:r>
      <w:r w:rsidRPr="1A8E6423">
        <w:rPr>
          <w:rFonts w:ascii="Arial" w:hAnsi="Arial" w:cs="Arial"/>
          <w:sz w:val="20"/>
          <w:szCs w:val="20"/>
          <w:lang w:val="sr-Cyrl-RS" w:eastAsia="ar-SA"/>
        </w:rPr>
        <w:t xml:space="preserve">окална управа (па и локалне самоуправа у целини) </w:t>
      </w:r>
      <w:r w:rsidR="00713846" w:rsidRPr="1A8E6423">
        <w:rPr>
          <w:rFonts w:ascii="Arial" w:hAnsi="Arial" w:cs="Arial"/>
          <w:sz w:val="20"/>
          <w:szCs w:val="20"/>
          <w:lang w:val="sr-Cyrl-RS" w:eastAsia="ar-SA"/>
        </w:rPr>
        <w:t xml:space="preserve">ипак </w:t>
      </w:r>
      <w:r w:rsidRPr="1A8E6423">
        <w:rPr>
          <w:rFonts w:ascii="Arial" w:hAnsi="Arial" w:cs="Arial"/>
          <w:sz w:val="20"/>
          <w:szCs w:val="20"/>
          <w:lang w:val="sr-Cyrl-RS" w:eastAsia="ar-SA"/>
        </w:rPr>
        <w:t>није била спремна</w:t>
      </w:r>
      <w:r w:rsidR="00713846"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ни у смислу организационе структуре, ни организационих могућности</w:t>
      </w:r>
      <w:r w:rsidR="00713846"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нити капацитета људских ресурса</w:t>
      </w:r>
      <w:r w:rsidR="00713846"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да такве промене подржи у потпуности. Све нове врсте активности, захтевају посебан </w:t>
      </w:r>
      <w:r w:rsidR="00C43865" w:rsidRPr="1A8E6423">
        <w:rPr>
          <w:rFonts w:ascii="Arial" w:hAnsi="Arial" w:cs="Arial"/>
          <w:sz w:val="20"/>
          <w:szCs w:val="20"/>
          <w:lang w:val="sr-Cyrl-RS" w:eastAsia="ar-SA"/>
        </w:rPr>
        <w:t xml:space="preserve">скуп </w:t>
      </w:r>
      <w:r w:rsidRPr="1A8E6423">
        <w:rPr>
          <w:rFonts w:ascii="Arial" w:hAnsi="Arial" w:cs="Arial"/>
          <w:sz w:val="20"/>
          <w:szCs w:val="20"/>
          <w:lang w:val="sr-Cyrl-RS" w:eastAsia="ar-SA"/>
        </w:rPr>
        <w:t xml:space="preserve">знања, вештина и способности (компетенција), које се често не стичу током формалног образовања. Зато </w:t>
      </w:r>
      <w:r w:rsidR="007D68E2" w:rsidRPr="1A8E6423">
        <w:rPr>
          <w:rFonts w:ascii="Arial" w:hAnsi="Arial" w:cs="Arial"/>
          <w:sz w:val="20"/>
          <w:szCs w:val="20"/>
          <w:lang w:val="sr-Cyrl-RS" w:eastAsia="ar-SA"/>
        </w:rPr>
        <w:t xml:space="preserve">су </w:t>
      </w:r>
      <w:r w:rsidRPr="1A8E6423">
        <w:rPr>
          <w:rFonts w:ascii="Arial" w:hAnsi="Arial" w:cs="Arial"/>
          <w:sz w:val="20"/>
          <w:szCs w:val="20"/>
          <w:lang w:val="sr-Cyrl-RS" w:eastAsia="ar-SA"/>
        </w:rPr>
        <w:t xml:space="preserve">континуирано стручно усавршавање </w:t>
      </w:r>
      <w:r w:rsidR="00905A6C" w:rsidRPr="1A8E6423">
        <w:rPr>
          <w:rFonts w:ascii="Arial" w:hAnsi="Arial" w:cs="Arial"/>
          <w:sz w:val="20"/>
          <w:szCs w:val="20"/>
          <w:lang w:val="sr-Cyrl-RS" w:eastAsia="ar-SA"/>
        </w:rPr>
        <w:t>службеника</w:t>
      </w:r>
      <w:r w:rsidRPr="1A8E6423">
        <w:rPr>
          <w:rFonts w:ascii="Arial" w:hAnsi="Arial" w:cs="Arial"/>
          <w:sz w:val="20"/>
          <w:szCs w:val="20"/>
          <w:lang w:val="sr-Cyrl-RS" w:eastAsia="ar-SA"/>
        </w:rPr>
        <w:t xml:space="preserve">, одабир компетентних </w:t>
      </w:r>
      <w:r w:rsidR="00C43865" w:rsidRPr="1A8E6423">
        <w:rPr>
          <w:rFonts w:ascii="Arial" w:hAnsi="Arial" w:cs="Arial"/>
          <w:sz w:val="20"/>
          <w:szCs w:val="20"/>
          <w:lang w:val="sr-Cyrl-RS" w:eastAsia="ar-SA"/>
        </w:rPr>
        <w:t xml:space="preserve">људи </w:t>
      </w:r>
      <w:r w:rsidRPr="1A8E6423">
        <w:rPr>
          <w:rFonts w:ascii="Arial" w:hAnsi="Arial" w:cs="Arial"/>
          <w:sz w:val="20"/>
          <w:szCs w:val="20"/>
          <w:lang w:val="sr-Cyrl-RS" w:eastAsia="ar-SA"/>
        </w:rPr>
        <w:t xml:space="preserve">у транспарентном конкурсном поступку, уз </w:t>
      </w:r>
      <w:r w:rsidR="009F6265" w:rsidRPr="1A8E6423">
        <w:rPr>
          <w:rFonts w:ascii="Arial" w:hAnsi="Arial" w:cs="Arial"/>
          <w:sz w:val="20"/>
          <w:szCs w:val="20"/>
          <w:lang w:val="sr-Cyrl-RS" w:eastAsia="ar-SA"/>
        </w:rPr>
        <w:t xml:space="preserve">одговарајућу </w:t>
      </w:r>
      <w:r w:rsidRPr="1A8E6423">
        <w:rPr>
          <w:rFonts w:ascii="Arial" w:hAnsi="Arial" w:cs="Arial"/>
          <w:sz w:val="20"/>
          <w:szCs w:val="20"/>
          <w:lang w:val="sr-Cyrl-RS" w:eastAsia="ar-SA"/>
        </w:rPr>
        <w:t>проверу знања и способности, као и праћење учинка запослених и награђивање по заслугама и друге кључне функције управљања развојем организације и људским ресурсима, постал</w:t>
      </w:r>
      <w:r w:rsidR="007D68E2" w:rsidRPr="1A8E6423">
        <w:rPr>
          <w:rFonts w:ascii="Arial" w:hAnsi="Arial" w:cs="Arial"/>
          <w:sz w:val="20"/>
          <w:szCs w:val="20"/>
          <w:lang w:val="sr-Cyrl-RS" w:eastAsia="ar-SA"/>
        </w:rPr>
        <w:t>е</w:t>
      </w:r>
      <w:r w:rsidRPr="1A8E6423">
        <w:rPr>
          <w:rFonts w:ascii="Arial" w:hAnsi="Arial" w:cs="Arial"/>
          <w:sz w:val="20"/>
          <w:szCs w:val="20"/>
          <w:lang w:val="sr-Cyrl-RS" w:eastAsia="ar-SA"/>
        </w:rPr>
        <w:t xml:space="preserve"> последњих година изузетно важн</w:t>
      </w:r>
      <w:r w:rsidR="007D68E2" w:rsidRPr="1A8E6423">
        <w:rPr>
          <w:rFonts w:ascii="Arial" w:hAnsi="Arial" w:cs="Arial"/>
          <w:sz w:val="20"/>
          <w:szCs w:val="20"/>
          <w:lang w:val="sr-Cyrl-RS" w:eastAsia="ar-SA"/>
        </w:rPr>
        <w:t>а</w:t>
      </w:r>
      <w:r w:rsidRPr="1A8E6423">
        <w:rPr>
          <w:rFonts w:ascii="Arial" w:hAnsi="Arial" w:cs="Arial"/>
          <w:sz w:val="20"/>
          <w:szCs w:val="20"/>
          <w:lang w:val="sr-Cyrl-RS" w:eastAsia="ar-SA"/>
        </w:rPr>
        <w:t xml:space="preserve"> питањ</w:t>
      </w:r>
      <w:r w:rsidR="007D68E2" w:rsidRPr="1A8E6423">
        <w:rPr>
          <w:rFonts w:ascii="Arial" w:hAnsi="Arial" w:cs="Arial"/>
          <w:sz w:val="20"/>
          <w:szCs w:val="20"/>
          <w:lang w:val="sr-Cyrl-RS" w:eastAsia="ar-SA"/>
        </w:rPr>
        <w:t>а</w:t>
      </w:r>
      <w:r w:rsidRPr="1A8E6423">
        <w:rPr>
          <w:rFonts w:ascii="Arial" w:hAnsi="Arial" w:cs="Arial"/>
          <w:sz w:val="20"/>
          <w:szCs w:val="20"/>
          <w:lang w:val="sr-Cyrl-RS" w:eastAsia="ar-SA"/>
        </w:rPr>
        <w:t>, како за националне институције</w:t>
      </w:r>
      <w:r w:rsidR="005243A1"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тако и за ЈЛС.</w:t>
      </w:r>
    </w:p>
    <w:p w14:paraId="1E583C5C" w14:textId="77777777" w:rsidR="001C7C2E" w:rsidRPr="00A021B7" w:rsidRDefault="001C7C2E" w:rsidP="1A8E6423">
      <w:pPr>
        <w:ind w:firstLine="720"/>
        <w:jc w:val="both"/>
        <w:rPr>
          <w:rFonts w:ascii="Arial" w:hAnsi="Arial" w:cs="Arial"/>
          <w:sz w:val="20"/>
          <w:szCs w:val="20"/>
          <w:lang w:val="sr-Cyrl-RS" w:eastAsia="ar-SA"/>
        </w:rPr>
      </w:pPr>
    </w:p>
    <w:p w14:paraId="3A10515D" w14:textId="11006B69" w:rsidR="001F1866" w:rsidRPr="00A021B7" w:rsidRDefault="007D68E2" w:rsidP="1A8E6423">
      <w:pPr>
        <w:ind w:firstLine="720"/>
        <w:jc w:val="both"/>
        <w:rPr>
          <w:rFonts w:ascii="Arial" w:hAnsi="Arial" w:cs="Arial"/>
          <w:sz w:val="20"/>
          <w:szCs w:val="20"/>
          <w:lang w:val="sr-Cyrl-RS" w:eastAsia="ar-SA"/>
        </w:rPr>
      </w:pPr>
      <w:r w:rsidRPr="1A8E6423">
        <w:rPr>
          <w:rFonts w:ascii="Arial" w:hAnsi="Arial" w:cs="Arial"/>
          <w:sz w:val="20"/>
          <w:szCs w:val="20"/>
          <w:lang w:val="sr-Cyrl-RS" w:eastAsia="ar-SA"/>
        </w:rPr>
        <w:t>Ако се и</w:t>
      </w:r>
      <w:r w:rsidR="001C7C2E" w:rsidRPr="1A8E6423">
        <w:rPr>
          <w:rFonts w:ascii="Arial" w:hAnsi="Arial" w:cs="Arial"/>
          <w:sz w:val="20"/>
          <w:szCs w:val="20"/>
          <w:lang w:val="sr-Cyrl-RS" w:eastAsia="ar-SA"/>
        </w:rPr>
        <w:t>мају у виду тренутни, правни и институционални оквир, организациј</w:t>
      </w:r>
      <w:r w:rsidRPr="1A8E6423">
        <w:rPr>
          <w:rFonts w:ascii="Arial" w:hAnsi="Arial" w:cs="Arial"/>
          <w:sz w:val="20"/>
          <w:szCs w:val="20"/>
          <w:lang w:val="sr-Cyrl-RS" w:eastAsia="ar-SA"/>
        </w:rPr>
        <w:t>а</w:t>
      </w:r>
      <w:r w:rsidR="001C7C2E" w:rsidRPr="1A8E6423">
        <w:rPr>
          <w:rFonts w:ascii="Arial" w:hAnsi="Arial" w:cs="Arial"/>
          <w:sz w:val="20"/>
          <w:szCs w:val="20"/>
          <w:lang w:val="sr-Cyrl-RS" w:eastAsia="ar-SA"/>
        </w:rPr>
        <w:t>, систематизациј</w:t>
      </w:r>
      <w:r w:rsidRPr="1A8E6423">
        <w:rPr>
          <w:rFonts w:ascii="Arial" w:hAnsi="Arial" w:cs="Arial"/>
          <w:sz w:val="20"/>
          <w:szCs w:val="20"/>
          <w:lang w:val="sr-Cyrl-RS" w:eastAsia="ar-SA"/>
        </w:rPr>
        <w:t>а</w:t>
      </w:r>
      <w:r w:rsidR="001C7C2E" w:rsidRPr="1A8E6423">
        <w:rPr>
          <w:rFonts w:ascii="Arial" w:hAnsi="Arial" w:cs="Arial"/>
          <w:sz w:val="20"/>
          <w:szCs w:val="20"/>
          <w:lang w:val="sr-Cyrl-RS" w:eastAsia="ar-SA"/>
        </w:rPr>
        <w:t xml:space="preserve"> и опис</w:t>
      </w:r>
      <w:r w:rsidRPr="1A8E6423">
        <w:rPr>
          <w:rFonts w:ascii="Arial" w:hAnsi="Arial" w:cs="Arial"/>
          <w:sz w:val="20"/>
          <w:szCs w:val="20"/>
          <w:lang w:val="sr-Cyrl-RS" w:eastAsia="ar-SA"/>
        </w:rPr>
        <w:t>и</w:t>
      </w:r>
      <w:r w:rsidR="001C7C2E" w:rsidRPr="1A8E6423">
        <w:rPr>
          <w:rFonts w:ascii="Arial" w:hAnsi="Arial" w:cs="Arial"/>
          <w:sz w:val="20"/>
          <w:szCs w:val="20"/>
          <w:lang w:val="sr-Cyrl-RS" w:eastAsia="ar-SA"/>
        </w:rPr>
        <w:t xml:space="preserve"> послова, капацитет</w:t>
      </w:r>
      <w:r w:rsidRPr="1A8E6423">
        <w:rPr>
          <w:rFonts w:ascii="Arial" w:hAnsi="Arial" w:cs="Arial"/>
          <w:sz w:val="20"/>
          <w:szCs w:val="20"/>
          <w:lang w:val="sr-Cyrl-RS" w:eastAsia="ar-SA"/>
        </w:rPr>
        <w:t>и</w:t>
      </w:r>
      <w:r w:rsidR="001C7C2E" w:rsidRPr="1A8E6423">
        <w:rPr>
          <w:rFonts w:ascii="Arial" w:hAnsi="Arial" w:cs="Arial"/>
          <w:sz w:val="20"/>
          <w:szCs w:val="20"/>
          <w:lang w:val="sr-Cyrl-RS" w:eastAsia="ar-SA"/>
        </w:rPr>
        <w:t xml:space="preserve"> и учинак запослених, јасно је да се локална самоуправа у Републици Србији и даље суочава са значајним потешкоћама у спровођењу својих постојећих надлежности. Посебне изазове имају мале локалне заједнице са 10</w:t>
      </w:r>
      <w:r w:rsidRPr="1A8E6423">
        <w:rPr>
          <w:rFonts w:ascii="Arial" w:hAnsi="Arial" w:cs="Arial"/>
          <w:sz w:val="20"/>
          <w:szCs w:val="20"/>
          <w:lang w:val="sr-Cyrl-RS" w:eastAsia="ar-SA"/>
        </w:rPr>
        <w:t>.000–</w:t>
      </w:r>
      <w:r w:rsidR="001C7C2E" w:rsidRPr="1A8E6423">
        <w:rPr>
          <w:rFonts w:ascii="Arial" w:hAnsi="Arial" w:cs="Arial"/>
          <w:sz w:val="20"/>
          <w:szCs w:val="20"/>
          <w:lang w:val="sr-Cyrl-RS" w:eastAsia="ar-SA"/>
        </w:rPr>
        <w:t>20.000 становника, у руралним, неразвијеним или слабо развијеним срединама, које се и иначе суочавају са великим миграцијама становништва, одласком младих у урбане средине и „одливом мозгова</w:t>
      </w:r>
      <w:r w:rsidR="0074037A" w:rsidRPr="1A8E6423">
        <w:rPr>
          <w:rFonts w:ascii="Arial" w:hAnsi="Arial" w:cs="Arial"/>
          <w:sz w:val="20"/>
          <w:szCs w:val="20"/>
          <w:lang w:val="sr-Cyrl-RS" w:eastAsia="ar-SA"/>
        </w:rPr>
        <w:t>”</w:t>
      </w:r>
      <w:r w:rsidR="001C7C2E" w:rsidRPr="1A8E6423">
        <w:rPr>
          <w:rFonts w:ascii="Arial" w:hAnsi="Arial" w:cs="Arial"/>
          <w:sz w:val="20"/>
          <w:szCs w:val="20"/>
          <w:lang w:val="sr-Cyrl-RS" w:eastAsia="ar-SA"/>
        </w:rPr>
        <w:t xml:space="preserve"> у иностранство. Нарочито је тешко задржати високообразоване кадрове.</w:t>
      </w:r>
      <w:r w:rsidR="001F1866" w:rsidRPr="1A8E6423">
        <w:rPr>
          <w:rFonts w:ascii="Arial" w:hAnsi="Arial" w:cs="Arial"/>
          <w:sz w:val="20"/>
          <w:szCs w:val="20"/>
          <w:lang w:val="sr-Cyrl-RS" w:eastAsia="ar-SA"/>
        </w:rPr>
        <w:t xml:space="preserve"> </w:t>
      </w:r>
      <w:r w:rsidR="001C7C2E" w:rsidRPr="1A8E6423">
        <w:rPr>
          <w:rFonts w:ascii="Arial" w:hAnsi="Arial" w:cs="Arial"/>
          <w:sz w:val="20"/>
          <w:szCs w:val="20"/>
          <w:lang w:val="sr-Cyrl-RS" w:eastAsia="ar-SA"/>
        </w:rPr>
        <w:t xml:space="preserve">Поред </w:t>
      </w:r>
      <w:r w:rsidR="001F1866" w:rsidRPr="1A8E6423">
        <w:rPr>
          <w:rFonts w:ascii="Arial" w:hAnsi="Arial" w:cs="Arial"/>
          <w:sz w:val="20"/>
          <w:szCs w:val="20"/>
          <w:lang w:val="sr-Cyrl-RS" w:eastAsia="ar-SA"/>
        </w:rPr>
        <w:t>миграторних кретања</w:t>
      </w:r>
      <w:r w:rsidR="009277A7" w:rsidRPr="1A8E6423">
        <w:rPr>
          <w:rFonts w:ascii="Arial" w:hAnsi="Arial" w:cs="Arial"/>
          <w:sz w:val="20"/>
          <w:szCs w:val="20"/>
          <w:lang w:val="sr-Cyrl-RS" w:eastAsia="ar-SA"/>
        </w:rPr>
        <w:t>,</w:t>
      </w:r>
      <w:r w:rsidR="001F1866" w:rsidRPr="1A8E6423">
        <w:rPr>
          <w:rFonts w:ascii="Arial" w:hAnsi="Arial" w:cs="Arial"/>
          <w:sz w:val="20"/>
          <w:szCs w:val="20"/>
          <w:lang w:val="sr-Cyrl-RS" w:eastAsia="ar-SA"/>
        </w:rPr>
        <w:t xml:space="preserve"> </w:t>
      </w:r>
      <w:r w:rsidR="001C7C2E" w:rsidRPr="1A8E6423">
        <w:rPr>
          <w:rFonts w:ascii="Arial" w:hAnsi="Arial" w:cs="Arial"/>
          <w:sz w:val="20"/>
          <w:szCs w:val="20"/>
          <w:lang w:val="sr-Cyrl-RS" w:eastAsia="ar-SA"/>
        </w:rPr>
        <w:t xml:space="preserve">бројни су и други узроци за недостатак стручних </w:t>
      </w:r>
      <w:r w:rsidR="00E3787F" w:rsidRPr="1A8E6423">
        <w:rPr>
          <w:rFonts w:ascii="Arial" w:hAnsi="Arial" w:cs="Arial"/>
          <w:sz w:val="20"/>
          <w:szCs w:val="20"/>
          <w:lang w:val="sr-Cyrl-RS" w:eastAsia="ar-SA"/>
        </w:rPr>
        <w:t>службеника</w:t>
      </w:r>
      <w:r w:rsidR="001C7C2E" w:rsidRPr="1A8E6423">
        <w:rPr>
          <w:rFonts w:ascii="Arial" w:hAnsi="Arial" w:cs="Arial"/>
          <w:sz w:val="20"/>
          <w:szCs w:val="20"/>
          <w:lang w:val="sr-Cyrl-RS" w:eastAsia="ar-SA"/>
        </w:rPr>
        <w:t>.</w:t>
      </w:r>
    </w:p>
    <w:p w14:paraId="1F0E429D" w14:textId="77777777" w:rsidR="001F1866" w:rsidRPr="00A021B7" w:rsidRDefault="001F1866" w:rsidP="1A8E6423">
      <w:pPr>
        <w:ind w:firstLine="720"/>
        <w:jc w:val="both"/>
        <w:rPr>
          <w:rFonts w:ascii="Arial" w:hAnsi="Arial" w:cs="Arial"/>
          <w:sz w:val="20"/>
          <w:szCs w:val="20"/>
          <w:lang w:val="sr-Cyrl-RS" w:eastAsia="ar-SA"/>
        </w:rPr>
      </w:pPr>
    </w:p>
    <w:p w14:paraId="011E551C" w14:textId="1515DCC8" w:rsidR="001C7C2E" w:rsidRPr="007A0890" w:rsidRDefault="001C7C2E" w:rsidP="1A8E6423">
      <w:pPr>
        <w:ind w:firstLine="720"/>
        <w:jc w:val="both"/>
        <w:rPr>
          <w:rFonts w:ascii="Arial" w:hAnsi="Arial" w:cs="Arial"/>
          <w:sz w:val="20"/>
          <w:szCs w:val="20"/>
          <w:lang w:val="sr-Cyrl-RS" w:eastAsia="ar-SA"/>
        </w:rPr>
      </w:pPr>
      <w:r w:rsidRPr="1A8E6423">
        <w:rPr>
          <w:rFonts w:ascii="Arial" w:hAnsi="Arial" w:cs="Arial"/>
          <w:sz w:val="20"/>
          <w:szCs w:val="20"/>
          <w:lang w:val="sr-Cyrl-RS" w:eastAsia="ar-SA"/>
        </w:rPr>
        <w:t>Један од разлога лежи у ограничењу запошљавања у локалној самоуправи</w:t>
      </w:r>
      <w:r w:rsidR="009277A7"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али и </w:t>
      </w:r>
      <w:r w:rsidR="009277A7" w:rsidRPr="1A8E6423">
        <w:rPr>
          <w:rFonts w:ascii="Arial" w:hAnsi="Arial" w:cs="Arial"/>
          <w:sz w:val="20"/>
          <w:szCs w:val="20"/>
          <w:lang w:val="sr-Cyrl-RS" w:eastAsia="ar-SA"/>
        </w:rPr>
        <w:t xml:space="preserve">у </w:t>
      </w:r>
      <w:r w:rsidRPr="1A8E6423">
        <w:rPr>
          <w:rFonts w:ascii="Arial" w:hAnsi="Arial" w:cs="Arial"/>
          <w:sz w:val="20"/>
          <w:szCs w:val="20"/>
          <w:lang w:val="sr-Cyrl-RS" w:eastAsia="ar-SA"/>
        </w:rPr>
        <w:t>„субоптимизацији</w:t>
      </w:r>
      <w:r w:rsidR="003733C4"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кадрова </w:t>
      </w:r>
      <w:r w:rsidR="00603562" w:rsidRPr="1A8E6423">
        <w:rPr>
          <w:rFonts w:ascii="Arial" w:hAnsi="Arial" w:cs="Arial"/>
          <w:sz w:val="20"/>
          <w:szCs w:val="20"/>
          <w:lang w:val="sr-Cyrl-RS" w:eastAsia="ar-SA"/>
        </w:rPr>
        <w:t xml:space="preserve">у </w:t>
      </w:r>
      <w:r w:rsidRPr="1A8E6423">
        <w:rPr>
          <w:rFonts w:ascii="Arial" w:hAnsi="Arial" w:cs="Arial"/>
          <w:sz w:val="20"/>
          <w:szCs w:val="20"/>
          <w:lang w:val="sr-Cyrl-RS" w:eastAsia="ar-SA"/>
        </w:rPr>
        <w:t xml:space="preserve">застарелој организационој структури, у којој се запослени не посматрају као ресурс и где не постоји системски приступ сложеним аспектима </w:t>
      </w:r>
      <w:r w:rsidR="00603562" w:rsidRPr="1A8E6423">
        <w:rPr>
          <w:rFonts w:ascii="Arial" w:hAnsi="Arial" w:cs="Arial"/>
          <w:sz w:val="20"/>
          <w:szCs w:val="20"/>
          <w:lang w:val="sr-Cyrl-RS" w:eastAsia="ar-SA"/>
        </w:rPr>
        <w:t>људи</w:t>
      </w:r>
      <w:r w:rsidRPr="1A8E6423">
        <w:rPr>
          <w:rFonts w:ascii="Arial" w:hAnsi="Arial" w:cs="Arial"/>
          <w:sz w:val="20"/>
          <w:szCs w:val="20"/>
          <w:lang w:val="sr-Cyrl-RS" w:eastAsia="ar-SA"/>
        </w:rPr>
        <w:t xml:space="preserve">, а самим тим ни мотивација запослених да се залажу и поправе свој учинак. У </w:t>
      </w:r>
      <w:r w:rsidR="005C0670" w:rsidRPr="1A8E6423">
        <w:rPr>
          <w:rFonts w:ascii="Arial" w:hAnsi="Arial" w:cs="Arial"/>
          <w:sz w:val="20"/>
          <w:szCs w:val="20"/>
          <w:lang w:val="sr-Cyrl-RS" w:eastAsia="ar-SA"/>
        </w:rPr>
        <w:t xml:space="preserve">једном </w:t>
      </w:r>
      <w:r w:rsidRPr="1A8E6423">
        <w:rPr>
          <w:rFonts w:ascii="Arial" w:hAnsi="Arial" w:cs="Arial"/>
          <w:sz w:val="20"/>
          <w:szCs w:val="20"/>
          <w:lang w:val="sr-Cyrl-RS" w:eastAsia="ar-SA"/>
        </w:rPr>
        <w:t xml:space="preserve">броју општина треба узети у обзир и старосну структуру запослених и неадекватно планирање новог запошљавања. </w:t>
      </w:r>
      <w:r w:rsidR="00EB63D5" w:rsidRPr="1A8E6423">
        <w:rPr>
          <w:rFonts w:ascii="Arial" w:hAnsi="Arial" w:cs="Arial"/>
          <w:sz w:val="20"/>
          <w:szCs w:val="20"/>
          <w:lang w:val="sr-Cyrl-RS" w:eastAsia="ar-SA"/>
        </w:rPr>
        <w:t>Уколико</w:t>
      </w:r>
      <w:r w:rsidR="00A25ACB" w:rsidRPr="1A8E6423">
        <w:rPr>
          <w:rFonts w:ascii="Arial" w:hAnsi="Arial" w:cs="Arial"/>
          <w:sz w:val="20"/>
          <w:szCs w:val="20"/>
          <w:lang w:val="sr-Cyrl-RS" w:eastAsia="ar-SA"/>
        </w:rPr>
        <w:t xml:space="preserve"> је сам процес запошљавања неадекватан (постоји </w:t>
      </w:r>
      <w:r w:rsidR="00874748" w:rsidRPr="1A8E6423">
        <w:rPr>
          <w:rFonts w:ascii="Arial" w:hAnsi="Arial" w:cs="Arial"/>
          <w:sz w:val="20"/>
          <w:szCs w:val="20"/>
          <w:lang w:val="sr-Cyrl-RS" w:eastAsia="ar-SA"/>
        </w:rPr>
        <w:t>о</w:t>
      </w:r>
      <w:r w:rsidRPr="1A8E6423">
        <w:rPr>
          <w:rFonts w:ascii="Arial" w:hAnsi="Arial" w:cs="Arial"/>
          <w:sz w:val="20"/>
          <w:szCs w:val="20"/>
          <w:lang w:val="sr-Cyrl-RS" w:eastAsia="ar-SA"/>
        </w:rPr>
        <w:t>дређени степен политизације</w:t>
      </w:r>
      <w:r w:rsidR="00A25ACB" w:rsidRPr="1A8E6423">
        <w:rPr>
          <w:rFonts w:ascii="Arial" w:hAnsi="Arial" w:cs="Arial"/>
          <w:sz w:val="20"/>
          <w:szCs w:val="20"/>
          <w:lang w:val="sr-Cyrl-RS" w:eastAsia="ar-SA"/>
        </w:rPr>
        <w:t xml:space="preserve">, </w:t>
      </w:r>
      <w:r w:rsidR="003B09B0" w:rsidRPr="1A8E6423">
        <w:rPr>
          <w:rFonts w:ascii="Arial" w:hAnsi="Arial" w:cs="Arial"/>
          <w:sz w:val="20"/>
          <w:szCs w:val="20"/>
          <w:lang w:val="sr-Cyrl-RS" w:eastAsia="ar-SA"/>
        </w:rPr>
        <w:t>не придаје</w:t>
      </w:r>
      <w:r w:rsidR="00A25ACB" w:rsidRPr="1A8E6423">
        <w:rPr>
          <w:rFonts w:ascii="Arial" w:hAnsi="Arial" w:cs="Arial"/>
          <w:sz w:val="20"/>
          <w:szCs w:val="20"/>
          <w:lang w:val="sr-Cyrl-RS" w:eastAsia="ar-SA"/>
        </w:rPr>
        <w:t xml:space="preserve"> се</w:t>
      </w:r>
      <w:r w:rsidR="003B09B0" w:rsidRPr="1A8E6423">
        <w:rPr>
          <w:rFonts w:ascii="Arial" w:hAnsi="Arial" w:cs="Arial"/>
          <w:sz w:val="20"/>
          <w:szCs w:val="20"/>
          <w:lang w:val="sr-Cyrl-RS" w:eastAsia="ar-SA"/>
        </w:rPr>
        <w:t xml:space="preserve"> довољно пажње </w:t>
      </w:r>
      <w:r w:rsidR="00A25ACB" w:rsidRPr="1A8E6423">
        <w:rPr>
          <w:rFonts w:ascii="Arial" w:hAnsi="Arial" w:cs="Arial"/>
          <w:sz w:val="20"/>
          <w:szCs w:val="20"/>
          <w:lang w:val="sr-Cyrl-RS" w:eastAsia="ar-SA"/>
        </w:rPr>
        <w:t>потребним</w:t>
      </w:r>
      <w:r w:rsidRPr="1A8E6423">
        <w:rPr>
          <w:rFonts w:ascii="Arial" w:hAnsi="Arial" w:cs="Arial"/>
          <w:sz w:val="20"/>
          <w:szCs w:val="20"/>
          <w:lang w:val="sr-Cyrl-RS" w:eastAsia="ar-SA"/>
        </w:rPr>
        <w:t xml:space="preserve"> знањ</w:t>
      </w:r>
      <w:r w:rsidR="002B73F8" w:rsidRPr="1A8E6423">
        <w:rPr>
          <w:rFonts w:ascii="Arial" w:hAnsi="Arial" w:cs="Arial"/>
          <w:sz w:val="20"/>
          <w:szCs w:val="20"/>
          <w:lang w:val="sr-Cyrl-RS" w:eastAsia="ar-SA"/>
        </w:rPr>
        <w:t>има</w:t>
      </w:r>
      <w:r w:rsidRPr="1A8E6423">
        <w:rPr>
          <w:rFonts w:ascii="Arial" w:hAnsi="Arial" w:cs="Arial"/>
          <w:sz w:val="20"/>
          <w:szCs w:val="20"/>
          <w:lang w:val="sr-Cyrl-RS" w:eastAsia="ar-SA"/>
        </w:rPr>
        <w:t xml:space="preserve"> и искуств</w:t>
      </w:r>
      <w:r w:rsidR="002B73F8" w:rsidRPr="1A8E6423">
        <w:rPr>
          <w:rFonts w:ascii="Arial" w:hAnsi="Arial" w:cs="Arial"/>
          <w:sz w:val="20"/>
          <w:szCs w:val="20"/>
          <w:lang w:val="sr-Cyrl-RS" w:eastAsia="ar-SA"/>
        </w:rPr>
        <w:t>има</w:t>
      </w:r>
      <w:r w:rsidR="00A25ACB" w:rsidRPr="1A8E6423">
        <w:rPr>
          <w:rFonts w:ascii="Arial" w:hAnsi="Arial" w:cs="Arial"/>
          <w:sz w:val="20"/>
          <w:szCs w:val="20"/>
          <w:lang w:val="sr-Cyrl-RS" w:eastAsia="ar-SA"/>
        </w:rPr>
        <w:t>)</w:t>
      </w:r>
      <w:r w:rsidR="009B7185" w:rsidRPr="1A8E6423">
        <w:rPr>
          <w:rFonts w:ascii="Arial" w:hAnsi="Arial" w:cs="Arial"/>
          <w:sz w:val="20"/>
          <w:szCs w:val="20"/>
          <w:lang w:val="sr-Cyrl-RS" w:eastAsia="ar-SA"/>
        </w:rPr>
        <w:t>,</w:t>
      </w:r>
      <w:r w:rsidR="002B73F8" w:rsidRPr="1A8E6423">
        <w:rPr>
          <w:rFonts w:ascii="Arial" w:hAnsi="Arial" w:cs="Arial"/>
          <w:sz w:val="20"/>
          <w:szCs w:val="20"/>
          <w:lang w:val="sr-Cyrl-RS" w:eastAsia="ar-SA"/>
        </w:rPr>
        <w:t xml:space="preserve"> </w:t>
      </w:r>
      <w:r w:rsidR="00A25ACB" w:rsidRPr="1A8E6423">
        <w:rPr>
          <w:rFonts w:ascii="Arial" w:hAnsi="Arial" w:cs="Arial"/>
          <w:sz w:val="20"/>
          <w:szCs w:val="20"/>
          <w:lang w:val="sr-Cyrl-RS" w:eastAsia="ar-SA"/>
        </w:rPr>
        <w:t xml:space="preserve">то </w:t>
      </w:r>
      <w:r w:rsidR="00EB63D5" w:rsidRPr="1A8E6423">
        <w:rPr>
          <w:rFonts w:ascii="Arial" w:hAnsi="Arial" w:cs="Arial"/>
          <w:sz w:val="20"/>
          <w:szCs w:val="20"/>
          <w:lang w:val="sr-Cyrl-RS" w:eastAsia="ar-SA"/>
        </w:rPr>
        <w:t>има</w:t>
      </w:r>
      <w:r w:rsidR="00A25ACB" w:rsidRPr="1A8E6423">
        <w:rPr>
          <w:rFonts w:ascii="Arial" w:hAnsi="Arial" w:cs="Arial"/>
          <w:sz w:val="20"/>
          <w:szCs w:val="20"/>
          <w:lang w:val="sr-Cyrl-RS" w:eastAsia="ar-SA"/>
        </w:rPr>
        <w:t xml:space="preserve"> негативне последице на развој </w:t>
      </w:r>
      <w:r w:rsidR="00E5178C" w:rsidRPr="1A8E6423">
        <w:rPr>
          <w:rFonts w:ascii="Arial" w:hAnsi="Arial" w:cs="Arial"/>
          <w:sz w:val="20"/>
          <w:szCs w:val="20"/>
          <w:lang w:val="sr-Cyrl-RS" w:eastAsia="ar-SA"/>
        </w:rPr>
        <w:t>професионалне и способне локалне управе</w:t>
      </w:r>
      <w:r w:rsidRPr="1A8E6423">
        <w:rPr>
          <w:rFonts w:ascii="Arial" w:hAnsi="Arial" w:cs="Arial"/>
          <w:sz w:val="20"/>
          <w:szCs w:val="20"/>
          <w:lang w:val="sr-Cyrl-RS" w:eastAsia="ar-SA"/>
        </w:rPr>
        <w:t xml:space="preserve">. </w:t>
      </w:r>
      <w:r w:rsidR="009B7185" w:rsidRPr="1A8E6423">
        <w:rPr>
          <w:rFonts w:ascii="Arial" w:hAnsi="Arial" w:cs="Arial"/>
          <w:sz w:val="20"/>
          <w:szCs w:val="20"/>
          <w:lang w:val="sr-Cyrl-RS" w:eastAsia="ar-SA"/>
        </w:rPr>
        <w:t xml:space="preserve">Томе </w:t>
      </w:r>
      <w:r w:rsidR="00EB63D5" w:rsidRPr="1A8E6423">
        <w:rPr>
          <w:rFonts w:ascii="Arial" w:hAnsi="Arial" w:cs="Arial"/>
          <w:sz w:val="20"/>
          <w:szCs w:val="20"/>
          <w:lang w:val="sr-Cyrl-RS" w:eastAsia="ar-SA"/>
        </w:rPr>
        <w:t>треба</w:t>
      </w:r>
      <w:r w:rsidRPr="1A8E6423">
        <w:rPr>
          <w:rFonts w:ascii="Arial" w:hAnsi="Arial" w:cs="Arial"/>
          <w:sz w:val="20"/>
          <w:szCs w:val="20"/>
          <w:lang w:val="sr-Cyrl-RS" w:eastAsia="ar-SA"/>
        </w:rPr>
        <w:t xml:space="preserve"> додати и недостатак јасног и функционалног система за увођење у посао новозапослених</w:t>
      </w:r>
      <w:r w:rsidR="007D68E2"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који треба да преузму одговарајуће послове за које су им неопходна стручна знања која се стичу кроз праксу.</w:t>
      </w:r>
    </w:p>
    <w:p w14:paraId="03B3BF02" w14:textId="77777777" w:rsidR="001C7C2E" w:rsidRPr="007A0890" w:rsidRDefault="001C7C2E" w:rsidP="1A8E6423">
      <w:pPr>
        <w:ind w:firstLine="720"/>
        <w:jc w:val="both"/>
        <w:rPr>
          <w:rFonts w:ascii="Arial" w:hAnsi="Arial" w:cs="Arial"/>
          <w:sz w:val="20"/>
          <w:szCs w:val="20"/>
          <w:lang w:val="sr-Cyrl-RS" w:eastAsia="ar-SA"/>
        </w:rPr>
      </w:pPr>
    </w:p>
    <w:p w14:paraId="21B36D2C" w14:textId="5C1CCCA6" w:rsidR="001C7C2E" w:rsidRPr="00A021B7" w:rsidRDefault="00614613" w:rsidP="1A8E6423">
      <w:pPr>
        <w:ind w:firstLine="720"/>
        <w:jc w:val="both"/>
        <w:rPr>
          <w:rFonts w:ascii="Arial" w:hAnsi="Arial" w:cs="Arial"/>
          <w:color w:val="000000" w:themeColor="text1"/>
          <w:sz w:val="20"/>
          <w:szCs w:val="20"/>
          <w:lang w:val="sr-Cyrl-RS"/>
        </w:rPr>
      </w:pPr>
      <w:r w:rsidRPr="1A8E6423">
        <w:rPr>
          <w:rFonts w:ascii="Arial" w:hAnsi="Arial" w:cs="Arial"/>
          <w:sz w:val="20"/>
          <w:szCs w:val="20"/>
          <w:lang w:val="sr-Cyrl-RS"/>
        </w:rPr>
        <w:t xml:space="preserve">ЕПЛС </w:t>
      </w:r>
      <w:r w:rsidR="001C7C2E" w:rsidRPr="1A8E6423">
        <w:rPr>
          <w:rFonts w:ascii="Arial" w:hAnsi="Arial" w:cs="Arial"/>
          <w:sz w:val="20"/>
          <w:szCs w:val="20"/>
          <w:lang w:val="sr-Cyrl-RS"/>
        </w:rPr>
        <w:t>у члану 6. каже да: „услови рада у локалној самоуправи морају бити такви да омогуће селекцију кадрова која се темељи на заслугама и стручности, па се за ову сврху морају омогућити адекватне обуке, накнаде и напредовање у каријери</w:t>
      </w:r>
      <w:r w:rsidR="0074037A" w:rsidRPr="1A8E6423">
        <w:rPr>
          <w:rFonts w:ascii="Arial" w:hAnsi="Arial" w:cs="Arial"/>
          <w:sz w:val="20"/>
          <w:szCs w:val="20"/>
          <w:lang w:val="sr-Cyrl-RS"/>
        </w:rPr>
        <w:t>”</w:t>
      </w:r>
      <w:r w:rsidR="007D68E2" w:rsidRPr="1A8E6423">
        <w:rPr>
          <w:rFonts w:ascii="Arial" w:hAnsi="Arial" w:cs="Arial"/>
          <w:sz w:val="20"/>
          <w:szCs w:val="20"/>
          <w:lang w:val="sr-Cyrl-RS"/>
        </w:rPr>
        <w:t>.</w:t>
      </w:r>
      <w:r w:rsidR="001C7C2E" w:rsidRPr="1A8E6423">
        <w:rPr>
          <w:rFonts w:ascii="Arial" w:hAnsi="Arial" w:cs="Arial"/>
          <w:sz w:val="20"/>
          <w:szCs w:val="20"/>
          <w:lang w:val="sr-Cyrl-RS"/>
        </w:rPr>
        <w:t xml:space="preserve"> </w:t>
      </w:r>
      <w:r w:rsidR="001C7C2E" w:rsidRPr="1A8E6423">
        <w:rPr>
          <w:rFonts w:ascii="Arial" w:hAnsi="Arial" w:cs="Arial"/>
          <w:sz w:val="20"/>
          <w:szCs w:val="20"/>
          <w:lang w:val="sr-Cyrl-RS" w:eastAsia="ar-SA"/>
        </w:rPr>
        <w:t>Једно од кључних питања јесте на који начин се, у оквиру постојећег система, могу мотивисати запослени да</w:t>
      </w:r>
      <w:r w:rsidR="009F71EC" w:rsidRPr="1A8E6423">
        <w:rPr>
          <w:rFonts w:ascii="Arial" w:hAnsi="Arial" w:cs="Arial"/>
          <w:sz w:val="20"/>
          <w:szCs w:val="20"/>
          <w:lang w:val="sr-Cyrl-RS" w:eastAsia="ar-SA"/>
        </w:rPr>
        <w:t xml:space="preserve"> се стручно усавршавају и развијају нове вештине</w:t>
      </w:r>
      <w:r w:rsidR="001C7C2E" w:rsidRPr="1A8E6423">
        <w:rPr>
          <w:rFonts w:ascii="Arial" w:hAnsi="Arial" w:cs="Arial"/>
          <w:sz w:val="20"/>
          <w:szCs w:val="20"/>
          <w:lang w:val="sr-Cyrl-RS" w:eastAsia="ar-SA"/>
        </w:rPr>
        <w:t xml:space="preserve">, ако не постоји мериторан систем кретања и напредовања у служби </w:t>
      </w:r>
      <w:r w:rsidR="009F71EC" w:rsidRPr="1A8E6423">
        <w:rPr>
          <w:rFonts w:ascii="Arial" w:hAnsi="Arial" w:cs="Arial"/>
          <w:sz w:val="20"/>
          <w:szCs w:val="20"/>
          <w:lang w:val="sr-Cyrl-RS" w:eastAsia="ar-SA"/>
        </w:rPr>
        <w:t>и транспарентан систем</w:t>
      </w:r>
      <w:r w:rsidR="001C7C2E" w:rsidRPr="1A8E6423">
        <w:rPr>
          <w:rFonts w:ascii="Arial" w:hAnsi="Arial" w:cs="Arial"/>
          <w:sz w:val="20"/>
          <w:szCs w:val="20"/>
          <w:lang w:val="sr-Cyrl-RS" w:eastAsia="ar-SA"/>
        </w:rPr>
        <w:t xml:space="preserve"> награђивањ</w:t>
      </w:r>
      <w:r w:rsidR="009F71EC" w:rsidRPr="1A8E6423">
        <w:rPr>
          <w:rFonts w:ascii="Arial" w:hAnsi="Arial" w:cs="Arial"/>
          <w:sz w:val="20"/>
          <w:szCs w:val="20"/>
          <w:lang w:val="sr-Cyrl-RS" w:eastAsia="ar-SA"/>
        </w:rPr>
        <w:t>а</w:t>
      </w:r>
      <w:r w:rsidR="001C7C2E" w:rsidRPr="1A8E6423">
        <w:rPr>
          <w:rFonts w:ascii="Arial" w:hAnsi="Arial" w:cs="Arial"/>
          <w:sz w:val="20"/>
          <w:szCs w:val="20"/>
          <w:lang w:val="sr-Cyrl-RS" w:eastAsia="ar-SA"/>
        </w:rPr>
        <w:t>. Велики изазов представља одлагање примене Закона о платама запослених у АП и ЈЛС</w:t>
      </w:r>
      <w:r w:rsidR="00F02F70" w:rsidRPr="1A8E6423">
        <w:rPr>
          <w:rFonts w:ascii="Arial" w:hAnsi="Arial" w:cs="Arial"/>
          <w:sz w:val="20"/>
          <w:szCs w:val="20"/>
          <w:lang w:val="sr-Cyrl-RS" w:eastAsia="ar-SA"/>
        </w:rPr>
        <w:t>,</w:t>
      </w:r>
      <w:r w:rsidR="001C7C2E" w:rsidRPr="1A8E6423">
        <w:rPr>
          <w:rFonts w:ascii="Arial" w:hAnsi="Arial" w:cs="Arial"/>
          <w:sz w:val="20"/>
          <w:szCs w:val="20"/>
          <w:lang w:val="sr-Cyrl-RS" w:eastAsia="ar-SA"/>
        </w:rPr>
        <w:t xml:space="preserve"> па је и напредовање по платним разредима неспроводиво. </w:t>
      </w:r>
      <w:r w:rsidR="001C7C2E" w:rsidRPr="1A8E6423">
        <w:rPr>
          <w:rFonts w:ascii="Arial" w:hAnsi="Arial" w:cs="Arial"/>
          <w:sz w:val="20"/>
          <w:szCs w:val="20"/>
          <w:lang w:val="sr-Cyrl-RS"/>
        </w:rPr>
        <w:t xml:space="preserve">Плате запослених у </w:t>
      </w:r>
      <w:r w:rsidR="00BB2D48" w:rsidRPr="1A8E6423">
        <w:rPr>
          <w:rFonts w:ascii="Arial" w:hAnsi="Arial" w:cs="Arial"/>
          <w:sz w:val="20"/>
          <w:szCs w:val="20"/>
          <w:lang w:val="sr-Cyrl-RS"/>
        </w:rPr>
        <w:t>ЈЛС</w:t>
      </w:r>
      <w:r w:rsidR="001C7C2E" w:rsidRPr="1A8E6423">
        <w:rPr>
          <w:rFonts w:ascii="Arial" w:hAnsi="Arial" w:cs="Arial"/>
          <w:sz w:val="20"/>
          <w:szCs w:val="20"/>
          <w:lang w:val="sr-Cyrl-RS"/>
        </w:rPr>
        <w:t xml:space="preserve"> су сложено и осетљиво питање, кој</w:t>
      </w:r>
      <w:r w:rsidR="007D68E2" w:rsidRPr="1A8E6423">
        <w:rPr>
          <w:rFonts w:ascii="Arial" w:hAnsi="Arial" w:cs="Arial"/>
          <w:sz w:val="20"/>
          <w:szCs w:val="20"/>
          <w:lang w:val="sr-Cyrl-RS"/>
        </w:rPr>
        <w:t>е</w:t>
      </w:r>
      <w:r w:rsidR="001C7C2E" w:rsidRPr="1A8E6423">
        <w:rPr>
          <w:rFonts w:ascii="Arial" w:hAnsi="Arial" w:cs="Arial"/>
          <w:sz w:val="20"/>
          <w:szCs w:val="20"/>
          <w:lang w:val="sr-Cyrl-RS"/>
        </w:rPr>
        <w:t xml:space="preserve"> захтева што брже решавање. </w:t>
      </w:r>
      <w:r w:rsidR="007D68E2" w:rsidRPr="1A8E6423">
        <w:rPr>
          <w:rFonts w:ascii="Arial" w:hAnsi="Arial" w:cs="Arial"/>
          <w:sz w:val="20"/>
          <w:szCs w:val="20"/>
          <w:lang w:val="sr-Cyrl-RS"/>
        </w:rPr>
        <w:t>Адекватна</w:t>
      </w:r>
      <w:r w:rsidR="001C7C2E" w:rsidRPr="1A8E6423">
        <w:rPr>
          <w:rFonts w:ascii="Arial" w:hAnsi="Arial" w:cs="Arial"/>
          <w:sz w:val="20"/>
          <w:szCs w:val="20"/>
          <w:lang w:val="sr-Cyrl-RS"/>
        </w:rPr>
        <w:t xml:space="preserve"> плата, као и напредовање које прати прелазак у виши платни разред</w:t>
      </w:r>
      <w:r w:rsidR="00D12117" w:rsidRPr="1A8E6423">
        <w:rPr>
          <w:rFonts w:ascii="Arial" w:hAnsi="Arial" w:cs="Arial"/>
          <w:sz w:val="20"/>
          <w:szCs w:val="20"/>
          <w:lang w:val="sr-Cyrl-RS"/>
        </w:rPr>
        <w:t>,</w:t>
      </w:r>
      <w:r w:rsidR="001C7C2E" w:rsidRPr="1A8E6423">
        <w:rPr>
          <w:rFonts w:ascii="Arial" w:hAnsi="Arial" w:cs="Arial"/>
          <w:sz w:val="20"/>
          <w:szCs w:val="20"/>
          <w:lang w:val="sr-Cyrl-RS"/>
        </w:rPr>
        <w:t xml:space="preserve"> спадају у најважније факторе који утичу на мотивацију запослених у локалној самоуправи. </w:t>
      </w:r>
      <w:r w:rsidR="001C7C2E" w:rsidRPr="1A8E6423">
        <w:rPr>
          <w:rFonts w:ascii="Arial" w:hAnsi="Arial" w:cs="Arial"/>
          <w:color w:val="000000" w:themeColor="text1"/>
          <w:sz w:val="20"/>
          <w:szCs w:val="20"/>
          <w:lang w:val="sr-Cyrl-RS"/>
        </w:rPr>
        <w:t>Разлози за одлагање примене платних разреда на локалном нивоу леже, пре свега, у бојазни да би нови начин утврђивања зараде, без уведеног и доследно примењиваног система компетенција, као и мериторног система оцењивања запослених, имао контрапродуктиван ефекат на основне циљеве ове реформе и превише оптеретио јавни буџет.</w:t>
      </w:r>
    </w:p>
    <w:p w14:paraId="7B6FEDDB" w14:textId="77777777" w:rsidR="001C7C2E" w:rsidRPr="00A021B7" w:rsidRDefault="001C7C2E" w:rsidP="1A8E6423">
      <w:pPr>
        <w:ind w:firstLine="720"/>
        <w:jc w:val="both"/>
        <w:rPr>
          <w:rFonts w:ascii="Arial" w:hAnsi="Arial" w:cs="Arial"/>
          <w:sz w:val="20"/>
          <w:szCs w:val="20"/>
          <w:lang w:val="sr-Cyrl-RS" w:eastAsia="ar-SA"/>
        </w:rPr>
      </w:pPr>
    </w:p>
    <w:p w14:paraId="1004E64E" w14:textId="6D2D503C" w:rsidR="001C7C2E" w:rsidRPr="00A021B7" w:rsidRDefault="5145412E" w:rsidP="1A8E6423">
      <w:pPr>
        <w:ind w:firstLine="720"/>
        <w:jc w:val="both"/>
        <w:rPr>
          <w:rFonts w:ascii="Arial" w:hAnsi="Arial" w:cs="Arial"/>
          <w:sz w:val="20"/>
          <w:szCs w:val="20"/>
          <w:lang w:val="sr-Cyrl-RS"/>
        </w:rPr>
      </w:pPr>
      <w:r w:rsidRPr="00A021B7">
        <w:rPr>
          <w:rFonts w:ascii="Arial" w:hAnsi="Arial" w:cs="Arial"/>
          <w:sz w:val="20"/>
          <w:szCs w:val="20"/>
          <w:lang w:val="sr-Cyrl-RS" w:eastAsia="ar-SA"/>
        </w:rPr>
        <w:t>Током 2019. године у организацији МДУЛС</w:t>
      </w:r>
      <w:r w:rsidR="2223FAF4" w:rsidRPr="00A021B7">
        <w:rPr>
          <w:rFonts w:ascii="Arial" w:hAnsi="Arial" w:cs="Arial"/>
          <w:sz w:val="20"/>
          <w:szCs w:val="20"/>
          <w:lang w:val="sr-Cyrl-RS" w:eastAsia="ar-SA"/>
        </w:rPr>
        <w:t>,</w:t>
      </w:r>
      <w:r w:rsidRPr="00A021B7">
        <w:rPr>
          <w:rFonts w:ascii="Arial" w:hAnsi="Arial" w:cs="Arial"/>
          <w:sz w:val="20"/>
          <w:szCs w:val="20"/>
          <w:lang w:val="sr-Cyrl-RS" w:eastAsia="ar-SA"/>
        </w:rPr>
        <w:t xml:space="preserve"> у оквиру пројекта који финансијски подржава Влада Швајцарске</w:t>
      </w:r>
      <w:r w:rsidR="2223FAF4" w:rsidRPr="00A021B7">
        <w:rPr>
          <w:rFonts w:ascii="Arial" w:hAnsi="Arial" w:cs="Arial"/>
          <w:sz w:val="20"/>
          <w:szCs w:val="20"/>
          <w:lang w:val="sr-Cyrl-RS" w:eastAsia="ar-SA"/>
        </w:rPr>
        <w:t>,</w:t>
      </w:r>
      <w:r w:rsidRPr="00A021B7">
        <w:rPr>
          <w:rFonts w:ascii="Arial" w:hAnsi="Arial" w:cs="Arial"/>
          <w:sz w:val="20"/>
          <w:szCs w:val="20"/>
          <w:lang w:val="sr-Cyrl-RS" w:eastAsia="ar-SA"/>
        </w:rPr>
        <w:t xml:space="preserve"> спроведена је функционална анализа у управама 15 ЈЛС</w:t>
      </w:r>
      <w:r w:rsidR="2223FAF4" w:rsidRPr="00A021B7">
        <w:rPr>
          <w:rFonts w:ascii="Arial" w:hAnsi="Arial" w:cs="Arial"/>
          <w:sz w:val="20"/>
          <w:szCs w:val="20"/>
          <w:lang w:val="sr-Cyrl-RS" w:eastAsia="ar-SA"/>
        </w:rPr>
        <w:t>.</w:t>
      </w:r>
      <w:r w:rsidR="001C7C2E" w:rsidRPr="00A021B7">
        <w:rPr>
          <w:rFonts w:ascii="Arial" w:hAnsi="Arial" w:cs="Arial"/>
          <w:sz w:val="20"/>
          <w:szCs w:val="20"/>
          <w:vertAlign w:val="superscript"/>
          <w:lang w:val="sr-Cyrl-RS" w:eastAsia="ar-SA"/>
        </w:rPr>
        <w:footnoteReference w:id="95"/>
      </w:r>
      <w:r w:rsidRPr="00A021B7">
        <w:rPr>
          <w:rFonts w:ascii="Arial" w:hAnsi="Arial" w:cs="Arial"/>
          <w:sz w:val="20"/>
          <w:szCs w:val="20"/>
          <w:lang w:val="sr-Cyrl-RS" w:eastAsia="ar-SA"/>
        </w:rPr>
        <w:t xml:space="preserve"> Такође,</w:t>
      </w:r>
      <w:r w:rsidR="36515D9C" w:rsidRPr="00A021B7">
        <w:rPr>
          <w:rFonts w:ascii="Arial" w:hAnsi="Arial" w:cs="Arial"/>
          <w:sz w:val="20"/>
          <w:szCs w:val="20"/>
          <w:lang w:val="sr-Cyrl-RS" w:eastAsia="ar-SA"/>
        </w:rPr>
        <w:t xml:space="preserve"> </w:t>
      </w:r>
      <w:r w:rsidRPr="00A021B7">
        <w:rPr>
          <w:rFonts w:ascii="Arial" w:hAnsi="Arial" w:cs="Arial"/>
          <w:sz w:val="20"/>
          <w:szCs w:val="20"/>
          <w:lang w:val="sr-Cyrl-RS" w:eastAsia="ar-SA"/>
        </w:rPr>
        <w:t xml:space="preserve">почетком 2020. године, кроз сарадњу Савета Европе, МДУЛС </w:t>
      </w:r>
      <w:r w:rsidR="2223FAF4" w:rsidRPr="00A021B7">
        <w:rPr>
          <w:rFonts w:ascii="Arial" w:hAnsi="Arial" w:cs="Arial"/>
          <w:sz w:val="20"/>
          <w:szCs w:val="20"/>
          <w:lang w:val="sr-Cyrl-RS" w:eastAsia="ar-SA"/>
        </w:rPr>
        <w:t xml:space="preserve">и </w:t>
      </w:r>
      <w:r w:rsidRPr="00A021B7">
        <w:rPr>
          <w:rFonts w:ascii="Arial" w:hAnsi="Arial" w:cs="Arial"/>
          <w:sz w:val="20"/>
          <w:szCs w:val="20"/>
          <w:lang w:val="sr-Cyrl-RS" w:eastAsia="ar-SA"/>
        </w:rPr>
        <w:t xml:space="preserve">СКГО и </w:t>
      </w:r>
      <w:r w:rsidR="007D68E2">
        <w:rPr>
          <w:rFonts w:ascii="Arial" w:hAnsi="Arial" w:cs="Arial"/>
          <w:sz w:val="20"/>
          <w:szCs w:val="20"/>
          <w:lang w:val="sr-Cyrl-RS" w:eastAsia="ar-SA"/>
        </w:rPr>
        <w:t xml:space="preserve">уз </w:t>
      </w:r>
      <w:r w:rsidRPr="00A021B7">
        <w:rPr>
          <w:rFonts w:ascii="Arial" w:hAnsi="Arial" w:cs="Arial"/>
          <w:sz w:val="20"/>
          <w:szCs w:val="20"/>
          <w:lang w:val="sr-Cyrl-RS" w:eastAsia="ar-SA"/>
        </w:rPr>
        <w:t xml:space="preserve">подршку ЕУ, спроведена је анализа стања у свим кључним областима, коришћењем индекса за </w:t>
      </w:r>
      <w:r w:rsidR="1995D423" w:rsidRPr="00A021B7">
        <w:rPr>
          <w:rFonts w:ascii="Arial" w:hAnsi="Arial" w:cs="Arial"/>
          <w:sz w:val="20"/>
          <w:szCs w:val="20"/>
          <w:lang w:val="sr-Cyrl-RS" w:eastAsia="ar-SA"/>
        </w:rPr>
        <w:t>УЉР</w:t>
      </w:r>
      <w:r w:rsidR="21A3ED8E" w:rsidRPr="00A021B7">
        <w:rPr>
          <w:rFonts w:ascii="Arial" w:hAnsi="Arial" w:cs="Arial"/>
          <w:sz w:val="20"/>
          <w:szCs w:val="20"/>
          <w:lang w:val="sr-Cyrl-RS" w:eastAsia="ar-SA"/>
        </w:rPr>
        <w:t xml:space="preserve"> </w:t>
      </w:r>
      <w:r w:rsidR="1995D423" w:rsidRPr="00A021B7">
        <w:rPr>
          <w:rFonts w:ascii="Arial" w:hAnsi="Arial" w:cs="Arial"/>
          <w:sz w:val="20"/>
          <w:szCs w:val="20"/>
          <w:lang w:val="sr-Cyrl-RS" w:eastAsia="ar-SA"/>
        </w:rPr>
        <w:t xml:space="preserve">који је развила </w:t>
      </w:r>
      <w:r w:rsidRPr="00A021B7">
        <w:rPr>
          <w:rFonts w:ascii="Arial" w:hAnsi="Arial" w:cs="Arial"/>
          <w:sz w:val="20"/>
          <w:szCs w:val="20"/>
          <w:lang w:val="sr-Cyrl-RS" w:eastAsia="ar-SA"/>
        </w:rPr>
        <w:t xml:space="preserve">СКГО на узорку од </w:t>
      </w:r>
      <w:r w:rsidR="7815BF58" w:rsidRPr="00A021B7">
        <w:rPr>
          <w:rFonts w:ascii="Arial" w:hAnsi="Arial" w:cs="Arial"/>
          <w:sz w:val="20"/>
          <w:szCs w:val="20"/>
          <w:lang w:val="sr-Cyrl-RS" w:eastAsia="ar-SA"/>
        </w:rPr>
        <w:t>70</w:t>
      </w:r>
      <w:r w:rsidR="2A71A394" w:rsidRPr="00A021B7">
        <w:rPr>
          <w:rFonts w:ascii="Arial" w:hAnsi="Arial" w:cs="Arial"/>
          <w:sz w:val="20"/>
          <w:szCs w:val="20"/>
          <w:lang w:val="sr-Cyrl-RS" w:eastAsia="ar-SA"/>
        </w:rPr>
        <w:t xml:space="preserve"> </w:t>
      </w:r>
      <w:r w:rsidRPr="00A021B7">
        <w:rPr>
          <w:rFonts w:ascii="Arial" w:hAnsi="Arial" w:cs="Arial"/>
          <w:sz w:val="20"/>
          <w:szCs w:val="20"/>
          <w:lang w:val="sr-Cyrl-RS" w:eastAsia="ar-SA"/>
        </w:rPr>
        <w:t>ЈЛС</w:t>
      </w:r>
      <w:r w:rsidR="21A3ED8E" w:rsidRPr="00A021B7">
        <w:rPr>
          <w:rFonts w:ascii="Arial" w:hAnsi="Arial" w:cs="Arial"/>
          <w:sz w:val="20"/>
          <w:szCs w:val="20"/>
          <w:lang w:val="sr-Cyrl-RS" w:eastAsia="ar-SA"/>
        </w:rPr>
        <w:t>.</w:t>
      </w:r>
      <w:r w:rsidR="001C7C2E" w:rsidRPr="00A021B7">
        <w:rPr>
          <w:rFonts w:ascii="Arial" w:hAnsi="Arial" w:cs="Arial"/>
          <w:sz w:val="20"/>
          <w:szCs w:val="20"/>
          <w:vertAlign w:val="superscript"/>
          <w:lang w:val="sr-Cyrl-RS" w:eastAsia="ar-SA"/>
        </w:rPr>
        <w:footnoteReference w:id="96"/>
      </w:r>
      <w:r w:rsidRPr="00A021B7">
        <w:rPr>
          <w:rFonts w:ascii="Arial" w:hAnsi="Arial" w:cs="Arial"/>
          <w:sz w:val="20"/>
          <w:szCs w:val="20"/>
          <w:lang w:val="sr-Cyrl-RS" w:eastAsia="ar-SA"/>
        </w:rPr>
        <w:t xml:space="preserve"> Оба истраживања недвосмислено су указала</w:t>
      </w:r>
      <w:r w:rsidR="007D68E2">
        <w:rPr>
          <w:rFonts w:ascii="Arial" w:hAnsi="Arial" w:cs="Arial"/>
          <w:sz w:val="20"/>
          <w:szCs w:val="20"/>
          <w:lang w:val="sr-Cyrl-RS" w:eastAsia="ar-SA"/>
        </w:rPr>
        <w:t xml:space="preserve"> на то</w:t>
      </w:r>
      <w:r w:rsidRPr="00A021B7">
        <w:rPr>
          <w:rFonts w:ascii="Arial" w:hAnsi="Arial" w:cs="Arial"/>
          <w:sz w:val="20"/>
          <w:szCs w:val="20"/>
          <w:lang w:val="sr-Cyrl-RS" w:eastAsia="ar-SA"/>
        </w:rPr>
        <w:t xml:space="preserve"> да</w:t>
      </w:r>
      <w:r w:rsidR="007D68E2">
        <w:rPr>
          <w:rFonts w:ascii="Arial" w:hAnsi="Arial" w:cs="Arial"/>
          <w:sz w:val="20"/>
          <w:szCs w:val="20"/>
          <w:lang w:val="sr-Cyrl-RS" w:eastAsia="ar-SA"/>
        </w:rPr>
        <w:t>,</w:t>
      </w:r>
      <w:r w:rsidRPr="00A021B7">
        <w:rPr>
          <w:rFonts w:ascii="Arial" w:hAnsi="Arial" w:cs="Arial"/>
          <w:sz w:val="20"/>
          <w:szCs w:val="20"/>
          <w:lang w:val="sr-Cyrl-RS" w:eastAsia="ar-SA"/>
        </w:rPr>
        <w:t xml:space="preserve"> у</w:t>
      </w:r>
      <w:r w:rsidRPr="00A021B7">
        <w:rPr>
          <w:rFonts w:ascii="Arial" w:hAnsi="Arial" w:cs="Arial"/>
          <w:sz w:val="20"/>
          <w:szCs w:val="20"/>
          <w:lang w:val="sr-Cyrl-RS"/>
        </w:rPr>
        <w:t xml:space="preserve">пркос чињеници да је </w:t>
      </w:r>
      <w:r w:rsidR="4E06F0C7" w:rsidRPr="00A021B7">
        <w:rPr>
          <w:rFonts w:ascii="Arial" w:hAnsi="Arial" w:cs="Arial"/>
          <w:sz w:val="20"/>
          <w:szCs w:val="20"/>
          <w:lang w:val="sr-Cyrl-RS" w:eastAsia="ar-SA"/>
        </w:rPr>
        <w:t xml:space="preserve">УЉР </w:t>
      </w:r>
      <w:r w:rsidRPr="00A021B7">
        <w:rPr>
          <w:rFonts w:ascii="Arial" w:hAnsi="Arial" w:cs="Arial"/>
          <w:sz w:val="20"/>
          <w:szCs w:val="20"/>
          <w:lang w:val="sr-Cyrl-RS"/>
        </w:rPr>
        <w:t xml:space="preserve">једно од примарних питања у процесу реформе система локалне самоуправе, још </w:t>
      </w:r>
      <w:r w:rsidR="007D68E2">
        <w:rPr>
          <w:rFonts w:ascii="Arial" w:hAnsi="Arial" w:cs="Arial"/>
          <w:sz w:val="20"/>
          <w:szCs w:val="20"/>
          <w:lang w:val="sr-Cyrl-RS"/>
        </w:rPr>
        <w:t xml:space="preserve">увек </w:t>
      </w:r>
      <w:r w:rsidRPr="00A021B7">
        <w:rPr>
          <w:rFonts w:ascii="Arial" w:hAnsi="Arial" w:cs="Arial"/>
          <w:sz w:val="20"/>
          <w:szCs w:val="20"/>
          <w:lang w:val="sr-Cyrl-RS"/>
        </w:rPr>
        <w:t>постој</w:t>
      </w:r>
      <w:r w:rsidR="007D68E2">
        <w:rPr>
          <w:rFonts w:ascii="Arial" w:hAnsi="Arial" w:cs="Arial"/>
          <w:sz w:val="20"/>
          <w:szCs w:val="20"/>
          <w:lang w:val="sr-Cyrl-RS"/>
        </w:rPr>
        <w:t>е</w:t>
      </w:r>
      <w:r w:rsidRPr="00A021B7">
        <w:rPr>
          <w:rFonts w:ascii="Arial" w:hAnsi="Arial" w:cs="Arial"/>
          <w:sz w:val="20"/>
          <w:szCs w:val="20"/>
          <w:lang w:val="sr-Cyrl-RS"/>
        </w:rPr>
        <w:t xml:space="preserve"> препрек</w:t>
      </w:r>
      <w:r w:rsidR="007D68E2">
        <w:rPr>
          <w:rFonts w:ascii="Arial" w:hAnsi="Arial" w:cs="Arial"/>
          <w:sz w:val="20"/>
          <w:szCs w:val="20"/>
          <w:lang w:val="sr-Cyrl-RS"/>
        </w:rPr>
        <w:t>е</w:t>
      </w:r>
      <w:r w:rsidRPr="00A021B7">
        <w:rPr>
          <w:rFonts w:ascii="Arial" w:hAnsi="Arial" w:cs="Arial"/>
          <w:sz w:val="20"/>
          <w:szCs w:val="20"/>
          <w:lang w:val="sr-Cyrl-RS"/>
        </w:rPr>
        <w:t xml:space="preserve"> и изазов</w:t>
      </w:r>
      <w:r w:rsidR="007D68E2">
        <w:rPr>
          <w:rFonts w:ascii="Arial" w:hAnsi="Arial" w:cs="Arial"/>
          <w:sz w:val="20"/>
          <w:szCs w:val="20"/>
          <w:lang w:val="sr-Cyrl-RS"/>
        </w:rPr>
        <w:t>и</w:t>
      </w:r>
      <w:r w:rsidRPr="00A021B7">
        <w:rPr>
          <w:rFonts w:ascii="Arial" w:hAnsi="Arial" w:cs="Arial"/>
          <w:sz w:val="20"/>
          <w:szCs w:val="20"/>
          <w:lang w:val="sr-Cyrl-RS"/>
        </w:rPr>
        <w:t xml:space="preserve"> </w:t>
      </w:r>
      <w:r w:rsidR="1507668D" w:rsidRPr="00A021B7">
        <w:rPr>
          <w:rFonts w:ascii="Arial" w:hAnsi="Arial" w:cs="Arial"/>
          <w:sz w:val="20"/>
          <w:szCs w:val="20"/>
          <w:lang w:val="sr-Cyrl-RS"/>
        </w:rPr>
        <w:t>у спровођењу прописаног правног</w:t>
      </w:r>
      <w:r w:rsidR="50AF2C4A" w:rsidRPr="00A021B7">
        <w:rPr>
          <w:rFonts w:ascii="Arial" w:hAnsi="Arial" w:cs="Arial"/>
          <w:sz w:val="20"/>
          <w:szCs w:val="20"/>
          <w:lang w:val="sr-Cyrl-RS"/>
        </w:rPr>
        <w:t xml:space="preserve"> оквира</w:t>
      </w:r>
      <w:r w:rsidR="4E06F0C7" w:rsidRPr="00A021B7">
        <w:rPr>
          <w:rFonts w:ascii="Arial" w:hAnsi="Arial" w:cs="Arial"/>
          <w:sz w:val="20"/>
          <w:szCs w:val="20"/>
          <w:lang w:val="sr-Cyrl-RS"/>
        </w:rPr>
        <w:t>,</w:t>
      </w:r>
      <w:r w:rsidR="1507668D" w:rsidRPr="00A021B7">
        <w:rPr>
          <w:rFonts w:ascii="Arial" w:hAnsi="Arial" w:cs="Arial"/>
          <w:sz w:val="20"/>
          <w:szCs w:val="20"/>
          <w:lang w:val="sr-Cyrl-RS"/>
        </w:rPr>
        <w:t xml:space="preserve"> али и</w:t>
      </w:r>
      <w:r w:rsidR="50AF2C4A" w:rsidRPr="00A021B7">
        <w:rPr>
          <w:rFonts w:ascii="Arial" w:hAnsi="Arial" w:cs="Arial"/>
          <w:sz w:val="20"/>
          <w:szCs w:val="20"/>
          <w:lang w:val="sr-Cyrl-RS"/>
        </w:rPr>
        <w:t xml:space="preserve"> примери</w:t>
      </w:r>
      <w:r w:rsidR="1507668D" w:rsidRPr="00A021B7">
        <w:rPr>
          <w:rFonts w:ascii="Arial" w:hAnsi="Arial" w:cs="Arial"/>
          <w:sz w:val="20"/>
          <w:szCs w:val="20"/>
          <w:lang w:val="sr-Cyrl-RS"/>
        </w:rPr>
        <w:t xml:space="preserve"> његове </w:t>
      </w:r>
      <w:r w:rsidR="35BC4A98" w:rsidRPr="00A021B7">
        <w:rPr>
          <w:rFonts w:ascii="Arial" w:hAnsi="Arial" w:cs="Arial"/>
          <w:sz w:val="20"/>
          <w:szCs w:val="20"/>
          <w:lang w:val="sr-Cyrl-RS"/>
        </w:rPr>
        <w:t>недоследне примен</w:t>
      </w:r>
      <w:r w:rsidRPr="00A021B7">
        <w:rPr>
          <w:rFonts w:ascii="Arial" w:hAnsi="Arial" w:cs="Arial"/>
          <w:sz w:val="20"/>
          <w:szCs w:val="20"/>
          <w:lang w:val="sr-Cyrl-RS"/>
        </w:rPr>
        <w:t>е</w:t>
      </w:r>
      <w:r w:rsidR="35BC4A98" w:rsidRPr="00A021B7">
        <w:rPr>
          <w:rFonts w:ascii="Arial" w:hAnsi="Arial" w:cs="Arial"/>
          <w:sz w:val="20"/>
          <w:szCs w:val="20"/>
          <w:lang w:val="sr-Cyrl-RS"/>
        </w:rPr>
        <w:t xml:space="preserve"> </w:t>
      </w:r>
      <w:r w:rsidR="4E06F0C7" w:rsidRPr="00A021B7">
        <w:rPr>
          <w:rFonts w:ascii="Arial" w:hAnsi="Arial" w:cs="Arial"/>
          <w:sz w:val="20"/>
          <w:szCs w:val="20"/>
          <w:lang w:val="sr-Cyrl-RS"/>
        </w:rPr>
        <w:t xml:space="preserve">у неким </w:t>
      </w:r>
      <w:r w:rsidR="35BC4A98" w:rsidRPr="00A021B7">
        <w:rPr>
          <w:rFonts w:ascii="Arial" w:hAnsi="Arial" w:cs="Arial"/>
          <w:sz w:val="20"/>
          <w:szCs w:val="20"/>
          <w:lang w:val="sr-Cyrl-RS"/>
        </w:rPr>
        <w:t>ЈЛС.</w:t>
      </w:r>
    </w:p>
    <w:p w14:paraId="2704043F" w14:textId="77777777" w:rsidR="001C7C2E" w:rsidRPr="00A021B7" w:rsidRDefault="001C7C2E" w:rsidP="1A8E6423">
      <w:pPr>
        <w:ind w:firstLine="720"/>
        <w:jc w:val="both"/>
        <w:rPr>
          <w:rFonts w:ascii="Arial" w:hAnsi="Arial" w:cs="Arial"/>
          <w:sz w:val="20"/>
          <w:szCs w:val="20"/>
          <w:lang w:val="sr-Cyrl-RS" w:eastAsia="ar-SA"/>
        </w:rPr>
      </w:pPr>
    </w:p>
    <w:p w14:paraId="6023AA6B" w14:textId="47D917A5" w:rsidR="001C7C2E" w:rsidRPr="00A021B7" w:rsidRDefault="001C7C2E" w:rsidP="1A8E6423">
      <w:pPr>
        <w:ind w:firstLine="720"/>
        <w:contextualSpacing/>
        <w:jc w:val="both"/>
        <w:rPr>
          <w:rFonts w:ascii="Arial" w:hAnsi="Arial" w:cs="Arial"/>
          <w:sz w:val="20"/>
          <w:szCs w:val="20"/>
          <w:lang w:val="sr-Cyrl-RS" w:eastAsia="ar-SA"/>
        </w:rPr>
      </w:pPr>
      <w:r w:rsidRPr="1A8E6423">
        <w:rPr>
          <w:rFonts w:ascii="Arial" w:hAnsi="Arial" w:cs="Arial"/>
          <w:sz w:val="20"/>
          <w:szCs w:val="20"/>
          <w:lang w:val="sr-Cyrl-RS" w:eastAsia="ar-SA"/>
        </w:rPr>
        <w:t xml:space="preserve">Анализа стања </w:t>
      </w:r>
      <w:r w:rsidR="006249CD" w:rsidRPr="1A8E6423">
        <w:rPr>
          <w:rFonts w:ascii="Arial" w:hAnsi="Arial" w:cs="Arial"/>
          <w:sz w:val="20"/>
          <w:szCs w:val="20"/>
          <w:lang w:val="sr-Cyrl-RS" w:eastAsia="ar-SA"/>
        </w:rPr>
        <w:t xml:space="preserve">на основу </w:t>
      </w:r>
      <w:r w:rsidRPr="1A8E6423">
        <w:rPr>
          <w:rFonts w:ascii="Arial" w:hAnsi="Arial" w:cs="Arial"/>
          <w:sz w:val="20"/>
          <w:szCs w:val="20"/>
          <w:lang w:val="sr-Cyrl-RS" w:eastAsia="ar-SA"/>
        </w:rPr>
        <w:t>индекс</w:t>
      </w:r>
      <w:r w:rsidR="006249CD" w:rsidRPr="1A8E6423">
        <w:rPr>
          <w:rFonts w:ascii="Arial" w:hAnsi="Arial" w:cs="Arial"/>
          <w:sz w:val="20"/>
          <w:szCs w:val="20"/>
          <w:lang w:val="sr-Cyrl-RS" w:eastAsia="ar-SA"/>
        </w:rPr>
        <w:t>а</w:t>
      </w:r>
      <w:r w:rsidRPr="1A8E6423">
        <w:rPr>
          <w:rFonts w:ascii="Arial" w:hAnsi="Arial" w:cs="Arial"/>
          <w:sz w:val="20"/>
          <w:szCs w:val="20"/>
          <w:lang w:val="sr-Cyrl-RS" w:eastAsia="ar-SA"/>
        </w:rPr>
        <w:t xml:space="preserve"> за УЉР је показала да просечан </w:t>
      </w:r>
      <w:r w:rsidR="00453633" w:rsidRPr="1A8E6423">
        <w:rPr>
          <w:rFonts w:ascii="Arial" w:hAnsi="Arial" w:cs="Arial"/>
          <w:sz w:val="20"/>
          <w:szCs w:val="20"/>
          <w:lang w:val="sr-Cyrl-RS" w:eastAsia="ar-SA"/>
        </w:rPr>
        <w:t xml:space="preserve">резултат </w:t>
      </w:r>
      <w:r w:rsidRPr="1A8E6423">
        <w:rPr>
          <w:rFonts w:ascii="Arial" w:hAnsi="Arial" w:cs="Arial"/>
          <w:sz w:val="20"/>
          <w:szCs w:val="20"/>
          <w:lang w:val="sr-Cyrl-RS" w:eastAsia="ar-SA"/>
        </w:rPr>
        <w:t xml:space="preserve">градова и општина износи </w:t>
      </w:r>
      <w:r w:rsidR="00A76857" w:rsidRPr="1A8E6423">
        <w:rPr>
          <w:rFonts w:ascii="Arial" w:hAnsi="Arial" w:cs="Arial"/>
          <w:sz w:val="20"/>
          <w:szCs w:val="20"/>
          <w:lang w:val="sr-Cyrl-RS" w:eastAsia="ar-SA"/>
        </w:rPr>
        <w:t>5</w:t>
      </w:r>
      <w:r w:rsidR="00545523" w:rsidRPr="1A8E6423">
        <w:rPr>
          <w:rFonts w:ascii="Arial" w:hAnsi="Arial" w:cs="Arial"/>
          <w:sz w:val="20"/>
          <w:szCs w:val="20"/>
          <w:lang w:val="sr-Cyrl-RS" w:eastAsia="ar-SA"/>
        </w:rPr>
        <w:t>1</w:t>
      </w:r>
      <w:r w:rsidRPr="1A8E6423">
        <w:rPr>
          <w:rFonts w:ascii="Arial" w:hAnsi="Arial" w:cs="Arial"/>
          <w:sz w:val="20"/>
          <w:szCs w:val="20"/>
          <w:lang w:val="sr-Cyrl-RS" w:eastAsia="ar-SA"/>
        </w:rPr>
        <w:t xml:space="preserve">%. У области управљачких и кадровских капацитета за УЉР ситуација је </w:t>
      </w:r>
      <w:r w:rsidR="003008E4" w:rsidRPr="1A8E6423">
        <w:rPr>
          <w:rFonts w:ascii="Arial" w:hAnsi="Arial" w:cs="Arial"/>
          <w:sz w:val="20"/>
          <w:szCs w:val="20"/>
          <w:lang w:val="sr-Cyrl-RS" w:eastAsia="ar-SA"/>
        </w:rPr>
        <w:t xml:space="preserve">релативно </w:t>
      </w:r>
      <w:r w:rsidRPr="1A8E6423">
        <w:rPr>
          <w:rFonts w:ascii="Arial" w:hAnsi="Arial" w:cs="Arial"/>
          <w:sz w:val="20"/>
          <w:szCs w:val="20"/>
          <w:lang w:val="sr-Cyrl-RS" w:eastAsia="ar-SA"/>
        </w:rPr>
        <w:t xml:space="preserve">задовољавајућа. Према резултатима истраживања, </w:t>
      </w:r>
      <w:r w:rsidR="0007081B" w:rsidRPr="1A8E6423">
        <w:rPr>
          <w:rFonts w:ascii="Arial" w:hAnsi="Arial" w:cs="Arial"/>
          <w:sz w:val="20"/>
          <w:szCs w:val="20"/>
          <w:lang w:val="sr-Cyrl-RS" w:eastAsia="ar-SA"/>
        </w:rPr>
        <w:t>61</w:t>
      </w:r>
      <w:r w:rsidRPr="1A8E6423">
        <w:rPr>
          <w:rFonts w:ascii="Arial" w:hAnsi="Arial" w:cs="Arial"/>
          <w:sz w:val="20"/>
          <w:szCs w:val="20"/>
          <w:lang w:val="sr-Cyrl-RS" w:eastAsia="ar-SA"/>
        </w:rPr>
        <w:t xml:space="preserve">% анализираних локалних власти има посебне организационе јединице као самостална одељења, одсеке или групе, са најмање три у већим, односно једним запосленим у мањим ЈЛС. </w:t>
      </w:r>
      <w:r w:rsidR="007D68E2" w:rsidRPr="1A8E6423">
        <w:rPr>
          <w:rFonts w:ascii="Arial" w:hAnsi="Arial" w:cs="Arial"/>
          <w:sz w:val="20"/>
          <w:szCs w:val="20"/>
          <w:lang w:val="sr-Cyrl-RS" w:eastAsia="ar-SA"/>
        </w:rPr>
        <w:t xml:space="preserve">Око </w:t>
      </w:r>
      <w:r w:rsidR="0007081B" w:rsidRPr="1A8E6423">
        <w:rPr>
          <w:rFonts w:ascii="Arial" w:hAnsi="Arial" w:cs="Arial"/>
          <w:sz w:val="20"/>
          <w:szCs w:val="20"/>
          <w:lang w:val="sr-Cyrl-RS" w:eastAsia="ar-SA"/>
        </w:rPr>
        <w:t>64</w:t>
      </w:r>
      <w:r w:rsidR="00536380"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ЈЛС има потпуно задовољавајућу кадровску структуру везан</w:t>
      </w:r>
      <w:r w:rsidR="007D68E2" w:rsidRPr="1A8E6423">
        <w:rPr>
          <w:rFonts w:ascii="Arial" w:hAnsi="Arial" w:cs="Arial"/>
          <w:sz w:val="20"/>
          <w:szCs w:val="20"/>
          <w:lang w:val="sr-Cyrl-RS" w:eastAsia="ar-SA"/>
        </w:rPr>
        <w:t>у</w:t>
      </w:r>
      <w:r w:rsidRPr="1A8E6423">
        <w:rPr>
          <w:rFonts w:ascii="Arial" w:hAnsi="Arial" w:cs="Arial"/>
          <w:sz w:val="20"/>
          <w:szCs w:val="20"/>
          <w:lang w:val="sr-Cyrl-RS" w:eastAsia="ar-SA"/>
        </w:rPr>
        <w:t xml:space="preserve"> за послове УЉР, односно на </w:t>
      </w:r>
      <w:r w:rsidR="003D4341" w:rsidRPr="1A8E6423">
        <w:rPr>
          <w:rFonts w:ascii="Arial" w:hAnsi="Arial" w:cs="Arial"/>
          <w:sz w:val="20"/>
          <w:szCs w:val="20"/>
          <w:lang w:val="sr-Cyrl-RS" w:eastAsia="ar-SA"/>
        </w:rPr>
        <w:t xml:space="preserve">тим </w:t>
      </w:r>
      <w:r w:rsidRPr="1A8E6423">
        <w:rPr>
          <w:rFonts w:ascii="Arial" w:hAnsi="Arial" w:cs="Arial"/>
          <w:sz w:val="20"/>
          <w:szCs w:val="20"/>
          <w:lang w:val="sr-Cyrl-RS" w:eastAsia="ar-SA"/>
        </w:rPr>
        <w:t xml:space="preserve">пословима ради више </w:t>
      </w:r>
      <w:r w:rsidR="007D68E2" w:rsidRPr="1A8E6423">
        <w:rPr>
          <w:rFonts w:ascii="Arial" w:hAnsi="Arial" w:cs="Arial"/>
          <w:sz w:val="20"/>
          <w:szCs w:val="20"/>
          <w:lang w:val="sr-Cyrl-RS" w:eastAsia="ar-SA"/>
        </w:rPr>
        <w:t xml:space="preserve">запослених </w:t>
      </w:r>
      <w:r w:rsidRPr="1A8E6423">
        <w:rPr>
          <w:rFonts w:ascii="Arial" w:hAnsi="Arial" w:cs="Arial"/>
          <w:sz w:val="20"/>
          <w:szCs w:val="20"/>
          <w:lang w:val="sr-Cyrl-RS" w:eastAsia="ar-SA"/>
        </w:rPr>
        <w:t>или најмање један запослени са високом стручном спремом (≥240 ЕСПБ). Остале ЈЛС имају нешто ниже капацитете</w:t>
      </w:r>
      <w:r w:rsidR="003D4341"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али се може рећи да су организациони и кадровски капацитети у формалном смислу на </w:t>
      </w:r>
      <w:r w:rsidR="00794E34" w:rsidRPr="1A8E6423">
        <w:rPr>
          <w:rFonts w:ascii="Arial" w:hAnsi="Arial" w:cs="Arial"/>
          <w:sz w:val="20"/>
          <w:szCs w:val="20"/>
          <w:lang w:val="sr-Cyrl-RS" w:eastAsia="ar-SA"/>
        </w:rPr>
        <w:t>прихватљи</w:t>
      </w:r>
      <w:r w:rsidR="00716BA5" w:rsidRPr="1A8E6423">
        <w:rPr>
          <w:rFonts w:ascii="Arial" w:hAnsi="Arial" w:cs="Arial"/>
          <w:sz w:val="20"/>
          <w:szCs w:val="20"/>
          <w:lang w:val="sr-Cyrl-RS" w:eastAsia="ar-SA"/>
        </w:rPr>
        <w:t>вом</w:t>
      </w:r>
      <w:r w:rsidR="00D84A0B" w:rsidRPr="1A8E6423">
        <w:rPr>
          <w:rFonts w:ascii="Arial" w:hAnsi="Arial" w:cs="Arial"/>
          <w:sz w:val="20"/>
          <w:szCs w:val="20"/>
          <w:lang w:val="sr-Cyrl-RS" w:eastAsia="ar-SA"/>
        </w:rPr>
        <w:t xml:space="preserve"> </w:t>
      </w:r>
      <w:r w:rsidRPr="1A8E6423">
        <w:rPr>
          <w:rFonts w:ascii="Arial" w:hAnsi="Arial" w:cs="Arial"/>
          <w:sz w:val="20"/>
          <w:szCs w:val="20"/>
          <w:lang w:val="sr-Cyrl-RS" w:eastAsia="ar-SA"/>
        </w:rPr>
        <w:t>нивоу</w:t>
      </w:r>
      <w:r w:rsidR="00E5009B" w:rsidRPr="1A8E6423">
        <w:rPr>
          <w:rFonts w:ascii="Arial" w:hAnsi="Arial" w:cs="Arial"/>
          <w:sz w:val="20"/>
          <w:szCs w:val="20"/>
          <w:lang w:val="sr-Cyrl-RS" w:eastAsia="ar-SA"/>
        </w:rPr>
        <w:t xml:space="preserve">, </w:t>
      </w:r>
      <w:r w:rsidR="001C62DE" w:rsidRPr="1A8E6423">
        <w:rPr>
          <w:rFonts w:ascii="Arial" w:hAnsi="Arial" w:cs="Arial"/>
          <w:sz w:val="20"/>
          <w:szCs w:val="20"/>
          <w:lang w:val="sr-Cyrl-RS" w:eastAsia="ar-SA"/>
        </w:rPr>
        <w:t>али је неопходно</w:t>
      </w:r>
      <w:r w:rsidR="00E5009B" w:rsidRPr="1A8E6423">
        <w:rPr>
          <w:rFonts w:ascii="Arial" w:hAnsi="Arial" w:cs="Arial"/>
          <w:sz w:val="20"/>
          <w:szCs w:val="20"/>
          <w:lang w:val="sr-Cyrl-RS" w:eastAsia="ar-SA"/>
        </w:rPr>
        <w:t xml:space="preserve"> </w:t>
      </w:r>
      <w:r w:rsidR="0016138F" w:rsidRPr="1A8E6423">
        <w:rPr>
          <w:rFonts w:ascii="Arial" w:hAnsi="Arial" w:cs="Arial"/>
          <w:sz w:val="20"/>
          <w:szCs w:val="20"/>
          <w:lang w:val="sr-Cyrl-RS" w:eastAsia="ar-SA"/>
        </w:rPr>
        <w:t>уложити напоре у</w:t>
      </w:r>
      <w:r w:rsidR="001C62DE" w:rsidRPr="1A8E6423">
        <w:rPr>
          <w:rFonts w:ascii="Arial" w:hAnsi="Arial" w:cs="Arial"/>
          <w:sz w:val="20"/>
          <w:szCs w:val="20"/>
          <w:lang w:val="sr-Cyrl-RS" w:eastAsia="ar-SA"/>
        </w:rPr>
        <w:t xml:space="preserve"> </w:t>
      </w:r>
      <w:r w:rsidR="00F44D9D" w:rsidRPr="1A8E6423">
        <w:rPr>
          <w:rFonts w:ascii="Arial" w:hAnsi="Arial" w:cs="Arial"/>
          <w:sz w:val="20"/>
          <w:szCs w:val="20"/>
          <w:lang w:val="sr-Cyrl-RS" w:eastAsia="ar-SA"/>
        </w:rPr>
        <w:t xml:space="preserve">подизање неопходних </w:t>
      </w:r>
      <w:r w:rsidR="00784EA6" w:rsidRPr="1A8E6423">
        <w:rPr>
          <w:rFonts w:ascii="Arial" w:hAnsi="Arial" w:cs="Arial"/>
          <w:sz w:val="20"/>
          <w:szCs w:val="20"/>
          <w:lang w:val="sr-Cyrl-RS" w:eastAsia="ar-SA"/>
        </w:rPr>
        <w:t>компетенција</w:t>
      </w:r>
      <w:r w:rsidR="006115E8" w:rsidRPr="1A8E6423">
        <w:rPr>
          <w:rFonts w:ascii="Arial" w:hAnsi="Arial" w:cs="Arial"/>
          <w:sz w:val="20"/>
          <w:szCs w:val="20"/>
          <w:lang w:val="sr-Cyrl-RS" w:eastAsia="ar-SA"/>
        </w:rPr>
        <w:t xml:space="preserve"> и мотивације </w:t>
      </w:r>
      <w:r w:rsidR="00FB7B7D" w:rsidRPr="1A8E6423">
        <w:rPr>
          <w:rFonts w:ascii="Arial" w:hAnsi="Arial" w:cs="Arial"/>
          <w:sz w:val="20"/>
          <w:szCs w:val="20"/>
          <w:lang w:val="sr-Cyrl-RS" w:eastAsia="ar-SA"/>
        </w:rPr>
        <w:t>запослених н</w:t>
      </w:r>
      <w:r w:rsidR="003D2208" w:rsidRPr="1A8E6423">
        <w:rPr>
          <w:rFonts w:ascii="Arial" w:hAnsi="Arial" w:cs="Arial"/>
          <w:sz w:val="20"/>
          <w:szCs w:val="20"/>
          <w:lang w:val="sr-Cyrl-RS" w:eastAsia="ar-SA"/>
        </w:rPr>
        <w:t>а тим местима</w:t>
      </w:r>
      <w:r w:rsidR="009266AC" w:rsidRPr="1A8E6423">
        <w:rPr>
          <w:rFonts w:ascii="Arial" w:hAnsi="Arial" w:cs="Arial"/>
          <w:sz w:val="20"/>
          <w:szCs w:val="20"/>
          <w:lang w:val="sr-Cyrl-RS" w:eastAsia="ar-SA"/>
        </w:rPr>
        <w:t>, на шта указују даљи налази</w:t>
      </w:r>
      <w:r w:rsidR="00203D1F" w:rsidRPr="1A8E6423">
        <w:rPr>
          <w:rFonts w:ascii="Arial" w:hAnsi="Arial" w:cs="Arial"/>
          <w:sz w:val="20"/>
          <w:szCs w:val="20"/>
          <w:lang w:val="sr-Cyrl-RS" w:eastAsia="ar-SA"/>
        </w:rPr>
        <w:t>.</w:t>
      </w:r>
    </w:p>
    <w:p w14:paraId="534DBA4A" w14:textId="77777777" w:rsidR="001C7C2E" w:rsidRPr="00A021B7" w:rsidRDefault="001C7C2E" w:rsidP="1A8E6423">
      <w:pPr>
        <w:ind w:firstLine="720"/>
        <w:contextualSpacing/>
        <w:jc w:val="both"/>
        <w:rPr>
          <w:rFonts w:ascii="Arial" w:hAnsi="Arial" w:cs="Arial"/>
          <w:sz w:val="20"/>
          <w:szCs w:val="20"/>
          <w:lang w:val="sr-Cyrl-RS" w:eastAsia="ar-SA"/>
        </w:rPr>
      </w:pPr>
    </w:p>
    <w:p w14:paraId="67F0868B" w14:textId="78A6F33A" w:rsidR="001C7C2E" w:rsidRPr="00A021B7" w:rsidRDefault="001C7C2E" w:rsidP="1A8E6423">
      <w:pPr>
        <w:ind w:firstLine="720"/>
        <w:contextualSpacing/>
        <w:jc w:val="both"/>
        <w:rPr>
          <w:rFonts w:ascii="Arial" w:hAnsi="Arial" w:cs="Arial"/>
          <w:sz w:val="20"/>
          <w:szCs w:val="20"/>
          <w:lang w:val="sr-Cyrl-RS"/>
        </w:rPr>
      </w:pPr>
      <w:r w:rsidRPr="1A8E6423">
        <w:rPr>
          <w:rFonts w:ascii="Arial" w:hAnsi="Arial" w:cs="Arial"/>
          <w:sz w:val="20"/>
          <w:szCs w:val="20"/>
          <w:lang w:val="sr-Cyrl-RS" w:eastAsia="ar-SA"/>
        </w:rPr>
        <w:t>Ипак, и поред солидне кадровске и управне структуре за УЉР, унутар ЈЛС постоје недостаци који имају негативан утицај на функционисање УЉР. Један од веома важних сегмената управљања људским ресурсима је свакако планирање кадрова</w:t>
      </w:r>
      <w:r w:rsidR="007D68E2"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које се још увек не спроводи на задовољавајући начин. Тек нешто више од трећине анкетираних ЈЛС (</w:t>
      </w:r>
      <w:r w:rsidR="004973D1" w:rsidRPr="1A8E6423">
        <w:rPr>
          <w:rFonts w:ascii="Arial" w:hAnsi="Arial" w:cs="Arial"/>
          <w:sz w:val="20"/>
          <w:szCs w:val="20"/>
          <w:lang w:val="sr-Cyrl-RS" w:eastAsia="ar-SA"/>
        </w:rPr>
        <w:t>39</w:t>
      </w:r>
      <w:r w:rsidRPr="1A8E6423">
        <w:rPr>
          <w:rFonts w:ascii="Arial" w:hAnsi="Arial" w:cs="Arial"/>
          <w:sz w:val="20"/>
          <w:szCs w:val="20"/>
          <w:lang w:val="sr-Cyrl-RS" w:eastAsia="ar-SA"/>
        </w:rPr>
        <w:t>%) припрема годишњи кадровски план благовремено</w:t>
      </w:r>
      <w:r w:rsidR="007D68E2"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на основу свеобухватне анализе стања и потреба </w:t>
      </w:r>
      <w:r w:rsidR="007D68E2" w:rsidRPr="1A8E6423">
        <w:rPr>
          <w:rFonts w:ascii="Arial" w:hAnsi="Arial" w:cs="Arial"/>
          <w:sz w:val="20"/>
          <w:szCs w:val="20"/>
          <w:lang w:val="sr-Cyrl-RS" w:eastAsia="ar-SA"/>
        </w:rPr>
        <w:t xml:space="preserve">за </w:t>
      </w:r>
      <w:r w:rsidRPr="1A8E6423">
        <w:rPr>
          <w:rFonts w:ascii="Arial" w:hAnsi="Arial" w:cs="Arial"/>
          <w:sz w:val="20"/>
          <w:szCs w:val="20"/>
          <w:lang w:val="sr-Cyrl-RS" w:eastAsia="ar-SA"/>
        </w:rPr>
        <w:t>кадровима, систематизације радних места и планиран</w:t>
      </w:r>
      <w:r w:rsidR="00677609" w:rsidRPr="1A8E6423">
        <w:rPr>
          <w:rFonts w:ascii="Arial" w:hAnsi="Arial" w:cs="Arial"/>
          <w:sz w:val="20"/>
          <w:szCs w:val="20"/>
          <w:lang w:val="sr-Cyrl-RS" w:eastAsia="ar-SA"/>
        </w:rPr>
        <w:t>ог</w:t>
      </w:r>
      <w:r w:rsidRPr="1A8E6423">
        <w:rPr>
          <w:rFonts w:ascii="Arial" w:hAnsi="Arial" w:cs="Arial"/>
          <w:sz w:val="20"/>
          <w:szCs w:val="20"/>
          <w:lang w:val="sr-Cyrl-RS" w:eastAsia="ar-SA"/>
        </w:rPr>
        <w:t xml:space="preserve"> буџет</w:t>
      </w:r>
      <w:r w:rsidR="00677609" w:rsidRPr="1A8E6423">
        <w:rPr>
          <w:rFonts w:ascii="Arial" w:hAnsi="Arial" w:cs="Arial"/>
          <w:sz w:val="20"/>
          <w:szCs w:val="20"/>
          <w:lang w:val="sr-Cyrl-RS" w:eastAsia="ar-SA"/>
        </w:rPr>
        <w:t>а</w:t>
      </w:r>
      <w:r w:rsidRPr="1A8E6423">
        <w:rPr>
          <w:rFonts w:ascii="Arial" w:hAnsi="Arial" w:cs="Arial"/>
          <w:sz w:val="20"/>
          <w:szCs w:val="20"/>
          <w:lang w:val="sr-Cyrl-RS" w:eastAsia="ar-SA"/>
        </w:rPr>
        <w:t xml:space="preserve"> за наредну годину</w:t>
      </w:r>
      <w:r w:rsidR="00677609"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док чак </w:t>
      </w:r>
      <w:r w:rsidR="002E0942" w:rsidRPr="1A8E6423">
        <w:rPr>
          <w:rFonts w:ascii="Arial" w:hAnsi="Arial" w:cs="Arial"/>
          <w:sz w:val="20"/>
          <w:szCs w:val="20"/>
          <w:lang w:val="sr-Cyrl-RS" w:eastAsia="ar-SA"/>
        </w:rPr>
        <w:t>59</w:t>
      </w:r>
      <w:r w:rsidRPr="1A8E6423">
        <w:rPr>
          <w:rFonts w:ascii="Arial" w:hAnsi="Arial" w:cs="Arial"/>
          <w:sz w:val="20"/>
          <w:szCs w:val="20"/>
          <w:lang w:val="sr-Cyrl-RS" w:eastAsia="ar-SA"/>
        </w:rPr>
        <w:t xml:space="preserve">% </w:t>
      </w:r>
      <w:r w:rsidR="00BA3261" w:rsidRPr="1A8E6423">
        <w:rPr>
          <w:rFonts w:ascii="Arial" w:hAnsi="Arial" w:cs="Arial"/>
          <w:sz w:val="20"/>
          <w:szCs w:val="20"/>
          <w:lang w:val="sr-Cyrl-RS" w:eastAsia="ar-SA"/>
        </w:rPr>
        <w:t xml:space="preserve">ЈЛС </w:t>
      </w:r>
      <w:r w:rsidRPr="1A8E6423">
        <w:rPr>
          <w:rFonts w:ascii="Arial" w:hAnsi="Arial" w:cs="Arial"/>
          <w:sz w:val="20"/>
          <w:szCs w:val="20"/>
          <w:lang w:val="sr-Cyrl-RS" w:eastAsia="ar-SA"/>
        </w:rPr>
        <w:t>доноси и усваја кадровски план само на основу доступних података и усклађивања са буџетом</w:t>
      </w:r>
      <w:bookmarkStart w:id="88" w:name="_Hlk42091090"/>
      <w:r w:rsidRPr="1A8E6423">
        <w:rPr>
          <w:rFonts w:ascii="Arial" w:hAnsi="Arial" w:cs="Arial"/>
          <w:sz w:val="20"/>
          <w:szCs w:val="20"/>
          <w:lang w:val="sr-Cyrl-RS" w:eastAsia="ar-SA"/>
        </w:rPr>
        <w:t xml:space="preserve">. </w:t>
      </w:r>
      <w:bookmarkEnd w:id="88"/>
      <w:r w:rsidR="00DC2FEA" w:rsidRPr="1A8E6423">
        <w:rPr>
          <w:rFonts w:ascii="Arial" w:hAnsi="Arial" w:cs="Arial"/>
          <w:sz w:val="20"/>
          <w:szCs w:val="20"/>
          <w:lang w:val="sr-Cyrl-RS" w:eastAsia="ar-SA"/>
        </w:rPr>
        <w:t>Од укупног броја испитаних ЈЛС, једна се изјаснила да не припрема кадровски план у складу са потребама и бу</w:t>
      </w:r>
      <w:r w:rsidR="00D36F94" w:rsidRPr="1A8E6423">
        <w:rPr>
          <w:rFonts w:ascii="Arial" w:hAnsi="Arial" w:cs="Arial"/>
          <w:sz w:val="20"/>
          <w:szCs w:val="20"/>
          <w:lang w:val="sr-Cyrl-RS" w:eastAsia="ar-SA"/>
        </w:rPr>
        <w:t>џ</w:t>
      </w:r>
      <w:r w:rsidR="00DC2FEA" w:rsidRPr="1A8E6423">
        <w:rPr>
          <w:rFonts w:ascii="Arial" w:hAnsi="Arial" w:cs="Arial"/>
          <w:sz w:val="20"/>
          <w:szCs w:val="20"/>
          <w:lang w:val="sr-Cyrl-RS" w:eastAsia="ar-SA"/>
        </w:rPr>
        <w:t xml:space="preserve">етским календаром. </w:t>
      </w:r>
      <w:r w:rsidRPr="1A8E6423">
        <w:rPr>
          <w:rFonts w:ascii="Arial" w:hAnsi="Arial" w:cs="Arial"/>
          <w:sz w:val="20"/>
          <w:szCs w:val="20"/>
          <w:lang w:val="sr-Cyrl-RS" w:eastAsia="ar-SA"/>
        </w:rPr>
        <w:t xml:space="preserve">Ова ситуација свакако није </w:t>
      </w:r>
      <w:r w:rsidR="000E796B" w:rsidRPr="1A8E6423">
        <w:rPr>
          <w:rFonts w:ascii="Arial" w:hAnsi="Arial" w:cs="Arial"/>
          <w:sz w:val="20"/>
          <w:szCs w:val="20"/>
          <w:lang w:val="sr-Cyrl-RS" w:eastAsia="ar-SA"/>
        </w:rPr>
        <w:t>добра</w:t>
      </w:r>
      <w:r w:rsidR="00BA3261" w:rsidRPr="1A8E6423">
        <w:rPr>
          <w:rFonts w:ascii="Arial" w:hAnsi="Arial" w:cs="Arial"/>
          <w:sz w:val="20"/>
          <w:szCs w:val="20"/>
          <w:lang w:val="sr-Cyrl-RS" w:eastAsia="ar-SA"/>
        </w:rPr>
        <w:t>,</w:t>
      </w:r>
      <w:r w:rsidRPr="1A8E6423">
        <w:rPr>
          <w:rFonts w:ascii="Arial" w:hAnsi="Arial" w:cs="Arial"/>
          <w:sz w:val="20"/>
          <w:szCs w:val="20"/>
          <w:lang w:val="sr-Cyrl-RS" w:eastAsia="ar-SA"/>
        </w:rPr>
        <w:t xml:space="preserve"> јер је правилна припрема кадровског плана једна од кључних активности </w:t>
      </w:r>
      <w:r w:rsidR="00BA3261" w:rsidRPr="1A8E6423">
        <w:rPr>
          <w:rFonts w:ascii="Arial" w:hAnsi="Arial" w:cs="Arial"/>
          <w:sz w:val="20"/>
          <w:szCs w:val="20"/>
          <w:lang w:val="sr-Cyrl-RS" w:eastAsia="ar-SA"/>
        </w:rPr>
        <w:t>УЉР</w:t>
      </w:r>
      <w:r w:rsidRPr="1A8E6423">
        <w:rPr>
          <w:rFonts w:ascii="Arial" w:hAnsi="Arial" w:cs="Arial"/>
          <w:sz w:val="20"/>
          <w:szCs w:val="20"/>
          <w:lang w:val="sr-Cyrl-RS" w:eastAsia="ar-SA"/>
        </w:rPr>
        <w:t>.</w:t>
      </w:r>
      <w:r w:rsidRPr="1A8E6423">
        <w:rPr>
          <w:rFonts w:ascii="Arial" w:hAnsi="Arial" w:cs="Arial"/>
          <w:sz w:val="20"/>
          <w:szCs w:val="20"/>
          <w:lang w:val="sr-Cyrl-RS"/>
        </w:rPr>
        <w:t xml:space="preserve"> </w:t>
      </w:r>
      <w:r w:rsidR="00F64A0A" w:rsidRPr="1A8E6423">
        <w:rPr>
          <w:rFonts w:ascii="Arial" w:hAnsi="Arial" w:cs="Arial"/>
          <w:sz w:val="20"/>
          <w:szCs w:val="20"/>
          <w:lang w:val="sr-Cyrl-RS"/>
        </w:rPr>
        <w:t>О</w:t>
      </w:r>
      <w:r w:rsidR="002D3E74" w:rsidRPr="1A8E6423">
        <w:rPr>
          <w:rFonts w:ascii="Arial" w:hAnsi="Arial" w:cs="Arial"/>
          <w:sz w:val="20"/>
          <w:szCs w:val="20"/>
          <w:lang w:val="sr-Cyrl-RS"/>
        </w:rPr>
        <w:t>д</w:t>
      </w:r>
      <w:r w:rsidR="00F64A0A" w:rsidRPr="1A8E6423">
        <w:rPr>
          <w:rFonts w:ascii="Arial" w:hAnsi="Arial" w:cs="Arial"/>
          <w:sz w:val="20"/>
          <w:szCs w:val="20"/>
          <w:lang w:val="sr-Cyrl-RS"/>
        </w:rPr>
        <w:t xml:space="preserve"> укупно</w:t>
      </w:r>
      <w:r w:rsidRPr="1A8E6423">
        <w:rPr>
          <w:rFonts w:ascii="Arial" w:hAnsi="Arial" w:cs="Arial"/>
          <w:sz w:val="20"/>
          <w:szCs w:val="20"/>
          <w:lang w:val="sr-Cyrl-RS"/>
        </w:rPr>
        <w:t xml:space="preserve"> </w:t>
      </w:r>
      <w:r w:rsidR="00291E66" w:rsidRPr="1A8E6423">
        <w:rPr>
          <w:rFonts w:ascii="Arial" w:hAnsi="Arial" w:cs="Arial"/>
          <w:sz w:val="20"/>
          <w:szCs w:val="20"/>
          <w:lang w:val="sr-Cyrl-RS"/>
        </w:rPr>
        <w:t>70</w:t>
      </w:r>
      <w:r w:rsidR="00A76857" w:rsidRPr="1A8E6423">
        <w:rPr>
          <w:rFonts w:ascii="Arial" w:hAnsi="Arial" w:cs="Arial"/>
          <w:sz w:val="20"/>
          <w:szCs w:val="20"/>
          <w:lang w:val="sr-Cyrl-RS"/>
        </w:rPr>
        <w:t xml:space="preserve"> </w:t>
      </w:r>
      <w:r w:rsidRPr="1A8E6423">
        <w:rPr>
          <w:rFonts w:ascii="Arial" w:hAnsi="Arial" w:cs="Arial"/>
          <w:sz w:val="20"/>
          <w:szCs w:val="20"/>
          <w:lang w:val="sr-Cyrl-RS"/>
        </w:rPr>
        <w:t>ЈЛС које су анализиране кроз индекс СКГО</w:t>
      </w:r>
      <w:r w:rsidR="008F6BFD" w:rsidRPr="1A8E6423">
        <w:rPr>
          <w:rFonts w:ascii="Arial" w:hAnsi="Arial" w:cs="Arial"/>
          <w:sz w:val="20"/>
          <w:szCs w:val="20"/>
          <w:lang w:val="sr-Cyrl-RS"/>
        </w:rPr>
        <w:t>, све сем једне</w:t>
      </w:r>
      <w:r w:rsidRPr="1A8E6423">
        <w:rPr>
          <w:rFonts w:ascii="Arial" w:hAnsi="Arial" w:cs="Arial"/>
          <w:sz w:val="20"/>
          <w:szCs w:val="20"/>
          <w:lang w:val="sr-Cyrl-RS"/>
        </w:rPr>
        <w:t xml:space="preserve"> су припремиле </w:t>
      </w:r>
      <w:r w:rsidR="00677609" w:rsidRPr="1A8E6423">
        <w:rPr>
          <w:rFonts w:ascii="Arial" w:hAnsi="Arial" w:cs="Arial"/>
          <w:sz w:val="20"/>
          <w:szCs w:val="20"/>
          <w:lang w:val="sr-Cyrl-RS"/>
        </w:rPr>
        <w:t>к</w:t>
      </w:r>
      <w:r w:rsidRPr="1A8E6423">
        <w:rPr>
          <w:rFonts w:ascii="Arial" w:hAnsi="Arial" w:cs="Arial"/>
          <w:sz w:val="20"/>
          <w:szCs w:val="20"/>
          <w:lang w:val="sr-Cyrl-RS"/>
        </w:rPr>
        <w:t xml:space="preserve">адровски план за 2020. годину, који задовољава тражену форму, али </w:t>
      </w:r>
      <w:r w:rsidR="00677609" w:rsidRPr="1A8E6423">
        <w:rPr>
          <w:rFonts w:ascii="Arial" w:hAnsi="Arial" w:cs="Arial"/>
          <w:sz w:val="20"/>
          <w:szCs w:val="20"/>
          <w:lang w:val="sr-Cyrl-RS"/>
        </w:rPr>
        <w:t xml:space="preserve">су </w:t>
      </w:r>
      <w:r w:rsidRPr="1A8E6423">
        <w:rPr>
          <w:rFonts w:ascii="Arial" w:hAnsi="Arial" w:cs="Arial"/>
          <w:sz w:val="20"/>
          <w:szCs w:val="20"/>
          <w:lang w:val="sr-Cyrl-RS"/>
        </w:rPr>
        <w:t>начин и поступак планирања људских ресурса упитн</w:t>
      </w:r>
      <w:r w:rsidR="00677609" w:rsidRPr="1A8E6423">
        <w:rPr>
          <w:rFonts w:ascii="Arial" w:hAnsi="Arial" w:cs="Arial"/>
          <w:sz w:val="20"/>
          <w:szCs w:val="20"/>
          <w:lang w:val="sr-Cyrl-RS"/>
        </w:rPr>
        <w:t>и</w:t>
      </w:r>
      <w:r w:rsidRPr="1A8E6423">
        <w:rPr>
          <w:rFonts w:ascii="Arial" w:hAnsi="Arial" w:cs="Arial"/>
          <w:sz w:val="20"/>
          <w:szCs w:val="20"/>
          <w:lang w:val="sr-Cyrl-RS"/>
        </w:rPr>
        <w:t xml:space="preserve"> и често не рефлектуј</w:t>
      </w:r>
      <w:r w:rsidR="00677609" w:rsidRPr="1A8E6423">
        <w:rPr>
          <w:rFonts w:ascii="Arial" w:hAnsi="Arial" w:cs="Arial"/>
          <w:sz w:val="20"/>
          <w:szCs w:val="20"/>
          <w:lang w:val="sr-Cyrl-RS"/>
        </w:rPr>
        <w:t>у</w:t>
      </w:r>
      <w:r w:rsidRPr="1A8E6423">
        <w:rPr>
          <w:rFonts w:ascii="Arial" w:hAnsi="Arial" w:cs="Arial"/>
          <w:sz w:val="20"/>
          <w:szCs w:val="20"/>
          <w:lang w:val="sr-Cyrl-RS"/>
        </w:rPr>
        <w:t xml:space="preserve"> стварне потребе, па је ово једна од области на којој се мора систематски радити.</w:t>
      </w:r>
    </w:p>
    <w:p w14:paraId="11665E49" w14:textId="77777777" w:rsidR="001C7C2E" w:rsidRPr="00A021B7" w:rsidRDefault="001C7C2E" w:rsidP="1A8E6423">
      <w:pPr>
        <w:ind w:firstLine="720"/>
        <w:contextualSpacing/>
        <w:jc w:val="both"/>
        <w:rPr>
          <w:rFonts w:ascii="Arial" w:hAnsi="Arial" w:cs="Arial"/>
          <w:sz w:val="20"/>
          <w:szCs w:val="20"/>
          <w:lang w:val="sr-Cyrl-RS" w:eastAsia="ar-SA"/>
        </w:rPr>
      </w:pPr>
    </w:p>
    <w:p w14:paraId="1F3BDD8E" w14:textId="06CFD3E7" w:rsidR="008D28F8" w:rsidRPr="00A021B7" w:rsidRDefault="008C4F84" w:rsidP="1A8E6423">
      <w:pPr>
        <w:contextualSpacing/>
        <w:jc w:val="both"/>
        <w:rPr>
          <w:rFonts w:ascii="Arial" w:hAnsi="Arial" w:cs="Arial"/>
          <w:sz w:val="20"/>
          <w:szCs w:val="20"/>
          <w:lang w:val="sr-Cyrl-RS" w:eastAsia="ar-SA"/>
        </w:rPr>
      </w:pPr>
      <w:r w:rsidRPr="1A8E6423">
        <w:rPr>
          <w:rFonts w:ascii="Arial" w:hAnsi="Arial" w:cs="Arial"/>
          <w:i/>
          <w:iCs/>
          <w:sz w:val="20"/>
          <w:szCs w:val="20"/>
          <w:lang w:val="sr-Cyrl-RS" w:eastAsia="ar-SA"/>
        </w:rPr>
        <w:t>Графикон</w:t>
      </w:r>
      <w:r w:rsidR="00275068" w:rsidRPr="1A8E6423">
        <w:rPr>
          <w:rFonts w:ascii="Arial" w:hAnsi="Arial" w:cs="Arial"/>
          <w:i/>
          <w:iCs/>
          <w:sz w:val="20"/>
          <w:szCs w:val="20"/>
          <w:lang w:val="sr-Cyrl-RS" w:eastAsia="ar-SA"/>
        </w:rPr>
        <w:t xml:space="preserve"> </w:t>
      </w:r>
      <w:r w:rsidR="002139C8" w:rsidRPr="1A8E6423">
        <w:rPr>
          <w:rFonts w:ascii="Arial" w:hAnsi="Arial" w:cs="Arial"/>
          <w:i/>
          <w:iCs/>
          <w:sz w:val="20"/>
          <w:szCs w:val="20"/>
          <w:lang w:val="sr-Cyrl-RS" w:eastAsia="ar-SA"/>
        </w:rPr>
        <w:t>2</w:t>
      </w:r>
      <w:r w:rsidRPr="1A8E6423">
        <w:rPr>
          <w:rFonts w:ascii="Arial" w:hAnsi="Arial" w:cs="Arial"/>
          <w:i/>
          <w:iCs/>
          <w:sz w:val="20"/>
          <w:szCs w:val="20"/>
          <w:lang w:val="sr-Cyrl-RS" w:eastAsia="ar-SA"/>
        </w:rPr>
        <w:t xml:space="preserve">: Преглед налаза </w:t>
      </w:r>
      <w:r w:rsidR="006249CD" w:rsidRPr="1A8E6423">
        <w:rPr>
          <w:rFonts w:ascii="Arial" w:hAnsi="Arial" w:cs="Arial"/>
          <w:i/>
          <w:iCs/>
          <w:sz w:val="20"/>
          <w:szCs w:val="20"/>
          <w:lang w:val="sr-Cyrl-RS" w:eastAsia="ar-SA"/>
        </w:rPr>
        <w:t xml:space="preserve">према </w:t>
      </w:r>
      <w:r w:rsidRPr="1A8E6423">
        <w:rPr>
          <w:rFonts w:ascii="Arial" w:hAnsi="Arial" w:cs="Arial"/>
          <w:i/>
          <w:iCs/>
          <w:sz w:val="20"/>
          <w:szCs w:val="20"/>
          <w:lang w:val="sr-Cyrl-RS" w:eastAsia="ar-SA"/>
        </w:rPr>
        <w:t>индекс</w:t>
      </w:r>
      <w:r w:rsidR="006249CD" w:rsidRPr="1A8E6423">
        <w:rPr>
          <w:rFonts w:ascii="Arial" w:hAnsi="Arial" w:cs="Arial"/>
          <w:i/>
          <w:iCs/>
          <w:sz w:val="20"/>
          <w:szCs w:val="20"/>
          <w:lang w:val="sr-Cyrl-RS" w:eastAsia="ar-SA"/>
        </w:rPr>
        <w:t>у</w:t>
      </w:r>
      <w:r w:rsidRPr="1A8E6423">
        <w:rPr>
          <w:rFonts w:ascii="Arial" w:hAnsi="Arial" w:cs="Arial"/>
          <w:i/>
          <w:iCs/>
          <w:sz w:val="20"/>
          <w:szCs w:val="20"/>
          <w:lang w:val="sr-Cyrl-RS" w:eastAsia="ar-SA"/>
        </w:rPr>
        <w:t xml:space="preserve"> за УЉР </w:t>
      </w:r>
      <w:r w:rsidR="0002571E" w:rsidRPr="1A8E6423">
        <w:rPr>
          <w:rFonts w:ascii="Arial" w:hAnsi="Arial" w:cs="Arial"/>
          <w:i/>
          <w:iCs/>
          <w:sz w:val="20"/>
          <w:szCs w:val="20"/>
          <w:lang w:val="sr-Cyrl-RS" w:eastAsia="ar-SA"/>
        </w:rPr>
        <w:t>у вези са припремом и усвајањем кадровског плана</w:t>
      </w:r>
    </w:p>
    <w:p w14:paraId="76222A80" w14:textId="5394DB52" w:rsidR="001C7C2E" w:rsidRPr="00A021B7" w:rsidRDefault="00F231E0" w:rsidP="003E7BC9">
      <w:pPr>
        <w:contextualSpacing/>
        <w:jc w:val="both"/>
        <w:rPr>
          <w:rFonts w:ascii="Arial" w:hAnsi="Arial" w:cs="Arial"/>
          <w:bCs/>
          <w:sz w:val="20"/>
          <w:szCs w:val="20"/>
          <w:lang w:val="sr-Cyrl-RS" w:eastAsia="ar-SA"/>
        </w:rPr>
      </w:pPr>
      <w:r w:rsidRPr="00A021B7">
        <w:rPr>
          <w:rFonts w:ascii="Arial" w:hAnsi="Arial" w:cs="Arial"/>
          <w:noProof/>
          <w:sz w:val="20"/>
          <w:szCs w:val="20"/>
          <w:highlight w:val="yellow"/>
          <w:lang w:eastAsia="en-US"/>
        </w:rPr>
        <w:drawing>
          <wp:inline distT="0" distB="0" distL="0" distR="0" wp14:anchorId="761A1E07" wp14:editId="4C5D339B">
            <wp:extent cx="5791200" cy="2546350"/>
            <wp:effectExtent l="0" t="0" r="0" b="6350"/>
            <wp:docPr id="9" name="Chart 9">
              <a:extLst xmlns:a="http://schemas.openxmlformats.org/drawingml/2006/main">
                <a:ext uri="{FF2B5EF4-FFF2-40B4-BE49-F238E27FC236}">
                  <a16:creationId xmlns:a16="http://schemas.microsoft.com/office/drawing/2014/main" id="{426AB3A3-DE78-4C64-8A29-6177EDC797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C56431" w14:textId="77777777" w:rsidR="004D5BD0" w:rsidRPr="00A021B7" w:rsidRDefault="004D5BD0" w:rsidP="003E7BC9">
      <w:pPr>
        <w:contextualSpacing/>
        <w:jc w:val="both"/>
        <w:rPr>
          <w:rFonts w:ascii="Arial" w:hAnsi="Arial" w:cs="Arial"/>
          <w:sz w:val="20"/>
          <w:szCs w:val="20"/>
          <w:lang w:val="sr-Cyrl-RS"/>
        </w:rPr>
      </w:pPr>
    </w:p>
    <w:p w14:paraId="0AA170AA" w14:textId="7C4E78C0" w:rsidR="001C7C2E" w:rsidRPr="00A021B7" w:rsidRDefault="5145412E" w:rsidP="1A8E6423">
      <w:pPr>
        <w:ind w:firstLine="720"/>
        <w:contextualSpacing/>
        <w:jc w:val="both"/>
        <w:rPr>
          <w:rFonts w:ascii="Arial" w:hAnsi="Arial" w:cs="Arial"/>
          <w:sz w:val="20"/>
          <w:szCs w:val="20"/>
          <w:lang w:val="sr-Cyrl-RS"/>
        </w:rPr>
      </w:pPr>
      <w:r w:rsidRPr="00A021B7">
        <w:rPr>
          <w:rFonts w:ascii="Arial" w:hAnsi="Arial" w:cs="Arial"/>
          <w:sz w:val="20"/>
          <w:szCs w:val="20"/>
          <w:lang w:val="sr-Cyrl-RS"/>
        </w:rPr>
        <w:t xml:space="preserve">Налази функционалне анализе у </w:t>
      </w:r>
      <w:r w:rsidRPr="00A021B7">
        <w:rPr>
          <w:rFonts w:ascii="Arial" w:hAnsi="Arial" w:cs="Arial"/>
          <w:sz w:val="20"/>
          <w:szCs w:val="20"/>
          <w:lang w:val="sr-Cyrl-RS" w:eastAsia="ar-SA"/>
        </w:rPr>
        <w:t>локалним управама 15 ЈЛС указују</w:t>
      </w:r>
      <w:r w:rsidR="00677609">
        <w:rPr>
          <w:rFonts w:ascii="Arial" w:hAnsi="Arial" w:cs="Arial"/>
          <w:sz w:val="20"/>
          <w:szCs w:val="20"/>
          <w:lang w:val="sr-Cyrl-RS" w:eastAsia="ar-SA"/>
        </w:rPr>
        <w:t xml:space="preserve"> на то</w:t>
      </w:r>
      <w:r w:rsidRPr="00A021B7">
        <w:rPr>
          <w:rFonts w:ascii="Arial" w:hAnsi="Arial" w:cs="Arial"/>
          <w:sz w:val="20"/>
          <w:szCs w:val="20"/>
          <w:lang w:val="sr-Cyrl-RS" w:eastAsia="ar-SA"/>
        </w:rPr>
        <w:t xml:space="preserve"> да </w:t>
      </w:r>
      <w:r w:rsidR="00677609">
        <w:rPr>
          <w:rFonts w:ascii="Arial" w:hAnsi="Arial" w:cs="Arial"/>
          <w:sz w:val="20"/>
          <w:szCs w:val="20"/>
          <w:lang w:val="sr-Cyrl-RS" w:eastAsia="ar-SA"/>
        </w:rPr>
        <w:t>су</w:t>
      </w:r>
      <w:r w:rsidRPr="00A021B7">
        <w:rPr>
          <w:rFonts w:ascii="Arial" w:hAnsi="Arial" w:cs="Arial"/>
          <w:sz w:val="20"/>
          <w:szCs w:val="20"/>
          <w:lang w:val="sr-Cyrl-RS" w:eastAsia="ar-SA"/>
        </w:rPr>
        <w:t xml:space="preserve"> и даље присутн</w:t>
      </w:r>
      <w:r w:rsidR="00677609">
        <w:rPr>
          <w:rFonts w:ascii="Arial" w:hAnsi="Arial" w:cs="Arial"/>
          <w:sz w:val="20"/>
          <w:szCs w:val="20"/>
          <w:lang w:val="sr-Cyrl-RS" w:eastAsia="ar-SA"/>
        </w:rPr>
        <w:t>и</w:t>
      </w:r>
      <w:r w:rsidRPr="00A021B7">
        <w:rPr>
          <w:rFonts w:ascii="Arial" w:hAnsi="Arial" w:cs="Arial"/>
          <w:sz w:val="20"/>
          <w:szCs w:val="20"/>
          <w:lang w:val="sr-Cyrl-RS" w:eastAsia="ar-SA"/>
        </w:rPr>
        <w:t xml:space="preserve"> </w:t>
      </w:r>
      <w:r w:rsidRPr="00A021B7">
        <w:rPr>
          <w:rFonts w:ascii="Arial" w:hAnsi="Arial" w:cs="Arial"/>
          <w:b/>
          <w:bCs/>
          <w:sz w:val="20"/>
          <w:szCs w:val="20"/>
          <w:lang w:val="sr-Cyrl-RS"/>
        </w:rPr>
        <w:t>неодговарајућа организација и неадекватно управљање процесима рада</w:t>
      </w:r>
      <w:r w:rsidRPr="00A021B7">
        <w:rPr>
          <w:rFonts w:ascii="Arial" w:hAnsi="Arial" w:cs="Arial"/>
          <w:sz w:val="20"/>
          <w:szCs w:val="20"/>
          <w:lang w:val="sr-Cyrl-RS"/>
        </w:rPr>
        <w:t xml:space="preserve"> локалне управе. Ова анализа </w:t>
      </w:r>
      <w:r w:rsidR="00677609">
        <w:rPr>
          <w:rFonts w:ascii="Arial" w:hAnsi="Arial" w:cs="Arial"/>
          <w:sz w:val="20"/>
          <w:szCs w:val="20"/>
          <w:lang w:val="sr-Cyrl-RS"/>
        </w:rPr>
        <w:t>по</w:t>
      </w:r>
      <w:r w:rsidRPr="00A021B7">
        <w:rPr>
          <w:rFonts w:ascii="Arial" w:hAnsi="Arial" w:cs="Arial"/>
          <w:sz w:val="20"/>
          <w:szCs w:val="20"/>
          <w:lang w:val="sr-Cyrl-RS"/>
        </w:rPr>
        <w:t xml:space="preserve">казала је и да постоји неуједначеност у погледу облика и назива организационих јединица (посебно средњих), па самим тим и потреба </w:t>
      </w:r>
      <w:r w:rsidR="00677609">
        <w:rPr>
          <w:rFonts w:ascii="Arial" w:hAnsi="Arial" w:cs="Arial"/>
          <w:sz w:val="20"/>
          <w:szCs w:val="20"/>
          <w:lang w:val="sr-Cyrl-RS"/>
        </w:rPr>
        <w:t xml:space="preserve">за </w:t>
      </w:r>
      <w:r w:rsidRPr="00A021B7">
        <w:rPr>
          <w:rFonts w:ascii="Arial" w:hAnsi="Arial" w:cs="Arial"/>
          <w:sz w:val="20"/>
          <w:szCs w:val="20"/>
          <w:lang w:val="sr-Cyrl-RS"/>
        </w:rPr>
        <w:t>евентуалн</w:t>
      </w:r>
      <w:r w:rsidR="00677609">
        <w:rPr>
          <w:rFonts w:ascii="Arial" w:hAnsi="Arial" w:cs="Arial"/>
          <w:sz w:val="20"/>
          <w:szCs w:val="20"/>
          <w:lang w:val="sr-Cyrl-RS"/>
        </w:rPr>
        <w:t>им</w:t>
      </w:r>
      <w:r w:rsidRPr="00A021B7">
        <w:rPr>
          <w:rFonts w:ascii="Arial" w:hAnsi="Arial" w:cs="Arial"/>
          <w:sz w:val="20"/>
          <w:szCs w:val="20"/>
          <w:lang w:val="sr-Cyrl-RS"/>
        </w:rPr>
        <w:t xml:space="preserve"> униформисањ</w:t>
      </w:r>
      <w:r w:rsidR="00677609">
        <w:rPr>
          <w:rFonts w:ascii="Arial" w:hAnsi="Arial" w:cs="Arial"/>
          <w:sz w:val="20"/>
          <w:szCs w:val="20"/>
          <w:lang w:val="sr-Cyrl-RS"/>
        </w:rPr>
        <w:t>ем</w:t>
      </w:r>
      <w:r w:rsidRPr="00A021B7">
        <w:rPr>
          <w:rFonts w:ascii="Arial" w:hAnsi="Arial" w:cs="Arial"/>
          <w:sz w:val="20"/>
          <w:szCs w:val="20"/>
          <w:lang w:val="sr-Cyrl-RS"/>
        </w:rPr>
        <w:t xml:space="preserve"> на нивоу локалне самоуправе. Иако ЈЛС треба да имају аутономију да уреде своју унутрашњу организацију (основне, средње и уже организационе јединице) и систематизацију радних места, то не би требало да </w:t>
      </w:r>
      <w:r w:rsidR="00677609">
        <w:rPr>
          <w:rFonts w:ascii="Arial" w:hAnsi="Arial" w:cs="Arial"/>
          <w:sz w:val="20"/>
          <w:szCs w:val="20"/>
          <w:lang w:val="sr-Cyrl-RS"/>
        </w:rPr>
        <w:t>к</w:t>
      </w:r>
      <w:r w:rsidRPr="00A021B7">
        <w:rPr>
          <w:rFonts w:ascii="Arial" w:hAnsi="Arial" w:cs="Arial"/>
          <w:sz w:val="20"/>
          <w:szCs w:val="20"/>
          <w:lang w:val="sr-Cyrl-RS"/>
        </w:rPr>
        <w:t>а</w:t>
      </w:r>
      <w:r w:rsidR="00677609">
        <w:rPr>
          <w:rFonts w:ascii="Arial" w:hAnsi="Arial" w:cs="Arial"/>
          <w:sz w:val="20"/>
          <w:szCs w:val="20"/>
          <w:lang w:val="sr-Cyrl-RS"/>
        </w:rPr>
        <w:t>о</w:t>
      </w:r>
      <w:r w:rsidRPr="00A021B7">
        <w:rPr>
          <w:rFonts w:ascii="Arial" w:hAnsi="Arial" w:cs="Arial"/>
          <w:sz w:val="20"/>
          <w:szCs w:val="20"/>
          <w:lang w:val="sr-Cyrl-RS"/>
        </w:rPr>
        <w:t xml:space="preserve"> последицу има </w:t>
      </w:r>
      <w:r w:rsidR="00677609">
        <w:rPr>
          <w:rFonts w:ascii="Arial" w:hAnsi="Arial" w:cs="Arial"/>
          <w:sz w:val="20"/>
          <w:szCs w:val="20"/>
          <w:lang w:val="sr-Cyrl-RS"/>
        </w:rPr>
        <w:t xml:space="preserve">то </w:t>
      </w:r>
      <w:r w:rsidRPr="00A021B7">
        <w:rPr>
          <w:rFonts w:ascii="Arial" w:hAnsi="Arial" w:cs="Arial"/>
          <w:sz w:val="20"/>
          <w:szCs w:val="20"/>
          <w:lang w:val="sr-Cyrl-RS"/>
        </w:rPr>
        <w:t xml:space="preserve">да се радна места не систематизују у организационим јединицама сходно природи посла, што постоји као пракса у једном делу ЈЛС. </w:t>
      </w:r>
      <w:r w:rsidR="1CAF26B5" w:rsidRPr="00A021B7">
        <w:rPr>
          <w:rFonts w:ascii="Arial" w:hAnsi="Arial" w:cs="Arial"/>
          <w:sz w:val="20"/>
          <w:szCs w:val="20"/>
          <w:lang w:val="sr-Cyrl-RS"/>
        </w:rPr>
        <w:t>Ф</w:t>
      </w:r>
      <w:r w:rsidRPr="00A021B7">
        <w:rPr>
          <w:rFonts w:ascii="Arial" w:hAnsi="Arial" w:cs="Arial"/>
          <w:sz w:val="20"/>
          <w:szCs w:val="20"/>
          <w:lang w:val="sr-Cyrl-RS"/>
        </w:rPr>
        <w:t xml:space="preserve">ункционална анализа је показала </w:t>
      </w:r>
      <w:r w:rsidR="4DD60DCE" w:rsidRPr="00A021B7">
        <w:rPr>
          <w:rFonts w:ascii="Arial" w:hAnsi="Arial" w:cs="Arial"/>
          <w:sz w:val="20"/>
          <w:szCs w:val="20"/>
          <w:lang w:val="sr-Cyrl-RS"/>
        </w:rPr>
        <w:t xml:space="preserve">и </w:t>
      </w:r>
      <w:r w:rsidRPr="00A021B7">
        <w:rPr>
          <w:rFonts w:ascii="Arial" w:hAnsi="Arial" w:cs="Arial"/>
          <w:sz w:val="20"/>
          <w:szCs w:val="20"/>
          <w:lang w:val="sr-Cyrl-RS"/>
        </w:rPr>
        <w:t>да је број систематизованих радних места зна</w:t>
      </w:r>
      <w:r w:rsidR="00677609">
        <w:rPr>
          <w:rFonts w:ascii="Arial" w:hAnsi="Arial" w:cs="Arial"/>
          <w:sz w:val="20"/>
          <w:szCs w:val="20"/>
          <w:lang w:val="sr-Cyrl-RS"/>
        </w:rPr>
        <w:t>т</w:t>
      </w:r>
      <w:r w:rsidRPr="00A021B7">
        <w:rPr>
          <w:rFonts w:ascii="Arial" w:hAnsi="Arial" w:cs="Arial"/>
          <w:sz w:val="20"/>
          <w:szCs w:val="20"/>
          <w:lang w:val="sr-Cyrl-RS"/>
        </w:rPr>
        <w:t>но већи у односу на број запослених</w:t>
      </w:r>
      <w:r w:rsidR="2809DE52" w:rsidRPr="00A021B7">
        <w:rPr>
          <w:rFonts w:ascii="Arial" w:hAnsi="Arial" w:cs="Arial"/>
          <w:sz w:val="20"/>
          <w:szCs w:val="20"/>
          <w:lang w:val="sr-Cyrl-RS"/>
        </w:rPr>
        <w:t>,</w:t>
      </w:r>
      <w:r w:rsidR="1CAF26B5" w:rsidRPr="00A021B7">
        <w:rPr>
          <w:rFonts w:ascii="Arial" w:hAnsi="Arial" w:cs="Arial"/>
          <w:sz w:val="20"/>
          <w:szCs w:val="20"/>
          <w:lang w:val="sr-Cyrl-RS"/>
        </w:rPr>
        <w:t xml:space="preserve"> што указује на отежан процес запошљавања и у условима када су обезбеђена финансијска средства</w:t>
      </w:r>
      <w:r w:rsidR="263DC48E" w:rsidRPr="00A021B7">
        <w:rPr>
          <w:rFonts w:ascii="Arial" w:hAnsi="Arial" w:cs="Arial"/>
          <w:sz w:val="20"/>
          <w:szCs w:val="20"/>
          <w:lang w:val="sr-Cyrl-RS"/>
        </w:rPr>
        <w:t>.</w:t>
      </w:r>
      <w:r w:rsidR="1CAF26B5" w:rsidRPr="00A021B7">
        <w:rPr>
          <w:rFonts w:ascii="Arial" w:hAnsi="Arial" w:cs="Arial"/>
          <w:sz w:val="20"/>
          <w:szCs w:val="20"/>
          <w:lang w:val="sr-Cyrl-RS"/>
        </w:rPr>
        <w:t xml:space="preserve"> </w:t>
      </w:r>
      <w:r w:rsidRPr="00A021B7">
        <w:rPr>
          <w:rFonts w:ascii="Arial" w:hAnsi="Arial" w:cs="Arial"/>
          <w:sz w:val="20"/>
          <w:szCs w:val="20"/>
          <w:lang w:val="sr-Cyrl-RS"/>
        </w:rPr>
        <w:t xml:space="preserve">Ове налазе потврђује и процена стања мерењем индекса СКГО у 50 ЈЛС 2020. </w:t>
      </w:r>
      <w:r w:rsidR="4DD60DCE" w:rsidRPr="00A021B7">
        <w:rPr>
          <w:rFonts w:ascii="Arial" w:hAnsi="Arial" w:cs="Arial"/>
          <w:sz w:val="20"/>
          <w:szCs w:val="20"/>
          <w:lang w:val="sr-Cyrl-RS"/>
        </w:rPr>
        <w:t>године</w:t>
      </w:r>
      <w:r w:rsidRPr="00A021B7">
        <w:rPr>
          <w:rFonts w:ascii="Arial" w:hAnsi="Arial" w:cs="Arial"/>
          <w:sz w:val="20"/>
          <w:szCs w:val="20"/>
          <w:lang w:val="sr-Cyrl-RS"/>
        </w:rPr>
        <w:t xml:space="preserve">. Када </w:t>
      </w:r>
      <w:r w:rsidR="00677609">
        <w:rPr>
          <w:rFonts w:ascii="Arial" w:hAnsi="Arial" w:cs="Arial"/>
          <w:sz w:val="20"/>
          <w:szCs w:val="20"/>
          <w:lang w:val="sr-Cyrl-RS"/>
        </w:rPr>
        <w:t>је реч о</w:t>
      </w:r>
      <w:r w:rsidRPr="00A021B7">
        <w:rPr>
          <w:rFonts w:ascii="Arial" w:hAnsi="Arial" w:cs="Arial"/>
          <w:sz w:val="20"/>
          <w:szCs w:val="20"/>
          <w:lang w:val="sr-Cyrl-RS"/>
        </w:rPr>
        <w:t xml:space="preserve"> звањ</w:t>
      </w:r>
      <w:r w:rsidR="00677609">
        <w:rPr>
          <w:rFonts w:ascii="Arial" w:hAnsi="Arial" w:cs="Arial"/>
          <w:sz w:val="20"/>
          <w:szCs w:val="20"/>
          <w:lang w:val="sr-Cyrl-RS"/>
        </w:rPr>
        <w:t>им</w:t>
      </w:r>
      <w:r w:rsidRPr="00A021B7">
        <w:rPr>
          <w:rFonts w:ascii="Arial" w:hAnsi="Arial" w:cs="Arial"/>
          <w:sz w:val="20"/>
          <w:szCs w:val="20"/>
          <w:lang w:val="sr-Cyrl-RS"/>
        </w:rPr>
        <w:t>а, Уредба о критеријумима за разврставање радних места и мерилима за опис радних места службеника у АП и ЈЛС</w:t>
      </w:r>
      <w:r w:rsidR="00EC0AAE" w:rsidRPr="00A021B7">
        <w:rPr>
          <w:rFonts w:ascii="Arial" w:hAnsi="Arial" w:cs="Arial"/>
          <w:sz w:val="20"/>
          <w:szCs w:val="20"/>
          <w:lang w:val="sr-Cyrl-RS"/>
        </w:rPr>
        <w:t xml:space="preserve"> </w:t>
      </w:r>
      <w:r w:rsidR="00EC0AAE" w:rsidRPr="00A021B7">
        <w:rPr>
          <w:rFonts w:ascii="Arial" w:hAnsi="Arial" w:cs="Arial"/>
          <w:sz w:val="20"/>
          <w:szCs w:val="20"/>
          <w:lang w:val="sr-Cyrl-RS"/>
        </w:rPr>
        <w:lastRenderedPageBreak/>
        <w:t>(„</w:t>
      </w:r>
      <w:r w:rsidR="00EC0AAE" w:rsidRPr="00A021B7">
        <w:rPr>
          <w:rFonts w:ascii="Arial" w:hAnsi="Arial" w:cs="Arial"/>
          <w:sz w:val="20"/>
          <w:szCs w:val="20"/>
          <w:shd w:val="clear" w:color="auto" w:fill="FFFFFF"/>
          <w:lang w:val="sr-Cyrl-RS"/>
        </w:rPr>
        <w:t>Службени гласник РС”, број 88/16)</w:t>
      </w:r>
      <w:r w:rsidRPr="1A8E6423">
        <w:rPr>
          <w:rFonts w:ascii="Arial" w:hAnsi="Arial" w:cs="Arial"/>
          <w:lang w:val="sr-Cyrl-RS"/>
        </w:rPr>
        <w:t xml:space="preserve"> </w:t>
      </w:r>
      <w:r w:rsidRPr="00A021B7">
        <w:rPr>
          <w:rFonts w:ascii="Arial" w:hAnsi="Arial" w:cs="Arial"/>
          <w:sz w:val="20"/>
          <w:szCs w:val="20"/>
          <w:lang w:val="sr-Cyrl-RS"/>
        </w:rPr>
        <w:t xml:space="preserve">прописује да се </w:t>
      </w:r>
      <w:r w:rsidR="038BDC04" w:rsidRPr="00A021B7">
        <w:rPr>
          <w:rFonts w:ascii="Arial" w:hAnsi="Arial" w:cs="Arial"/>
          <w:sz w:val="20"/>
          <w:szCs w:val="20"/>
          <w:lang w:val="sr-Cyrl-RS"/>
        </w:rPr>
        <w:t xml:space="preserve">правилником </w:t>
      </w:r>
      <w:r w:rsidRPr="00A021B7">
        <w:rPr>
          <w:rFonts w:ascii="Arial" w:hAnsi="Arial" w:cs="Arial"/>
          <w:sz w:val="20"/>
          <w:szCs w:val="20"/>
          <w:lang w:val="sr-Cyrl-RS"/>
        </w:rPr>
        <w:t>о систематизацији може одредити да на радним местима у звању самосталног саветника ради највише до 20% запослених службеника (не рачунајући намештенике), што је случај у 66% ЈЛС обухваћених функционалном анализом. Међутим, забележени су и случајеви да је више од 50% запослених у звању самосталног саветника, не рачунајући намештенике. Резултати оба истраживања указују на неадекватно припремљене описе послова, пре свега зато што ЈЛС не састављају претходне описе послова и не спроводе њихову анализу пре израде коначног описа радних места, који се уносе у Правилник о организацији и систематизацији радних места.</w:t>
      </w:r>
    </w:p>
    <w:p w14:paraId="6E6BDA75" w14:textId="77777777" w:rsidR="00A1151D" w:rsidRPr="00A021B7" w:rsidRDefault="00A1151D" w:rsidP="1A8E6423">
      <w:pPr>
        <w:ind w:firstLine="720"/>
        <w:contextualSpacing/>
        <w:jc w:val="both"/>
        <w:rPr>
          <w:rFonts w:ascii="Arial" w:hAnsi="Arial" w:cs="Arial"/>
          <w:sz w:val="20"/>
          <w:szCs w:val="20"/>
          <w:lang w:val="sr-Cyrl-RS"/>
        </w:rPr>
      </w:pPr>
    </w:p>
    <w:p w14:paraId="3AA8BD41" w14:textId="067E7742" w:rsidR="00A1151D" w:rsidRPr="00A021B7" w:rsidRDefault="00A1151D" w:rsidP="1A8E6423">
      <w:pPr>
        <w:ind w:firstLine="720"/>
        <w:contextualSpacing/>
        <w:jc w:val="both"/>
        <w:rPr>
          <w:rFonts w:ascii="Arial" w:hAnsi="Arial" w:cs="Arial"/>
          <w:color w:val="000000" w:themeColor="text1"/>
          <w:sz w:val="20"/>
          <w:szCs w:val="20"/>
          <w:lang w:val="sr-Cyrl-RS"/>
        </w:rPr>
      </w:pPr>
      <w:r w:rsidRPr="1A8E6423">
        <w:rPr>
          <w:rFonts w:ascii="Arial" w:hAnsi="Arial" w:cs="Arial"/>
          <w:sz w:val="20"/>
          <w:szCs w:val="20"/>
          <w:lang w:val="sr-Cyrl-RS"/>
        </w:rPr>
        <w:t xml:space="preserve">Посебан </w:t>
      </w:r>
      <w:r w:rsidR="003E7A30" w:rsidRPr="1A8E6423">
        <w:rPr>
          <w:rFonts w:ascii="Arial" w:hAnsi="Arial" w:cs="Arial"/>
          <w:sz w:val="20"/>
          <w:szCs w:val="20"/>
          <w:lang w:val="sr-Cyrl-RS"/>
        </w:rPr>
        <w:t>изазов за</w:t>
      </w:r>
      <w:r w:rsidRPr="1A8E6423">
        <w:rPr>
          <w:rFonts w:ascii="Arial" w:hAnsi="Arial" w:cs="Arial"/>
          <w:sz w:val="20"/>
          <w:szCs w:val="20"/>
          <w:lang w:val="sr-Cyrl-RS"/>
        </w:rPr>
        <w:t xml:space="preserve"> </w:t>
      </w:r>
      <w:r w:rsidR="00152C4D" w:rsidRPr="1A8E6423">
        <w:rPr>
          <w:rFonts w:ascii="Arial" w:hAnsi="Arial" w:cs="Arial"/>
          <w:sz w:val="20"/>
          <w:szCs w:val="20"/>
          <w:lang w:val="sr-Cyrl-RS" w:eastAsia="ar-SA"/>
        </w:rPr>
        <w:t xml:space="preserve">УЉР </w:t>
      </w:r>
      <w:r w:rsidRPr="1A8E6423">
        <w:rPr>
          <w:rFonts w:ascii="Arial" w:hAnsi="Arial" w:cs="Arial"/>
          <w:sz w:val="20"/>
          <w:szCs w:val="20"/>
          <w:lang w:val="sr-Cyrl-RS"/>
        </w:rPr>
        <w:t>узрокован је постојећом структуром запослених у односу на степен стручне спреме. По доступним подацима о степену стручне спреме запослених у општинским</w:t>
      </w:r>
      <w:r w:rsidR="00152C4D" w:rsidRPr="1A8E6423">
        <w:rPr>
          <w:rFonts w:ascii="Arial" w:hAnsi="Arial" w:cs="Arial"/>
          <w:sz w:val="20"/>
          <w:szCs w:val="20"/>
          <w:lang w:val="sr-Cyrl-RS"/>
        </w:rPr>
        <w:t xml:space="preserve"> и </w:t>
      </w:r>
      <w:r w:rsidRPr="1A8E6423">
        <w:rPr>
          <w:rFonts w:ascii="Arial" w:hAnsi="Arial" w:cs="Arial"/>
          <w:sz w:val="20"/>
          <w:szCs w:val="20"/>
          <w:lang w:val="sr-Cyrl-RS"/>
        </w:rPr>
        <w:t>градским управама, скоро 50% запослених су они са средњим степеном стручне спреме. ЈЛС се налазе у ситуацији да се усложњавају послови управе</w:t>
      </w:r>
      <w:r w:rsidR="007041C4" w:rsidRPr="1A8E6423">
        <w:rPr>
          <w:rFonts w:ascii="Arial" w:hAnsi="Arial" w:cs="Arial"/>
          <w:sz w:val="20"/>
          <w:szCs w:val="20"/>
          <w:lang w:val="sr-Cyrl-RS"/>
        </w:rPr>
        <w:t>,</w:t>
      </w:r>
      <w:r w:rsidRPr="1A8E6423">
        <w:rPr>
          <w:rFonts w:ascii="Arial" w:hAnsi="Arial" w:cs="Arial"/>
          <w:sz w:val="20"/>
          <w:szCs w:val="20"/>
          <w:lang w:val="sr-Cyrl-RS"/>
        </w:rPr>
        <w:t xml:space="preserve"> </w:t>
      </w:r>
      <w:r w:rsidR="001F0573" w:rsidRPr="1A8E6423">
        <w:rPr>
          <w:rFonts w:ascii="Arial" w:hAnsi="Arial" w:cs="Arial"/>
          <w:sz w:val="20"/>
          <w:szCs w:val="20"/>
          <w:lang w:val="sr-Cyrl-RS"/>
        </w:rPr>
        <w:t xml:space="preserve">што </w:t>
      </w:r>
      <w:r w:rsidRPr="1A8E6423">
        <w:rPr>
          <w:rFonts w:ascii="Arial" w:hAnsi="Arial" w:cs="Arial"/>
          <w:sz w:val="20"/>
          <w:szCs w:val="20"/>
          <w:lang w:val="sr-Cyrl-RS"/>
        </w:rPr>
        <w:t xml:space="preserve">намеће </w:t>
      </w:r>
      <w:r w:rsidR="00F5288D" w:rsidRPr="1A8E6423">
        <w:rPr>
          <w:rFonts w:ascii="Arial" w:hAnsi="Arial" w:cs="Arial"/>
          <w:sz w:val="20"/>
          <w:szCs w:val="20"/>
          <w:lang w:val="sr-Cyrl-RS"/>
        </w:rPr>
        <w:t xml:space="preserve">потребу за </w:t>
      </w:r>
      <w:r w:rsidRPr="1A8E6423">
        <w:rPr>
          <w:rFonts w:ascii="Arial" w:hAnsi="Arial" w:cs="Arial"/>
          <w:sz w:val="20"/>
          <w:szCs w:val="20"/>
          <w:lang w:val="sr-Cyrl-RS"/>
        </w:rPr>
        <w:t xml:space="preserve">све </w:t>
      </w:r>
      <w:r w:rsidR="001F0573" w:rsidRPr="1A8E6423">
        <w:rPr>
          <w:rFonts w:ascii="Arial" w:hAnsi="Arial" w:cs="Arial"/>
          <w:sz w:val="20"/>
          <w:szCs w:val="20"/>
          <w:lang w:val="sr-Cyrl-RS"/>
        </w:rPr>
        <w:t>већ</w:t>
      </w:r>
      <w:r w:rsidR="00F5288D" w:rsidRPr="1A8E6423">
        <w:rPr>
          <w:rFonts w:ascii="Arial" w:hAnsi="Arial" w:cs="Arial"/>
          <w:sz w:val="20"/>
          <w:szCs w:val="20"/>
          <w:lang w:val="sr-Cyrl-RS"/>
        </w:rPr>
        <w:t>им</w:t>
      </w:r>
      <w:r w:rsidRPr="1A8E6423">
        <w:rPr>
          <w:rFonts w:ascii="Arial" w:hAnsi="Arial" w:cs="Arial"/>
          <w:sz w:val="20"/>
          <w:szCs w:val="20"/>
          <w:lang w:val="sr-Cyrl-RS"/>
        </w:rPr>
        <w:t xml:space="preserve"> кадровск</w:t>
      </w:r>
      <w:r w:rsidR="00F5288D" w:rsidRPr="1A8E6423">
        <w:rPr>
          <w:rFonts w:ascii="Arial" w:hAnsi="Arial" w:cs="Arial"/>
          <w:sz w:val="20"/>
          <w:szCs w:val="20"/>
          <w:lang w:val="sr-Cyrl-RS"/>
        </w:rPr>
        <w:t>им</w:t>
      </w:r>
      <w:r w:rsidRPr="1A8E6423">
        <w:rPr>
          <w:rFonts w:ascii="Arial" w:hAnsi="Arial" w:cs="Arial"/>
          <w:sz w:val="20"/>
          <w:szCs w:val="20"/>
          <w:lang w:val="sr-Cyrl-RS"/>
        </w:rPr>
        <w:t xml:space="preserve"> </w:t>
      </w:r>
      <w:r w:rsidR="001F0573" w:rsidRPr="1A8E6423">
        <w:rPr>
          <w:rFonts w:ascii="Arial" w:hAnsi="Arial" w:cs="Arial"/>
          <w:sz w:val="20"/>
          <w:szCs w:val="20"/>
          <w:lang w:val="sr-Cyrl-RS"/>
        </w:rPr>
        <w:t>капацитет</w:t>
      </w:r>
      <w:r w:rsidR="00F5288D" w:rsidRPr="1A8E6423">
        <w:rPr>
          <w:rFonts w:ascii="Arial" w:hAnsi="Arial" w:cs="Arial"/>
          <w:sz w:val="20"/>
          <w:szCs w:val="20"/>
          <w:lang w:val="sr-Cyrl-RS"/>
        </w:rPr>
        <w:t>има</w:t>
      </w:r>
      <w:r w:rsidRPr="1A8E6423">
        <w:rPr>
          <w:rFonts w:ascii="Arial" w:hAnsi="Arial" w:cs="Arial"/>
          <w:sz w:val="20"/>
          <w:szCs w:val="20"/>
          <w:lang w:val="sr-Cyrl-RS"/>
        </w:rPr>
        <w:t xml:space="preserve"> за обављање административних послова</w:t>
      </w:r>
      <w:r w:rsidR="00F5288D" w:rsidRPr="1A8E6423">
        <w:rPr>
          <w:rFonts w:ascii="Arial" w:hAnsi="Arial" w:cs="Arial"/>
          <w:sz w:val="20"/>
          <w:szCs w:val="20"/>
          <w:lang w:val="sr-Cyrl-RS"/>
        </w:rPr>
        <w:t>,</w:t>
      </w:r>
      <w:r w:rsidRPr="1A8E6423">
        <w:rPr>
          <w:rFonts w:ascii="Arial" w:hAnsi="Arial" w:cs="Arial"/>
          <w:sz w:val="20"/>
          <w:szCs w:val="20"/>
          <w:lang w:val="sr-Cyrl-RS"/>
        </w:rPr>
        <w:t xml:space="preserve"> с једне стране, и отежано привлачење одговарајућег стручног кадра </w:t>
      </w:r>
      <w:r w:rsidR="001F0573" w:rsidRPr="1A8E6423">
        <w:rPr>
          <w:rFonts w:ascii="Arial" w:hAnsi="Arial" w:cs="Arial"/>
          <w:sz w:val="20"/>
          <w:szCs w:val="20"/>
          <w:lang w:val="sr-Cyrl-RS"/>
        </w:rPr>
        <w:t>(уз финансијска ограничења)</w:t>
      </w:r>
      <w:r w:rsidR="00F5288D" w:rsidRPr="1A8E6423">
        <w:rPr>
          <w:rFonts w:ascii="Arial" w:hAnsi="Arial" w:cs="Arial"/>
          <w:sz w:val="20"/>
          <w:szCs w:val="20"/>
          <w:lang w:val="sr-Cyrl-RS"/>
        </w:rPr>
        <w:t>,</w:t>
      </w:r>
      <w:r w:rsidR="001F0573" w:rsidRPr="1A8E6423">
        <w:rPr>
          <w:rFonts w:ascii="Arial" w:hAnsi="Arial" w:cs="Arial"/>
          <w:sz w:val="20"/>
          <w:szCs w:val="20"/>
          <w:lang w:val="sr-Cyrl-RS"/>
        </w:rPr>
        <w:t xml:space="preserve"> са друге. </w:t>
      </w:r>
      <w:r w:rsidR="000C2344" w:rsidRPr="1A8E6423">
        <w:rPr>
          <w:rFonts w:ascii="Arial" w:hAnsi="Arial" w:cs="Arial"/>
          <w:sz w:val="20"/>
          <w:szCs w:val="20"/>
          <w:lang w:val="sr-Cyrl-RS"/>
        </w:rPr>
        <w:t>Међутим, п</w:t>
      </w:r>
      <w:r w:rsidR="001F0573" w:rsidRPr="1A8E6423">
        <w:rPr>
          <w:rFonts w:ascii="Arial" w:hAnsi="Arial" w:cs="Arial"/>
          <w:sz w:val="20"/>
          <w:szCs w:val="20"/>
          <w:lang w:val="sr-Cyrl-RS"/>
        </w:rPr>
        <w:t>рименом модела а</w:t>
      </w:r>
      <w:r w:rsidR="00114495" w:rsidRPr="1A8E6423">
        <w:rPr>
          <w:rFonts w:ascii="Arial" w:hAnsi="Arial" w:cs="Arial"/>
          <w:sz w:val="20"/>
          <w:szCs w:val="20"/>
          <w:lang w:val="sr-Cyrl-RS"/>
        </w:rPr>
        <w:t>дминистративних поступака које спроводе</w:t>
      </w:r>
      <w:r w:rsidR="001F0573" w:rsidRPr="1A8E6423">
        <w:rPr>
          <w:rFonts w:ascii="Arial" w:hAnsi="Arial" w:cs="Arial"/>
          <w:sz w:val="20"/>
          <w:szCs w:val="20"/>
          <w:lang w:val="sr-Cyrl-RS"/>
        </w:rPr>
        <w:t xml:space="preserve"> општинске</w:t>
      </w:r>
      <w:r w:rsidR="005B2BED" w:rsidRPr="1A8E6423">
        <w:rPr>
          <w:rFonts w:ascii="Arial" w:hAnsi="Arial" w:cs="Arial"/>
          <w:sz w:val="20"/>
          <w:szCs w:val="20"/>
          <w:lang w:val="sr-Cyrl-RS"/>
        </w:rPr>
        <w:t xml:space="preserve"> и </w:t>
      </w:r>
      <w:r w:rsidR="001F0573" w:rsidRPr="1A8E6423">
        <w:rPr>
          <w:rFonts w:ascii="Arial" w:hAnsi="Arial" w:cs="Arial"/>
          <w:sz w:val="20"/>
          <w:szCs w:val="20"/>
          <w:lang w:val="sr-Cyrl-RS"/>
        </w:rPr>
        <w:t xml:space="preserve">градске управе, као и </w:t>
      </w:r>
      <w:r w:rsidR="001F0573" w:rsidRPr="1A8E6423">
        <w:rPr>
          <w:rFonts w:ascii="Arial" w:hAnsi="Arial" w:cs="Arial"/>
          <w:color w:val="000000" w:themeColor="text1"/>
          <w:sz w:val="20"/>
          <w:szCs w:val="20"/>
          <w:lang w:val="sr-Cyrl-RS"/>
        </w:rPr>
        <w:t>путем система за електронску размену података између органа (</w:t>
      </w:r>
      <w:r w:rsidR="00114495" w:rsidRPr="1A8E6423">
        <w:rPr>
          <w:rFonts w:ascii="Arial" w:hAnsi="Arial" w:cs="Arial"/>
          <w:color w:val="000000" w:themeColor="text1"/>
          <w:sz w:val="20"/>
          <w:szCs w:val="20"/>
          <w:lang w:val="sr-Cyrl-RS"/>
        </w:rPr>
        <w:t>сервисна</w:t>
      </w:r>
      <w:r w:rsidR="001F0573" w:rsidRPr="1A8E6423">
        <w:rPr>
          <w:rFonts w:ascii="Arial" w:hAnsi="Arial" w:cs="Arial"/>
          <w:color w:val="000000" w:themeColor="text1"/>
          <w:sz w:val="20"/>
          <w:szCs w:val="20"/>
          <w:lang w:val="sr-Cyrl-RS"/>
        </w:rPr>
        <w:t xml:space="preserve"> магистрал</w:t>
      </w:r>
      <w:r w:rsidR="00114495" w:rsidRPr="1A8E6423">
        <w:rPr>
          <w:rFonts w:ascii="Arial" w:hAnsi="Arial" w:cs="Arial"/>
          <w:color w:val="000000" w:themeColor="text1"/>
          <w:sz w:val="20"/>
          <w:szCs w:val="20"/>
          <w:lang w:val="sr-Cyrl-RS"/>
        </w:rPr>
        <w:t>а</w:t>
      </w:r>
      <w:r w:rsidR="001F0573" w:rsidRPr="1A8E6423">
        <w:rPr>
          <w:rFonts w:ascii="Arial" w:hAnsi="Arial" w:cs="Arial"/>
          <w:color w:val="000000" w:themeColor="text1"/>
          <w:sz w:val="20"/>
          <w:szCs w:val="20"/>
          <w:lang w:val="sr-Cyrl-RS"/>
        </w:rPr>
        <w:t xml:space="preserve"> органа), створени су услови да се значајан број запослених са средњом стручном спремом ангажује на прикупљању података</w:t>
      </w:r>
      <w:r w:rsidR="00D36F94" w:rsidRPr="1A8E6423">
        <w:rPr>
          <w:rFonts w:ascii="Arial" w:hAnsi="Arial" w:cs="Arial"/>
          <w:color w:val="000000" w:themeColor="text1"/>
          <w:sz w:val="20"/>
          <w:szCs w:val="20"/>
          <w:lang w:val="sr-Cyrl-RS"/>
        </w:rPr>
        <w:t xml:space="preserve"> по службеној дужности</w:t>
      </w:r>
      <w:r w:rsidR="001F0573" w:rsidRPr="1A8E6423">
        <w:rPr>
          <w:rFonts w:ascii="Arial" w:hAnsi="Arial" w:cs="Arial"/>
          <w:color w:val="000000" w:themeColor="text1"/>
          <w:sz w:val="20"/>
          <w:szCs w:val="20"/>
          <w:lang w:val="sr-Cyrl-RS"/>
        </w:rPr>
        <w:t xml:space="preserve"> </w:t>
      </w:r>
      <w:r w:rsidR="00114495" w:rsidRPr="1A8E6423">
        <w:rPr>
          <w:rFonts w:ascii="Arial" w:hAnsi="Arial" w:cs="Arial"/>
          <w:color w:val="000000" w:themeColor="text1"/>
          <w:sz w:val="20"/>
          <w:szCs w:val="20"/>
          <w:lang w:val="sr-Cyrl-RS"/>
        </w:rPr>
        <w:t>и обављање других административних послова.</w:t>
      </w:r>
    </w:p>
    <w:p w14:paraId="76713F1A" w14:textId="77777777" w:rsidR="001C7C2E" w:rsidRPr="00A021B7" w:rsidRDefault="001C7C2E" w:rsidP="1A8E6423">
      <w:pPr>
        <w:ind w:firstLine="720"/>
        <w:contextualSpacing/>
        <w:jc w:val="both"/>
        <w:rPr>
          <w:rFonts w:ascii="Arial" w:hAnsi="Arial" w:cs="Arial"/>
          <w:sz w:val="20"/>
          <w:szCs w:val="20"/>
          <w:lang w:val="sr-Cyrl-RS"/>
        </w:rPr>
      </w:pPr>
    </w:p>
    <w:p w14:paraId="718EB623" w14:textId="6022A587" w:rsidR="001C7C2E" w:rsidRPr="00A021B7" w:rsidRDefault="5145412E" w:rsidP="1A8E6423">
      <w:pPr>
        <w:ind w:firstLine="720"/>
        <w:contextualSpacing/>
        <w:jc w:val="both"/>
        <w:rPr>
          <w:rFonts w:ascii="Arial" w:hAnsi="Arial" w:cs="Arial"/>
          <w:sz w:val="20"/>
          <w:szCs w:val="20"/>
          <w:lang w:val="sr-Cyrl-RS" w:eastAsia="ar-SA"/>
        </w:rPr>
      </w:pPr>
      <w:r w:rsidRPr="00A021B7">
        <w:rPr>
          <w:rFonts w:ascii="Arial" w:hAnsi="Arial" w:cs="Arial"/>
          <w:sz w:val="20"/>
          <w:szCs w:val="20"/>
          <w:lang w:val="sr-Cyrl-RS"/>
        </w:rPr>
        <w:t xml:space="preserve">На основу показатеља индекса СКГО, можемо видети и да </w:t>
      </w:r>
      <w:r w:rsidR="45F03BB1" w:rsidRPr="00A021B7">
        <w:rPr>
          <w:rFonts w:ascii="Arial" w:hAnsi="Arial" w:cs="Arial"/>
          <w:sz w:val="20"/>
          <w:szCs w:val="20"/>
          <w:lang w:val="sr-Cyrl-RS"/>
        </w:rPr>
        <w:t xml:space="preserve">више од половине </w:t>
      </w:r>
      <w:r w:rsidRPr="00A021B7">
        <w:rPr>
          <w:rFonts w:ascii="Arial" w:hAnsi="Arial" w:cs="Arial"/>
          <w:sz w:val="20"/>
          <w:szCs w:val="20"/>
          <w:lang w:val="sr-Cyrl-RS"/>
        </w:rPr>
        <w:t>градова и општина (</w:t>
      </w:r>
      <w:r w:rsidR="45F03BB1" w:rsidRPr="00A021B7">
        <w:rPr>
          <w:rFonts w:ascii="Arial" w:hAnsi="Arial" w:cs="Arial"/>
          <w:sz w:val="20"/>
          <w:szCs w:val="20"/>
          <w:lang w:val="sr-Cyrl-RS"/>
        </w:rPr>
        <w:t>55</w:t>
      </w:r>
      <w:r w:rsidRPr="00A021B7">
        <w:rPr>
          <w:rFonts w:ascii="Arial" w:hAnsi="Arial" w:cs="Arial"/>
          <w:sz w:val="20"/>
          <w:szCs w:val="20"/>
          <w:lang w:val="sr-Cyrl-RS"/>
        </w:rPr>
        <w:t xml:space="preserve">%) има установљену </w:t>
      </w:r>
      <w:r w:rsidRPr="00A021B7">
        <w:rPr>
          <w:rFonts w:ascii="Arial" w:hAnsi="Arial" w:cs="Arial"/>
          <w:b/>
          <w:bCs/>
          <w:sz w:val="20"/>
          <w:szCs w:val="20"/>
          <w:lang w:val="sr-Cyrl-RS"/>
        </w:rPr>
        <w:t>кадровску евиденцију</w:t>
      </w:r>
      <w:r w:rsidR="00F5288D">
        <w:rPr>
          <w:rFonts w:ascii="Arial" w:hAnsi="Arial" w:cs="Arial"/>
          <w:sz w:val="20"/>
          <w:szCs w:val="20"/>
          <w:lang w:val="sr-Cyrl-RS"/>
        </w:rPr>
        <w:t>,</w:t>
      </w:r>
      <w:r w:rsidRPr="00A021B7">
        <w:rPr>
          <w:rFonts w:ascii="Arial" w:hAnsi="Arial" w:cs="Arial"/>
          <w:sz w:val="20"/>
          <w:szCs w:val="20"/>
          <w:lang w:val="sr-Cyrl-RS"/>
        </w:rPr>
        <w:t xml:space="preserve"> која се води као електронска база, али и да нису унесени сви подаци прописани чл</w:t>
      </w:r>
      <w:r w:rsidR="78A20D27" w:rsidRPr="00A021B7">
        <w:rPr>
          <w:rFonts w:ascii="Arial" w:hAnsi="Arial" w:cs="Arial"/>
          <w:sz w:val="20"/>
          <w:szCs w:val="20"/>
          <w:lang w:val="sr-Cyrl-RS"/>
        </w:rPr>
        <w:t>аном</w:t>
      </w:r>
      <w:r w:rsidRPr="00A021B7">
        <w:rPr>
          <w:rFonts w:ascii="Arial" w:hAnsi="Arial" w:cs="Arial"/>
          <w:sz w:val="20"/>
          <w:szCs w:val="20"/>
          <w:lang w:val="sr-Cyrl-RS"/>
        </w:rPr>
        <w:t xml:space="preserve"> 190</w:t>
      </w:r>
      <w:r w:rsidR="755DFEE6" w:rsidRPr="00A021B7">
        <w:rPr>
          <w:rFonts w:ascii="Arial" w:hAnsi="Arial" w:cs="Arial"/>
          <w:sz w:val="20"/>
          <w:szCs w:val="20"/>
          <w:lang w:val="sr-Cyrl-RS"/>
        </w:rPr>
        <w:t>.</w:t>
      </w:r>
      <w:r w:rsidRPr="00A021B7">
        <w:rPr>
          <w:rFonts w:ascii="Arial" w:hAnsi="Arial" w:cs="Arial"/>
          <w:sz w:val="20"/>
          <w:szCs w:val="20"/>
          <w:lang w:val="sr-Cyrl-RS"/>
        </w:rPr>
        <w:t xml:space="preserve"> Закона о запосленима у АП и ЈЛС и </w:t>
      </w:r>
      <w:r w:rsidR="755DFEE6" w:rsidRPr="00A021B7">
        <w:rPr>
          <w:rFonts w:ascii="Arial" w:hAnsi="Arial" w:cs="Arial"/>
          <w:sz w:val="20"/>
          <w:szCs w:val="20"/>
          <w:lang w:val="sr-Cyrl-RS"/>
        </w:rPr>
        <w:t xml:space="preserve">да </w:t>
      </w:r>
      <w:r w:rsidRPr="00A021B7">
        <w:rPr>
          <w:rFonts w:ascii="Arial" w:hAnsi="Arial" w:cs="Arial"/>
          <w:sz w:val="20"/>
          <w:szCs w:val="20"/>
          <w:lang w:val="sr-Cyrl-RS"/>
        </w:rPr>
        <w:t xml:space="preserve">нису дигитализовани персонални досијеи запослених. </w:t>
      </w:r>
      <w:r w:rsidR="2079F7C2" w:rsidRPr="00A021B7">
        <w:rPr>
          <w:rFonts w:ascii="Arial" w:hAnsi="Arial" w:cs="Arial"/>
          <w:sz w:val="20"/>
          <w:szCs w:val="20"/>
          <w:lang w:val="sr-Cyrl-RS"/>
        </w:rPr>
        <w:t>Од тога</w:t>
      </w:r>
      <w:r w:rsidR="00F5288D">
        <w:rPr>
          <w:rFonts w:ascii="Arial" w:hAnsi="Arial" w:cs="Arial"/>
          <w:sz w:val="20"/>
          <w:szCs w:val="20"/>
          <w:lang w:val="sr-Cyrl-RS"/>
        </w:rPr>
        <w:t>,</w:t>
      </w:r>
      <w:r w:rsidR="2079F7C2" w:rsidRPr="00A021B7">
        <w:rPr>
          <w:rFonts w:ascii="Arial" w:hAnsi="Arial" w:cs="Arial"/>
          <w:sz w:val="20"/>
          <w:szCs w:val="20"/>
          <w:lang w:val="sr-Cyrl-RS"/>
        </w:rPr>
        <w:t xml:space="preserve"> </w:t>
      </w:r>
      <w:r w:rsidRPr="00A021B7">
        <w:rPr>
          <w:rFonts w:ascii="Arial" w:hAnsi="Arial" w:cs="Arial"/>
          <w:sz w:val="20"/>
          <w:szCs w:val="20"/>
          <w:lang w:val="sr-Cyrl-RS"/>
        </w:rPr>
        <w:t>14%</w:t>
      </w:r>
      <w:r w:rsidR="2079F7C2" w:rsidRPr="00A021B7">
        <w:rPr>
          <w:rFonts w:ascii="Arial" w:hAnsi="Arial" w:cs="Arial"/>
          <w:lang w:val="sr-Cyrl-RS"/>
        </w:rPr>
        <w:t xml:space="preserve"> </w:t>
      </w:r>
      <w:r w:rsidR="2079F7C2" w:rsidRPr="00A021B7">
        <w:rPr>
          <w:rFonts w:ascii="Arial" w:hAnsi="Arial" w:cs="Arial"/>
          <w:sz w:val="20"/>
          <w:szCs w:val="20"/>
          <w:lang w:val="sr-Cyrl-RS"/>
        </w:rPr>
        <w:t>ЈЛС</w:t>
      </w:r>
      <w:r w:rsidRPr="00A021B7" w:rsidDel="008E202F">
        <w:rPr>
          <w:rFonts w:ascii="Arial" w:hAnsi="Arial" w:cs="Arial"/>
          <w:sz w:val="20"/>
          <w:szCs w:val="20"/>
          <w:lang w:val="sr-Cyrl-RS"/>
        </w:rPr>
        <w:t xml:space="preserve"> </w:t>
      </w:r>
      <w:r w:rsidRPr="00A021B7">
        <w:rPr>
          <w:rFonts w:ascii="Arial" w:hAnsi="Arial" w:cs="Arial"/>
          <w:sz w:val="20"/>
          <w:szCs w:val="20"/>
          <w:lang w:val="sr-Cyrl-RS"/>
        </w:rPr>
        <w:t>има установљену јединствену електронску базу података и дигитализовани препис персоналних досијеа</w:t>
      </w:r>
      <w:r w:rsidR="2079F7C2" w:rsidRPr="00A021B7">
        <w:rPr>
          <w:rFonts w:ascii="Arial" w:hAnsi="Arial" w:cs="Arial"/>
          <w:sz w:val="20"/>
          <w:szCs w:val="20"/>
          <w:lang w:val="sr-Cyrl-RS"/>
        </w:rPr>
        <w:t>,</w:t>
      </w:r>
      <w:r w:rsidRPr="00A021B7">
        <w:rPr>
          <w:rFonts w:ascii="Arial" w:hAnsi="Arial" w:cs="Arial"/>
          <w:sz w:val="20"/>
          <w:szCs w:val="20"/>
          <w:lang w:val="sr-Cyrl-RS"/>
        </w:rPr>
        <w:t xml:space="preserve"> </w:t>
      </w:r>
      <w:r w:rsidR="2079F7C2" w:rsidRPr="00A021B7">
        <w:rPr>
          <w:rFonts w:ascii="Arial" w:hAnsi="Arial" w:cs="Arial"/>
          <w:sz w:val="20"/>
          <w:szCs w:val="20"/>
          <w:lang w:val="sr-Cyrl-RS"/>
        </w:rPr>
        <w:t>док</w:t>
      </w:r>
      <w:r w:rsidRPr="00A021B7">
        <w:rPr>
          <w:rFonts w:ascii="Arial" w:hAnsi="Arial" w:cs="Arial"/>
          <w:sz w:val="20"/>
          <w:szCs w:val="20"/>
          <w:lang w:val="sr-Cyrl-RS"/>
        </w:rPr>
        <w:t xml:space="preserve"> у </w:t>
      </w:r>
      <w:r w:rsidR="5ABA1CA4" w:rsidRPr="00A021B7">
        <w:rPr>
          <w:rFonts w:ascii="Arial" w:hAnsi="Arial" w:cs="Arial"/>
          <w:sz w:val="20"/>
          <w:szCs w:val="20"/>
          <w:lang w:val="sr-Cyrl-RS"/>
        </w:rPr>
        <w:t>41</w:t>
      </w:r>
      <w:r w:rsidRPr="00A021B7">
        <w:rPr>
          <w:rFonts w:ascii="Arial" w:hAnsi="Arial" w:cs="Arial"/>
          <w:sz w:val="20"/>
          <w:szCs w:val="20"/>
          <w:lang w:val="sr-Cyrl-RS"/>
        </w:rPr>
        <w:t xml:space="preserve">% ЈЛС кадровска евиденција још није сасвим </w:t>
      </w:r>
      <w:r w:rsidR="00F5288D" w:rsidRPr="00A021B7">
        <w:rPr>
          <w:rFonts w:ascii="Arial" w:hAnsi="Arial" w:cs="Arial"/>
          <w:sz w:val="20"/>
          <w:szCs w:val="20"/>
          <w:lang w:val="sr-Cyrl-RS"/>
        </w:rPr>
        <w:t>успоставље</w:t>
      </w:r>
      <w:r w:rsidR="00F5288D">
        <w:rPr>
          <w:rFonts w:ascii="Arial" w:hAnsi="Arial" w:cs="Arial"/>
          <w:sz w:val="20"/>
          <w:szCs w:val="20"/>
          <w:lang w:val="sr-Cyrl-RS"/>
        </w:rPr>
        <w:t>н</w:t>
      </w:r>
      <w:r w:rsidR="00F5288D" w:rsidRPr="00A021B7">
        <w:rPr>
          <w:rFonts w:ascii="Arial" w:hAnsi="Arial" w:cs="Arial"/>
          <w:sz w:val="20"/>
          <w:szCs w:val="20"/>
          <w:lang w:val="sr-Cyrl-RS"/>
        </w:rPr>
        <w:t>а</w:t>
      </w:r>
      <w:r w:rsidRPr="00A021B7">
        <w:rPr>
          <w:rFonts w:ascii="Arial" w:hAnsi="Arial" w:cs="Arial"/>
          <w:sz w:val="20"/>
          <w:szCs w:val="20"/>
          <w:lang w:val="sr-Cyrl-RS"/>
        </w:rPr>
        <w:t xml:space="preserve">, али се воде персонални досијеи, који садрже све законом одређене елементе. Један од могућих разлога за још увек неадекватно вођење кадровских евиденција можда лежи и у томе да је протеклих неколико година најављивана израда централне базе података о запосленима у јавној управи и ЈЛС се није препоручивало да израђују сопствене базе пре него што централна база буде у функцији. У складу са тим, </w:t>
      </w:r>
      <w:r w:rsidR="00F5288D">
        <w:rPr>
          <w:rFonts w:ascii="Arial" w:hAnsi="Arial" w:cs="Arial"/>
          <w:sz w:val="20"/>
          <w:szCs w:val="20"/>
          <w:lang w:val="sr-Cyrl-RS"/>
        </w:rPr>
        <w:t xml:space="preserve">у </w:t>
      </w:r>
      <w:r w:rsidRPr="00A021B7">
        <w:rPr>
          <w:rFonts w:ascii="Arial" w:hAnsi="Arial" w:cs="Arial"/>
          <w:sz w:val="20"/>
          <w:szCs w:val="20"/>
          <w:lang w:val="sr-Cyrl-RS"/>
        </w:rPr>
        <w:t xml:space="preserve">овој области се може очекивати значајан помак с обзиром </w:t>
      </w:r>
      <w:r w:rsidR="00F5288D">
        <w:rPr>
          <w:rFonts w:ascii="Arial" w:hAnsi="Arial" w:cs="Arial"/>
          <w:sz w:val="20"/>
          <w:szCs w:val="20"/>
          <w:lang w:val="sr-Cyrl-RS"/>
        </w:rPr>
        <w:t xml:space="preserve">на то </w:t>
      </w:r>
      <w:r w:rsidRPr="00A021B7">
        <w:rPr>
          <w:rFonts w:ascii="Arial" w:hAnsi="Arial" w:cs="Arial"/>
          <w:sz w:val="20"/>
          <w:szCs w:val="20"/>
          <w:lang w:val="sr-Cyrl-RS"/>
        </w:rPr>
        <w:t xml:space="preserve">да би централна база </w:t>
      </w:r>
      <w:r w:rsidR="4C382161" w:rsidRPr="00A021B7">
        <w:rPr>
          <w:rFonts w:ascii="Arial" w:hAnsi="Arial" w:cs="Arial"/>
          <w:sz w:val="20"/>
          <w:szCs w:val="20"/>
          <w:lang w:val="sr-Cyrl-RS"/>
        </w:rPr>
        <w:t xml:space="preserve">требало </w:t>
      </w:r>
      <w:r w:rsidRPr="00A021B7">
        <w:rPr>
          <w:rFonts w:ascii="Arial" w:hAnsi="Arial" w:cs="Arial"/>
          <w:sz w:val="20"/>
          <w:szCs w:val="20"/>
          <w:lang w:val="sr-Cyrl-RS"/>
        </w:rPr>
        <w:t xml:space="preserve">да буде оперативна од </w:t>
      </w:r>
      <w:r w:rsidR="4C382161" w:rsidRPr="00A021B7">
        <w:rPr>
          <w:rFonts w:ascii="Arial" w:hAnsi="Arial" w:cs="Arial"/>
          <w:sz w:val="20"/>
          <w:szCs w:val="20"/>
          <w:lang w:val="sr-Cyrl-RS"/>
        </w:rPr>
        <w:t xml:space="preserve">2021. </w:t>
      </w:r>
      <w:r w:rsidRPr="00A021B7">
        <w:rPr>
          <w:rFonts w:ascii="Arial" w:hAnsi="Arial" w:cs="Arial"/>
          <w:sz w:val="20"/>
          <w:szCs w:val="20"/>
          <w:lang w:val="sr-Cyrl-RS"/>
        </w:rPr>
        <w:t>године.</w:t>
      </w:r>
      <w:r w:rsidR="001C7C2E" w:rsidRPr="00A021B7">
        <w:rPr>
          <w:rFonts w:ascii="Arial" w:hAnsi="Arial" w:cs="Arial"/>
          <w:sz w:val="20"/>
          <w:szCs w:val="20"/>
          <w:vertAlign w:val="superscript"/>
          <w:lang w:val="sr-Cyrl-RS"/>
        </w:rPr>
        <w:footnoteReference w:id="97"/>
      </w:r>
    </w:p>
    <w:p w14:paraId="0AEE59EC" w14:textId="77777777" w:rsidR="0002571E" w:rsidRPr="00A021B7" w:rsidRDefault="0002571E" w:rsidP="003E7BC9">
      <w:pPr>
        <w:contextualSpacing/>
        <w:jc w:val="both"/>
        <w:rPr>
          <w:rFonts w:ascii="Arial" w:hAnsi="Arial" w:cs="Arial"/>
          <w:bCs/>
          <w:sz w:val="20"/>
          <w:szCs w:val="20"/>
          <w:lang w:val="sr-Cyrl-RS" w:eastAsia="ar-SA"/>
        </w:rPr>
      </w:pPr>
    </w:p>
    <w:p w14:paraId="74FC7A4A" w14:textId="3087DAF4" w:rsidR="001C7C2E" w:rsidRPr="00A021B7" w:rsidRDefault="0002571E" w:rsidP="1A8E6423">
      <w:pPr>
        <w:contextualSpacing/>
        <w:jc w:val="both"/>
        <w:rPr>
          <w:rFonts w:ascii="Arial" w:hAnsi="Arial" w:cs="Arial"/>
          <w:sz w:val="20"/>
          <w:szCs w:val="20"/>
          <w:lang w:val="sr-Cyrl-RS" w:eastAsia="ar-SA"/>
        </w:rPr>
      </w:pPr>
      <w:r w:rsidRPr="1A8E6423">
        <w:rPr>
          <w:rFonts w:ascii="Arial" w:hAnsi="Arial" w:cs="Arial"/>
          <w:i/>
          <w:iCs/>
          <w:sz w:val="20"/>
          <w:szCs w:val="20"/>
          <w:lang w:val="sr-Cyrl-RS" w:eastAsia="ar-SA"/>
        </w:rPr>
        <w:t>Графикон</w:t>
      </w:r>
      <w:r w:rsidR="00275068" w:rsidRPr="1A8E6423">
        <w:rPr>
          <w:rFonts w:ascii="Arial" w:hAnsi="Arial" w:cs="Arial"/>
          <w:i/>
          <w:iCs/>
          <w:sz w:val="20"/>
          <w:szCs w:val="20"/>
          <w:lang w:val="sr-Cyrl-RS" w:eastAsia="ar-SA"/>
        </w:rPr>
        <w:t xml:space="preserve"> </w:t>
      </w:r>
      <w:r w:rsidR="002139C8" w:rsidRPr="1A8E6423">
        <w:rPr>
          <w:rFonts w:ascii="Arial" w:hAnsi="Arial" w:cs="Arial"/>
          <w:i/>
          <w:iCs/>
          <w:sz w:val="20"/>
          <w:szCs w:val="20"/>
          <w:lang w:val="sr-Cyrl-RS" w:eastAsia="ar-SA"/>
        </w:rPr>
        <w:t>3</w:t>
      </w:r>
      <w:r w:rsidRPr="1A8E6423">
        <w:rPr>
          <w:rFonts w:ascii="Arial" w:hAnsi="Arial" w:cs="Arial"/>
          <w:i/>
          <w:iCs/>
          <w:sz w:val="20"/>
          <w:szCs w:val="20"/>
          <w:lang w:val="sr-Cyrl-RS" w:eastAsia="ar-SA"/>
        </w:rPr>
        <w:t>:</w:t>
      </w:r>
      <w:r w:rsidRPr="1A8E6423">
        <w:rPr>
          <w:rFonts w:ascii="Arial" w:hAnsi="Arial" w:cs="Arial"/>
          <w:sz w:val="20"/>
          <w:szCs w:val="20"/>
          <w:lang w:val="sr-Cyrl-RS" w:eastAsia="ar-SA"/>
        </w:rPr>
        <w:t xml:space="preserve"> </w:t>
      </w:r>
      <w:r w:rsidRPr="1A8E6423">
        <w:rPr>
          <w:rFonts w:ascii="Arial" w:hAnsi="Arial" w:cs="Arial"/>
          <w:i/>
          <w:iCs/>
          <w:sz w:val="20"/>
          <w:szCs w:val="20"/>
          <w:lang w:val="sr-Cyrl-RS" w:eastAsia="ar-SA"/>
        </w:rPr>
        <w:t xml:space="preserve">Преглед налаза </w:t>
      </w:r>
      <w:r w:rsidR="006249CD" w:rsidRPr="1A8E6423">
        <w:rPr>
          <w:rFonts w:ascii="Arial" w:hAnsi="Arial" w:cs="Arial"/>
          <w:i/>
          <w:iCs/>
          <w:sz w:val="20"/>
          <w:szCs w:val="20"/>
          <w:lang w:val="sr-Cyrl-RS" w:eastAsia="ar-SA"/>
        </w:rPr>
        <w:t xml:space="preserve">према </w:t>
      </w:r>
      <w:r w:rsidRPr="1A8E6423">
        <w:rPr>
          <w:rFonts w:ascii="Arial" w:hAnsi="Arial" w:cs="Arial"/>
          <w:i/>
          <w:iCs/>
          <w:sz w:val="20"/>
          <w:szCs w:val="20"/>
          <w:lang w:val="sr-Cyrl-RS" w:eastAsia="ar-SA"/>
        </w:rPr>
        <w:t>индекс</w:t>
      </w:r>
      <w:r w:rsidR="006249CD" w:rsidRPr="1A8E6423">
        <w:rPr>
          <w:rFonts w:ascii="Arial" w:hAnsi="Arial" w:cs="Arial"/>
          <w:i/>
          <w:iCs/>
          <w:sz w:val="20"/>
          <w:szCs w:val="20"/>
          <w:lang w:val="sr-Cyrl-RS" w:eastAsia="ar-SA"/>
        </w:rPr>
        <w:t>у</w:t>
      </w:r>
      <w:r w:rsidRPr="1A8E6423">
        <w:rPr>
          <w:rFonts w:ascii="Arial" w:hAnsi="Arial" w:cs="Arial"/>
          <w:i/>
          <w:iCs/>
          <w:sz w:val="20"/>
          <w:szCs w:val="20"/>
          <w:lang w:val="sr-Cyrl-RS" w:eastAsia="ar-SA"/>
        </w:rPr>
        <w:t xml:space="preserve"> за УЉР у вези са </w:t>
      </w:r>
      <w:r w:rsidR="005E7BEB" w:rsidRPr="1A8E6423">
        <w:rPr>
          <w:rFonts w:ascii="Arial" w:hAnsi="Arial" w:cs="Arial"/>
          <w:i/>
          <w:iCs/>
          <w:sz w:val="20"/>
          <w:szCs w:val="20"/>
          <w:lang w:val="sr-Cyrl-RS" w:eastAsia="ar-SA"/>
        </w:rPr>
        <w:t>вођењем евиденција о запосленима</w:t>
      </w:r>
    </w:p>
    <w:p w14:paraId="14EC54A2" w14:textId="77777777" w:rsidR="00A1151D" w:rsidRPr="00A021B7" w:rsidRDefault="00BA5332" w:rsidP="003E7BC9">
      <w:pPr>
        <w:contextualSpacing/>
        <w:jc w:val="both"/>
        <w:rPr>
          <w:rFonts w:ascii="Arial" w:hAnsi="Arial" w:cs="Arial"/>
          <w:sz w:val="20"/>
          <w:szCs w:val="20"/>
          <w:lang w:val="sr-Cyrl-RS"/>
        </w:rPr>
      </w:pPr>
      <w:r w:rsidRPr="00A021B7">
        <w:rPr>
          <w:rFonts w:ascii="Arial" w:hAnsi="Arial" w:cs="Arial"/>
          <w:noProof/>
          <w:sz w:val="20"/>
          <w:szCs w:val="20"/>
          <w:lang w:eastAsia="en-US"/>
        </w:rPr>
        <w:drawing>
          <wp:anchor distT="0" distB="0" distL="114300" distR="114300" simplePos="0" relativeHeight="251658240" behindDoc="1" locked="0" layoutInCell="1" allowOverlap="1" wp14:anchorId="67B69219" wp14:editId="620FB0EE">
            <wp:simplePos x="0" y="0"/>
            <wp:positionH relativeFrom="column">
              <wp:posOffset>0</wp:posOffset>
            </wp:positionH>
            <wp:positionV relativeFrom="paragraph">
              <wp:posOffset>145415</wp:posOffset>
            </wp:positionV>
            <wp:extent cx="5621655" cy="2406650"/>
            <wp:effectExtent l="0" t="0" r="17145" b="0"/>
            <wp:wrapTight wrapText="bothSides">
              <wp:wrapPolygon edited="0">
                <wp:start x="0" y="0"/>
                <wp:lineTo x="0" y="21420"/>
                <wp:lineTo x="21593" y="21420"/>
                <wp:lineTo x="21593" y="0"/>
                <wp:lineTo x="0" y="0"/>
              </wp:wrapPolygon>
            </wp:wrapTight>
            <wp:docPr id="3" name="Chart 3">
              <a:extLst xmlns:a="http://schemas.openxmlformats.org/drawingml/2006/main">
                <a:ext uri="{FF2B5EF4-FFF2-40B4-BE49-F238E27FC236}">
                  <a16:creationId xmlns:a16="http://schemas.microsoft.com/office/drawing/2014/main" id="{5EE8384C-BC31-4C89-A261-04B31CDB4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977861F" w14:textId="7A86567B" w:rsidR="001C7C2E" w:rsidRPr="00A021B7" w:rsidRDefault="001C7C2E" w:rsidP="1A8E6423">
      <w:pPr>
        <w:ind w:firstLine="720"/>
        <w:contextualSpacing/>
        <w:jc w:val="both"/>
        <w:rPr>
          <w:rFonts w:ascii="Arial" w:hAnsi="Arial" w:cs="Arial"/>
          <w:sz w:val="20"/>
          <w:szCs w:val="20"/>
          <w:lang w:val="sr-Cyrl-RS"/>
        </w:rPr>
      </w:pPr>
      <w:r w:rsidRPr="1A8E6423">
        <w:rPr>
          <w:rFonts w:ascii="Arial" w:hAnsi="Arial" w:cs="Arial"/>
          <w:sz w:val="20"/>
          <w:szCs w:val="20"/>
          <w:lang w:val="sr-Cyrl-RS"/>
        </w:rPr>
        <w:lastRenderedPageBreak/>
        <w:t xml:space="preserve">У бројним градовима и општинама још увек има негативних наслеђа из прошлости јавне управе, </w:t>
      </w:r>
      <w:r w:rsidR="00F5288D" w:rsidRPr="1A8E6423">
        <w:rPr>
          <w:rFonts w:ascii="Arial" w:hAnsi="Arial" w:cs="Arial"/>
          <w:sz w:val="20"/>
          <w:szCs w:val="20"/>
          <w:lang w:val="sr-Cyrl-RS"/>
        </w:rPr>
        <w:t>чија је</w:t>
      </w:r>
      <w:r w:rsidRPr="1A8E6423">
        <w:rPr>
          <w:rFonts w:ascii="Arial" w:hAnsi="Arial" w:cs="Arial"/>
          <w:sz w:val="20"/>
          <w:szCs w:val="20"/>
          <w:lang w:val="sr-Cyrl-RS"/>
        </w:rPr>
        <w:t xml:space="preserve"> последиц</w:t>
      </w:r>
      <w:r w:rsidR="00F5288D" w:rsidRPr="1A8E6423">
        <w:rPr>
          <w:rFonts w:ascii="Arial" w:hAnsi="Arial" w:cs="Arial"/>
          <w:sz w:val="20"/>
          <w:szCs w:val="20"/>
          <w:lang w:val="sr-Cyrl-RS"/>
        </w:rPr>
        <w:t xml:space="preserve">а то </w:t>
      </w:r>
      <w:r w:rsidRPr="1A8E6423">
        <w:rPr>
          <w:rFonts w:ascii="Arial" w:hAnsi="Arial" w:cs="Arial"/>
          <w:sz w:val="20"/>
          <w:szCs w:val="20"/>
          <w:lang w:val="sr-Cyrl-RS"/>
        </w:rPr>
        <w:t>да није присутан потребан ниво</w:t>
      </w:r>
      <w:r w:rsidR="00F5288D" w:rsidRPr="1A8E6423">
        <w:rPr>
          <w:rFonts w:ascii="Arial" w:hAnsi="Arial" w:cs="Arial"/>
          <w:sz w:val="20"/>
          <w:szCs w:val="20"/>
          <w:lang w:val="sr-Cyrl-RS"/>
        </w:rPr>
        <w:t xml:space="preserve"> </w:t>
      </w:r>
      <w:r w:rsidRPr="1A8E6423">
        <w:rPr>
          <w:rFonts w:ascii="Arial" w:hAnsi="Arial" w:cs="Arial"/>
          <w:sz w:val="20"/>
          <w:szCs w:val="20"/>
          <w:lang w:val="sr-Cyrl-RS"/>
        </w:rPr>
        <w:t>у оријентисаност</w:t>
      </w:r>
      <w:r w:rsidR="00F5288D" w:rsidRPr="1A8E6423">
        <w:rPr>
          <w:rFonts w:ascii="Arial" w:hAnsi="Arial" w:cs="Arial"/>
          <w:sz w:val="20"/>
          <w:szCs w:val="20"/>
          <w:lang w:val="sr-Cyrl-RS"/>
        </w:rPr>
        <w:t>и</w:t>
      </w:r>
      <w:r w:rsidRPr="1A8E6423">
        <w:rPr>
          <w:rFonts w:ascii="Arial" w:hAnsi="Arial" w:cs="Arial"/>
          <w:sz w:val="20"/>
          <w:szCs w:val="20"/>
          <w:lang w:val="sr-Cyrl-RS"/>
        </w:rPr>
        <w:t xml:space="preserve"> ка резултатима, да се не врши адекватно </w:t>
      </w:r>
      <w:r w:rsidRPr="1A8E6423">
        <w:rPr>
          <w:rFonts w:ascii="Arial" w:hAnsi="Arial" w:cs="Arial"/>
          <w:b/>
          <w:bCs/>
          <w:sz w:val="20"/>
          <w:szCs w:val="20"/>
          <w:lang w:val="sr-Cyrl-RS"/>
        </w:rPr>
        <w:t>мерење учинка</w:t>
      </w:r>
      <w:r w:rsidRPr="1A8E6423">
        <w:rPr>
          <w:rFonts w:ascii="Arial" w:hAnsi="Arial" w:cs="Arial"/>
          <w:sz w:val="20"/>
          <w:szCs w:val="20"/>
          <w:lang w:val="sr-Cyrl-RS"/>
        </w:rPr>
        <w:t xml:space="preserve"> и не спроводи доследна примена политике </w:t>
      </w:r>
      <w:r w:rsidRPr="1A8E6423">
        <w:rPr>
          <w:rFonts w:ascii="Arial" w:hAnsi="Arial" w:cs="Arial"/>
          <w:b/>
          <w:bCs/>
          <w:sz w:val="20"/>
          <w:szCs w:val="20"/>
          <w:lang w:val="sr-Cyrl-RS"/>
        </w:rPr>
        <w:t>каријерног развоја</w:t>
      </w:r>
      <w:r w:rsidRPr="1A8E6423">
        <w:rPr>
          <w:rFonts w:ascii="Arial" w:hAnsi="Arial" w:cs="Arial"/>
          <w:sz w:val="20"/>
          <w:szCs w:val="20"/>
          <w:lang w:val="sr-Cyrl-RS"/>
        </w:rPr>
        <w:t xml:space="preserve"> по заслугама. Закон о запосленима у АП и ЈЛС по први пут је увео концепт систематског праћења и оцењивања запослених, у циљу мерења учинка и, у перспективи, напредовања у служби, награђивања или санкционисања према заслугама. У овом делу управљања људским ресурсима чини се и да генерално постоји највећи отпор према променама, јер у прошлости оцењивање или није спровођено уопште или се радило </w:t>
      </w:r>
      <w:r w:rsidR="00F5288D" w:rsidRPr="1A8E6423">
        <w:rPr>
          <w:rFonts w:ascii="Arial" w:hAnsi="Arial" w:cs="Arial"/>
          <w:i/>
          <w:iCs/>
          <w:sz w:val="20"/>
          <w:szCs w:val="20"/>
        </w:rPr>
        <w:t>pro forma</w:t>
      </w:r>
      <w:r w:rsidRPr="1A8E6423">
        <w:rPr>
          <w:rFonts w:ascii="Arial" w:hAnsi="Arial" w:cs="Arial"/>
          <w:sz w:val="20"/>
          <w:szCs w:val="20"/>
          <w:lang w:val="sr-Cyrl-RS"/>
        </w:rPr>
        <w:t>, па запослени нису уверени да ће се у новом систему нешто променити.</w:t>
      </w:r>
      <w:bookmarkStart w:id="89" w:name="_Hlk42073213"/>
    </w:p>
    <w:bookmarkEnd w:id="89"/>
    <w:p w14:paraId="096120BE" w14:textId="77777777" w:rsidR="001C7C2E" w:rsidRPr="00A021B7" w:rsidRDefault="001C7C2E" w:rsidP="1A8E6423">
      <w:pPr>
        <w:ind w:firstLine="720"/>
        <w:contextualSpacing/>
        <w:jc w:val="both"/>
        <w:rPr>
          <w:rFonts w:ascii="Arial" w:hAnsi="Arial" w:cs="Arial"/>
          <w:sz w:val="20"/>
          <w:szCs w:val="20"/>
          <w:lang w:val="sr-Cyrl-RS"/>
        </w:rPr>
      </w:pPr>
      <w:r w:rsidRPr="1A8E6423">
        <w:rPr>
          <w:rFonts w:ascii="Arial" w:hAnsi="Arial" w:cs="Arial"/>
          <w:sz w:val="20"/>
          <w:szCs w:val="20"/>
          <w:lang w:val="sr-Cyrl-RS"/>
        </w:rPr>
        <w:t xml:space="preserve"> </w:t>
      </w:r>
    </w:p>
    <w:p w14:paraId="6E31C574" w14:textId="78390AFD" w:rsidR="001C7C2E" w:rsidRPr="00A021B7" w:rsidRDefault="001C7C2E" w:rsidP="1A8E6423">
      <w:pPr>
        <w:ind w:firstLine="720"/>
        <w:contextualSpacing/>
        <w:jc w:val="both"/>
        <w:rPr>
          <w:rFonts w:ascii="Arial" w:hAnsi="Arial" w:cs="Arial"/>
          <w:sz w:val="20"/>
          <w:szCs w:val="20"/>
          <w:lang w:val="sr-Cyrl-RS"/>
        </w:rPr>
      </w:pPr>
      <w:r w:rsidRPr="1A8E6423">
        <w:rPr>
          <w:rFonts w:ascii="Arial" w:hAnsi="Arial" w:cs="Arial"/>
          <w:sz w:val="20"/>
          <w:szCs w:val="20"/>
          <w:lang w:val="sr-Cyrl-RS"/>
        </w:rPr>
        <w:t xml:space="preserve">Резултати истраживања </w:t>
      </w:r>
      <w:r w:rsidR="007F2DA5" w:rsidRPr="1A8E6423">
        <w:rPr>
          <w:rFonts w:ascii="Arial" w:hAnsi="Arial" w:cs="Arial"/>
          <w:sz w:val="20"/>
          <w:szCs w:val="20"/>
          <w:lang w:val="sr-Cyrl-RS"/>
        </w:rPr>
        <w:t xml:space="preserve">помоћу </w:t>
      </w:r>
      <w:r w:rsidRPr="1A8E6423">
        <w:rPr>
          <w:rFonts w:ascii="Arial" w:hAnsi="Arial" w:cs="Arial"/>
          <w:sz w:val="20"/>
          <w:szCs w:val="20"/>
          <w:lang w:val="sr-Cyrl-RS"/>
        </w:rPr>
        <w:t xml:space="preserve">индекса за </w:t>
      </w:r>
      <w:r w:rsidR="00BD6C3E" w:rsidRPr="1A8E6423">
        <w:rPr>
          <w:rFonts w:ascii="Arial" w:hAnsi="Arial" w:cs="Arial"/>
          <w:sz w:val="20"/>
          <w:szCs w:val="20"/>
          <w:lang w:val="sr-Cyrl-RS" w:eastAsia="ar-SA"/>
        </w:rPr>
        <w:t xml:space="preserve">УЉР </w:t>
      </w:r>
      <w:r w:rsidRPr="1A8E6423">
        <w:rPr>
          <w:rFonts w:ascii="Arial" w:hAnsi="Arial" w:cs="Arial"/>
          <w:sz w:val="20"/>
          <w:szCs w:val="20"/>
          <w:lang w:val="sr-Cyrl-RS"/>
        </w:rPr>
        <w:t xml:space="preserve">показали су да су испитиване ЈЛС постигле висок резултат у погледу утврђивања листе са до пет радних циљева и претпоставки за њихову реализацију, које запослени доносе заједно са оцењивачима. Треба додати да је у готово трећини ЈЛС, у моменту анкетирања, у току био поступак утврђивања листе радних циљева за све запослене, док у само </w:t>
      </w:r>
      <w:r w:rsidR="00AC71FF" w:rsidRPr="1A8E6423">
        <w:rPr>
          <w:rFonts w:ascii="Arial" w:hAnsi="Arial" w:cs="Arial"/>
          <w:sz w:val="20"/>
          <w:szCs w:val="20"/>
          <w:lang w:val="sr-Cyrl-RS"/>
        </w:rPr>
        <w:t xml:space="preserve">две </w:t>
      </w:r>
      <w:r w:rsidRPr="1A8E6423">
        <w:rPr>
          <w:rFonts w:ascii="Arial" w:hAnsi="Arial" w:cs="Arial"/>
          <w:sz w:val="20"/>
          <w:szCs w:val="20"/>
          <w:lang w:val="sr-Cyrl-RS"/>
        </w:rPr>
        <w:t>није ни започет поступак</w:t>
      </w:r>
      <w:r w:rsidRPr="1A8E6423">
        <w:rPr>
          <w:rFonts w:ascii="Arial" w:hAnsi="Arial" w:cs="Arial"/>
          <w:sz w:val="20"/>
          <w:szCs w:val="20"/>
          <w:lang w:val="sr-Cyrl-RS" w:eastAsia="ar-SA"/>
        </w:rPr>
        <w:t>.</w:t>
      </w:r>
      <w:bookmarkStart w:id="90" w:name="_Hlk41906935"/>
    </w:p>
    <w:p w14:paraId="0670E855" w14:textId="77777777" w:rsidR="000A7D73" w:rsidRPr="00A021B7" w:rsidRDefault="000A7D73" w:rsidP="003E7BC9">
      <w:pPr>
        <w:contextualSpacing/>
        <w:jc w:val="both"/>
        <w:rPr>
          <w:rFonts w:ascii="Arial" w:hAnsi="Arial" w:cs="Arial"/>
          <w:sz w:val="20"/>
          <w:szCs w:val="20"/>
          <w:lang w:val="sr-Cyrl-RS"/>
        </w:rPr>
      </w:pPr>
    </w:p>
    <w:p w14:paraId="348DBBA7" w14:textId="39DD2A59" w:rsidR="005E7BEB" w:rsidRPr="00A021B7" w:rsidRDefault="005E7BEB" w:rsidP="1A8E6423">
      <w:pPr>
        <w:contextualSpacing/>
        <w:jc w:val="both"/>
        <w:rPr>
          <w:rFonts w:ascii="Arial" w:hAnsi="Arial" w:cs="Arial"/>
          <w:sz w:val="20"/>
          <w:szCs w:val="20"/>
          <w:lang w:val="sr-Cyrl-RS" w:eastAsia="ar-SA"/>
        </w:rPr>
      </w:pPr>
      <w:r w:rsidRPr="1A8E6423">
        <w:rPr>
          <w:rFonts w:ascii="Arial" w:hAnsi="Arial" w:cs="Arial"/>
          <w:i/>
          <w:iCs/>
          <w:sz w:val="20"/>
          <w:szCs w:val="20"/>
          <w:lang w:val="sr-Cyrl-RS" w:eastAsia="ar-SA"/>
        </w:rPr>
        <w:t>Графикон</w:t>
      </w:r>
      <w:r w:rsidR="00275068" w:rsidRPr="1A8E6423">
        <w:rPr>
          <w:rFonts w:ascii="Arial" w:hAnsi="Arial" w:cs="Arial"/>
          <w:i/>
          <w:iCs/>
          <w:sz w:val="20"/>
          <w:szCs w:val="20"/>
          <w:lang w:val="sr-Cyrl-RS" w:eastAsia="ar-SA"/>
        </w:rPr>
        <w:t xml:space="preserve"> </w:t>
      </w:r>
      <w:r w:rsidR="002139C8" w:rsidRPr="1A8E6423">
        <w:rPr>
          <w:rFonts w:ascii="Arial" w:hAnsi="Arial" w:cs="Arial"/>
          <w:i/>
          <w:iCs/>
          <w:sz w:val="20"/>
          <w:szCs w:val="20"/>
          <w:lang w:val="sr-Cyrl-RS" w:eastAsia="ar-SA"/>
        </w:rPr>
        <w:t>4</w:t>
      </w:r>
      <w:r w:rsidRPr="1A8E6423">
        <w:rPr>
          <w:rFonts w:ascii="Arial" w:hAnsi="Arial" w:cs="Arial"/>
          <w:i/>
          <w:iCs/>
          <w:sz w:val="20"/>
          <w:szCs w:val="20"/>
          <w:lang w:val="sr-Cyrl-RS" w:eastAsia="ar-SA"/>
        </w:rPr>
        <w:t>:</w:t>
      </w:r>
      <w:r w:rsidRPr="1A8E6423">
        <w:rPr>
          <w:rFonts w:ascii="Arial" w:hAnsi="Arial" w:cs="Arial"/>
          <w:sz w:val="20"/>
          <w:szCs w:val="20"/>
          <w:lang w:val="sr-Cyrl-RS" w:eastAsia="ar-SA"/>
        </w:rPr>
        <w:t xml:space="preserve"> </w:t>
      </w:r>
      <w:r w:rsidRPr="1A8E6423">
        <w:rPr>
          <w:rFonts w:ascii="Arial" w:hAnsi="Arial" w:cs="Arial"/>
          <w:i/>
          <w:iCs/>
          <w:sz w:val="20"/>
          <w:szCs w:val="20"/>
          <w:lang w:val="sr-Cyrl-RS" w:eastAsia="ar-SA"/>
        </w:rPr>
        <w:t xml:space="preserve">Преглед налаза </w:t>
      </w:r>
      <w:r w:rsidR="006249CD" w:rsidRPr="1A8E6423">
        <w:rPr>
          <w:rFonts w:ascii="Arial" w:hAnsi="Arial" w:cs="Arial"/>
          <w:i/>
          <w:iCs/>
          <w:sz w:val="20"/>
          <w:szCs w:val="20"/>
          <w:lang w:val="sr-Cyrl-RS" w:eastAsia="ar-SA"/>
        </w:rPr>
        <w:t xml:space="preserve">према </w:t>
      </w:r>
      <w:r w:rsidRPr="1A8E6423">
        <w:rPr>
          <w:rFonts w:ascii="Arial" w:hAnsi="Arial" w:cs="Arial"/>
          <w:i/>
          <w:iCs/>
          <w:sz w:val="20"/>
          <w:szCs w:val="20"/>
          <w:lang w:val="sr-Cyrl-RS" w:eastAsia="ar-SA"/>
        </w:rPr>
        <w:t>индекс</w:t>
      </w:r>
      <w:r w:rsidR="006249CD" w:rsidRPr="1A8E6423">
        <w:rPr>
          <w:rFonts w:ascii="Arial" w:hAnsi="Arial" w:cs="Arial"/>
          <w:i/>
          <w:iCs/>
          <w:sz w:val="20"/>
          <w:szCs w:val="20"/>
          <w:lang w:val="sr-Cyrl-RS" w:eastAsia="ar-SA"/>
        </w:rPr>
        <w:t>у</w:t>
      </w:r>
      <w:r w:rsidRPr="1A8E6423">
        <w:rPr>
          <w:rFonts w:ascii="Arial" w:hAnsi="Arial" w:cs="Arial"/>
          <w:i/>
          <w:iCs/>
          <w:sz w:val="20"/>
          <w:szCs w:val="20"/>
          <w:lang w:val="sr-Cyrl-RS" w:eastAsia="ar-SA"/>
        </w:rPr>
        <w:t xml:space="preserve"> за УЉР у вези са поступком утврђивања радних циљева</w:t>
      </w:r>
    </w:p>
    <w:p w14:paraId="3C64C70A" w14:textId="77777777" w:rsidR="001C7C2E" w:rsidRPr="00A021B7" w:rsidRDefault="00C57CB4" w:rsidP="003E7BC9">
      <w:pPr>
        <w:contextualSpacing/>
        <w:jc w:val="both"/>
        <w:rPr>
          <w:rFonts w:ascii="Arial" w:hAnsi="Arial" w:cs="Arial"/>
          <w:bCs/>
          <w:sz w:val="20"/>
          <w:szCs w:val="20"/>
          <w:lang w:val="sr-Cyrl-RS" w:eastAsia="ar-SA"/>
        </w:rPr>
      </w:pPr>
      <w:r w:rsidRPr="00A021B7">
        <w:rPr>
          <w:rFonts w:ascii="Arial" w:hAnsi="Arial" w:cs="Arial"/>
          <w:noProof/>
          <w:sz w:val="20"/>
          <w:szCs w:val="20"/>
          <w:lang w:eastAsia="en-US"/>
        </w:rPr>
        <w:drawing>
          <wp:anchor distT="0" distB="0" distL="114300" distR="114300" simplePos="0" relativeHeight="251658241" behindDoc="1" locked="0" layoutInCell="1" allowOverlap="1" wp14:anchorId="0F03913A" wp14:editId="16E70DBA">
            <wp:simplePos x="0" y="0"/>
            <wp:positionH relativeFrom="margin">
              <wp:posOffset>0</wp:posOffset>
            </wp:positionH>
            <wp:positionV relativeFrom="paragraph">
              <wp:posOffset>146050</wp:posOffset>
            </wp:positionV>
            <wp:extent cx="5623560" cy="2019300"/>
            <wp:effectExtent l="0" t="0" r="15240" b="0"/>
            <wp:wrapTight wrapText="bothSides">
              <wp:wrapPolygon edited="0">
                <wp:start x="0" y="0"/>
                <wp:lineTo x="0" y="21396"/>
                <wp:lineTo x="21585" y="21396"/>
                <wp:lineTo x="21585" y="0"/>
                <wp:lineTo x="0" y="0"/>
              </wp:wrapPolygon>
            </wp:wrapTight>
            <wp:docPr id="1" name="Chart 1">
              <a:extLst xmlns:a="http://schemas.openxmlformats.org/drawingml/2006/main">
                <a:ext uri="{FF2B5EF4-FFF2-40B4-BE49-F238E27FC236}">
                  <a16:creationId xmlns:a16="http://schemas.microsoft.com/office/drawing/2014/main" id="{5830EAED-AF8C-46DC-B835-7EEF40A5E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233F2D4B" w14:textId="77777777" w:rsidR="00063D2C" w:rsidRPr="00A021B7" w:rsidRDefault="00063D2C" w:rsidP="003E7BC9">
      <w:pPr>
        <w:jc w:val="both"/>
        <w:rPr>
          <w:rFonts w:ascii="Arial" w:hAnsi="Arial" w:cs="Arial"/>
          <w:sz w:val="20"/>
          <w:szCs w:val="20"/>
          <w:lang w:val="sr-Cyrl-RS"/>
        </w:rPr>
      </w:pPr>
      <w:bookmarkStart w:id="91" w:name="_Hlk41994379"/>
    </w:p>
    <w:p w14:paraId="0134AE84" w14:textId="3C22F9B1" w:rsidR="001C7C2E" w:rsidRPr="00A021B7" w:rsidRDefault="0065763D"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Активни </w:t>
      </w:r>
      <w:r w:rsidR="001C7C2E" w:rsidRPr="1A8E6423">
        <w:rPr>
          <w:rFonts w:ascii="Arial" w:hAnsi="Arial" w:cs="Arial"/>
          <w:sz w:val="20"/>
          <w:szCs w:val="20"/>
          <w:lang w:val="sr-Cyrl-RS"/>
        </w:rPr>
        <w:t>приступ и јасно утврђену динамику оцењивања рада и учинка која се поштује на нивоу целе организације има готово половина (</w:t>
      </w:r>
      <w:r w:rsidR="00DB0FAA" w:rsidRPr="1A8E6423">
        <w:rPr>
          <w:rFonts w:ascii="Arial" w:hAnsi="Arial" w:cs="Arial"/>
          <w:sz w:val="20"/>
          <w:szCs w:val="20"/>
          <w:lang w:val="sr-Cyrl-RS"/>
        </w:rPr>
        <w:t>44</w:t>
      </w:r>
      <w:r w:rsidR="001C7C2E" w:rsidRPr="1A8E6423">
        <w:rPr>
          <w:rFonts w:ascii="Arial" w:hAnsi="Arial" w:cs="Arial"/>
          <w:sz w:val="20"/>
          <w:szCs w:val="20"/>
          <w:lang w:val="sr-Cyrl-RS"/>
        </w:rPr>
        <w:t>%) анализираних градова и општина. Другу половину (4</w:t>
      </w:r>
      <w:r w:rsidR="00636151" w:rsidRPr="1A8E6423">
        <w:rPr>
          <w:rFonts w:ascii="Arial" w:hAnsi="Arial" w:cs="Arial"/>
          <w:sz w:val="20"/>
          <w:szCs w:val="20"/>
          <w:lang w:val="sr-Cyrl-RS"/>
        </w:rPr>
        <w:t>9</w:t>
      </w:r>
      <w:r w:rsidR="001C7C2E" w:rsidRPr="1A8E6423">
        <w:rPr>
          <w:rFonts w:ascii="Arial" w:hAnsi="Arial" w:cs="Arial"/>
          <w:sz w:val="20"/>
          <w:szCs w:val="20"/>
          <w:lang w:val="sr-Cyrl-RS"/>
        </w:rPr>
        <w:t xml:space="preserve">%) чине ситуације где оцењивач </w:t>
      </w:r>
      <w:r w:rsidR="00F5288D" w:rsidRPr="1A8E6423">
        <w:rPr>
          <w:rFonts w:ascii="Arial" w:hAnsi="Arial" w:cs="Arial"/>
          <w:i/>
          <w:iCs/>
          <w:sz w:val="20"/>
          <w:szCs w:val="20"/>
        </w:rPr>
        <w:t>ad hoc</w:t>
      </w:r>
      <w:r w:rsidR="001C7C2E" w:rsidRPr="1A8E6423">
        <w:rPr>
          <w:rFonts w:ascii="Arial" w:hAnsi="Arial" w:cs="Arial"/>
          <w:sz w:val="20"/>
          <w:szCs w:val="20"/>
          <w:lang w:val="sr-Cyrl-RS"/>
        </w:rPr>
        <w:t xml:space="preserve"> надгледа рад запосленог, док се у </w:t>
      </w:r>
      <w:r w:rsidR="00B435AE" w:rsidRPr="1A8E6423">
        <w:rPr>
          <w:rFonts w:ascii="Arial" w:hAnsi="Arial" w:cs="Arial"/>
          <w:sz w:val="20"/>
          <w:szCs w:val="20"/>
          <w:lang w:val="sr-Cyrl-RS"/>
        </w:rPr>
        <w:t xml:space="preserve">пет </w:t>
      </w:r>
      <w:r w:rsidR="001C7C2E" w:rsidRPr="1A8E6423">
        <w:rPr>
          <w:rFonts w:ascii="Arial" w:hAnsi="Arial" w:cs="Arial"/>
          <w:sz w:val="20"/>
          <w:szCs w:val="20"/>
          <w:lang w:val="sr-Cyrl-RS"/>
        </w:rPr>
        <w:t>ЈЛС оцењивање не спроводи.</w:t>
      </w:r>
    </w:p>
    <w:p w14:paraId="5D17B64C" w14:textId="77777777" w:rsidR="001C7C2E" w:rsidRPr="00A021B7" w:rsidRDefault="001C7C2E" w:rsidP="003E7BC9">
      <w:pPr>
        <w:jc w:val="both"/>
        <w:rPr>
          <w:rFonts w:ascii="Arial" w:hAnsi="Arial" w:cs="Arial"/>
          <w:sz w:val="20"/>
          <w:szCs w:val="20"/>
          <w:lang w:val="sr-Cyrl-RS"/>
        </w:rPr>
      </w:pPr>
    </w:p>
    <w:p w14:paraId="71B9723A" w14:textId="06BDC858" w:rsidR="005E7BEB" w:rsidRPr="00F5288D" w:rsidRDefault="005E7BEB" w:rsidP="1A8E6423">
      <w:pPr>
        <w:contextualSpacing/>
        <w:jc w:val="both"/>
        <w:rPr>
          <w:rFonts w:ascii="Arial" w:hAnsi="Arial" w:cs="Arial"/>
          <w:i/>
          <w:iCs/>
          <w:sz w:val="20"/>
          <w:szCs w:val="20"/>
          <w:lang w:val="sr-Cyrl-RS" w:eastAsia="ar-SA"/>
        </w:rPr>
      </w:pPr>
      <w:r w:rsidRPr="1A8E6423">
        <w:rPr>
          <w:rFonts w:ascii="Arial" w:hAnsi="Arial" w:cs="Arial"/>
          <w:i/>
          <w:iCs/>
          <w:sz w:val="20"/>
          <w:szCs w:val="20"/>
          <w:lang w:val="sr-Cyrl-RS" w:eastAsia="ar-SA"/>
        </w:rPr>
        <w:t>Графикон</w:t>
      </w:r>
      <w:r w:rsidR="00275068" w:rsidRPr="1A8E6423">
        <w:rPr>
          <w:rFonts w:ascii="Arial" w:hAnsi="Arial" w:cs="Arial"/>
          <w:i/>
          <w:iCs/>
          <w:sz w:val="20"/>
          <w:szCs w:val="20"/>
          <w:lang w:val="sr-Cyrl-RS" w:eastAsia="ar-SA"/>
        </w:rPr>
        <w:t xml:space="preserve"> </w:t>
      </w:r>
      <w:r w:rsidR="002139C8" w:rsidRPr="1A8E6423">
        <w:rPr>
          <w:rFonts w:ascii="Arial" w:hAnsi="Arial" w:cs="Arial"/>
          <w:i/>
          <w:iCs/>
          <w:sz w:val="20"/>
          <w:szCs w:val="20"/>
          <w:lang w:val="sr-Cyrl-RS" w:eastAsia="ar-SA"/>
        </w:rPr>
        <w:t>5</w:t>
      </w:r>
      <w:r w:rsidRPr="1A8E6423">
        <w:rPr>
          <w:rFonts w:ascii="Arial" w:hAnsi="Arial" w:cs="Arial"/>
          <w:i/>
          <w:iCs/>
          <w:sz w:val="20"/>
          <w:szCs w:val="20"/>
          <w:lang w:val="sr-Cyrl-RS" w:eastAsia="ar-SA"/>
        </w:rPr>
        <w:t>: Преглед налаза</w:t>
      </w:r>
      <w:r w:rsidR="006249CD" w:rsidRPr="1A8E6423">
        <w:rPr>
          <w:rFonts w:ascii="Arial" w:hAnsi="Arial" w:cs="Arial"/>
          <w:i/>
          <w:iCs/>
          <w:sz w:val="20"/>
          <w:szCs w:val="20"/>
          <w:lang w:val="sr-Cyrl-RS" w:eastAsia="ar-SA"/>
        </w:rPr>
        <w:t xml:space="preserve"> према</w:t>
      </w:r>
      <w:r w:rsidRPr="1A8E6423">
        <w:rPr>
          <w:rFonts w:ascii="Arial" w:hAnsi="Arial" w:cs="Arial"/>
          <w:i/>
          <w:iCs/>
          <w:sz w:val="20"/>
          <w:szCs w:val="20"/>
          <w:lang w:val="sr-Cyrl-RS" w:eastAsia="ar-SA"/>
        </w:rPr>
        <w:t xml:space="preserve"> индекс</w:t>
      </w:r>
      <w:r w:rsidR="006249CD" w:rsidRPr="1A8E6423">
        <w:rPr>
          <w:rFonts w:ascii="Arial" w:hAnsi="Arial" w:cs="Arial"/>
          <w:i/>
          <w:iCs/>
          <w:sz w:val="20"/>
          <w:szCs w:val="20"/>
          <w:lang w:val="sr-Cyrl-RS" w:eastAsia="ar-SA"/>
        </w:rPr>
        <w:t>у</w:t>
      </w:r>
      <w:r w:rsidRPr="1A8E6423">
        <w:rPr>
          <w:rFonts w:ascii="Arial" w:hAnsi="Arial" w:cs="Arial"/>
          <w:i/>
          <w:iCs/>
          <w:sz w:val="20"/>
          <w:szCs w:val="20"/>
          <w:lang w:val="sr-Cyrl-RS" w:eastAsia="ar-SA"/>
        </w:rPr>
        <w:t xml:space="preserve"> за УЉР у вези са динамиком оцењивања запослених и ставовима оцењивача</w:t>
      </w:r>
    </w:p>
    <w:p w14:paraId="72600098" w14:textId="77777777" w:rsidR="001C7C2E" w:rsidRPr="00A021B7" w:rsidRDefault="001C7C2E" w:rsidP="003E7BC9">
      <w:pPr>
        <w:contextualSpacing/>
        <w:jc w:val="both"/>
        <w:rPr>
          <w:rFonts w:ascii="Arial" w:hAnsi="Arial" w:cs="Arial"/>
          <w:bCs/>
          <w:sz w:val="20"/>
          <w:szCs w:val="20"/>
          <w:lang w:val="sr-Cyrl-RS" w:eastAsia="ar-SA"/>
        </w:rPr>
      </w:pPr>
    </w:p>
    <w:bookmarkEnd w:id="91"/>
    <w:p w14:paraId="6803CC37" w14:textId="77777777" w:rsidR="001C7C2E" w:rsidRPr="00A021B7" w:rsidRDefault="00636151" w:rsidP="003E7BC9">
      <w:pPr>
        <w:jc w:val="both"/>
        <w:rPr>
          <w:rFonts w:ascii="Arial" w:hAnsi="Arial" w:cs="Arial"/>
          <w:sz w:val="20"/>
          <w:szCs w:val="20"/>
          <w:lang w:val="sr-Cyrl-RS"/>
        </w:rPr>
      </w:pPr>
      <w:r w:rsidRPr="00A021B7">
        <w:rPr>
          <w:rFonts w:ascii="Arial" w:hAnsi="Arial" w:cs="Arial"/>
          <w:noProof/>
          <w:sz w:val="20"/>
          <w:szCs w:val="20"/>
          <w:highlight w:val="yellow"/>
          <w:lang w:eastAsia="en-US"/>
        </w:rPr>
        <w:drawing>
          <wp:inline distT="0" distB="0" distL="0" distR="0" wp14:anchorId="39066021" wp14:editId="12A09E0B">
            <wp:extent cx="5674659" cy="2238375"/>
            <wp:effectExtent l="0" t="0" r="2540" b="9525"/>
            <wp:docPr id="2" name="Chart 2">
              <a:extLst xmlns:a="http://schemas.openxmlformats.org/drawingml/2006/main">
                <a:ext uri="{FF2B5EF4-FFF2-40B4-BE49-F238E27FC236}">
                  <a16:creationId xmlns:a16="http://schemas.microsoft.com/office/drawing/2014/main" id="{426AB3A3-DE78-4C64-8A29-6177EDC797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BE43B4" w14:textId="77777777" w:rsidR="001C7C2E" w:rsidRPr="00A021B7" w:rsidRDefault="001C7C2E" w:rsidP="003E7BC9">
      <w:pPr>
        <w:jc w:val="both"/>
        <w:rPr>
          <w:rFonts w:ascii="Arial" w:hAnsi="Arial" w:cs="Arial"/>
          <w:sz w:val="20"/>
          <w:szCs w:val="20"/>
          <w:lang w:val="sr-Cyrl-RS"/>
        </w:rPr>
      </w:pPr>
    </w:p>
    <w:p w14:paraId="4238358B" w14:textId="74E1AB95" w:rsidR="001C7C2E" w:rsidRPr="00A021B7" w:rsidRDefault="001C7C2E" w:rsidP="1A8E6423">
      <w:pPr>
        <w:ind w:firstLine="720"/>
        <w:contextualSpacing/>
        <w:jc w:val="both"/>
        <w:rPr>
          <w:rFonts w:ascii="Arial" w:hAnsi="Arial" w:cs="Arial"/>
          <w:sz w:val="20"/>
          <w:szCs w:val="20"/>
          <w:lang w:val="sr-Cyrl-RS"/>
        </w:rPr>
      </w:pPr>
      <w:r w:rsidRPr="1A8E6423">
        <w:rPr>
          <w:rFonts w:ascii="Arial" w:hAnsi="Arial" w:cs="Arial"/>
          <w:sz w:val="20"/>
          <w:szCs w:val="20"/>
          <w:lang w:val="sr-Cyrl-RS"/>
        </w:rPr>
        <w:t xml:space="preserve">Ови резултати указују на то да </w:t>
      </w:r>
      <w:r w:rsidR="00F90087" w:rsidRPr="1A8E6423">
        <w:rPr>
          <w:rFonts w:ascii="Arial" w:hAnsi="Arial" w:cs="Arial"/>
          <w:sz w:val="20"/>
          <w:szCs w:val="20"/>
          <w:lang w:val="sr-Cyrl-RS"/>
        </w:rPr>
        <w:t xml:space="preserve">је </w:t>
      </w:r>
      <w:r w:rsidRPr="1A8E6423">
        <w:rPr>
          <w:rFonts w:ascii="Arial" w:hAnsi="Arial" w:cs="Arial"/>
          <w:sz w:val="20"/>
          <w:szCs w:val="20"/>
          <w:lang w:val="sr-Cyrl-RS"/>
        </w:rPr>
        <w:t xml:space="preserve">потребно доста рада на подизању </w:t>
      </w:r>
      <w:r w:rsidR="00F5288D" w:rsidRPr="1A8E6423">
        <w:rPr>
          <w:rFonts w:ascii="Arial" w:hAnsi="Arial" w:cs="Arial"/>
          <w:sz w:val="20"/>
          <w:szCs w:val="20"/>
          <w:lang w:val="sr-Cyrl-RS"/>
        </w:rPr>
        <w:t xml:space="preserve">нивоа </w:t>
      </w:r>
      <w:r w:rsidRPr="1A8E6423">
        <w:rPr>
          <w:rFonts w:ascii="Arial" w:hAnsi="Arial" w:cs="Arial"/>
          <w:sz w:val="20"/>
          <w:szCs w:val="20"/>
          <w:lang w:val="sr-Cyrl-RS"/>
        </w:rPr>
        <w:t xml:space="preserve">свести свих битних </w:t>
      </w:r>
      <w:r w:rsidR="00FC6E37" w:rsidRPr="1A8E6423">
        <w:rPr>
          <w:rFonts w:ascii="Arial" w:hAnsi="Arial" w:cs="Arial"/>
          <w:sz w:val="20"/>
          <w:szCs w:val="20"/>
          <w:lang w:val="sr-Cyrl-RS"/>
        </w:rPr>
        <w:t xml:space="preserve">чинилаца </w:t>
      </w:r>
      <w:r w:rsidRPr="1A8E6423">
        <w:rPr>
          <w:rFonts w:ascii="Arial" w:hAnsi="Arial" w:cs="Arial"/>
          <w:sz w:val="20"/>
          <w:szCs w:val="20"/>
          <w:lang w:val="sr-Cyrl-RS"/>
        </w:rPr>
        <w:t xml:space="preserve">на локалном нивоу о неопходности и важности пуне и суштинске </w:t>
      </w:r>
      <w:r w:rsidR="00FC6E37" w:rsidRPr="1A8E6423">
        <w:rPr>
          <w:rFonts w:ascii="Arial" w:hAnsi="Arial" w:cs="Arial"/>
          <w:sz w:val="20"/>
          <w:szCs w:val="20"/>
          <w:lang w:val="sr-Cyrl-RS"/>
        </w:rPr>
        <w:t xml:space="preserve">примене </w:t>
      </w:r>
      <w:r w:rsidRPr="1A8E6423">
        <w:rPr>
          <w:rFonts w:ascii="Arial" w:hAnsi="Arial" w:cs="Arial"/>
          <w:sz w:val="20"/>
          <w:szCs w:val="20"/>
          <w:lang w:val="sr-Cyrl-RS"/>
        </w:rPr>
        <w:t>процеса оцењивања запослених у ЛС.</w:t>
      </w:r>
    </w:p>
    <w:p w14:paraId="016AF7BB" w14:textId="77777777" w:rsidR="001C7C2E" w:rsidRPr="00A021B7" w:rsidRDefault="001C7C2E" w:rsidP="1A8E6423">
      <w:pPr>
        <w:ind w:firstLine="720"/>
        <w:jc w:val="both"/>
        <w:rPr>
          <w:rFonts w:ascii="Arial" w:hAnsi="Arial" w:cs="Arial"/>
          <w:sz w:val="20"/>
          <w:szCs w:val="20"/>
          <w:lang w:val="sr-Cyrl-RS"/>
        </w:rPr>
      </w:pPr>
    </w:p>
    <w:p w14:paraId="7FAE796D" w14:textId="55D27DAF" w:rsidR="001C7C2E" w:rsidRPr="00A021B7" w:rsidRDefault="001C7C2E" w:rsidP="1A8E6423">
      <w:pPr>
        <w:ind w:firstLine="720"/>
        <w:contextualSpacing/>
        <w:jc w:val="both"/>
        <w:rPr>
          <w:rFonts w:ascii="Arial" w:hAnsi="Arial" w:cs="Arial"/>
          <w:sz w:val="20"/>
          <w:szCs w:val="20"/>
          <w:lang w:val="sr-Cyrl-RS"/>
        </w:rPr>
      </w:pPr>
      <w:r w:rsidRPr="1A8E6423">
        <w:rPr>
          <w:rFonts w:ascii="Arial" w:hAnsi="Arial" w:cs="Arial"/>
          <w:sz w:val="20"/>
          <w:szCs w:val="20"/>
          <w:lang w:val="sr-Cyrl-RS"/>
        </w:rPr>
        <w:t xml:space="preserve">Када је </w:t>
      </w:r>
      <w:r w:rsidR="00F5288D" w:rsidRPr="1A8E6423">
        <w:rPr>
          <w:rFonts w:ascii="Arial" w:hAnsi="Arial" w:cs="Arial"/>
          <w:sz w:val="20"/>
          <w:szCs w:val="20"/>
          <w:lang w:val="sr-Cyrl-RS"/>
        </w:rPr>
        <w:t>реч о</w:t>
      </w:r>
      <w:r w:rsidRPr="1A8E6423">
        <w:rPr>
          <w:rFonts w:ascii="Arial" w:hAnsi="Arial" w:cs="Arial"/>
          <w:sz w:val="20"/>
          <w:szCs w:val="20"/>
          <w:lang w:val="sr-Cyrl-RS"/>
        </w:rPr>
        <w:t xml:space="preserve"> </w:t>
      </w:r>
      <w:r w:rsidRPr="1A8E6423">
        <w:rPr>
          <w:rFonts w:ascii="Arial" w:hAnsi="Arial" w:cs="Arial"/>
          <w:b/>
          <w:bCs/>
          <w:sz w:val="20"/>
          <w:szCs w:val="20"/>
          <w:lang w:val="sr-Cyrl-RS"/>
        </w:rPr>
        <w:t>заштит</w:t>
      </w:r>
      <w:r w:rsidR="00F5288D" w:rsidRPr="1A8E6423">
        <w:rPr>
          <w:rFonts w:ascii="Arial" w:hAnsi="Arial" w:cs="Arial"/>
          <w:b/>
          <w:bCs/>
          <w:sz w:val="20"/>
          <w:szCs w:val="20"/>
          <w:lang w:val="sr-Cyrl-RS"/>
        </w:rPr>
        <w:t>и</w:t>
      </w:r>
      <w:r w:rsidRPr="1A8E6423">
        <w:rPr>
          <w:rFonts w:ascii="Arial" w:hAnsi="Arial" w:cs="Arial"/>
          <w:b/>
          <w:bCs/>
          <w:sz w:val="20"/>
          <w:szCs w:val="20"/>
          <w:lang w:val="sr-Cyrl-RS"/>
        </w:rPr>
        <w:t xml:space="preserve"> права службеника и жалбен</w:t>
      </w:r>
      <w:r w:rsidR="00F5288D" w:rsidRPr="1A8E6423">
        <w:rPr>
          <w:rFonts w:ascii="Arial" w:hAnsi="Arial" w:cs="Arial"/>
          <w:b/>
          <w:bCs/>
          <w:sz w:val="20"/>
          <w:szCs w:val="20"/>
          <w:lang w:val="sr-Cyrl-RS"/>
        </w:rPr>
        <w:t>ом</w:t>
      </w:r>
      <w:r w:rsidRPr="1A8E6423">
        <w:rPr>
          <w:rFonts w:ascii="Arial" w:hAnsi="Arial" w:cs="Arial"/>
          <w:b/>
          <w:bCs/>
          <w:sz w:val="20"/>
          <w:szCs w:val="20"/>
          <w:lang w:val="sr-Cyrl-RS"/>
        </w:rPr>
        <w:t xml:space="preserve"> поступк</w:t>
      </w:r>
      <w:r w:rsidR="00F5288D" w:rsidRPr="1A8E6423">
        <w:rPr>
          <w:rFonts w:ascii="Arial" w:hAnsi="Arial" w:cs="Arial"/>
          <w:b/>
          <w:bCs/>
          <w:sz w:val="20"/>
          <w:szCs w:val="20"/>
          <w:lang w:val="sr-Cyrl-RS"/>
        </w:rPr>
        <w:t>у</w:t>
      </w:r>
      <w:r w:rsidR="00FC6E37" w:rsidRPr="1A8E6423">
        <w:rPr>
          <w:rFonts w:ascii="Arial" w:hAnsi="Arial" w:cs="Arial"/>
          <w:sz w:val="20"/>
          <w:szCs w:val="20"/>
          <w:lang w:val="sr-Cyrl-RS"/>
        </w:rPr>
        <w:t>,</w:t>
      </w:r>
      <w:r w:rsidRPr="1A8E6423">
        <w:rPr>
          <w:rFonts w:ascii="Arial" w:hAnsi="Arial" w:cs="Arial"/>
          <w:sz w:val="20"/>
          <w:szCs w:val="20"/>
          <w:lang w:val="sr-Cyrl-RS"/>
        </w:rPr>
        <w:t xml:space="preserve"> евидентно је да ј</w:t>
      </w:r>
      <w:r w:rsidR="00FC0880" w:rsidRPr="1A8E6423">
        <w:rPr>
          <w:rFonts w:ascii="Arial" w:hAnsi="Arial" w:cs="Arial"/>
          <w:sz w:val="20"/>
          <w:szCs w:val="20"/>
          <w:lang w:val="sr-Cyrl-RS"/>
        </w:rPr>
        <w:t>ош увек постоји</w:t>
      </w:r>
      <w:r w:rsidR="00FC528F" w:rsidRPr="1A8E6423">
        <w:rPr>
          <w:rFonts w:ascii="Arial" w:hAnsi="Arial" w:cs="Arial"/>
          <w:sz w:val="20"/>
          <w:szCs w:val="20"/>
          <w:lang w:val="sr-Cyrl-RS"/>
        </w:rPr>
        <w:t xml:space="preserve"> </w:t>
      </w:r>
      <w:r w:rsidR="00F97757" w:rsidRPr="1A8E6423">
        <w:rPr>
          <w:rFonts w:ascii="Arial" w:hAnsi="Arial" w:cs="Arial"/>
          <w:sz w:val="20"/>
          <w:szCs w:val="20"/>
          <w:lang w:val="sr-Cyrl-RS"/>
        </w:rPr>
        <w:t>један</w:t>
      </w:r>
      <w:r w:rsidR="00FC528F" w:rsidRPr="1A8E6423">
        <w:rPr>
          <w:rFonts w:ascii="Arial" w:hAnsi="Arial" w:cs="Arial"/>
          <w:sz w:val="20"/>
          <w:szCs w:val="20"/>
          <w:lang w:val="sr-Cyrl-RS"/>
        </w:rPr>
        <w:t xml:space="preserve"> веома мали</w:t>
      </w:r>
      <w:r w:rsidRPr="1A8E6423">
        <w:rPr>
          <w:rFonts w:ascii="Arial" w:hAnsi="Arial" w:cs="Arial"/>
          <w:sz w:val="20"/>
          <w:szCs w:val="20"/>
          <w:lang w:val="sr-Cyrl-RS"/>
        </w:rPr>
        <w:t xml:space="preserve"> број </w:t>
      </w:r>
      <w:r w:rsidR="00FC0880" w:rsidRPr="1A8E6423">
        <w:rPr>
          <w:rFonts w:ascii="Arial" w:hAnsi="Arial" w:cs="Arial"/>
          <w:sz w:val="20"/>
          <w:szCs w:val="20"/>
          <w:lang w:val="sr-Cyrl-RS"/>
        </w:rPr>
        <w:t xml:space="preserve">ЈЛС који није </w:t>
      </w:r>
      <w:r w:rsidR="009C1461" w:rsidRPr="1A8E6423">
        <w:rPr>
          <w:rFonts w:ascii="Arial" w:hAnsi="Arial" w:cs="Arial"/>
          <w:sz w:val="20"/>
          <w:szCs w:val="20"/>
          <w:lang w:val="sr-Cyrl-RS"/>
        </w:rPr>
        <w:t>успоставио</w:t>
      </w:r>
      <w:r w:rsidR="00FC528F" w:rsidRPr="1A8E6423">
        <w:rPr>
          <w:rFonts w:ascii="Arial" w:hAnsi="Arial" w:cs="Arial"/>
          <w:sz w:val="20"/>
          <w:szCs w:val="20"/>
          <w:lang w:val="sr-Cyrl-RS"/>
        </w:rPr>
        <w:t xml:space="preserve"> све</w:t>
      </w:r>
      <w:r w:rsidR="009C1461" w:rsidRPr="1A8E6423">
        <w:rPr>
          <w:rFonts w:ascii="Arial" w:hAnsi="Arial" w:cs="Arial"/>
          <w:sz w:val="20"/>
          <w:szCs w:val="20"/>
          <w:lang w:val="sr-Cyrl-RS"/>
        </w:rPr>
        <w:t xml:space="preserve"> </w:t>
      </w:r>
      <w:r w:rsidR="002D0AAA" w:rsidRPr="1A8E6423">
        <w:rPr>
          <w:rFonts w:ascii="Arial" w:hAnsi="Arial" w:cs="Arial"/>
          <w:sz w:val="20"/>
          <w:szCs w:val="20"/>
          <w:lang w:val="sr-Cyrl-RS"/>
        </w:rPr>
        <w:t xml:space="preserve">претпоставке за заштиту радноправног положаја службеника. </w:t>
      </w:r>
      <w:r w:rsidR="00B00FD6" w:rsidRPr="1A8E6423">
        <w:rPr>
          <w:rFonts w:ascii="Arial" w:hAnsi="Arial" w:cs="Arial"/>
          <w:sz w:val="20"/>
          <w:szCs w:val="20"/>
          <w:lang w:val="sr-Cyrl-RS"/>
        </w:rPr>
        <w:t xml:space="preserve">Наиме, </w:t>
      </w:r>
      <w:r w:rsidR="00242F64" w:rsidRPr="1A8E6423">
        <w:rPr>
          <w:rFonts w:ascii="Arial" w:hAnsi="Arial" w:cs="Arial"/>
          <w:sz w:val="20"/>
          <w:szCs w:val="20"/>
          <w:lang w:val="sr-Cyrl-RS"/>
        </w:rPr>
        <w:t>п</w:t>
      </w:r>
      <w:r w:rsidR="00F5288D" w:rsidRPr="1A8E6423">
        <w:rPr>
          <w:rFonts w:ascii="Arial" w:hAnsi="Arial" w:cs="Arial"/>
          <w:sz w:val="20"/>
          <w:szCs w:val="20"/>
          <w:lang w:val="sr-Cyrl-RS"/>
        </w:rPr>
        <w:t>рема</w:t>
      </w:r>
      <w:r w:rsidR="00242F64" w:rsidRPr="1A8E6423">
        <w:rPr>
          <w:rFonts w:ascii="Arial" w:hAnsi="Arial" w:cs="Arial"/>
          <w:sz w:val="20"/>
          <w:szCs w:val="20"/>
          <w:lang w:val="sr-Cyrl-RS"/>
        </w:rPr>
        <w:t xml:space="preserve"> налазима </w:t>
      </w:r>
      <w:r w:rsidR="006249CD" w:rsidRPr="1A8E6423">
        <w:rPr>
          <w:rFonts w:ascii="Arial" w:hAnsi="Arial" w:cs="Arial"/>
          <w:sz w:val="20"/>
          <w:szCs w:val="20"/>
          <w:lang w:val="sr-Cyrl-RS"/>
        </w:rPr>
        <w:t xml:space="preserve">на основу </w:t>
      </w:r>
      <w:r w:rsidR="00242F64" w:rsidRPr="1A8E6423">
        <w:rPr>
          <w:rFonts w:ascii="Arial" w:hAnsi="Arial" w:cs="Arial"/>
          <w:sz w:val="20"/>
          <w:szCs w:val="20"/>
          <w:lang w:val="sr-Cyrl-RS"/>
        </w:rPr>
        <w:t>индекса СКГО</w:t>
      </w:r>
      <w:r w:rsidR="00F5288D" w:rsidRPr="1A8E6423">
        <w:rPr>
          <w:rFonts w:ascii="Arial" w:hAnsi="Arial" w:cs="Arial"/>
          <w:sz w:val="20"/>
          <w:szCs w:val="20"/>
          <w:lang w:val="sr-Cyrl-RS"/>
        </w:rPr>
        <w:t>,</w:t>
      </w:r>
      <w:r w:rsidRPr="1A8E6423">
        <w:rPr>
          <w:rFonts w:ascii="Arial" w:hAnsi="Arial" w:cs="Arial"/>
          <w:sz w:val="20"/>
          <w:szCs w:val="20"/>
          <w:lang w:val="sr-Cyrl-RS"/>
        </w:rPr>
        <w:t xml:space="preserve"> </w:t>
      </w:r>
      <w:r w:rsidR="008C0CD1" w:rsidRPr="1A8E6423">
        <w:rPr>
          <w:rFonts w:ascii="Arial" w:hAnsi="Arial" w:cs="Arial"/>
          <w:sz w:val="20"/>
          <w:szCs w:val="20"/>
          <w:lang w:val="sr-Cyrl-RS"/>
        </w:rPr>
        <w:t xml:space="preserve">63 </w:t>
      </w:r>
      <w:r w:rsidRPr="1A8E6423">
        <w:rPr>
          <w:rFonts w:ascii="Arial" w:hAnsi="Arial" w:cs="Arial"/>
          <w:sz w:val="20"/>
          <w:szCs w:val="20"/>
          <w:lang w:val="sr-Cyrl-RS"/>
        </w:rPr>
        <w:t xml:space="preserve">од </w:t>
      </w:r>
      <w:r w:rsidR="008C0CD1" w:rsidRPr="1A8E6423">
        <w:rPr>
          <w:rFonts w:ascii="Arial" w:hAnsi="Arial" w:cs="Arial"/>
          <w:sz w:val="20"/>
          <w:szCs w:val="20"/>
          <w:lang w:val="sr-Cyrl-RS"/>
        </w:rPr>
        <w:t>70 ЈЛС</w:t>
      </w:r>
      <w:r w:rsidR="004735BE" w:rsidRPr="1A8E6423">
        <w:rPr>
          <w:rFonts w:ascii="Arial" w:hAnsi="Arial" w:cs="Arial"/>
          <w:sz w:val="20"/>
          <w:szCs w:val="20"/>
          <w:lang w:val="sr-Cyrl-RS"/>
        </w:rPr>
        <w:t xml:space="preserve"> </w:t>
      </w:r>
      <w:r w:rsidRPr="1A8E6423">
        <w:rPr>
          <w:rFonts w:ascii="Arial" w:hAnsi="Arial" w:cs="Arial"/>
          <w:sz w:val="20"/>
          <w:szCs w:val="20"/>
          <w:lang w:val="sr-Cyrl-RS"/>
        </w:rPr>
        <w:t xml:space="preserve">установило </w:t>
      </w:r>
      <w:r w:rsidR="00F5288D" w:rsidRPr="1A8E6423">
        <w:rPr>
          <w:rFonts w:ascii="Arial" w:hAnsi="Arial" w:cs="Arial"/>
          <w:sz w:val="20"/>
          <w:szCs w:val="20"/>
          <w:lang w:val="sr-Cyrl-RS"/>
        </w:rPr>
        <w:t xml:space="preserve">је </w:t>
      </w:r>
      <w:r w:rsidR="00C72150" w:rsidRPr="1A8E6423">
        <w:rPr>
          <w:rFonts w:ascii="Arial" w:hAnsi="Arial" w:cs="Arial"/>
          <w:sz w:val="20"/>
          <w:szCs w:val="20"/>
          <w:lang w:val="sr-Cyrl-RS"/>
        </w:rPr>
        <w:t xml:space="preserve">жалбену </w:t>
      </w:r>
      <w:r w:rsidRPr="1A8E6423">
        <w:rPr>
          <w:rFonts w:ascii="Arial" w:hAnsi="Arial" w:cs="Arial"/>
          <w:sz w:val="20"/>
          <w:szCs w:val="20"/>
          <w:lang w:val="sr-Cyrl-RS"/>
        </w:rPr>
        <w:t>комисију која у другом степену одлучује о жалбама службеника</w:t>
      </w:r>
      <w:r w:rsidR="00FB125F" w:rsidRPr="1A8E6423">
        <w:rPr>
          <w:rFonts w:ascii="Arial" w:hAnsi="Arial" w:cs="Arial"/>
          <w:sz w:val="20"/>
          <w:szCs w:val="20"/>
          <w:lang w:val="sr-Cyrl-RS"/>
        </w:rPr>
        <w:t>, у 6 ЈЛС жалбена комисија је успос</w:t>
      </w:r>
      <w:r w:rsidR="008B2C37" w:rsidRPr="1A8E6423">
        <w:rPr>
          <w:rFonts w:ascii="Arial" w:hAnsi="Arial" w:cs="Arial"/>
          <w:sz w:val="20"/>
          <w:szCs w:val="20"/>
          <w:lang w:val="sr-Cyrl-RS"/>
        </w:rPr>
        <w:t>тављена</w:t>
      </w:r>
      <w:r w:rsidR="00F5288D" w:rsidRPr="1A8E6423">
        <w:rPr>
          <w:rFonts w:ascii="Arial" w:hAnsi="Arial" w:cs="Arial"/>
          <w:sz w:val="20"/>
          <w:szCs w:val="20"/>
          <w:lang w:val="sr-Cyrl-RS"/>
        </w:rPr>
        <w:t>,</w:t>
      </w:r>
      <w:r w:rsidR="008B2C37" w:rsidRPr="1A8E6423">
        <w:rPr>
          <w:rFonts w:ascii="Arial" w:hAnsi="Arial" w:cs="Arial"/>
          <w:sz w:val="20"/>
          <w:szCs w:val="20"/>
          <w:lang w:val="sr-Cyrl-RS"/>
        </w:rPr>
        <w:t xml:space="preserve"> али нису у потпуности испоштован</w:t>
      </w:r>
      <w:r w:rsidR="00B67E6A" w:rsidRPr="1A8E6423">
        <w:rPr>
          <w:rFonts w:ascii="Arial" w:hAnsi="Arial" w:cs="Arial"/>
          <w:sz w:val="20"/>
          <w:szCs w:val="20"/>
          <w:lang w:val="sr-Cyrl-RS"/>
        </w:rPr>
        <w:t>и сви критеријуми</w:t>
      </w:r>
      <w:r w:rsidR="0075531C" w:rsidRPr="1A8E6423">
        <w:rPr>
          <w:rFonts w:ascii="Arial" w:hAnsi="Arial" w:cs="Arial"/>
          <w:sz w:val="20"/>
          <w:szCs w:val="20"/>
          <w:lang w:val="sr-Cyrl-RS"/>
        </w:rPr>
        <w:t xml:space="preserve"> за функционисање</w:t>
      </w:r>
      <w:r w:rsidR="00BB39DB" w:rsidRPr="1A8E6423">
        <w:rPr>
          <w:rFonts w:ascii="Arial" w:hAnsi="Arial" w:cs="Arial"/>
          <w:sz w:val="20"/>
          <w:szCs w:val="20"/>
          <w:lang w:val="sr-Cyrl-RS"/>
        </w:rPr>
        <w:t xml:space="preserve"> (</w:t>
      </w:r>
      <w:r w:rsidR="00260650" w:rsidRPr="1A8E6423">
        <w:rPr>
          <w:rFonts w:ascii="Arial" w:hAnsi="Arial" w:cs="Arial"/>
          <w:sz w:val="20"/>
          <w:szCs w:val="20"/>
          <w:lang w:val="sr-Cyrl-RS"/>
        </w:rPr>
        <w:t xml:space="preserve">није усвојен пословник, </w:t>
      </w:r>
      <w:r w:rsidR="00350E84" w:rsidRPr="1A8E6423">
        <w:rPr>
          <w:rFonts w:ascii="Arial" w:hAnsi="Arial" w:cs="Arial"/>
          <w:sz w:val="20"/>
          <w:szCs w:val="20"/>
          <w:lang w:val="sr-Cyrl-RS"/>
        </w:rPr>
        <w:t xml:space="preserve">неадекватна </w:t>
      </w:r>
      <w:r w:rsidR="00531F28" w:rsidRPr="1A8E6423">
        <w:rPr>
          <w:rFonts w:ascii="Arial" w:hAnsi="Arial" w:cs="Arial"/>
          <w:sz w:val="20"/>
          <w:szCs w:val="20"/>
          <w:lang w:val="sr-Cyrl-RS"/>
        </w:rPr>
        <w:t>кадровска структура)</w:t>
      </w:r>
      <w:r w:rsidR="00F5288D" w:rsidRPr="1A8E6423">
        <w:rPr>
          <w:rFonts w:ascii="Arial" w:hAnsi="Arial" w:cs="Arial"/>
          <w:sz w:val="20"/>
          <w:szCs w:val="20"/>
          <w:lang w:val="sr-Cyrl-RS"/>
        </w:rPr>
        <w:t>,</w:t>
      </w:r>
      <w:r w:rsidR="00242F64" w:rsidRPr="1A8E6423">
        <w:rPr>
          <w:rFonts w:ascii="Arial" w:hAnsi="Arial" w:cs="Arial"/>
          <w:sz w:val="20"/>
          <w:szCs w:val="20"/>
          <w:lang w:val="sr-Cyrl-RS"/>
        </w:rPr>
        <w:t xml:space="preserve"> а</w:t>
      </w:r>
      <w:r w:rsidRPr="1A8E6423">
        <w:rPr>
          <w:rFonts w:ascii="Arial" w:hAnsi="Arial" w:cs="Arial"/>
          <w:sz w:val="20"/>
          <w:szCs w:val="20"/>
          <w:lang w:val="sr-Cyrl-RS"/>
        </w:rPr>
        <w:t xml:space="preserve"> </w:t>
      </w:r>
      <w:r w:rsidR="00242F64" w:rsidRPr="1A8E6423">
        <w:rPr>
          <w:rFonts w:ascii="Arial" w:hAnsi="Arial" w:cs="Arial"/>
          <w:sz w:val="20"/>
          <w:szCs w:val="20"/>
          <w:lang w:val="sr-Cyrl-RS"/>
        </w:rPr>
        <w:t>с</w:t>
      </w:r>
      <w:r w:rsidRPr="1A8E6423">
        <w:rPr>
          <w:rFonts w:ascii="Arial" w:hAnsi="Arial" w:cs="Arial"/>
          <w:sz w:val="20"/>
          <w:szCs w:val="20"/>
          <w:lang w:val="sr-Cyrl-RS"/>
        </w:rPr>
        <w:t xml:space="preserve">амо у </w:t>
      </w:r>
      <w:r w:rsidR="00531F28" w:rsidRPr="1A8E6423">
        <w:rPr>
          <w:rFonts w:ascii="Arial" w:hAnsi="Arial" w:cs="Arial"/>
          <w:sz w:val="20"/>
          <w:szCs w:val="20"/>
          <w:lang w:val="sr-Cyrl-RS"/>
        </w:rPr>
        <w:t xml:space="preserve">једној анализираној </w:t>
      </w:r>
      <w:r w:rsidR="00C72150" w:rsidRPr="1A8E6423">
        <w:rPr>
          <w:rFonts w:ascii="Arial" w:hAnsi="Arial" w:cs="Arial"/>
          <w:sz w:val="20"/>
          <w:szCs w:val="20"/>
          <w:lang w:val="sr-Cyrl-RS"/>
        </w:rPr>
        <w:t>Ј</w:t>
      </w:r>
      <w:r w:rsidRPr="1A8E6423">
        <w:rPr>
          <w:rFonts w:ascii="Arial" w:hAnsi="Arial" w:cs="Arial"/>
          <w:sz w:val="20"/>
          <w:szCs w:val="20"/>
          <w:lang w:val="sr-Cyrl-RS"/>
        </w:rPr>
        <w:t xml:space="preserve">ЛС још </w:t>
      </w:r>
      <w:r w:rsidR="00F5288D" w:rsidRPr="1A8E6423">
        <w:rPr>
          <w:rFonts w:ascii="Arial" w:hAnsi="Arial" w:cs="Arial"/>
          <w:sz w:val="20"/>
          <w:szCs w:val="20"/>
          <w:lang w:val="sr-Cyrl-RS"/>
        </w:rPr>
        <w:t xml:space="preserve">није </w:t>
      </w:r>
      <w:r w:rsidRPr="1A8E6423">
        <w:rPr>
          <w:rFonts w:ascii="Arial" w:hAnsi="Arial" w:cs="Arial"/>
          <w:sz w:val="20"/>
          <w:szCs w:val="20"/>
          <w:lang w:val="sr-Cyrl-RS"/>
        </w:rPr>
        <w:t>установљена жалбена комисија</w:t>
      </w:r>
      <w:r w:rsidR="008C6D2C" w:rsidRPr="1A8E6423">
        <w:rPr>
          <w:rFonts w:ascii="Arial" w:hAnsi="Arial" w:cs="Arial"/>
          <w:sz w:val="20"/>
          <w:szCs w:val="20"/>
          <w:lang w:val="sr-Cyrl-RS"/>
        </w:rPr>
        <w:t>.</w:t>
      </w:r>
      <w:r w:rsidR="0088772B" w:rsidRPr="1A8E6423">
        <w:rPr>
          <w:rFonts w:ascii="Arial" w:hAnsi="Arial" w:cs="Arial"/>
          <w:sz w:val="20"/>
          <w:szCs w:val="20"/>
          <w:lang w:val="sr-Cyrl-RS"/>
        </w:rPr>
        <w:t xml:space="preserve"> </w:t>
      </w:r>
      <w:r w:rsidR="00B93201" w:rsidRPr="1A8E6423">
        <w:rPr>
          <w:rFonts w:ascii="Arial" w:hAnsi="Arial" w:cs="Arial"/>
          <w:sz w:val="20"/>
          <w:szCs w:val="20"/>
          <w:lang w:val="sr-Cyrl-RS"/>
        </w:rPr>
        <w:t>Иако велика већина ЈЛС има Жалбену комисију, т</w:t>
      </w:r>
      <w:r w:rsidR="0088772B" w:rsidRPr="1A8E6423">
        <w:rPr>
          <w:rFonts w:ascii="Arial" w:hAnsi="Arial" w:cs="Arial"/>
          <w:sz w:val="20"/>
          <w:szCs w:val="20"/>
          <w:lang w:val="sr-Cyrl-RS"/>
        </w:rPr>
        <w:t xml:space="preserve">реба имати у виду да само </w:t>
      </w:r>
      <w:r w:rsidR="00B93201" w:rsidRPr="1A8E6423">
        <w:rPr>
          <w:rFonts w:ascii="Arial" w:hAnsi="Arial" w:cs="Arial"/>
          <w:sz w:val="20"/>
          <w:szCs w:val="20"/>
          <w:lang w:val="sr-Cyrl-RS"/>
        </w:rPr>
        <w:t xml:space="preserve">њено </w:t>
      </w:r>
      <w:r w:rsidR="0088772B" w:rsidRPr="1A8E6423">
        <w:rPr>
          <w:rFonts w:ascii="Arial" w:hAnsi="Arial" w:cs="Arial"/>
          <w:sz w:val="20"/>
          <w:szCs w:val="20"/>
          <w:lang w:val="sr-Cyrl-RS"/>
        </w:rPr>
        <w:t>успостављање не значи</w:t>
      </w:r>
      <w:r w:rsidR="00092D5B" w:rsidRPr="1A8E6423">
        <w:rPr>
          <w:rFonts w:ascii="Arial" w:hAnsi="Arial" w:cs="Arial"/>
          <w:sz w:val="20"/>
          <w:szCs w:val="20"/>
          <w:lang w:val="sr-Cyrl-RS"/>
        </w:rPr>
        <w:t xml:space="preserve"> и </w:t>
      </w:r>
      <w:r w:rsidR="008877FC" w:rsidRPr="1A8E6423">
        <w:rPr>
          <w:rFonts w:ascii="Arial" w:hAnsi="Arial" w:cs="Arial"/>
          <w:sz w:val="20"/>
          <w:szCs w:val="20"/>
          <w:lang w:val="sr-Cyrl-RS"/>
        </w:rPr>
        <w:t xml:space="preserve">да </w:t>
      </w:r>
      <w:r w:rsidR="007C3FA5" w:rsidRPr="1A8E6423">
        <w:rPr>
          <w:rFonts w:ascii="Arial" w:hAnsi="Arial" w:cs="Arial"/>
          <w:sz w:val="20"/>
          <w:szCs w:val="20"/>
          <w:lang w:val="sr-Cyrl-RS"/>
        </w:rPr>
        <w:t>је подигнут ниво заштите права службеника</w:t>
      </w:r>
      <w:r w:rsidR="008877FC" w:rsidRPr="1A8E6423">
        <w:rPr>
          <w:rFonts w:ascii="Arial" w:hAnsi="Arial" w:cs="Arial"/>
          <w:sz w:val="20"/>
          <w:szCs w:val="20"/>
          <w:lang w:val="sr-Cyrl-RS"/>
        </w:rPr>
        <w:t xml:space="preserve">. </w:t>
      </w:r>
      <w:r w:rsidR="00B71FE4" w:rsidRPr="1A8E6423">
        <w:rPr>
          <w:rFonts w:ascii="Arial" w:hAnsi="Arial" w:cs="Arial"/>
          <w:sz w:val="20"/>
          <w:szCs w:val="20"/>
          <w:lang w:val="sr-Cyrl-RS"/>
        </w:rPr>
        <w:t>Тек ће н</w:t>
      </w:r>
      <w:r w:rsidR="003C120F" w:rsidRPr="1A8E6423">
        <w:rPr>
          <w:rFonts w:ascii="Arial" w:hAnsi="Arial" w:cs="Arial"/>
          <w:sz w:val="20"/>
          <w:szCs w:val="20"/>
          <w:lang w:val="sr-Cyrl-RS"/>
        </w:rPr>
        <w:t xml:space="preserve">есметано и ефикасно </w:t>
      </w:r>
      <w:r w:rsidR="00027506" w:rsidRPr="1A8E6423">
        <w:rPr>
          <w:rFonts w:ascii="Arial" w:hAnsi="Arial" w:cs="Arial"/>
          <w:sz w:val="20"/>
          <w:szCs w:val="20"/>
          <w:lang w:val="sr-Cyrl-RS"/>
        </w:rPr>
        <w:t xml:space="preserve">функционисање </w:t>
      </w:r>
      <w:r w:rsidR="00B71FE4" w:rsidRPr="1A8E6423">
        <w:rPr>
          <w:rFonts w:ascii="Arial" w:hAnsi="Arial" w:cs="Arial"/>
          <w:sz w:val="20"/>
          <w:szCs w:val="20"/>
          <w:lang w:val="sr-Cyrl-RS"/>
        </w:rPr>
        <w:t xml:space="preserve">ове </w:t>
      </w:r>
      <w:r w:rsidR="00027506" w:rsidRPr="1A8E6423">
        <w:rPr>
          <w:rFonts w:ascii="Arial" w:hAnsi="Arial" w:cs="Arial"/>
          <w:sz w:val="20"/>
          <w:szCs w:val="20"/>
          <w:lang w:val="sr-Cyrl-RS"/>
        </w:rPr>
        <w:t xml:space="preserve">комисије </w:t>
      </w:r>
      <w:r w:rsidR="008D381C" w:rsidRPr="1A8E6423">
        <w:rPr>
          <w:rFonts w:ascii="Arial" w:hAnsi="Arial" w:cs="Arial"/>
          <w:sz w:val="20"/>
          <w:szCs w:val="20"/>
          <w:lang w:val="sr-Cyrl-RS"/>
        </w:rPr>
        <w:t xml:space="preserve">и свих процеса везаних за </w:t>
      </w:r>
      <w:r w:rsidR="00DC3CAA" w:rsidRPr="1A8E6423">
        <w:rPr>
          <w:rFonts w:ascii="Arial" w:hAnsi="Arial" w:cs="Arial"/>
          <w:sz w:val="20"/>
          <w:szCs w:val="20"/>
          <w:lang w:val="sr-Cyrl-RS"/>
        </w:rPr>
        <w:t xml:space="preserve">заштиту права службеника </w:t>
      </w:r>
      <w:r w:rsidR="00B71FE4" w:rsidRPr="1A8E6423">
        <w:rPr>
          <w:rFonts w:ascii="Arial" w:hAnsi="Arial" w:cs="Arial"/>
          <w:sz w:val="20"/>
          <w:szCs w:val="20"/>
          <w:lang w:val="sr-Cyrl-RS"/>
        </w:rPr>
        <w:t>бити права потврда</w:t>
      </w:r>
      <w:r w:rsidR="00B93201" w:rsidRPr="1A8E6423">
        <w:rPr>
          <w:rFonts w:ascii="Arial" w:hAnsi="Arial" w:cs="Arial"/>
          <w:sz w:val="20"/>
          <w:szCs w:val="20"/>
          <w:lang w:val="sr-Cyrl-RS"/>
        </w:rPr>
        <w:t xml:space="preserve"> </w:t>
      </w:r>
      <w:r w:rsidR="00DC3CAA" w:rsidRPr="1A8E6423">
        <w:rPr>
          <w:rFonts w:ascii="Arial" w:hAnsi="Arial" w:cs="Arial"/>
          <w:sz w:val="20"/>
          <w:szCs w:val="20"/>
          <w:lang w:val="sr-Cyrl-RS"/>
        </w:rPr>
        <w:t>реалн</w:t>
      </w:r>
      <w:r w:rsidR="00B71FE4" w:rsidRPr="1A8E6423">
        <w:rPr>
          <w:rFonts w:ascii="Arial" w:hAnsi="Arial" w:cs="Arial"/>
          <w:sz w:val="20"/>
          <w:szCs w:val="20"/>
          <w:lang w:val="sr-Cyrl-RS"/>
        </w:rPr>
        <w:t>ог</w:t>
      </w:r>
      <w:r w:rsidR="00DC3CAA" w:rsidRPr="1A8E6423">
        <w:rPr>
          <w:rFonts w:ascii="Arial" w:hAnsi="Arial" w:cs="Arial"/>
          <w:sz w:val="20"/>
          <w:szCs w:val="20"/>
          <w:lang w:val="sr-Cyrl-RS"/>
        </w:rPr>
        <w:t xml:space="preserve"> напре</w:t>
      </w:r>
      <w:r w:rsidR="00B71FE4" w:rsidRPr="1A8E6423">
        <w:rPr>
          <w:rFonts w:ascii="Arial" w:hAnsi="Arial" w:cs="Arial"/>
          <w:sz w:val="20"/>
          <w:szCs w:val="20"/>
          <w:lang w:val="sr-Cyrl-RS"/>
        </w:rPr>
        <w:t>тка</w:t>
      </w:r>
      <w:r w:rsidR="003C120F" w:rsidRPr="1A8E6423">
        <w:rPr>
          <w:rFonts w:ascii="Arial" w:hAnsi="Arial" w:cs="Arial"/>
          <w:sz w:val="20"/>
          <w:szCs w:val="20"/>
          <w:lang w:val="sr-Cyrl-RS"/>
        </w:rPr>
        <w:t xml:space="preserve"> у овој области.</w:t>
      </w:r>
    </w:p>
    <w:p w14:paraId="63754927" w14:textId="77777777" w:rsidR="000145B3" w:rsidRPr="00A021B7" w:rsidRDefault="000145B3" w:rsidP="1A8E6423">
      <w:pPr>
        <w:ind w:firstLine="720"/>
        <w:contextualSpacing/>
        <w:jc w:val="both"/>
        <w:rPr>
          <w:rFonts w:ascii="Arial" w:hAnsi="Arial" w:cs="Arial"/>
          <w:b/>
          <w:bCs/>
          <w:i/>
          <w:iCs/>
          <w:sz w:val="20"/>
          <w:szCs w:val="20"/>
          <w:lang w:val="sr-Cyrl-RS" w:eastAsia="ar-SA"/>
        </w:rPr>
      </w:pPr>
    </w:p>
    <w:p w14:paraId="25843A9B" w14:textId="0B0A3DEE" w:rsidR="001C7C2E" w:rsidRPr="00A021B7" w:rsidRDefault="001C7C2E" w:rsidP="1A8E6423">
      <w:pPr>
        <w:ind w:firstLine="720"/>
        <w:contextualSpacing/>
        <w:jc w:val="both"/>
        <w:rPr>
          <w:rFonts w:ascii="Arial" w:hAnsi="Arial" w:cs="Arial"/>
          <w:sz w:val="20"/>
          <w:szCs w:val="20"/>
          <w:lang w:val="sr-Cyrl-RS"/>
        </w:rPr>
      </w:pPr>
      <w:r w:rsidRPr="1A8E6423">
        <w:rPr>
          <w:rFonts w:ascii="Arial" w:hAnsi="Arial" w:cs="Arial"/>
          <w:sz w:val="20"/>
          <w:szCs w:val="20"/>
          <w:lang w:val="sr-Cyrl-RS"/>
        </w:rPr>
        <w:t xml:space="preserve">Идентификовани изазови у </w:t>
      </w:r>
      <w:r w:rsidR="00C72150" w:rsidRPr="1A8E6423">
        <w:rPr>
          <w:rFonts w:ascii="Arial" w:hAnsi="Arial" w:cs="Arial"/>
          <w:sz w:val="20"/>
          <w:szCs w:val="20"/>
          <w:lang w:val="sr-Cyrl-RS" w:eastAsia="ar-SA"/>
        </w:rPr>
        <w:t xml:space="preserve">УЉР </w:t>
      </w:r>
      <w:r w:rsidRPr="1A8E6423">
        <w:rPr>
          <w:rFonts w:ascii="Arial" w:hAnsi="Arial" w:cs="Arial"/>
          <w:sz w:val="20"/>
          <w:szCs w:val="20"/>
          <w:lang w:val="sr-Cyrl-RS"/>
        </w:rPr>
        <w:t>биће адресирани специфичним програмом подршке 2020. и 2021. године у форми пакета подршке општинама, спроведен</w:t>
      </w:r>
      <w:r w:rsidR="00F5288D" w:rsidRPr="1A8E6423">
        <w:rPr>
          <w:rFonts w:ascii="Arial" w:hAnsi="Arial" w:cs="Arial"/>
          <w:sz w:val="20"/>
          <w:szCs w:val="20"/>
          <w:lang w:val="sr-Cyrl-RS"/>
        </w:rPr>
        <w:t>им</w:t>
      </w:r>
      <w:r w:rsidRPr="1A8E6423">
        <w:rPr>
          <w:rFonts w:ascii="Arial" w:hAnsi="Arial" w:cs="Arial"/>
          <w:sz w:val="20"/>
          <w:szCs w:val="20"/>
          <w:lang w:val="sr-Cyrl-RS"/>
        </w:rPr>
        <w:t xml:space="preserve"> у организацији Савета Европе, МДУЛС и СКГО и уз подршку ЕУ, у 50 градова и општина у Србији. Кроз ове пакете, они ће добити стручну и техничку подршку за унапређење ситуације у већини аспеката </w:t>
      </w:r>
      <w:r w:rsidR="00FB4DEF" w:rsidRPr="1A8E6423">
        <w:rPr>
          <w:rFonts w:ascii="Arial" w:hAnsi="Arial" w:cs="Arial"/>
          <w:sz w:val="20"/>
          <w:szCs w:val="20"/>
          <w:lang w:val="sr-Cyrl-RS" w:eastAsia="ar-SA"/>
        </w:rPr>
        <w:t>УЉР</w:t>
      </w:r>
      <w:r w:rsidRPr="1A8E6423">
        <w:rPr>
          <w:rFonts w:ascii="Arial" w:hAnsi="Arial" w:cs="Arial"/>
          <w:sz w:val="20"/>
          <w:szCs w:val="20"/>
          <w:lang w:val="sr-Cyrl-RS"/>
        </w:rPr>
        <w:t>.</w:t>
      </w:r>
    </w:p>
    <w:p w14:paraId="5CC91330" w14:textId="77777777" w:rsidR="001C7C2E" w:rsidRPr="00A021B7" w:rsidRDefault="001C7C2E" w:rsidP="1A8E6423">
      <w:pPr>
        <w:ind w:firstLine="720"/>
        <w:jc w:val="both"/>
        <w:rPr>
          <w:rFonts w:ascii="Arial" w:hAnsi="Arial" w:cs="Arial"/>
          <w:sz w:val="20"/>
          <w:szCs w:val="20"/>
          <w:lang w:val="sr-Cyrl-RS"/>
        </w:rPr>
      </w:pPr>
    </w:p>
    <w:p w14:paraId="28F21233" w14:textId="1C617472" w:rsidR="001C7C2E" w:rsidRPr="00A021B7" w:rsidRDefault="001C7C2E"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Мерење капацитета </w:t>
      </w:r>
      <w:r w:rsidR="00FB4DEF" w:rsidRPr="1A8E6423">
        <w:rPr>
          <w:rFonts w:ascii="Arial" w:hAnsi="Arial" w:cs="Arial"/>
          <w:sz w:val="20"/>
          <w:szCs w:val="20"/>
          <w:lang w:val="sr-Cyrl-RS"/>
        </w:rPr>
        <w:t>Ј</w:t>
      </w:r>
      <w:r w:rsidRPr="1A8E6423">
        <w:rPr>
          <w:rFonts w:ascii="Arial" w:hAnsi="Arial" w:cs="Arial"/>
          <w:sz w:val="20"/>
          <w:szCs w:val="20"/>
          <w:lang w:val="sr-Cyrl-RS"/>
        </w:rPr>
        <w:t xml:space="preserve">ЛС кроз индекс за </w:t>
      </w:r>
      <w:r w:rsidR="000804A6" w:rsidRPr="1A8E6423">
        <w:rPr>
          <w:rFonts w:ascii="Arial" w:hAnsi="Arial" w:cs="Arial"/>
          <w:sz w:val="20"/>
          <w:szCs w:val="20"/>
          <w:lang w:val="sr-Cyrl-RS" w:eastAsia="ar-SA"/>
        </w:rPr>
        <w:t xml:space="preserve">УЉР </w:t>
      </w:r>
      <w:r w:rsidRPr="1A8E6423">
        <w:rPr>
          <w:rFonts w:ascii="Arial" w:hAnsi="Arial" w:cs="Arial"/>
          <w:sz w:val="20"/>
          <w:szCs w:val="20"/>
          <w:lang w:val="sr-Cyrl-RS"/>
        </w:rPr>
        <w:t xml:space="preserve">показало је и да још увек није довољно развијен ни </w:t>
      </w:r>
      <w:r w:rsidRPr="1A8E6423">
        <w:rPr>
          <w:rFonts w:ascii="Arial" w:hAnsi="Arial" w:cs="Arial"/>
          <w:b/>
          <w:bCs/>
          <w:sz w:val="20"/>
          <w:szCs w:val="20"/>
          <w:lang w:val="sr-Cyrl-RS"/>
        </w:rPr>
        <w:t>систем континуираног стручног усавршавања</w:t>
      </w:r>
      <w:r w:rsidRPr="1A8E6423">
        <w:rPr>
          <w:rFonts w:ascii="Arial" w:hAnsi="Arial" w:cs="Arial"/>
          <w:sz w:val="20"/>
          <w:szCs w:val="20"/>
          <w:lang w:val="sr-Cyrl-RS"/>
        </w:rPr>
        <w:t>. Ово питање</w:t>
      </w:r>
      <w:r w:rsidR="00F5288D" w:rsidRPr="1A8E6423">
        <w:rPr>
          <w:rFonts w:ascii="Arial" w:hAnsi="Arial" w:cs="Arial"/>
          <w:sz w:val="20"/>
          <w:szCs w:val="20"/>
          <w:lang w:val="sr-Cyrl-RS"/>
        </w:rPr>
        <w:t>,</w:t>
      </w:r>
      <w:r w:rsidRPr="1A8E6423">
        <w:rPr>
          <w:rFonts w:ascii="Arial" w:hAnsi="Arial" w:cs="Arial"/>
          <w:sz w:val="20"/>
          <w:szCs w:val="20"/>
          <w:lang w:val="sr-Cyrl-RS"/>
        </w:rPr>
        <w:t xml:space="preserve"> са правом</w:t>
      </w:r>
      <w:r w:rsidR="00F5288D" w:rsidRPr="1A8E6423">
        <w:rPr>
          <w:rFonts w:ascii="Arial" w:hAnsi="Arial" w:cs="Arial"/>
          <w:sz w:val="20"/>
          <w:szCs w:val="20"/>
          <w:lang w:val="sr-Cyrl-RS"/>
        </w:rPr>
        <w:t>,</w:t>
      </w:r>
      <w:r w:rsidRPr="1A8E6423">
        <w:rPr>
          <w:rFonts w:ascii="Arial" w:hAnsi="Arial" w:cs="Arial"/>
          <w:sz w:val="20"/>
          <w:szCs w:val="20"/>
          <w:lang w:val="sr-Cyrl-RS"/>
        </w:rPr>
        <w:t xml:space="preserve"> од усвајања Закона о запосленима у АП и ЈЛС заокупља велику пажњу и на унапређењу стања се интензивно ради последњих неколико година. Као што је напоменуто, до значајног напретка је дошло са оснивањем НАЈУ</w:t>
      </w:r>
      <w:r w:rsidR="00C7329F" w:rsidRPr="1A8E6423">
        <w:rPr>
          <w:rFonts w:ascii="Arial" w:hAnsi="Arial" w:cs="Arial"/>
          <w:sz w:val="20"/>
          <w:szCs w:val="20"/>
          <w:lang w:val="sr-Cyrl-RS"/>
        </w:rPr>
        <w:t>,</w:t>
      </w:r>
      <w:r w:rsidRPr="1A8E6423">
        <w:rPr>
          <w:rFonts w:ascii="Arial" w:hAnsi="Arial" w:cs="Arial"/>
          <w:sz w:val="20"/>
          <w:szCs w:val="20"/>
          <w:lang w:val="sr-Cyrl-RS"/>
        </w:rPr>
        <w:t xml:space="preserve"> а велики је допринос</w:t>
      </w:r>
      <w:r w:rsidR="009E63FA" w:rsidRPr="1A8E6423">
        <w:rPr>
          <w:rFonts w:ascii="Arial" w:hAnsi="Arial" w:cs="Arial"/>
          <w:sz w:val="20"/>
          <w:szCs w:val="20"/>
          <w:lang w:val="sr-Cyrl-RS"/>
        </w:rPr>
        <w:t xml:space="preserve"> </w:t>
      </w:r>
      <w:r w:rsidR="00AF3882" w:rsidRPr="1A8E6423">
        <w:rPr>
          <w:rFonts w:ascii="Arial" w:hAnsi="Arial" w:cs="Arial"/>
          <w:sz w:val="20"/>
          <w:szCs w:val="20"/>
          <w:lang w:val="sr-Cyrl-RS"/>
        </w:rPr>
        <w:t>и</w:t>
      </w:r>
      <w:r w:rsidR="009E63FA" w:rsidRPr="1A8E6423">
        <w:rPr>
          <w:rFonts w:ascii="Arial" w:hAnsi="Arial" w:cs="Arial"/>
          <w:sz w:val="20"/>
          <w:szCs w:val="20"/>
          <w:lang w:val="sr-Cyrl-RS"/>
        </w:rPr>
        <w:t xml:space="preserve"> </w:t>
      </w:r>
      <w:r w:rsidRPr="1A8E6423">
        <w:rPr>
          <w:rFonts w:ascii="Arial" w:hAnsi="Arial" w:cs="Arial"/>
          <w:sz w:val="20"/>
          <w:szCs w:val="20"/>
          <w:lang w:val="sr-Cyrl-RS"/>
        </w:rPr>
        <w:t xml:space="preserve">претходно успостављеног Савета за стручно усавршавање запослених у ЈЛС, МДУЛС, ЕУ, Савета Европе и СКГО у том процесу. </w:t>
      </w:r>
      <w:r w:rsidR="00C7329F" w:rsidRPr="1A8E6423">
        <w:rPr>
          <w:rFonts w:ascii="Arial" w:hAnsi="Arial" w:cs="Arial"/>
          <w:sz w:val="20"/>
          <w:szCs w:val="20"/>
          <w:lang w:val="sr-Cyrl-RS"/>
        </w:rPr>
        <w:t xml:space="preserve">Треба </w:t>
      </w:r>
      <w:r w:rsidRPr="1A8E6423">
        <w:rPr>
          <w:rFonts w:ascii="Arial" w:hAnsi="Arial" w:cs="Arial"/>
          <w:sz w:val="20"/>
          <w:szCs w:val="20"/>
          <w:lang w:val="sr-Cyrl-RS"/>
        </w:rPr>
        <w:t>имати</w:t>
      </w:r>
      <w:r w:rsidR="00C7329F" w:rsidRPr="1A8E6423">
        <w:rPr>
          <w:rFonts w:ascii="Arial" w:hAnsi="Arial" w:cs="Arial"/>
          <w:sz w:val="20"/>
          <w:szCs w:val="20"/>
          <w:lang w:val="sr-Cyrl-RS"/>
        </w:rPr>
        <w:t xml:space="preserve"> </w:t>
      </w:r>
      <w:r w:rsidRPr="1A8E6423">
        <w:rPr>
          <w:rFonts w:ascii="Arial" w:hAnsi="Arial" w:cs="Arial"/>
          <w:sz w:val="20"/>
          <w:szCs w:val="20"/>
          <w:lang w:val="sr-Cyrl-RS"/>
        </w:rPr>
        <w:t xml:space="preserve">у виду да је стручно усавршавање област у којој су вршене значајне законске интервенције две године </w:t>
      </w:r>
      <w:r w:rsidR="009B75E7" w:rsidRPr="1A8E6423">
        <w:rPr>
          <w:rFonts w:ascii="Arial" w:hAnsi="Arial" w:cs="Arial"/>
          <w:sz w:val="20"/>
          <w:szCs w:val="20"/>
          <w:lang w:val="sr-Cyrl-RS"/>
        </w:rPr>
        <w:t xml:space="preserve">по усвајању </w:t>
      </w:r>
      <w:r w:rsidRPr="1A8E6423">
        <w:rPr>
          <w:rFonts w:ascii="Arial" w:hAnsi="Arial" w:cs="Arial"/>
          <w:sz w:val="20"/>
          <w:szCs w:val="20"/>
          <w:lang w:val="sr-Cyrl-RS"/>
        </w:rPr>
        <w:t xml:space="preserve">Закона о запосленим у АП и ЈЛС, па је и протекло мање времена за </w:t>
      </w:r>
      <w:r w:rsidR="009B75E7" w:rsidRPr="1A8E6423">
        <w:rPr>
          <w:rFonts w:ascii="Arial" w:hAnsi="Arial" w:cs="Arial"/>
          <w:sz w:val="20"/>
          <w:szCs w:val="20"/>
          <w:lang w:val="sr-Cyrl-RS"/>
        </w:rPr>
        <w:t xml:space="preserve">пуну примену </w:t>
      </w:r>
      <w:r w:rsidRPr="1A8E6423">
        <w:rPr>
          <w:rFonts w:ascii="Arial" w:hAnsi="Arial" w:cs="Arial"/>
          <w:sz w:val="20"/>
          <w:szCs w:val="20"/>
          <w:lang w:val="sr-Cyrl-RS"/>
        </w:rPr>
        <w:t xml:space="preserve">ових одредби у односу на неке друге делове реформи </w:t>
      </w:r>
      <w:r w:rsidR="004B487D" w:rsidRPr="1A8E6423">
        <w:rPr>
          <w:rFonts w:ascii="Arial" w:hAnsi="Arial" w:cs="Arial"/>
          <w:sz w:val="20"/>
          <w:szCs w:val="20"/>
          <w:lang w:val="sr-Cyrl-RS"/>
        </w:rPr>
        <w:t xml:space="preserve">у вези са </w:t>
      </w:r>
      <w:r w:rsidRPr="1A8E6423">
        <w:rPr>
          <w:rFonts w:ascii="Arial" w:hAnsi="Arial" w:cs="Arial"/>
          <w:sz w:val="20"/>
          <w:szCs w:val="20"/>
          <w:lang w:val="sr-Cyrl-RS"/>
        </w:rPr>
        <w:t>УЉР.</w:t>
      </w:r>
    </w:p>
    <w:p w14:paraId="69B0E85F" w14:textId="77777777" w:rsidR="001C7C2E" w:rsidRPr="00A021B7" w:rsidRDefault="001C7C2E" w:rsidP="1A8E6423">
      <w:pPr>
        <w:ind w:firstLine="720"/>
        <w:jc w:val="both"/>
        <w:rPr>
          <w:rFonts w:ascii="Arial" w:hAnsi="Arial" w:cs="Arial"/>
          <w:sz w:val="20"/>
          <w:szCs w:val="20"/>
          <w:lang w:val="sr-Cyrl-RS"/>
        </w:rPr>
      </w:pPr>
    </w:p>
    <w:p w14:paraId="42CF670B" w14:textId="55AEB33D" w:rsidR="001C7C2E" w:rsidRPr="00A021B7" w:rsidRDefault="5145412E" w:rsidP="1A8E6423">
      <w:pPr>
        <w:ind w:firstLine="720"/>
        <w:jc w:val="both"/>
        <w:rPr>
          <w:rFonts w:ascii="Arial" w:hAnsi="Arial" w:cs="Arial"/>
          <w:sz w:val="20"/>
          <w:szCs w:val="20"/>
          <w:lang w:val="sr-Cyrl-RS"/>
        </w:rPr>
      </w:pPr>
      <w:r w:rsidRPr="00A021B7">
        <w:rPr>
          <w:rFonts w:ascii="Arial" w:hAnsi="Arial" w:cs="Arial"/>
          <w:sz w:val="20"/>
          <w:szCs w:val="20"/>
          <w:lang w:val="sr-Cyrl-RS"/>
        </w:rPr>
        <w:t>П</w:t>
      </w:r>
      <w:r w:rsidR="00235F2B">
        <w:rPr>
          <w:rFonts w:ascii="Arial" w:hAnsi="Arial" w:cs="Arial"/>
          <w:sz w:val="20"/>
          <w:szCs w:val="20"/>
          <w:lang w:val="sr-Cyrl-RS"/>
        </w:rPr>
        <w:t>рема</w:t>
      </w:r>
      <w:r w:rsidRPr="00A021B7">
        <w:rPr>
          <w:rFonts w:ascii="Arial" w:hAnsi="Arial" w:cs="Arial"/>
          <w:sz w:val="20"/>
          <w:szCs w:val="20"/>
          <w:lang w:val="sr-Cyrl-RS"/>
        </w:rPr>
        <w:t xml:space="preserve"> налазима истраживања</w:t>
      </w:r>
      <w:r w:rsidR="00235F2B">
        <w:rPr>
          <w:rFonts w:ascii="Arial" w:hAnsi="Arial" w:cs="Arial"/>
          <w:sz w:val="20"/>
          <w:szCs w:val="20"/>
          <w:lang w:val="sr-Cyrl-RS"/>
        </w:rPr>
        <w:t>,</w:t>
      </w:r>
      <w:r w:rsidRPr="00A021B7">
        <w:rPr>
          <w:rFonts w:ascii="Arial" w:hAnsi="Arial" w:cs="Arial"/>
          <w:sz w:val="20"/>
          <w:szCs w:val="20"/>
          <w:lang w:val="sr-Cyrl-RS"/>
        </w:rPr>
        <w:t xml:space="preserve"> од </w:t>
      </w:r>
      <w:r w:rsidR="1F512F21" w:rsidRPr="00A021B7">
        <w:rPr>
          <w:rFonts w:ascii="Arial" w:hAnsi="Arial" w:cs="Arial"/>
          <w:sz w:val="20"/>
          <w:szCs w:val="20"/>
          <w:lang w:val="sr-Cyrl-RS"/>
        </w:rPr>
        <w:t xml:space="preserve">70 </w:t>
      </w:r>
      <w:r w:rsidRPr="00A021B7">
        <w:rPr>
          <w:rFonts w:ascii="Arial" w:hAnsi="Arial" w:cs="Arial"/>
          <w:sz w:val="20"/>
          <w:szCs w:val="20"/>
          <w:lang w:val="sr-Cyrl-RS"/>
        </w:rPr>
        <w:t xml:space="preserve">анкетираних ЈЛС, само </w:t>
      </w:r>
      <w:r w:rsidR="00235F2B">
        <w:rPr>
          <w:rFonts w:ascii="Arial" w:hAnsi="Arial" w:cs="Arial"/>
          <w:sz w:val="20"/>
          <w:szCs w:val="20"/>
          <w:lang w:val="sr-Cyrl-RS"/>
        </w:rPr>
        <w:t xml:space="preserve">су њих </w:t>
      </w:r>
      <w:r w:rsidR="66076A1B" w:rsidRPr="00A021B7">
        <w:rPr>
          <w:rFonts w:ascii="Arial" w:hAnsi="Arial" w:cs="Arial"/>
          <w:sz w:val="20"/>
          <w:szCs w:val="20"/>
          <w:lang w:val="sr-Cyrl-RS"/>
        </w:rPr>
        <w:t xml:space="preserve">три </w:t>
      </w:r>
      <w:r w:rsidRPr="00A021B7">
        <w:rPr>
          <w:rFonts w:ascii="Arial" w:hAnsi="Arial" w:cs="Arial"/>
          <w:sz w:val="20"/>
          <w:szCs w:val="20"/>
          <w:lang w:val="sr-Cyrl-RS"/>
        </w:rPr>
        <w:t>(</w:t>
      </w:r>
      <w:r w:rsidR="315A2186" w:rsidRPr="00A021B7">
        <w:rPr>
          <w:rFonts w:ascii="Arial" w:hAnsi="Arial" w:cs="Arial"/>
          <w:sz w:val="20"/>
          <w:szCs w:val="20"/>
          <w:lang w:val="sr-Cyrl-RS"/>
        </w:rPr>
        <w:t>4</w:t>
      </w:r>
      <w:r w:rsidRPr="00A021B7">
        <w:rPr>
          <w:rFonts w:ascii="Arial" w:hAnsi="Arial" w:cs="Arial"/>
          <w:sz w:val="20"/>
          <w:szCs w:val="20"/>
          <w:lang w:val="sr-Cyrl-RS"/>
        </w:rPr>
        <w:t>%) на прави начин утврдиле потребе за стручним усавршавањем за 2020. годину</w:t>
      </w:r>
      <w:r w:rsidR="66076A1B" w:rsidRPr="00A021B7">
        <w:rPr>
          <w:rFonts w:ascii="Arial" w:hAnsi="Arial" w:cs="Arial"/>
          <w:sz w:val="20"/>
          <w:szCs w:val="20"/>
          <w:lang w:val="sr-Cyrl-RS"/>
        </w:rPr>
        <w:t>,</w:t>
      </w:r>
      <w:r w:rsidRPr="00A021B7">
        <w:rPr>
          <w:rFonts w:ascii="Arial" w:hAnsi="Arial" w:cs="Arial"/>
          <w:sz w:val="20"/>
          <w:szCs w:val="20"/>
          <w:lang w:val="sr-Cyrl-RS"/>
        </w:rPr>
        <w:t xml:space="preserve"> док чак </w:t>
      </w:r>
      <w:r w:rsidR="7E0657A8" w:rsidRPr="00A021B7">
        <w:rPr>
          <w:rFonts w:ascii="Arial" w:hAnsi="Arial" w:cs="Arial"/>
          <w:sz w:val="20"/>
          <w:szCs w:val="20"/>
          <w:lang w:val="sr-Cyrl-RS"/>
        </w:rPr>
        <w:t>34</w:t>
      </w:r>
      <w:r w:rsidRPr="00A021B7">
        <w:rPr>
          <w:rFonts w:ascii="Arial" w:hAnsi="Arial" w:cs="Arial"/>
          <w:sz w:val="20"/>
          <w:szCs w:val="20"/>
          <w:lang w:val="sr-Cyrl-RS"/>
        </w:rPr>
        <w:t>% ЈЛС ни</w:t>
      </w:r>
      <w:r w:rsidR="00235F2B">
        <w:rPr>
          <w:rFonts w:ascii="Arial" w:hAnsi="Arial" w:cs="Arial"/>
          <w:sz w:val="20"/>
          <w:szCs w:val="20"/>
          <w:lang w:val="sr-Cyrl-RS"/>
        </w:rPr>
        <w:t>је</w:t>
      </w:r>
      <w:r w:rsidRPr="00A021B7">
        <w:rPr>
          <w:rFonts w:ascii="Arial" w:hAnsi="Arial" w:cs="Arial"/>
          <w:sz w:val="20"/>
          <w:szCs w:val="20"/>
          <w:lang w:val="sr-Cyrl-RS"/>
        </w:rPr>
        <w:t xml:space="preserve"> </w:t>
      </w:r>
      <w:r w:rsidR="00235F2B">
        <w:rPr>
          <w:rFonts w:ascii="Arial" w:hAnsi="Arial" w:cs="Arial"/>
          <w:sz w:val="20"/>
          <w:szCs w:val="20"/>
          <w:lang w:val="sr-Cyrl-RS"/>
        </w:rPr>
        <w:t>спровело</w:t>
      </w:r>
      <w:r w:rsidRPr="00A021B7">
        <w:rPr>
          <w:rFonts w:ascii="Arial" w:hAnsi="Arial" w:cs="Arial"/>
          <w:sz w:val="20"/>
          <w:szCs w:val="20"/>
          <w:lang w:val="sr-Cyrl-RS"/>
        </w:rPr>
        <w:t xml:space="preserve"> ниједну активност у том процесу.</w:t>
      </w:r>
      <w:r w:rsidR="00A31ECA" w:rsidRPr="00A021B7">
        <w:rPr>
          <w:rStyle w:val="FootnoteReference"/>
          <w:rFonts w:ascii="Arial" w:hAnsi="Arial" w:cs="Arial"/>
          <w:sz w:val="20"/>
          <w:szCs w:val="20"/>
          <w:lang w:val="sr-Cyrl-RS"/>
        </w:rPr>
        <w:footnoteReference w:id="98"/>
      </w:r>
    </w:p>
    <w:p w14:paraId="5AD88E8E" w14:textId="77777777" w:rsidR="00063D2C" w:rsidRPr="00A021B7" w:rsidRDefault="00063D2C" w:rsidP="003E7BC9">
      <w:pPr>
        <w:jc w:val="both"/>
        <w:rPr>
          <w:rFonts w:ascii="Arial" w:hAnsi="Arial" w:cs="Arial"/>
          <w:sz w:val="20"/>
          <w:szCs w:val="20"/>
          <w:lang w:val="sr-Cyrl-RS"/>
        </w:rPr>
      </w:pPr>
    </w:p>
    <w:p w14:paraId="0825E4DF" w14:textId="4A13832B" w:rsidR="00063D2C" w:rsidRPr="004B487D" w:rsidRDefault="00094D5D" w:rsidP="1A8E6423">
      <w:pPr>
        <w:contextualSpacing/>
        <w:jc w:val="both"/>
        <w:rPr>
          <w:rFonts w:ascii="Arial" w:hAnsi="Arial" w:cs="Arial"/>
          <w:i/>
          <w:iCs/>
          <w:color w:val="000000" w:themeColor="text1"/>
          <w:sz w:val="20"/>
          <w:szCs w:val="20"/>
          <w:lang w:val="sr-Cyrl-RS" w:eastAsia="ar-SA"/>
        </w:rPr>
      </w:pPr>
      <w:r w:rsidRPr="1A8E6423">
        <w:rPr>
          <w:rFonts w:ascii="Arial" w:hAnsi="Arial" w:cs="Arial"/>
          <w:i/>
          <w:iCs/>
          <w:color w:val="000000" w:themeColor="text1"/>
          <w:sz w:val="20"/>
          <w:szCs w:val="20"/>
          <w:lang w:val="sr-Cyrl-RS" w:eastAsia="ar-SA"/>
        </w:rPr>
        <w:t>Графикон</w:t>
      </w:r>
      <w:r w:rsidR="00275068" w:rsidRPr="1A8E6423">
        <w:rPr>
          <w:rFonts w:ascii="Arial" w:hAnsi="Arial" w:cs="Arial"/>
          <w:i/>
          <w:iCs/>
          <w:color w:val="000000" w:themeColor="text1"/>
          <w:sz w:val="20"/>
          <w:szCs w:val="20"/>
          <w:lang w:val="sr-Cyrl-RS" w:eastAsia="ar-SA"/>
        </w:rPr>
        <w:t xml:space="preserve"> </w:t>
      </w:r>
      <w:r w:rsidR="002139C8" w:rsidRPr="1A8E6423">
        <w:rPr>
          <w:rFonts w:ascii="Arial" w:hAnsi="Arial" w:cs="Arial"/>
          <w:i/>
          <w:iCs/>
          <w:color w:val="000000" w:themeColor="text1"/>
          <w:sz w:val="20"/>
          <w:szCs w:val="20"/>
          <w:lang w:val="sr-Cyrl-RS" w:eastAsia="ar-SA"/>
        </w:rPr>
        <w:t>6</w:t>
      </w:r>
      <w:r w:rsidRPr="1A8E6423">
        <w:rPr>
          <w:rFonts w:ascii="Arial" w:hAnsi="Arial" w:cs="Arial"/>
          <w:i/>
          <w:iCs/>
          <w:color w:val="000000" w:themeColor="text1"/>
          <w:sz w:val="20"/>
          <w:szCs w:val="20"/>
          <w:lang w:val="sr-Cyrl-RS" w:eastAsia="ar-SA"/>
        </w:rPr>
        <w:t xml:space="preserve">: Преглед налаза </w:t>
      </w:r>
      <w:r w:rsidR="006249CD" w:rsidRPr="1A8E6423">
        <w:rPr>
          <w:rFonts w:ascii="Arial" w:hAnsi="Arial" w:cs="Arial"/>
          <w:i/>
          <w:iCs/>
          <w:color w:val="000000" w:themeColor="text1"/>
          <w:sz w:val="20"/>
          <w:szCs w:val="20"/>
          <w:lang w:val="sr-Cyrl-RS" w:eastAsia="ar-SA"/>
        </w:rPr>
        <w:t xml:space="preserve">према </w:t>
      </w:r>
      <w:r w:rsidRPr="1A8E6423">
        <w:rPr>
          <w:rFonts w:ascii="Arial" w:hAnsi="Arial" w:cs="Arial"/>
          <w:i/>
          <w:iCs/>
          <w:color w:val="000000" w:themeColor="text1"/>
          <w:sz w:val="20"/>
          <w:szCs w:val="20"/>
          <w:lang w:val="sr-Cyrl-RS" w:eastAsia="ar-SA"/>
        </w:rPr>
        <w:t>индекс</w:t>
      </w:r>
      <w:r w:rsidR="006249CD" w:rsidRPr="1A8E6423">
        <w:rPr>
          <w:rFonts w:ascii="Arial" w:hAnsi="Arial" w:cs="Arial"/>
          <w:i/>
          <w:iCs/>
          <w:color w:val="000000" w:themeColor="text1"/>
          <w:sz w:val="20"/>
          <w:szCs w:val="20"/>
          <w:lang w:val="sr-Cyrl-RS" w:eastAsia="ar-SA"/>
        </w:rPr>
        <w:t>у</w:t>
      </w:r>
      <w:r w:rsidRPr="1A8E6423">
        <w:rPr>
          <w:rFonts w:ascii="Arial" w:hAnsi="Arial" w:cs="Arial"/>
          <w:i/>
          <w:iCs/>
          <w:color w:val="000000" w:themeColor="text1"/>
          <w:sz w:val="20"/>
          <w:szCs w:val="20"/>
          <w:lang w:val="sr-Cyrl-RS" w:eastAsia="ar-SA"/>
        </w:rPr>
        <w:t xml:space="preserve"> за УЉР у вези са утврђивањем потреба за </w:t>
      </w:r>
      <w:r w:rsidR="004B487D" w:rsidRPr="1A8E6423">
        <w:rPr>
          <w:rFonts w:ascii="Arial" w:hAnsi="Arial" w:cs="Arial"/>
          <w:i/>
          <w:iCs/>
          <w:color w:val="000000" w:themeColor="text1"/>
          <w:sz w:val="20"/>
          <w:szCs w:val="20"/>
          <w:lang w:val="sr-Cyrl-RS" w:eastAsia="ar-SA"/>
        </w:rPr>
        <w:t xml:space="preserve">стручним усавршавањем </w:t>
      </w:r>
      <w:r w:rsidRPr="1A8E6423">
        <w:rPr>
          <w:rFonts w:ascii="Arial" w:hAnsi="Arial" w:cs="Arial"/>
          <w:i/>
          <w:iCs/>
          <w:color w:val="000000" w:themeColor="text1"/>
          <w:sz w:val="20"/>
          <w:szCs w:val="20"/>
          <w:lang w:val="sr-Cyrl-RS" w:eastAsia="ar-SA"/>
        </w:rPr>
        <w:t>у 2020.</w:t>
      </w:r>
      <w:r w:rsidR="008F5AF5" w:rsidRPr="1A8E6423">
        <w:rPr>
          <w:rFonts w:ascii="Arial" w:hAnsi="Arial" w:cs="Arial"/>
          <w:i/>
          <w:iCs/>
          <w:color w:val="000000" w:themeColor="text1"/>
          <w:sz w:val="20"/>
          <w:szCs w:val="20"/>
          <w:lang w:val="sr-Cyrl-RS" w:eastAsia="ar-SA"/>
        </w:rPr>
        <w:t xml:space="preserve"> </w:t>
      </w:r>
      <w:r w:rsidR="004B487D" w:rsidRPr="1A8E6423">
        <w:rPr>
          <w:rFonts w:ascii="Arial" w:hAnsi="Arial" w:cs="Arial"/>
          <w:i/>
          <w:iCs/>
          <w:color w:val="000000" w:themeColor="text1"/>
          <w:sz w:val="20"/>
          <w:szCs w:val="20"/>
          <w:lang w:val="sr-Cyrl-RS" w:eastAsia="ar-SA"/>
        </w:rPr>
        <w:t>г</w:t>
      </w:r>
      <w:r w:rsidRPr="1A8E6423">
        <w:rPr>
          <w:rFonts w:ascii="Arial" w:hAnsi="Arial" w:cs="Arial"/>
          <w:i/>
          <w:iCs/>
          <w:color w:val="000000" w:themeColor="text1"/>
          <w:sz w:val="20"/>
          <w:szCs w:val="20"/>
          <w:lang w:val="sr-Cyrl-RS" w:eastAsia="ar-SA"/>
        </w:rPr>
        <w:t>одини</w:t>
      </w:r>
    </w:p>
    <w:p w14:paraId="20B2BAE2" w14:textId="31E34347" w:rsidR="00094D5D" w:rsidRPr="00A021B7" w:rsidRDefault="00FE4728" w:rsidP="003E7BC9">
      <w:pPr>
        <w:contextualSpacing/>
        <w:jc w:val="both"/>
        <w:rPr>
          <w:rFonts w:ascii="Arial" w:hAnsi="Arial" w:cs="Arial"/>
          <w:bCs/>
          <w:color w:val="000000" w:themeColor="text1"/>
          <w:sz w:val="20"/>
          <w:szCs w:val="20"/>
          <w:lang w:val="sr-Cyrl-RS" w:eastAsia="ar-SA"/>
        </w:rPr>
      </w:pPr>
      <w:r w:rsidRPr="00A021B7">
        <w:rPr>
          <w:rFonts w:ascii="Arial" w:hAnsi="Arial" w:cs="Arial"/>
          <w:noProof/>
          <w:sz w:val="20"/>
          <w:szCs w:val="20"/>
          <w:lang w:eastAsia="en-US"/>
        </w:rPr>
        <w:drawing>
          <wp:anchor distT="0" distB="0" distL="114300" distR="114300" simplePos="0" relativeHeight="251658248" behindDoc="1" locked="0" layoutInCell="1" allowOverlap="1" wp14:anchorId="2C95F8FF" wp14:editId="167E8BB5">
            <wp:simplePos x="0" y="0"/>
            <wp:positionH relativeFrom="margin">
              <wp:posOffset>0</wp:posOffset>
            </wp:positionH>
            <wp:positionV relativeFrom="paragraph">
              <wp:posOffset>146050</wp:posOffset>
            </wp:positionV>
            <wp:extent cx="5714365" cy="1911350"/>
            <wp:effectExtent l="0" t="0" r="13335" b="6350"/>
            <wp:wrapTight wrapText="bothSides">
              <wp:wrapPolygon edited="0">
                <wp:start x="0" y="0"/>
                <wp:lineTo x="0" y="21528"/>
                <wp:lineTo x="21602" y="21528"/>
                <wp:lineTo x="21602" y="0"/>
                <wp:lineTo x="0" y="0"/>
              </wp:wrapPolygon>
            </wp:wrapTight>
            <wp:docPr id="4" name="Chart 4">
              <a:extLst xmlns:a="http://schemas.openxmlformats.org/drawingml/2006/main">
                <a:ext uri="{FF2B5EF4-FFF2-40B4-BE49-F238E27FC236}">
                  <a16:creationId xmlns:a16="http://schemas.microsoft.com/office/drawing/2014/main" id="{EF2949A1-1F82-442D-8AA8-CAD00F1BC7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03B822FC" w14:textId="1DDD0E77" w:rsidR="00860EAA" w:rsidRPr="00A021B7" w:rsidRDefault="5145412E" w:rsidP="1A8E6423">
      <w:pPr>
        <w:ind w:firstLine="720"/>
        <w:jc w:val="both"/>
        <w:rPr>
          <w:rFonts w:ascii="Arial" w:hAnsi="Arial" w:cs="Arial"/>
          <w:sz w:val="20"/>
          <w:szCs w:val="20"/>
          <w:lang w:val="sr-Cyrl-RS"/>
        </w:rPr>
      </w:pPr>
      <w:r w:rsidRPr="00A021B7">
        <w:rPr>
          <w:rFonts w:ascii="Arial" w:hAnsi="Arial" w:cs="Arial"/>
          <w:sz w:val="20"/>
          <w:szCs w:val="20"/>
          <w:lang w:val="sr-Cyrl-RS"/>
        </w:rPr>
        <w:t>Чак 6</w:t>
      </w:r>
      <w:r w:rsidR="3A82DEF9" w:rsidRPr="00A021B7">
        <w:rPr>
          <w:rFonts w:ascii="Arial" w:hAnsi="Arial" w:cs="Arial"/>
          <w:sz w:val="20"/>
          <w:szCs w:val="20"/>
          <w:lang w:val="sr-Cyrl-RS"/>
        </w:rPr>
        <w:t>1</w:t>
      </w:r>
      <w:r w:rsidRPr="00A021B7">
        <w:rPr>
          <w:rFonts w:ascii="Arial" w:hAnsi="Arial" w:cs="Arial"/>
          <w:sz w:val="20"/>
          <w:szCs w:val="20"/>
          <w:lang w:val="sr-Cyrl-RS"/>
        </w:rPr>
        <w:t>% локалних власти није предузело ниједан корак у погледу припрема посебних програма стручног усавршавања, 3</w:t>
      </w:r>
      <w:r w:rsidR="5FB58887" w:rsidRPr="00A021B7">
        <w:rPr>
          <w:rFonts w:ascii="Arial" w:hAnsi="Arial" w:cs="Arial"/>
          <w:sz w:val="20"/>
          <w:szCs w:val="20"/>
          <w:lang w:val="sr-Cyrl-RS"/>
        </w:rPr>
        <w:t>5</w:t>
      </w:r>
      <w:r w:rsidRPr="00A021B7">
        <w:rPr>
          <w:rFonts w:ascii="Arial" w:hAnsi="Arial" w:cs="Arial"/>
          <w:sz w:val="20"/>
          <w:szCs w:val="20"/>
          <w:lang w:val="sr-Cyrl-RS"/>
        </w:rPr>
        <w:t>%</w:t>
      </w:r>
      <w:r w:rsidR="0013728C">
        <w:rPr>
          <w:rFonts w:ascii="Arial" w:hAnsi="Arial" w:cs="Arial"/>
          <w:sz w:val="20"/>
          <w:szCs w:val="20"/>
          <w:lang w:val="sr-Cyrl-RS"/>
        </w:rPr>
        <w:t xml:space="preserve"> њих</w:t>
      </w:r>
      <w:r w:rsidRPr="00A021B7">
        <w:rPr>
          <w:rFonts w:ascii="Arial" w:hAnsi="Arial" w:cs="Arial"/>
          <w:sz w:val="20"/>
          <w:szCs w:val="20"/>
          <w:lang w:val="sr-Cyrl-RS"/>
        </w:rPr>
        <w:t xml:space="preserve"> је делимично припремило посеб</w:t>
      </w:r>
      <w:r w:rsidR="0013728C">
        <w:rPr>
          <w:rFonts w:ascii="Arial" w:hAnsi="Arial" w:cs="Arial"/>
          <w:sz w:val="20"/>
          <w:szCs w:val="20"/>
          <w:lang w:val="sr-Cyrl-RS"/>
        </w:rPr>
        <w:t>а</w:t>
      </w:r>
      <w:r w:rsidRPr="00A021B7">
        <w:rPr>
          <w:rFonts w:ascii="Arial" w:hAnsi="Arial" w:cs="Arial"/>
          <w:sz w:val="20"/>
          <w:szCs w:val="20"/>
          <w:lang w:val="sr-Cyrl-RS"/>
        </w:rPr>
        <w:t>н програм стручног усавршавања у 2020. години</w:t>
      </w:r>
      <w:r w:rsidR="1B99B88B" w:rsidRPr="00A021B7">
        <w:rPr>
          <w:rFonts w:ascii="Arial" w:hAnsi="Arial" w:cs="Arial"/>
          <w:sz w:val="20"/>
          <w:szCs w:val="20"/>
          <w:lang w:val="sr-Cyrl-RS"/>
        </w:rPr>
        <w:t>,</w:t>
      </w:r>
      <w:r w:rsidRPr="00A021B7">
        <w:rPr>
          <w:rFonts w:ascii="Arial" w:hAnsi="Arial" w:cs="Arial"/>
          <w:sz w:val="20"/>
          <w:szCs w:val="20"/>
          <w:lang w:val="sr-Cyrl-RS"/>
        </w:rPr>
        <w:t xml:space="preserve"> а само су </w:t>
      </w:r>
      <w:r w:rsidR="1B99B88B" w:rsidRPr="00A021B7">
        <w:rPr>
          <w:rFonts w:ascii="Arial" w:hAnsi="Arial" w:cs="Arial"/>
          <w:sz w:val="20"/>
          <w:szCs w:val="20"/>
          <w:lang w:val="sr-Cyrl-RS"/>
        </w:rPr>
        <w:t xml:space="preserve">три </w:t>
      </w:r>
      <w:r w:rsidRPr="00A021B7">
        <w:rPr>
          <w:rFonts w:ascii="Arial" w:hAnsi="Arial" w:cs="Arial"/>
          <w:sz w:val="20"/>
          <w:szCs w:val="20"/>
          <w:lang w:val="sr-Cyrl-RS"/>
        </w:rPr>
        <w:t>ЛС (</w:t>
      </w:r>
      <w:r w:rsidR="3A82DEF9" w:rsidRPr="00A021B7">
        <w:rPr>
          <w:rFonts w:ascii="Arial" w:hAnsi="Arial" w:cs="Arial"/>
          <w:sz w:val="20"/>
          <w:szCs w:val="20"/>
          <w:lang w:val="sr-Cyrl-RS"/>
        </w:rPr>
        <w:t>4</w:t>
      </w:r>
      <w:r w:rsidRPr="00A021B7">
        <w:rPr>
          <w:rFonts w:ascii="Arial" w:hAnsi="Arial" w:cs="Arial"/>
          <w:sz w:val="20"/>
          <w:szCs w:val="20"/>
          <w:lang w:val="sr-Cyrl-RS"/>
        </w:rPr>
        <w:t xml:space="preserve">%) извршиле све неопходне радње и припремиле посебне програме (у 2018. години 11% </w:t>
      </w:r>
      <w:r w:rsidR="1B99B88B" w:rsidRPr="00A021B7">
        <w:rPr>
          <w:rFonts w:ascii="Arial" w:hAnsi="Arial" w:cs="Arial"/>
          <w:sz w:val="20"/>
          <w:szCs w:val="20"/>
          <w:lang w:val="sr-Cyrl-RS"/>
        </w:rPr>
        <w:t>Ј</w:t>
      </w:r>
      <w:r w:rsidRPr="00A021B7">
        <w:rPr>
          <w:rFonts w:ascii="Arial" w:hAnsi="Arial" w:cs="Arial"/>
          <w:sz w:val="20"/>
          <w:szCs w:val="20"/>
          <w:lang w:val="sr-Cyrl-RS"/>
        </w:rPr>
        <w:t xml:space="preserve">ЛС усвојило </w:t>
      </w:r>
      <w:r w:rsidR="0013728C">
        <w:rPr>
          <w:rFonts w:ascii="Arial" w:hAnsi="Arial" w:cs="Arial"/>
          <w:sz w:val="20"/>
          <w:szCs w:val="20"/>
          <w:lang w:val="sr-Cyrl-RS"/>
        </w:rPr>
        <w:t xml:space="preserve">је </w:t>
      </w:r>
      <w:r w:rsidRPr="00A021B7">
        <w:rPr>
          <w:rFonts w:ascii="Arial" w:hAnsi="Arial" w:cs="Arial"/>
          <w:sz w:val="20"/>
          <w:szCs w:val="20"/>
          <w:lang w:val="sr-Cyrl-RS"/>
        </w:rPr>
        <w:t>посебне програма стручног усавршавања</w:t>
      </w:r>
      <w:r w:rsidR="04FD9840" w:rsidRPr="00A021B7">
        <w:rPr>
          <w:rFonts w:ascii="Arial" w:hAnsi="Arial" w:cs="Arial"/>
          <w:sz w:val="20"/>
          <w:szCs w:val="20"/>
          <w:lang w:val="sr-Cyrl-RS"/>
        </w:rPr>
        <w:t>,</w:t>
      </w:r>
      <w:r w:rsidRPr="00A021B7">
        <w:rPr>
          <w:rFonts w:ascii="Arial" w:hAnsi="Arial" w:cs="Arial"/>
          <w:sz w:val="20"/>
          <w:szCs w:val="20"/>
          <w:lang w:val="sr-Cyrl-RS"/>
        </w:rPr>
        <w:t xml:space="preserve"> а у 2019. години то је учинило око 5% </w:t>
      </w:r>
      <w:r w:rsidR="1B99B88B" w:rsidRPr="00A021B7">
        <w:rPr>
          <w:rFonts w:ascii="Arial" w:hAnsi="Arial" w:cs="Arial"/>
          <w:sz w:val="20"/>
          <w:szCs w:val="20"/>
          <w:lang w:val="sr-Cyrl-RS"/>
        </w:rPr>
        <w:t>Ј</w:t>
      </w:r>
      <w:r w:rsidRPr="00A021B7">
        <w:rPr>
          <w:rFonts w:ascii="Arial" w:hAnsi="Arial" w:cs="Arial"/>
          <w:sz w:val="20"/>
          <w:szCs w:val="20"/>
          <w:lang w:val="sr-Cyrl-RS"/>
        </w:rPr>
        <w:t>ЛС)</w:t>
      </w:r>
      <w:r w:rsidR="372DB6C7" w:rsidRPr="00A021B7">
        <w:rPr>
          <w:rFonts w:ascii="Arial" w:hAnsi="Arial" w:cs="Arial"/>
          <w:sz w:val="20"/>
          <w:szCs w:val="20"/>
          <w:lang w:val="sr-Cyrl-RS"/>
        </w:rPr>
        <w:t>.</w:t>
      </w:r>
      <w:r w:rsidR="004B2E28" w:rsidRPr="00A021B7">
        <w:rPr>
          <w:rStyle w:val="FootnoteReference"/>
          <w:rFonts w:ascii="Arial" w:hAnsi="Arial" w:cs="Arial"/>
          <w:sz w:val="20"/>
          <w:szCs w:val="20"/>
          <w:lang w:val="sr-Cyrl-RS"/>
        </w:rPr>
        <w:footnoteReference w:id="99"/>
      </w:r>
      <w:r w:rsidRPr="00A021B7">
        <w:rPr>
          <w:rFonts w:ascii="Arial" w:hAnsi="Arial" w:cs="Arial"/>
          <w:sz w:val="20"/>
          <w:szCs w:val="20"/>
          <w:lang w:val="sr-Cyrl-RS"/>
        </w:rPr>
        <w:t xml:space="preserve"> Највећи број </w:t>
      </w:r>
      <w:r w:rsidR="1B99B88B" w:rsidRPr="00A021B7">
        <w:rPr>
          <w:rFonts w:ascii="Arial" w:hAnsi="Arial" w:cs="Arial"/>
          <w:sz w:val="20"/>
          <w:szCs w:val="20"/>
          <w:lang w:val="sr-Cyrl-RS"/>
        </w:rPr>
        <w:t>Ј</w:t>
      </w:r>
      <w:r w:rsidRPr="00A021B7">
        <w:rPr>
          <w:rFonts w:ascii="Arial" w:hAnsi="Arial" w:cs="Arial"/>
          <w:sz w:val="20"/>
          <w:szCs w:val="20"/>
          <w:lang w:val="sr-Cyrl-RS"/>
        </w:rPr>
        <w:t xml:space="preserve">ЛС </w:t>
      </w:r>
      <w:r w:rsidR="73B8B6FC" w:rsidRPr="00A021B7">
        <w:rPr>
          <w:rFonts w:ascii="Arial" w:hAnsi="Arial" w:cs="Arial"/>
          <w:sz w:val="20"/>
          <w:szCs w:val="20"/>
          <w:lang w:val="sr-Cyrl-RS"/>
        </w:rPr>
        <w:t>(</w:t>
      </w:r>
      <w:r w:rsidR="5FFF5B9D" w:rsidRPr="00A021B7">
        <w:rPr>
          <w:rFonts w:ascii="Arial" w:hAnsi="Arial" w:cs="Arial"/>
          <w:sz w:val="20"/>
          <w:szCs w:val="20"/>
          <w:lang w:val="sr-Cyrl-RS"/>
        </w:rPr>
        <w:t>59</w:t>
      </w:r>
      <w:r w:rsidR="73B8B6FC" w:rsidRPr="00A021B7">
        <w:rPr>
          <w:rFonts w:ascii="Arial" w:hAnsi="Arial" w:cs="Arial"/>
          <w:sz w:val="20"/>
          <w:szCs w:val="20"/>
          <w:lang w:val="sr-Cyrl-RS"/>
        </w:rPr>
        <w:t xml:space="preserve">%) </w:t>
      </w:r>
      <w:r w:rsidRPr="00A021B7">
        <w:rPr>
          <w:rFonts w:ascii="Arial" w:hAnsi="Arial" w:cs="Arial"/>
          <w:sz w:val="20"/>
          <w:szCs w:val="20"/>
          <w:lang w:val="sr-Cyrl-RS"/>
        </w:rPr>
        <w:t xml:space="preserve">не припрема </w:t>
      </w:r>
      <w:r w:rsidRPr="00A021B7">
        <w:rPr>
          <w:rFonts w:ascii="Arial" w:hAnsi="Arial" w:cs="Arial"/>
          <w:sz w:val="20"/>
          <w:szCs w:val="20"/>
          <w:lang w:val="sr-Cyrl-RS"/>
        </w:rPr>
        <w:lastRenderedPageBreak/>
        <w:t xml:space="preserve">годишњи план стручног усавршавања, већ се запослени упућују на </w:t>
      </w:r>
      <w:r w:rsidR="73B8B6FC" w:rsidRPr="00A021B7">
        <w:rPr>
          <w:rFonts w:ascii="Arial" w:hAnsi="Arial" w:cs="Arial"/>
          <w:sz w:val="20"/>
          <w:szCs w:val="20"/>
          <w:lang w:val="sr-Cyrl-RS"/>
        </w:rPr>
        <w:t xml:space="preserve">обуку </w:t>
      </w:r>
      <w:r w:rsidRPr="00A021B7">
        <w:rPr>
          <w:rFonts w:ascii="Arial" w:hAnsi="Arial" w:cs="Arial"/>
          <w:sz w:val="20"/>
          <w:szCs w:val="20"/>
          <w:lang w:val="sr-Cyrl-RS"/>
        </w:rPr>
        <w:t xml:space="preserve">на основу процене </w:t>
      </w:r>
      <w:r w:rsidR="7CC6A6A5" w:rsidRPr="00A021B7">
        <w:rPr>
          <w:rFonts w:ascii="Arial" w:hAnsi="Arial" w:cs="Arial"/>
          <w:sz w:val="20"/>
          <w:szCs w:val="20"/>
          <w:lang w:val="sr-Cyrl-RS"/>
        </w:rPr>
        <w:t>руководилаца</w:t>
      </w:r>
      <w:r w:rsidR="5772FC88" w:rsidRPr="00A021B7">
        <w:rPr>
          <w:rFonts w:ascii="Arial" w:hAnsi="Arial" w:cs="Arial"/>
          <w:sz w:val="20"/>
          <w:szCs w:val="20"/>
          <w:lang w:val="sr-Cyrl-RS"/>
        </w:rPr>
        <w:t>,</w:t>
      </w:r>
      <w:r w:rsidR="3D783D12" w:rsidRPr="00A021B7">
        <w:rPr>
          <w:rFonts w:ascii="Arial" w:hAnsi="Arial" w:cs="Arial"/>
          <w:sz w:val="20"/>
          <w:szCs w:val="20"/>
          <w:lang w:val="sr-Cyrl-RS"/>
        </w:rPr>
        <w:t xml:space="preserve"> док се 30% </w:t>
      </w:r>
      <w:r w:rsidR="59AD0B09" w:rsidRPr="00A021B7">
        <w:rPr>
          <w:rFonts w:ascii="Arial" w:hAnsi="Arial" w:cs="Arial"/>
          <w:sz w:val="20"/>
          <w:szCs w:val="20"/>
          <w:lang w:val="sr-Cyrl-RS"/>
        </w:rPr>
        <w:t xml:space="preserve">испитаних ЈЛС </w:t>
      </w:r>
      <w:r w:rsidR="0013728C" w:rsidRPr="00A021B7">
        <w:rPr>
          <w:rFonts w:ascii="Arial" w:hAnsi="Arial" w:cs="Arial"/>
          <w:sz w:val="20"/>
          <w:szCs w:val="20"/>
          <w:lang w:val="sr-Cyrl-RS"/>
        </w:rPr>
        <w:t>изјаснило</w:t>
      </w:r>
      <w:r w:rsidR="59AD0B09" w:rsidRPr="00A021B7">
        <w:rPr>
          <w:rFonts w:ascii="Arial" w:hAnsi="Arial" w:cs="Arial"/>
          <w:sz w:val="20"/>
          <w:szCs w:val="20"/>
          <w:lang w:val="sr-Cyrl-RS"/>
        </w:rPr>
        <w:t xml:space="preserve"> да </w:t>
      </w:r>
      <w:r w:rsidR="0013728C">
        <w:rPr>
          <w:rFonts w:ascii="Arial" w:hAnsi="Arial" w:cs="Arial"/>
          <w:sz w:val="20"/>
          <w:szCs w:val="20"/>
          <w:lang w:val="sr-Cyrl-RS"/>
        </w:rPr>
        <w:t xml:space="preserve">код њих </w:t>
      </w:r>
      <w:r w:rsidR="59AD0B09" w:rsidRPr="00A021B7">
        <w:rPr>
          <w:rFonts w:ascii="Arial" w:hAnsi="Arial" w:cs="Arial"/>
          <w:sz w:val="20"/>
          <w:szCs w:val="20"/>
          <w:lang w:val="sr-Cyrl-RS"/>
        </w:rPr>
        <w:t>не постоји никакво планирање и да с</w:t>
      </w:r>
      <w:r w:rsidR="6ADE3822" w:rsidRPr="00A021B7">
        <w:rPr>
          <w:rFonts w:ascii="Arial" w:hAnsi="Arial" w:cs="Arial"/>
          <w:sz w:val="20"/>
          <w:szCs w:val="20"/>
          <w:lang w:val="sr-Cyrl-RS"/>
        </w:rPr>
        <w:t xml:space="preserve">лужбеници похађају </w:t>
      </w:r>
      <w:r w:rsidR="59AD0B09" w:rsidRPr="00A021B7">
        <w:rPr>
          <w:rFonts w:ascii="Arial" w:hAnsi="Arial" w:cs="Arial"/>
          <w:sz w:val="20"/>
          <w:szCs w:val="20"/>
          <w:lang w:val="sr-Cyrl-RS"/>
        </w:rPr>
        <w:t xml:space="preserve">обуке када се </w:t>
      </w:r>
      <w:r w:rsidR="1B64EE25" w:rsidRPr="00A021B7">
        <w:rPr>
          <w:rFonts w:ascii="Arial" w:hAnsi="Arial" w:cs="Arial"/>
          <w:sz w:val="20"/>
          <w:szCs w:val="20"/>
          <w:lang w:val="sr-Cyrl-RS"/>
        </w:rPr>
        <w:t xml:space="preserve">за то </w:t>
      </w:r>
      <w:r w:rsidR="59AD0B09" w:rsidRPr="00A021B7">
        <w:rPr>
          <w:rFonts w:ascii="Arial" w:hAnsi="Arial" w:cs="Arial"/>
          <w:sz w:val="20"/>
          <w:szCs w:val="20"/>
          <w:lang w:val="sr-Cyrl-RS"/>
        </w:rPr>
        <w:t>укаже прилика</w:t>
      </w:r>
      <w:r w:rsidRPr="00A021B7">
        <w:rPr>
          <w:rFonts w:ascii="Arial" w:hAnsi="Arial" w:cs="Arial"/>
          <w:sz w:val="20"/>
          <w:szCs w:val="20"/>
          <w:lang w:val="sr-Cyrl-RS"/>
        </w:rPr>
        <w:t xml:space="preserve">. Ипак, </w:t>
      </w:r>
      <w:r w:rsidR="0013728C">
        <w:rPr>
          <w:rFonts w:ascii="Arial" w:hAnsi="Arial" w:cs="Arial"/>
          <w:sz w:val="20"/>
          <w:szCs w:val="20"/>
          <w:lang w:val="sr-Cyrl-RS"/>
        </w:rPr>
        <w:t>на основу</w:t>
      </w:r>
      <w:r w:rsidRPr="00A021B7">
        <w:rPr>
          <w:rFonts w:ascii="Arial" w:hAnsi="Arial" w:cs="Arial"/>
          <w:sz w:val="20"/>
          <w:szCs w:val="20"/>
          <w:lang w:val="sr-Cyrl-RS"/>
        </w:rPr>
        <w:t xml:space="preserve"> добијени</w:t>
      </w:r>
      <w:r w:rsidR="0013728C">
        <w:rPr>
          <w:rFonts w:ascii="Arial" w:hAnsi="Arial" w:cs="Arial"/>
          <w:sz w:val="20"/>
          <w:szCs w:val="20"/>
          <w:lang w:val="sr-Cyrl-RS"/>
        </w:rPr>
        <w:t>х</w:t>
      </w:r>
      <w:r w:rsidRPr="00A021B7">
        <w:rPr>
          <w:rFonts w:ascii="Arial" w:hAnsi="Arial" w:cs="Arial"/>
          <w:sz w:val="20"/>
          <w:szCs w:val="20"/>
          <w:lang w:val="sr-Cyrl-RS"/>
        </w:rPr>
        <w:t xml:space="preserve"> информација може се закључити да </w:t>
      </w:r>
      <w:r w:rsidR="7CC6A6A5" w:rsidRPr="00A021B7">
        <w:rPr>
          <w:rFonts w:ascii="Arial" w:hAnsi="Arial" w:cs="Arial"/>
          <w:sz w:val="20"/>
          <w:szCs w:val="20"/>
          <w:lang w:val="sr-Cyrl-RS"/>
        </w:rPr>
        <w:t>Ј</w:t>
      </w:r>
      <w:r w:rsidRPr="00A021B7">
        <w:rPr>
          <w:rFonts w:ascii="Arial" w:hAnsi="Arial" w:cs="Arial"/>
          <w:sz w:val="20"/>
          <w:szCs w:val="20"/>
          <w:lang w:val="sr-Cyrl-RS"/>
        </w:rPr>
        <w:t xml:space="preserve">ЛС издвајају одређена средства за стручно усавршавање. </w:t>
      </w:r>
      <w:r w:rsidR="4E807DB5" w:rsidRPr="00A021B7">
        <w:rPr>
          <w:rFonts w:ascii="Arial" w:hAnsi="Arial" w:cs="Arial"/>
          <w:sz w:val="20"/>
          <w:szCs w:val="20"/>
          <w:lang w:val="sr-Cyrl-RS"/>
        </w:rPr>
        <w:t>Издвајања за ову намену крећу се од мање од 0,2</w:t>
      </w:r>
      <w:r w:rsidR="7CC6A6A5" w:rsidRPr="00A021B7">
        <w:rPr>
          <w:rFonts w:ascii="Arial" w:hAnsi="Arial" w:cs="Arial"/>
          <w:sz w:val="20"/>
          <w:szCs w:val="20"/>
          <w:lang w:val="sr-Cyrl-RS"/>
        </w:rPr>
        <w:t>%</w:t>
      </w:r>
      <w:r w:rsidR="4E807DB5" w:rsidRPr="00A021B7">
        <w:rPr>
          <w:rFonts w:ascii="Arial" w:hAnsi="Arial" w:cs="Arial"/>
          <w:sz w:val="20"/>
          <w:szCs w:val="20"/>
          <w:lang w:val="sr-Cyrl-RS"/>
        </w:rPr>
        <w:t xml:space="preserve"> до </w:t>
      </w:r>
      <w:r w:rsidR="0013728C">
        <w:rPr>
          <w:rFonts w:ascii="Arial" w:hAnsi="Arial" w:cs="Arial"/>
          <w:sz w:val="20"/>
          <w:szCs w:val="20"/>
          <w:lang w:val="sr-Cyrl-RS"/>
        </w:rPr>
        <w:t>преко</w:t>
      </w:r>
      <w:r w:rsidR="0013728C" w:rsidRPr="00A021B7">
        <w:rPr>
          <w:rFonts w:ascii="Arial" w:hAnsi="Arial" w:cs="Arial"/>
          <w:sz w:val="20"/>
          <w:szCs w:val="20"/>
          <w:lang w:val="sr-Cyrl-RS"/>
        </w:rPr>
        <w:t xml:space="preserve"> </w:t>
      </w:r>
      <w:r w:rsidR="4E807DB5" w:rsidRPr="00A021B7">
        <w:rPr>
          <w:rFonts w:ascii="Arial" w:hAnsi="Arial" w:cs="Arial"/>
          <w:sz w:val="20"/>
          <w:szCs w:val="20"/>
          <w:lang w:val="sr-Cyrl-RS"/>
        </w:rPr>
        <w:t>1,5% у односу на планирани буџет за плате запослених</w:t>
      </w:r>
      <w:r w:rsidR="5B1CDDFD" w:rsidRPr="00A021B7">
        <w:rPr>
          <w:rFonts w:ascii="Arial" w:hAnsi="Arial" w:cs="Arial"/>
          <w:sz w:val="20"/>
          <w:szCs w:val="20"/>
          <w:lang w:val="sr-Cyrl-RS"/>
        </w:rPr>
        <w:t>,</w:t>
      </w:r>
      <w:r w:rsidR="4E807DB5" w:rsidRPr="00A021B7">
        <w:rPr>
          <w:rFonts w:ascii="Arial" w:hAnsi="Arial" w:cs="Arial"/>
          <w:sz w:val="20"/>
          <w:szCs w:val="20"/>
          <w:lang w:val="sr-Cyrl-RS"/>
        </w:rPr>
        <w:t xml:space="preserve"> од чега </w:t>
      </w:r>
      <w:r w:rsidR="5579DE04" w:rsidRPr="00A021B7">
        <w:rPr>
          <w:rFonts w:ascii="Arial" w:hAnsi="Arial" w:cs="Arial"/>
          <w:sz w:val="20"/>
          <w:szCs w:val="20"/>
          <w:lang w:val="sr-Cyrl-RS"/>
        </w:rPr>
        <w:t>19</w:t>
      </w:r>
      <w:r w:rsidR="4E807DB5" w:rsidRPr="00A021B7">
        <w:rPr>
          <w:rFonts w:ascii="Arial" w:hAnsi="Arial" w:cs="Arial"/>
          <w:sz w:val="20"/>
          <w:szCs w:val="20"/>
          <w:lang w:val="sr-Cyrl-RS"/>
        </w:rPr>
        <w:t xml:space="preserve">% </w:t>
      </w:r>
      <w:r w:rsidR="0013728C">
        <w:rPr>
          <w:rFonts w:ascii="Arial" w:hAnsi="Arial" w:cs="Arial"/>
          <w:sz w:val="20"/>
          <w:szCs w:val="20"/>
          <w:lang w:val="sr-Cyrl-RS"/>
        </w:rPr>
        <w:t xml:space="preserve">ЈЛС </w:t>
      </w:r>
      <w:r w:rsidR="4E807DB5" w:rsidRPr="00A021B7">
        <w:rPr>
          <w:rFonts w:ascii="Arial" w:hAnsi="Arial" w:cs="Arial"/>
          <w:sz w:val="20"/>
          <w:szCs w:val="20"/>
          <w:lang w:val="sr-Cyrl-RS"/>
        </w:rPr>
        <w:t>издваја финансијска средства која износе преко 1%</w:t>
      </w:r>
      <w:r w:rsidR="512CDFFD" w:rsidRPr="00A021B7">
        <w:rPr>
          <w:rFonts w:ascii="Arial" w:hAnsi="Arial" w:cs="Arial"/>
          <w:sz w:val="20"/>
          <w:szCs w:val="20"/>
          <w:lang w:val="sr-Cyrl-RS"/>
        </w:rPr>
        <w:t xml:space="preserve"> </w:t>
      </w:r>
      <w:r w:rsidR="4E807DB5" w:rsidRPr="00A021B7">
        <w:rPr>
          <w:rFonts w:ascii="Arial" w:hAnsi="Arial" w:cs="Arial"/>
          <w:sz w:val="20"/>
          <w:szCs w:val="20"/>
          <w:lang w:val="sr-Cyrl-RS"/>
        </w:rPr>
        <w:t>буџета за плате за потребе финансирања стручног усавршавања у 2020. години</w:t>
      </w:r>
      <w:r w:rsidR="4E807DB5" w:rsidRPr="00A021B7">
        <w:rPr>
          <w:rFonts w:ascii="Arial" w:hAnsi="Arial" w:cs="Arial"/>
          <w:sz w:val="20"/>
          <w:szCs w:val="20"/>
          <w:lang w:val="sr-Cyrl-RS" w:eastAsia="ar-SA"/>
        </w:rPr>
        <w:t>.</w:t>
      </w:r>
      <w:r w:rsidR="23FE7A59" w:rsidRPr="00A021B7">
        <w:rPr>
          <w:rFonts w:ascii="Arial" w:hAnsi="Arial" w:cs="Arial"/>
          <w:sz w:val="20"/>
          <w:szCs w:val="20"/>
          <w:lang w:val="sr-Cyrl-RS" w:eastAsia="ar-SA"/>
        </w:rPr>
        <w:t xml:space="preserve"> </w:t>
      </w:r>
      <w:r w:rsidR="7F1A40A5" w:rsidRPr="00A021B7">
        <w:rPr>
          <w:rFonts w:ascii="Arial" w:hAnsi="Arial" w:cs="Arial"/>
          <w:sz w:val="20"/>
          <w:szCs w:val="20"/>
          <w:lang w:val="sr-Cyrl-RS" w:eastAsia="ar-SA"/>
        </w:rPr>
        <w:t xml:space="preserve">Међутим, </w:t>
      </w:r>
      <w:r w:rsidR="34A7E30F" w:rsidRPr="00A021B7">
        <w:rPr>
          <w:rFonts w:ascii="Arial" w:hAnsi="Arial" w:cs="Arial"/>
          <w:sz w:val="20"/>
          <w:szCs w:val="20"/>
          <w:lang w:val="sr-Cyrl-RS" w:eastAsia="ar-SA"/>
        </w:rPr>
        <w:t>иако ЈЛС у свом буџету планирају средства за стручно усавршавање, веома је отворено</w:t>
      </w:r>
      <w:r w:rsidR="23FE7A59" w:rsidRPr="00A021B7">
        <w:rPr>
          <w:rFonts w:ascii="Arial" w:hAnsi="Arial" w:cs="Arial"/>
          <w:sz w:val="20"/>
          <w:szCs w:val="20"/>
          <w:lang w:val="sr-Cyrl-RS" w:eastAsia="ar-SA"/>
        </w:rPr>
        <w:t xml:space="preserve"> питање колико се од планираних средстава </w:t>
      </w:r>
      <w:r w:rsidR="34A7E30F" w:rsidRPr="00A021B7">
        <w:rPr>
          <w:rFonts w:ascii="Arial" w:hAnsi="Arial" w:cs="Arial"/>
          <w:sz w:val="20"/>
          <w:szCs w:val="20"/>
          <w:lang w:val="sr-Cyrl-RS" w:eastAsia="ar-SA"/>
        </w:rPr>
        <w:t xml:space="preserve">заиста </w:t>
      </w:r>
      <w:r w:rsidR="23FE7A59" w:rsidRPr="00A021B7">
        <w:rPr>
          <w:rFonts w:ascii="Arial" w:hAnsi="Arial" w:cs="Arial"/>
          <w:sz w:val="20"/>
          <w:szCs w:val="20"/>
          <w:lang w:val="sr-Cyrl-RS" w:eastAsia="ar-SA"/>
        </w:rPr>
        <w:t>и утроши за потребе стручног усавршавања запослених</w:t>
      </w:r>
      <w:r w:rsidR="6E9937CC" w:rsidRPr="00A021B7">
        <w:rPr>
          <w:rFonts w:ascii="Arial" w:hAnsi="Arial" w:cs="Arial"/>
          <w:sz w:val="20"/>
          <w:szCs w:val="20"/>
          <w:lang w:val="sr-Cyrl-RS" w:eastAsia="ar-SA"/>
        </w:rPr>
        <w:t>, што би требало анализирати у наредном периоду</w:t>
      </w:r>
      <w:r w:rsidR="23FE7A59" w:rsidRPr="00A021B7">
        <w:rPr>
          <w:rFonts w:ascii="Arial" w:hAnsi="Arial" w:cs="Arial"/>
          <w:sz w:val="20"/>
          <w:szCs w:val="20"/>
          <w:lang w:val="sr-Cyrl-RS" w:eastAsia="ar-SA"/>
        </w:rPr>
        <w:t>.</w:t>
      </w:r>
    </w:p>
    <w:p w14:paraId="4A22CE7A" w14:textId="77777777" w:rsidR="001C7C2E" w:rsidRPr="00A021B7" w:rsidRDefault="001C7C2E" w:rsidP="003E7BC9">
      <w:pPr>
        <w:jc w:val="both"/>
        <w:rPr>
          <w:rFonts w:ascii="Arial" w:hAnsi="Arial" w:cs="Arial"/>
          <w:sz w:val="20"/>
          <w:szCs w:val="20"/>
          <w:lang w:val="sr-Cyrl-RS"/>
        </w:rPr>
      </w:pPr>
    </w:p>
    <w:p w14:paraId="3457E940" w14:textId="0D26CD8E" w:rsidR="00094D5D" w:rsidRPr="0013728C" w:rsidRDefault="00094D5D" w:rsidP="1A8E6423">
      <w:pPr>
        <w:contextualSpacing/>
        <w:jc w:val="both"/>
        <w:rPr>
          <w:rFonts w:ascii="Arial" w:hAnsi="Arial" w:cs="Arial"/>
          <w:i/>
          <w:iCs/>
          <w:sz w:val="20"/>
          <w:szCs w:val="20"/>
          <w:lang w:val="sr-Cyrl-RS" w:eastAsia="ar-SA"/>
        </w:rPr>
      </w:pPr>
      <w:r w:rsidRPr="1A8E6423">
        <w:rPr>
          <w:rFonts w:ascii="Arial" w:hAnsi="Arial" w:cs="Arial"/>
          <w:i/>
          <w:iCs/>
          <w:sz w:val="20"/>
          <w:szCs w:val="20"/>
          <w:lang w:val="sr-Cyrl-RS" w:eastAsia="ar-SA"/>
        </w:rPr>
        <w:t>Графикон</w:t>
      </w:r>
      <w:r w:rsidR="00275068" w:rsidRPr="1A8E6423">
        <w:rPr>
          <w:rFonts w:ascii="Arial" w:hAnsi="Arial" w:cs="Arial"/>
          <w:i/>
          <w:iCs/>
          <w:sz w:val="20"/>
          <w:szCs w:val="20"/>
          <w:lang w:val="sr-Cyrl-RS" w:eastAsia="ar-SA"/>
        </w:rPr>
        <w:t xml:space="preserve"> </w:t>
      </w:r>
      <w:r w:rsidR="002139C8" w:rsidRPr="1A8E6423">
        <w:rPr>
          <w:rFonts w:ascii="Arial" w:hAnsi="Arial" w:cs="Arial"/>
          <w:i/>
          <w:iCs/>
          <w:sz w:val="20"/>
          <w:szCs w:val="20"/>
          <w:lang w:val="sr-Cyrl-RS" w:eastAsia="ar-SA"/>
        </w:rPr>
        <w:t>7</w:t>
      </w:r>
      <w:r w:rsidRPr="1A8E6423">
        <w:rPr>
          <w:rFonts w:ascii="Arial" w:hAnsi="Arial" w:cs="Arial"/>
          <w:i/>
          <w:iCs/>
          <w:sz w:val="20"/>
          <w:szCs w:val="20"/>
          <w:lang w:val="sr-Cyrl-RS" w:eastAsia="ar-SA"/>
        </w:rPr>
        <w:t xml:space="preserve">: Преглед налаза </w:t>
      </w:r>
      <w:r w:rsidR="006249CD" w:rsidRPr="1A8E6423">
        <w:rPr>
          <w:rFonts w:ascii="Arial" w:hAnsi="Arial" w:cs="Arial"/>
          <w:i/>
          <w:iCs/>
          <w:sz w:val="20"/>
          <w:szCs w:val="20"/>
          <w:lang w:val="sr-Cyrl-RS" w:eastAsia="ar-SA"/>
        </w:rPr>
        <w:t xml:space="preserve">према </w:t>
      </w:r>
      <w:r w:rsidRPr="1A8E6423">
        <w:rPr>
          <w:rFonts w:ascii="Arial" w:hAnsi="Arial" w:cs="Arial"/>
          <w:i/>
          <w:iCs/>
          <w:sz w:val="20"/>
          <w:szCs w:val="20"/>
          <w:lang w:val="sr-Cyrl-RS" w:eastAsia="ar-SA"/>
        </w:rPr>
        <w:t>индекс</w:t>
      </w:r>
      <w:r w:rsidR="006249CD" w:rsidRPr="1A8E6423">
        <w:rPr>
          <w:rFonts w:ascii="Arial" w:hAnsi="Arial" w:cs="Arial"/>
          <w:i/>
          <w:iCs/>
          <w:sz w:val="20"/>
          <w:szCs w:val="20"/>
          <w:lang w:val="sr-Cyrl-RS" w:eastAsia="ar-SA"/>
        </w:rPr>
        <w:t>у</w:t>
      </w:r>
      <w:r w:rsidRPr="1A8E6423">
        <w:rPr>
          <w:rFonts w:ascii="Arial" w:hAnsi="Arial" w:cs="Arial"/>
          <w:i/>
          <w:iCs/>
          <w:sz w:val="20"/>
          <w:szCs w:val="20"/>
          <w:lang w:val="sr-Cyrl-RS" w:eastAsia="ar-SA"/>
        </w:rPr>
        <w:t xml:space="preserve"> за УЉР у вези са планираним издвајањем финансијских средстава за </w:t>
      </w:r>
      <w:r w:rsidR="00A164C9" w:rsidRPr="1A8E6423">
        <w:rPr>
          <w:rFonts w:ascii="Arial" w:hAnsi="Arial" w:cs="Arial"/>
          <w:i/>
          <w:iCs/>
          <w:sz w:val="20"/>
          <w:szCs w:val="20"/>
          <w:lang w:val="sr-Cyrl-RS" w:eastAsia="ar-SA"/>
        </w:rPr>
        <w:t xml:space="preserve">стручно усавршавање </w:t>
      </w:r>
      <w:r w:rsidRPr="1A8E6423">
        <w:rPr>
          <w:rFonts w:ascii="Arial" w:hAnsi="Arial" w:cs="Arial"/>
          <w:i/>
          <w:iCs/>
          <w:sz w:val="20"/>
          <w:szCs w:val="20"/>
          <w:lang w:val="sr-Cyrl-RS" w:eastAsia="ar-SA"/>
        </w:rPr>
        <w:t>у 2020.</w:t>
      </w:r>
      <w:r w:rsidR="00A164C9" w:rsidRPr="1A8E6423">
        <w:rPr>
          <w:rFonts w:ascii="Arial" w:hAnsi="Arial" w:cs="Arial"/>
          <w:i/>
          <w:iCs/>
          <w:sz w:val="20"/>
          <w:szCs w:val="20"/>
          <w:lang w:val="sr-Cyrl-RS" w:eastAsia="ar-SA"/>
        </w:rPr>
        <w:t xml:space="preserve"> </w:t>
      </w:r>
      <w:r w:rsidRPr="1A8E6423">
        <w:rPr>
          <w:rFonts w:ascii="Arial" w:hAnsi="Arial" w:cs="Arial"/>
          <w:i/>
          <w:iCs/>
          <w:sz w:val="20"/>
          <w:szCs w:val="20"/>
          <w:lang w:val="sr-Cyrl-RS" w:eastAsia="ar-SA"/>
        </w:rPr>
        <w:t>години</w:t>
      </w:r>
    </w:p>
    <w:p w14:paraId="2B9C084E" w14:textId="77777777" w:rsidR="001C7C2E" w:rsidRPr="00A021B7" w:rsidRDefault="002E7F58" w:rsidP="003E7BC9">
      <w:pPr>
        <w:contextualSpacing/>
        <w:jc w:val="both"/>
        <w:rPr>
          <w:rFonts w:ascii="Arial" w:hAnsi="Arial" w:cs="Arial"/>
          <w:bCs/>
          <w:sz w:val="20"/>
          <w:szCs w:val="20"/>
          <w:lang w:val="sr-Cyrl-RS" w:eastAsia="ar-SA"/>
        </w:rPr>
      </w:pPr>
      <w:r w:rsidRPr="00A021B7">
        <w:rPr>
          <w:rFonts w:ascii="Arial" w:hAnsi="Arial" w:cs="Arial"/>
          <w:noProof/>
          <w:sz w:val="20"/>
          <w:szCs w:val="20"/>
          <w:lang w:eastAsia="en-US"/>
        </w:rPr>
        <w:drawing>
          <wp:anchor distT="0" distB="0" distL="114300" distR="114300" simplePos="0" relativeHeight="251658249" behindDoc="1" locked="0" layoutInCell="1" allowOverlap="1" wp14:anchorId="4EF2AF63" wp14:editId="2798ADFC">
            <wp:simplePos x="0" y="0"/>
            <wp:positionH relativeFrom="margin">
              <wp:posOffset>0</wp:posOffset>
            </wp:positionH>
            <wp:positionV relativeFrom="paragraph">
              <wp:posOffset>145415</wp:posOffset>
            </wp:positionV>
            <wp:extent cx="5666105" cy="2543175"/>
            <wp:effectExtent l="0" t="0" r="10795" b="9525"/>
            <wp:wrapSquare wrapText="bothSides"/>
            <wp:docPr id="6" name="Chart 6">
              <a:extLst xmlns:a="http://schemas.openxmlformats.org/drawingml/2006/main">
                <a:ext uri="{FF2B5EF4-FFF2-40B4-BE49-F238E27FC236}">
                  <a16:creationId xmlns:a16="http://schemas.microsoft.com/office/drawing/2014/main" id="{A6E8D6A2-9222-4261-871D-5ABFAB7F5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bookmarkEnd w:id="90"/>
    <w:p w14:paraId="1BF759D3" w14:textId="77777777" w:rsidR="001C7C2E" w:rsidRPr="00A021B7" w:rsidRDefault="001C7C2E" w:rsidP="003E7BC9">
      <w:pPr>
        <w:jc w:val="both"/>
        <w:rPr>
          <w:rFonts w:ascii="Arial" w:hAnsi="Arial" w:cs="Arial"/>
          <w:sz w:val="20"/>
          <w:szCs w:val="20"/>
          <w:lang w:val="sr-Cyrl-RS"/>
        </w:rPr>
      </w:pPr>
    </w:p>
    <w:p w14:paraId="7B3DC40C" w14:textId="6503A6CD" w:rsidR="001C7C2E" w:rsidRPr="00A021B7" w:rsidRDefault="001C7C2E" w:rsidP="1A8E6423">
      <w:pPr>
        <w:ind w:firstLine="720"/>
        <w:jc w:val="both"/>
        <w:rPr>
          <w:rFonts w:ascii="Arial" w:hAnsi="Arial" w:cs="Arial"/>
          <w:sz w:val="20"/>
          <w:szCs w:val="20"/>
          <w:lang w:val="sr-Cyrl-RS"/>
        </w:rPr>
      </w:pPr>
      <w:r w:rsidRPr="1A8E6423">
        <w:rPr>
          <w:rFonts w:ascii="Arial" w:hAnsi="Arial" w:cs="Arial"/>
          <w:sz w:val="20"/>
          <w:szCs w:val="20"/>
          <w:lang w:val="sr-Cyrl-RS"/>
        </w:rPr>
        <w:t>Изазови постоје и код процедура и програма обучавања новозапослених и приправника.</w:t>
      </w:r>
      <w:r w:rsidR="004D5004" w:rsidRPr="1A8E6423">
        <w:rPr>
          <w:rFonts w:ascii="Arial" w:hAnsi="Arial" w:cs="Arial"/>
          <w:sz w:val="20"/>
          <w:szCs w:val="20"/>
          <w:lang w:val="sr-Cyrl-RS"/>
        </w:rPr>
        <w:t xml:space="preserve"> </w:t>
      </w:r>
      <w:r w:rsidRPr="1A8E6423">
        <w:rPr>
          <w:rFonts w:ascii="Arial" w:hAnsi="Arial" w:cs="Arial"/>
          <w:sz w:val="20"/>
          <w:szCs w:val="20"/>
          <w:lang w:val="sr-Cyrl-RS"/>
        </w:rPr>
        <w:t>Код чак половине ЈЛС (48%) из анализиране групе, обучавање новозапослених и приправника се не спроводи на организован начин или се уопште не спроводи. Нешто мањи број ЈЛС (3</w:t>
      </w:r>
      <w:r w:rsidR="00FD11A3" w:rsidRPr="1A8E6423">
        <w:rPr>
          <w:rFonts w:ascii="Arial" w:hAnsi="Arial" w:cs="Arial"/>
          <w:sz w:val="20"/>
          <w:szCs w:val="20"/>
          <w:lang w:val="sr-Cyrl-RS"/>
        </w:rPr>
        <w:t>9</w:t>
      </w:r>
      <w:r w:rsidRPr="1A8E6423">
        <w:rPr>
          <w:rFonts w:ascii="Arial" w:hAnsi="Arial" w:cs="Arial"/>
          <w:sz w:val="20"/>
          <w:szCs w:val="20"/>
          <w:lang w:val="sr-Cyrl-RS"/>
        </w:rPr>
        <w:t>%) такође нема дефинисану процедуру</w:t>
      </w:r>
      <w:r w:rsidR="00C96392" w:rsidRPr="1A8E6423">
        <w:rPr>
          <w:rFonts w:ascii="Arial" w:hAnsi="Arial" w:cs="Arial"/>
          <w:sz w:val="20"/>
          <w:szCs w:val="20"/>
          <w:lang w:val="sr-Cyrl-RS"/>
        </w:rPr>
        <w:t>,</w:t>
      </w:r>
      <w:r w:rsidRPr="1A8E6423">
        <w:rPr>
          <w:rFonts w:ascii="Arial" w:hAnsi="Arial" w:cs="Arial"/>
          <w:sz w:val="20"/>
          <w:szCs w:val="20"/>
          <w:lang w:val="sr-Cyrl-RS"/>
        </w:rPr>
        <w:t xml:space="preserve"> већ се обука спроводи унутар сваког одељења посебно и по потреби, док само </w:t>
      </w:r>
      <w:r w:rsidR="00FD11A3" w:rsidRPr="1A8E6423">
        <w:rPr>
          <w:rFonts w:ascii="Arial" w:hAnsi="Arial" w:cs="Arial"/>
          <w:sz w:val="20"/>
          <w:szCs w:val="20"/>
          <w:lang w:val="sr-Cyrl-RS"/>
        </w:rPr>
        <w:t>13</w:t>
      </w:r>
      <w:r w:rsidRPr="1A8E6423">
        <w:rPr>
          <w:rFonts w:ascii="Arial" w:hAnsi="Arial" w:cs="Arial"/>
          <w:sz w:val="20"/>
          <w:szCs w:val="20"/>
          <w:lang w:val="sr-Cyrl-RS"/>
        </w:rPr>
        <w:t xml:space="preserve">% има јасно дефинисану процедуру обучавања новозапослених и приправника. </w:t>
      </w:r>
      <w:r w:rsidR="003A01E7" w:rsidRPr="1A8E6423">
        <w:rPr>
          <w:rFonts w:ascii="Arial" w:hAnsi="Arial" w:cs="Arial"/>
          <w:sz w:val="20"/>
          <w:szCs w:val="20"/>
          <w:lang w:val="sr-Cyrl-RS"/>
        </w:rPr>
        <w:t>Такође, г</w:t>
      </w:r>
      <w:r w:rsidR="0028619B" w:rsidRPr="1A8E6423">
        <w:rPr>
          <w:rFonts w:ascii="Arial" w:hAnsi="Arial" w:cs="Arial"/>
          <w:sz w:val="20"/>
          <w:szCs w:val="20"/>
          <w:lang w:val="sr-Cyrl-RS"/>
        </w:rPr>
        <w:t>енерално гледа</w:t>
      </w:r>
      <w:r w:rsidR="00A40A86" w:rsidRPr="1A8E6423">
        <w:rPr>
          <w:rFonts w:ascii="Arial" w:hAnsi="Arial" w:cs="Arial"/>
          <w:sz w:val="20"/>
          <w:szCs w:val="20"/>
          <w:lang w:val="sr-Cyrl-RS"/>
        </w:rPr>
        <w:t>но,</w:t>
      </w:r>
      <w:r w:rsidR="0028619B" w:rsidRPr="1A8E6423">
        <w:rPr>
          <w:rFonts w:ascii="Arial" w:hAnsi="Arial" w:cs="Arial"/>
          <w:sz w:val="20"/>
          <w:szCs w:val="20"/>
          <w:lang w:val="sr-Cyrl-RS"/>
        </w:rPr>
        <w:t xml:space="preserve"> </w:t>
      </w:r>
      <w:r w:rsidR="003A01E7" w:rsidRPr="1A8E6423">
        <w:rPr>
          <w:rFonts w:ascii="Arial" w:hAnsi="Arial" w:cs="Arial"/>
          <w:sz w:val="20"/>
          <w:szCs w:val="20"/>
          <w:lang w:val="sr-Cyrl-RS"/>
        </w:rPr>
        <w:t xml:space="preserve">може се констатовати да није </w:t>
      </w:r>
      <w:r w:rsidR="00EC4FB3" w:rsidRPr="1A8E6423">
        <w:rPr>
          <w:rFonts w:ascii="Arial" w:hAnsi="Arial" w:cs="Arial"/>
          <w:sz w:val="20"/>
          <w:szCs w:val="20"/>
          <w:lang w:val="sr-Cyrl-RS"/>
        </w:rPr>
        <w:t xml:space="preserve">довољно </w:t>
      </w:r>
      <w:r w:rsidR="003A01E7" w:rsidRPr="1A8E6423">
        <w:rPr>
          <w:rFonts w:ascii="Arial" w:hAnsi="Arial" w:cs="Arial"/>
          <w:sz w:val="20"/>
          <w:szCs w:val="20"/>
          <w:lang w:val="sr-Cyrl-RS"/>
        </w:rPr>
        <w:t xml:space="preserve">развијен ни интерни систем за преношење знања од стране запослених </w:t>
      </w:r>
      <w:r w:rsidR="00611419" w:rsidRPr="1A8E6423">
        <w:rPr>
          <w:rFonts w:ascii="Arial" w:hAnsi="Arial" w:cs="Arial"/>
          <w:sz w:val="20"/>
          <w:szCs w:val="20"/>
          <w:lang w:val="sr-Cyrl-RS"/>
        </w:rPr>
        <w:t>који су похађали одређене програме обука ка другим колегама из локалних управа.</w:t>
      </w:r>
    </w:p>
    <w:p w14:paraId="0B96FCBE" w14:textId="77777777" w:rsidR="001C7C2E" w:rsidRPr="00A021B7" w:rsidRDefault="001C7C2E" w:rsidP="1A8E6423">
      <w:pPr>
        <w:ind w:firstLine="720"/>
        <w:jc w:val="both"/>
        <w:rPr>
          <w:rFonts w:ascii="Arial" w:hAnsi="Arial" w:cs="Arial"/>
          <w:sz w:val="20"/>
          <w:szCs w:val="20"/>
          <w:lang w:val="sr-Cyrl-RS"/>
        </w:rPr>
      </w:pPr>
    </w:p>
    <w:p w14:paraId="3A6ACC95" w14:textId="3EDE09A7" w:rsidR="0002744C" w:rsidRPr="00A021B7" w:rsidRDefault="5145412E" w:rsidP="1A8E6423">
      <w:pPr>
        <w:ind w:firstLine="720"/>
        <w:jc w:val="both"/>
        <w:rPr>
          <w:rStyle w:val="FootnoteReference"/>
          <w:rFonts w:ascii="Arial" w:hAnsi="Arial" w:cs="Arial"/>
          <w:sz w:val="20"/>
          <w:szCs w:val="20"/>
          <w:lang w:val="sr-Cyrl-RS"/>
        </w:rPr>
      </w:pPr>
      <w:r w:rsidRPr="00A021B7">
        <w:rPr>
          <w:rFonts w:ascii="Arial" w:hAnsi="Arial" w:cs="Arial"/>
          <w:sz w:val="20"/>
          <w:szCs w:val="20"/>
          <w:lang w:val="sr-Cyrl-RS"/>
        </w:rPr>
        <w:t xml:space="preserve">Смањено интересовање </w:t>
      </w:r>
      <w:r w:rsidR="3EB86517" w:rsidRPr="00A021B7">
        <w:rPr>
          <w:rFonts w:ascii="Arial" w:hAnsi="Arial" w:cs="Arial"/>
          <w:sz w:val="20"/>
          <w:szCs w:val="20"/>
          <w:lang w:val="sr-Cyrl-RS"/>
        </w:rPr>
        <w:t>Ј</w:t>
      </w:r>
      <w:r w:rsidRPr="00A021B7">
        <w:rPr>
          <w:rFonts w:ascii="Arial" w:hAnsi="Arial" w:cs="Arial"/>
          <w:sz w:val="20"/>
          <w:szCs w:val="20"/>
          <w:lang w:val="sr-Cyrl-RS"/>
        </w:rPr>
        <w:t>ЛС за квалитетније бављење успостављањем локалног система за стручно усавршавање последица је више различитих фактора. Најпре, ову област уређуј</w:t>
      </w:r>
      <w:r w:rsidR="00A40A86">
        <w:rPr>
          <w:rFonts w:ascii="Arial" w:hAnsi="Arial" w:cs="Arial"/>
          <w:sz w:val="20"/>
          <w:szCs w:val="20"/>
          <w:lang w:val="sr-Cyrl-RS"/>
        </w:rPr>
        <w:t>у</w:t>
      </w:r>
      <w:r w:rsidRPr="00A021B7">
        <w:rPr>
          <w:rFonts w:ascii="Arial" w:hAnsi="Arial" w:cs="Arial"/>
          <w:sz w:val="20"/>
          <w:szCs w:val="20"/>
          <w:lang w:val="sr-Cyrl-RS"/>
        </w:rPr>
        <w:t xml:space="preserve"> знатно комплекснији правни </w:t>
      </w:r>
      <w:r w:rsidR="4E7DCCFF" w:rsidRPr="00A021B7">
        <w:rPr>
          <w:rFonts w:ascii="Arial" w:hAnsi="Arial" w:cs="Arial"/>
          <w:sz w:val="20"/>
          <w:szCs w:val="20"/>
          <w:lang w:val="sr-Cyrl-RS"/>
        </w:rPr>
        <w:t>оквир и процедуре од раније постојећих</w:t>
      </w:r>
      <w:r w:rsidR="5EE9743C" w:rsidRPr="00A021B7">
        <w:rPr>
          <w:rFonts w:ascii="Arial" w:hAnsi="Arial" w:cs="Arial"/>
          <w:sz w:val="20"/>
          <w:szCs w:val="20"/>
          <w:lang w:val="sr-Cyrl-RS"/>
        </w:rPr>
        <w:t>,</w:t>
      </w:r>
      <w:r w:rsidRPr="00A021B7">
        <w:rPr>
          <w:rFonts w:ascii="Arial" w:hAnsi="Arial" w:cs="Arial"/>
          <w:sz w:val="20"/>
          <w:szCs w:val="20"/>
          <w:lang w:val="sr-Cyrl-RS"/>
        </w:rPr>
        <w:t xml:space="preserve"> </w:t>
      </w:r>
      <w:r w:rsidR="00132EFA" w:rsidRPr="00A021B7">
        <w:rPr>
          <w:rFonts w:ascii="Arial" w:hAnsi="Arial" w:cs="Arial"/>
          <w:sz w:val="20"/>
          <w:szCs w:val="20"/>
          <w:lang w:val="sr-Cyrl-RS"/>
        </w:rPr>
        <w:t xml:space="preserve">те </w:t>
      </w:r>
      <w:r w:rsidRPr="00A021B7">
        <w:rPr>
          <w:rFonts w:ascii="Arial" w:hAnsi="Arial" w:cs="Arial"/>
          <w:sz w:val="20"/>
          <w:szCs w:val="20"/>
          <w:lang w:val="sr-Cyrl-RS"/>
        </w:rPr>
        <w:t>још увек ни</w:t>
      </w:r>
      <w:r w:rsidR="00132EFA" w:rsidRPr="00A021B7">
        <w:rPr>
          <w:rFonts w:ascii="Arial" w:hAnsi="Arial" w:cs="Arial"/>
          <w:sz w:val="20"/>
          <w:szCs w:val="20"/>
          <w:lang w:val="sr-Cyrl-RS"/>
        </w:rPr>
        <w:t>су довољно</w:t>
      </w:r>
      <w:r w:rsidRPr="00A021B7">
        <w:rPr>
          <w:rFonts w:ascii="Arial" w:hAnsi="Arial" w:cs="Arial"/>
          <w:sz w:val="20"/>
          <w:szCs w:val="20"/>
          <w:lang w:val="sr-Cyrl-RS"/>
        </w:rPr>
        <w:t xml:space="preserve"> изграђен</w:t>
      </w:r>
      <w:r w:rsidR="00132EFA" w:rsidRPr="00A021B7">
        <w:rPr>
          <w:rFonts w:ascii="Arial" w:hAnsi="Arial" w:cs="Arial"/>
          <w:sz w:val="20"/>
          <w:szCs w:val="20"/>
          <w:lang w:val="sr-Cyrl-RS"/>
        </w:rPr>
        <w:t xml:space="preserve">и </w:t>
      </w:r>
      <w:r w:rsidRPr="00A021B7">
        <w:rPr>
          <w:rFonts w:ascii="Arial" w:hAnsi="Arial" w:cs="Arial"/>
          <w:sz w:val="20"/>
          <w:szCs w:val="20"/>
          <w:lang w:val="sr-Cyrl-RS"/>
        </w:rPr>
        <w:t>знањ</w:t>
      </w:r>
      <w:r w:rsidR="00132EFA" w:rsidRPr="00A021B7">
        <w:rPr>
          <w:rFonts w:ascii="Arial" w:hAnsi="Arial" w:cs="Arial"/>
          <w:sz w:val="20"/>
          <w:szCs w:val="20"/>
          <w:lang w:val="sr-Cyrl-RS"/>
        </w:rPr>
        <w:t xml:space="preserve">е </w:t>
      </w:r>
      <w:r w:rsidRPr="00A021B7">
        <w:rPr>
          <w:rFonts w:ascii="Arial" w:hAnsi="Arial" w:cs="Arial"/>
          <w:sz w:val="20"/>
          <w:szCs w:val="20"/>
          <w:lang w:val="sr-Cyrl-RS"/>
        </w:rPr>
        <w:t>и</w:t>
      </w:r>
      <w:r w:rsidR="512CDFFD" w:rsidRPr="00A021B7">
        <w:rPr>
          <w:rFonts w:ascii="Arial" w:hAnsi="Arial" w:cs="Arial"/>
          <w:sz w:val="20"/>
          <w:szCs w:val="20"/>
          <w:lang w:val="sr-Cyrl-RS"/>
        </w:rPr>
        <w:t xml:space="preserve"> </w:t>
      </w:r>
      <w:r w:rsidR="00132EFA" w:rsidRPr="00A021B7">
        <w:rPr>
          <w:rFonts w:ascii="Arial" w:hAnsi="Arial" w:cs="Arial"/>
          <w:sz w:val="20"/>
          <w:szCs w:val="20"/>
          <w:lang w:val="sr-Cyrl-RS"/>
        </w:rPr>
        <w:t xml:space="preserve">други </w:t>
      </w:r>
      <w:r w:rsidRPr="00A021B7">
        <w:rPr>
          <w:rFonts w:ascii="Arial" w:hAnsi="Arial" w:cs="Arial"/>
          <w:sz w:val="20"/>
          <w:szCs w:val="20"/>
          <w:lang w:val="sr-Cyrl-RS"/>
        </w:rPr>
        <w:t>капацитет</w:t>
      </w:r>
      <w:r w:rsidR="00132EFA" w:rsidRPr="00A021B7">
        <w:rPr>
          <w:rFonts w:ascii="Arial" w:hAnsi="Arial" w:cs="Arial"/>
          <w:sz w:val="20"/>
          <w:szCs w:val="20"/>
          <w:lang w:val="sr-Cyrl-RS"/>
        </w:rPr>
        <w:t>и у ЈЛС</w:t>
      </w:r>
      <w:r w:rsidRPr="00A021B7">
        <w:rPr>
          <w:rFonts w:ascii="Arial" w:hAnsi="Arial" w:cs="Arial"/>
          <w:sz w:val="20"/>
          <w:szCs w:val="20"/>
          <w:lang w:val="sr-Cyrl-RS"/>
        </w:rPr>
        <w:t xml:space="preserve"> за њ</w:t>
      </w:r>
      <w:r w:rsidR="00A40A86">
        <w:rPr>
          <w:rFonts w:ascii="Arial" w:hAnsi="Arial" w:cs="Arial"/>
          <w:sz w:val="20"/>
          <w:szCs w:val="20"/>
          <w:lang w:val="sr-Cyrl-RS"/>
        </w:rPr>
        <w:t>их</w:t>
      </w:r>
      <w:r w:rsidRPr="00A021B7">
        <w:rPr>
          <w:rFonts w:ascii="Arial" w:hAnsi="Arial" w:cs="Arial"/>
          <w:sz w:val="20"/>
          <w:szCs w:val="20"/>
          <w:lang w:val="sr-Cyrl-RS"/>
        </w:rPr>
        <w:t xml:space="preserve">ово спровођење. Нема ни законске обавезе </w:t>
      </w:r>
      <w:r w:rsidR="5EE9743C" w:rsidRPr="00A021B7">
        <w:rPr>
          <w:rFonts w:ascii="Arial" w:hAnsi="Arial" w:cs="Arial"/>
          <w:sz w:val="20"/>
          <w:szCs w:val="20"/>
          <w:lang w:val="sr-Cyrl-RS"/>
        </w:rPr>
        <w:t xml:space="preserve">да </w:t>
      </w:r>
      <w:r w:rsidRPr="00A021B7">
        <w:rPr>
          <w:rFonts w:ascii="Arial" w:hAnsi="Arial" w:cs="Arial"/>
          <w:sz w:val="20"/>
          <w:szCs w:val="20"/>
          <w:lang w:val="sr-Cyrl-RS"/>
        </w:rPr>
        <w:t>ЈЛС доносе програме</w:t>
      </w:r>
      <w:r w:rsidRPr="00A021B7" w:rsidDel="008F2407">
        <w:rPr>
          <w:rFonts w:ascii="Arial" w:hAnsi="Arial" w:cs="Arial"/>
          <w:sz w:val="20"/>
          <w:szCs w:val="20"/>
          <w:lang w:val="sr-Cyrl-RS"/>
        </w:rPr>
        <w:t xml:space="preserve"> </w:t>
      </w:r>
      <w:r w:rsidR="5EE9743C" w:rsidRPr="00A021B7">
        <w:rPr>
          <w:rFonts w:ascii="Arial" w:hAnsi="Arial" w:cs="Arial"/>
          <w:sz w:val="20"/>
          <w:szCs w:val="20"/>
          <w:lang w:val="sr-Cyrl-RS"/>
        </w:rPr>
        <w:t xml:space="preserve">обуке </w:t>
      </w:r>
      <w:r w:rsidRPr="00A021B7">
        <w:rPr>
          <w:rFonts w:ascii="Arial" w:hAnsi="Arial" w:cs="Arial"/>
          <w:sz w:val="20"/>
          <w:szCs w:val="20"/>
          <w:lang w:val="sr-Cyrl-RS"/>
        </w:rPr>
        <w:t>из своје надлежности</w:t>
      </w:r>
      <w:r w:rsidR="5EE9743C" w:rsidRPr="00A021B7">
        <w:rPr>
          <w:rFonts w:ascii="Arial" w:hAnsi="Arial" w:cs="Arial"/>
          <w:sz w:val="20"/>
          <w:szCs w:val="20"/>
          <w:lang w:val="sr-Cyrl-RS"/>
        </w:rPr>
        <w:t>,</w:t>
      </w:r>
      <w:r w:rsidR="7B0175F2" w:rsidRPr="00A021B7">
        <w:rPr>
          <w:rFonts w:ascii="Arial" w:hAnsi="Arial" w:cs="Arial"/>
          <w:sz w:val="20"/>
          <w:szCs w:val="20"/>
          <w:lang w:val="sr-Cyrl-RS"/>
        </w:rPr>
        <w:t xml:space="preserve"> нити да спроводе </w:t>
      </w:r>
      <w:r w:rsidR="0B8DFC74" w:rsidRPr="00A021B7">
        <w:rPr>
          <w:rFonts w:ascii="Arial" w:hAnsi="Arial" w:cs="Arial"/>
          <w:sz w:val="20"/>
          <w:szCs w:val="20"/>
          <w:lang w:val="sr-Cyrl-RS"/>
        </w:rPr>
        <w:t>програме стручног усавршавања</w:t>
      </w:r>
      <w:r w:rsidR="7B0175F2" w:rsidRPr="00A021B7">
        <w:rPr>
          <w:rFonts w:ascii="Arial" w:hAnsi="Arial" w:cs="Arial"/>
          <w:sz w:val="20"/>
          <w:szCs w:val="20"/>
          <w:lang w:val="sr-Cyrl-RS"/>
        </w:rPr>
        <w:t xml:space="preserve"> из Општег програма </w:t>
      </w:r>
      <w:r w:rsidR="57AAEFC6" w:rsidRPr="00A021B7">
        <w:rPr>
          <w:rFonts w:ascii="Arial" w:hAnsi="Arial" w:cs="Arial"/>
          <w:sz w:val="20"/>
          <w:szCs w:val="20"/>
          <w:lang w:val="sr-Cyrl-RS"/>
        </w:rPr>
        <w:t>обуке запослених у ЈЛС</w:t>
      </w:r>
      <w:r w:rsidR="7B0175F2" w:rsidRPr="00A021B7">
        <w:rPr>
          <w:rFonts w:ascii="Arial" w:hAnsi="Arial" w:cs="Arial"/>
          <w:sz w:val="20"/>
          <w:szCs w:val="20"/>
          <w:lang w:val="sr-Cyrl-RS"/>
        </w:rPr>
        <w:t>,</w:t>
      </w:r>
      <w:r w:rsidRPr="00A021B7">
        <w:rPr>
          <w:rFonts w:ascii="Arial" w:hAnsi="Arial" w:cs="Arial"/>
          <w:sz w:val="20"/>
          <w:szCs w:val="20"/>
          <w:lang w:val="sr-Cyrl-RS"/>
        </w:rPr>
        <w:t xml:space="preserve"> што</w:t>
      </w:r>
      <w:r w:rsidR="00E32764">
        <w:rPr>
          <w:rFonts w:ascii="Arial" w:hAnsi="Arial" w:cs="Arial"/>
          <w:sz w:val="20"/>
          <w:szCs w:val="20"/>
          <w:lang w:val="sr-Cyrl-RS"/>
        </w:rPr>
        <w:t>,</w:t>
      </w:r>
      <w:r w:rsidRPr="00A021B7">
        <w:rPr>
          <w:rFonts w:ascii="Arial" w:hAnsi="Arial" w:cs="Arial"/>
          <w:sz w:val="20"/>
          <w:szCs w:val="20"/>
          <w:lang w:val="sr-Cyrl-RS"/>
        </w:rPr>
        <w:t xml:space="preserve"> у комбинацији са још увек недовољно развијеном заинтересованошћу </w:t>
      </w:r>
      <w:r w:rsidR="00E32764">
        <w:rPr>
          <w:rFonts w:ascii="Arial" w:hAnsi="Arial" w:cs="Arial"/>
          <w:sz w:val="20"/>
          <w:szCs w:val="20"/>
          <w:lang w:val="sr-Cyrl-RS"/>
        </w:rPr>
        <w:t>доносилаца одлука</w:t>
      </w:r>
      <w:r w:rsidR="00E32764" w:rsidRPr="00A021B7">
        <w:rPr>
          <w:rFonts w:ascii="Arial" w:hAnsi="Arial" w:cs="Arial"/>
          <w:sz w:val="20"/>
          <w:szCs w:val="20"/>
          <w:lang w:val="sr-Cyrl-RS"/>
        </w:rPr>
        <w:t xml:space="preserve"> </w:t>
      </w:r>
      <w:r w:rsidRPr="00A021B7">
        <w:rPr>
          <w:rFonts w:ascii="Arial" w:hAnsi="Arial" w:cs="Arial"/>
          <w:sz w:val="20"/>
          <w:szCs w:val="20"/>
          <w:lang w:val="sr-Cyrl-RS"/>
        </w:rPr>
        <w:t xml:space="preserve">за </w:t>
      </w:r>
      <w:r w:rsidR="5049F380" w:rsidRPr="00A021B7">
        <w:rPr>
          <w:rFonts w:ascii="Arial" w:hAnsi="Arial" w:cs="Arial"/>
          <w:sz w:val="20"/>
          <w:szCs w:val="20"/>
          <w:lang w:val="sr-Cyrl-RS"/>
        </w:rPr>
        <w:t xml:space="preserve">организовање и </w:t>
      </w:r>
      <w:r w:rsidRPr="00A021B7">
        <w:rPr>
          <w:rFonts w:ascii="Arial" w:hAnsi="Arial" w:cs="Arial"/>
          <w:sz w:val="20"/>
          <w:szCs w:val="20"/>
          <w:lang w:val="sr-Cyrl-RS"/>
        </w:rPr>
        <w:t xml:space="preserve">финансирање стручног усавршавања, </w:t>
      </w:r>
      <w:r w:rsidR="00E32764">
        <w:rPr>
          <w:rFonts w:ascii="Arial" w:hAnsi="Arial" w:cs="Arial"/>
          <w:sz w:val="20"/>
          <w:szCs w:val="20"/>
          <w:lang w:val="sr-Cyrl-RS"/>
        </w:rPr>
        <w:t>као</w:t>
      </w:r>
      <w:r w:rsidR="00E32764" w:rsidRPr="00A021B7">
        <w:rPr>
          <w:rFonts w:ascii="Arial" w:hAnsi="Arial" w:cs="Arial"/>
          <w:sz w:val="20"/>
          <w:szCs w:val="20"/>
          <w:lang w:val="sr-Cyrl-RS"/>
        </w:rPr>
        <w:t xml:space="preserve"> </w:t>
      </w:r>
      <w:r w:rsidRPr="00A021B7">
        <w:rPr>
          <w:rFonts w:ascii="Arial" w:hAnsi="Arial" w:cs="Arial"/>
          <w:sz w:val="20"/>
          <w:szCs w:val="20"/>
          <w:lang w:val="sr-Cyrl-RS"/>
        </w:rPr>
        <w:t xml:space="preserve">последицу има малу заинтересованост једног броја </w:t>
      </w:r>
      <w:r w:rsidR="02D2CBD3" w:rsidRPr="00A021B7">
        <w:rPr>
          <w:rFonts w:ascii="Arial" w:hAnsi="Arial" w:cs="Arial"/>
          <w:sz w:val="20"/>
          <w:szCs w:val="20"/>
          <w:lang w:val="sr-Cyrl-RS"/>
        </w:rPr>
        <w:t>Ј</w:t>
      </w:r>
      <w:r w:rsidRPr="00A021B7">
        <w:rPr>
          <w:rFonts w:ascii="Arial" w:hAnsi="Arial" w:cs="Arial"/>
          <w:sz w:val="20"/>
          <w:szCs w:val="20"/>
          <w:lang w:val="sr-Cyrl-RS"/>
        </w:rPr>
        <w:t xml:space="preserve">ЛС да планирају </w:t>
      </w:r>
      <w:r w:rsidR="683BB29C" w:rsidRPr="00A021B7">
        <w:rPr>
          <w:rFonts w:ascii="Arial" w:hAnsi="Arial" w:cs="Arial"/>
          <w:sz w:val="20"/>
          <w:szCs w:val="20"/>
          <w:lang w:val="sr-Cyrl-RS"/>
        </w:rPr>
        <w:t xml:space="preserve">обуку коју </w:t>
      </w:r>
      <w:r w:rsidRPr="00A021B7">
        <w:rPr>
          <w:rFonts w:ascii="Arial" w:hAnsi="Arial" w:cs="Arial"/>
          <w:sz w:val="20"/>
          <w:szCs w:val="20"/>
          <w:lang w:val="sr-Cyrl-RS"/>
        </w:rPr>
        <w:t xml:space="preserve">ће организовати и финансирати. </w:t>
      </w:r>
      <w:r w:rsidR="239D95E5" w:rsidRPr="00A021B7">
        <w:rPr>
          <w:rFonts w:ascii="Arial" w:hAnsi="Arial" w:cs="Arial"/>
          <w:sz w:val="20"/>
          <w:szCs w:val="20"/>
          <w:lang w:val="sr-Cyrl-RS"/>
        </w:rPr>
        <w:t xml:space="preserve">У пракси </w:t>
      </w:r>
      <w:r w:rsidR="683BB29C" w:rsidRPr="00A021B7">
        <w:rPr>
          <w:rFonts w:ascii="Arial" w:hAnsi="Arial" w:cs="Arial"/>
          <w:sz w:val="20"/>
          <w:szCs w:val="20"/>
          <w:lang w:val="sr-Cyrl-RS"/>
        </w:rPr>
        <w:t xml:space="preserve">се </w:t>
      </w:r>
      <w:r w:rsidR="0209331F" w:rsidRPr="00A021B7">
        <w:rPr>
          <w:rFonts w:ascii="Arial" w:hAnsi="Arial" w:cs="Arial"/>
          <w:sz w:val="20"/>
          <w:szCs w:val="20"/>
          <w:lang w:val="sr-Cyrl-RS"/>
        </w:rPr>
        <w:t>н</w:t>
      </w:r>
      <w:r w:rsidR="1BFF60EE" w:rsidRPr="00A021B7">
        <w:rPr>
          <w:rFonts w:ascii="Arial" w:hAnsi="Arial" w:cs="Arial"/>
          <w:sz w:val="20"/>
          <w:szCs w:val="20"/>
          <w:lang w:val="sr-Cyrl-RS"/>
        </w:rPr>
        <w:t>е спроводе све потребне фаз</w:t>
      </w:r>
      <w:r w:rsidR="138411CE" w:rsidRPr="00A021B7">
        <w:rPr>
          <w:rFonts w:ascii="Arial" w:hAnsi="Arial" w:cs="Arial"/>
          <w:sz w:val="20"/>
          <w:szCs w:val="20"/>
          <w:lang w:val="sr-Cyrl-RS"/>
        </w:rPr>
        <w:t>е</w:t>
      </w:r>
      <w:r w:rsidR="3551DE05" w:rsidRPr="00A021B7">
        <w:rPr>
          <w:rFonts w:ascii="Arial" w:hAnsi="Arial" w:cs="Arial"/>
          <w:sz w:val="20"/>
          <w:szCs w:val="20"/>
          <w:lang w:val="sr-Cyrl-RS"/>
        </w:rPr>
        <w:t xml:space="preserve"> (нпр. процес утврђивања потреба за стручним усавршавањем као полазна тачка)</w:t>
      </w:r>
      <w:r w:rsidR="683BB29C" w:rsidRPr="00A021B7">
        <w:rPr>
          <w:rFonts w:ascii="Arial" w:hAnsi="Arial" w:cs="Arial"/>
          <w:sz w:val="20"/>
          <w:szCs w:val="20"/>
          <w:lang w:val="sr-Cyrl-RS"/>
        </w:rPr>
        <w:t>,</w:t>
      </w:r>
      <w:r w:rsidR="0209331F" w:rsidRPr="00A021B7">
        <w:rPr>
          <w:rFonts w:ascii="Arial" w:hAnsi="Arial" w:cs="Arial"/>
          <w:sz w:val="20"/>
          <w:szCs w:val="20"/>
          <w:lang w:val="sr-Cyrl-RS"/>
        </w:rPr>
        <w:t xml:space="preserve"> што </w:t>
      </w:r>
      <w:r w:rsidR="00E32764" w:rsidRPr="00A021B7">
        <w:rPr>
          <w:rFonts w:ascii="Arial" w:hAnsi="Arial" w:cs="Arial"/>
          <w:sz w:val="20"/>
          <w:szCs w:val="20"/>
          <w:lang w:val="sr-Cyrl-RS"/>
        </w:rPr>
        <w:t>зна</w:t>
      </w:r>
      <w:r w:rsidR="00E32764">
        <w:rPr>
          <w:rFonts w:ascii="Arial" w:hAnsi="Arial" w:cs="Arial"/>
          <w:sz w:val="20"/>
          <w:szCs w:val="20"/>
          <w:lang w:val="sr-Cyrl-RS"/>
        </w:rPr>
        <w:t>т</w:t>
      </w:r>
      <w:r w:rsidR="00E32764" w:rsidRPr="00A021B7">
        <w:rPr>
          <w:rFonts w:ascii="Arial" w:hAnsi="Arial" w:cs="Arial"/>
          <w:sz w:val="20"/>
          <w:szCs w:val="20"/>
          <w:lang w:val="sr-Cyrl-RS"/>
        </w:rPr>
        <w:t xml:space="preserve">но </w:t>
      </w:r>
      <w:r w:rsidR="30BEB258" w:rsidRPr="00A021B7">
        <w:rPr>
          <w:rFonts w:ascii="Arial" w:hAnsi="Arial" w:cs="Arial"/>
          <w:sz w:val="20"/>
          <w:szCs w:val="20"/>
          <w:lang w:val="sr-Cyrl-RS"/>
        </w:rPr>
        <w:t xml:space="preserve">отежава </w:t>
      </w:r>
      <w:r w:rsidR="351573BF" w:rsidRPr="00A021B7">
        <w:rPr>
          <w:rFonts w:ascii="Arial" w:hAnsi="Arial" w:cs="Arial"/>
          <w:sz w:val="20"/>
          <w:szCs w:val="20"/>
          <w:lang w:val="sr-Cyrl-RS"/>
        </w:rPr>
        <w:t xml:space="preserve">адекватну </w:t>
      </w:r>
      <w:r w:rsidR="65816FED" w:rsidRPr="00A021B7">
        <w:rPr>
          <w:rFonts w:ascii="Arial" w:hAnsi="Arial" w:cs="Arial"/>
          <w:sz w:val="20"/>
          <w:szCs w:val="20"/>
          <w:lang w:val="sr-Cyrl-RS"/>
        </w:rPr>
        <w:t xml:space="preserve">примену </w:t>
      </w:r>
      <w:r w:rsidR="351573BF" w:rsidRPr="00A021B7">
        <w:rPr>
          <w:rFonts w:ascii="Arial" w:hAnsi="Arial" w:cs="Arial"/>
          <w:sz w:val="20"/>
          <w:szCs w:val="20"/>
          <w:lang w:val="sr-Cyrl-RS"/>
        </w:rPr>
        <w:t>целог процеса стручног усавршавања</w:t>
      </w:r>
      <w:r w:rsidR="4B03C2FC" w:rsidRPr="00A021B7">
        <w:rPr>
          <w:rFonts w:ascii="Arial" w:hAnsi="Arial" w:cs="Arial"/>
          <w:sz w:val="20"/>
          <w:szCs w:val="20"/>
          <w:lang w:val="sr-Cyrl-RS"/>
        </w:rPr>
        <w:t xml:space="preserve">. </w:t>
      </w:r>
      <w:r w:rsidR="34512755" w:rsidRPr="00A021B7">
        <w:rPr>
          <w:rFonts w:ascii="Arial" w:hAnsi="Arial" w:cs="Arial"/>
          <w:sz w:val="20"/>
          <w:szCs w:val="20"/>
          <w:lang w:val="sr-Cyrl-RS"/>
        </w:rPr>
        <w:t xml:space="preserve">У појединим случајевима анализе које </w:t>
      </w:r>
      <w:r w:rsidR="463E68F0" w:rsidRPr="00A021B7">
        <w:rPr>
          <w:rFonts w:ascii="Arial" w:hAnsi="Arial" w:cs="Arial"/>
          <w:sz w:val="20"/>
          <w:szCs w:val="20"/>
          <w:lang w:val="sr-Cyrl-RS"/>
        </w:rPr>
        <w:t>су рађен</w:t>
      </w:r>
      <w:r w:rsidR="06C5355E" w:rsidRPr="00A021B7">
        <w:rPr>
          <w:rFonts w:ascii="Arial" w:hAnsi="Arial" w:cs="Arial"/>
          <w:sz w:val="20"/>
          <w:szCs w:val="20"/>
          <w:lang w:val="sr-Cyrl-RS"/>
        </w:rPr>
        <w:t>е</w:t>
      </w:r>
      <w:r w:rsidR="463E68F0" w:rsidRPr="00A021B7">
        <w:rPr>
          <w:rFonts w:ascii="Arial" w:hAnsi="Arial" w:cs="Arial"/>
          <w:sz w:val="20"/>
          <w:szCs w:val="20"/>
          <w:lang w:val="sr-Cyrl-RS"/>
        </w:rPr>
        <w:t xml:space="preserve"> у </w:t>
      </w:r>
      <w:r w:rsidR="34512755" w:rsidRPr="00A021B7">
        <w:rPr>
          <w:rFonts w:ascii="Arial" w:hAnsi="Arial" w:cs="Arial"/>
          <w:sz w:val="20"/>
          <w:szCs w:val="20"/>
          <w:lang w:val="sr-Cyrl-RS"/>
        </w:rPr>
        <w:t>ЈЛС</w:t>
      </w:r>
      <w:r w:rsidR="463E68F0" w:rsidRPr="00A021B7">
        <w:rPr>
          <w:rFonts w:ascii="Arial" w:hAnsi="Arial" w:cs="Arial"/>
          <w:sz w:val="20"/>
          <w:szCs w:val="20"/>
          <w:lang w:val="sr-Cyrl-RS"/>
        </w:rPr>
        <w:t>,</w:t>
      </w:r>
      <w:r w:rsidR="34512755" w:rsidRPr="00A021B7">
        <w:rPr>
          <w:rFonts w:ascii="Arial" w:hAnsi="Arial" w:cs="Arial"/>
          <w:sz w:val="20"/>
          <w:szCs w:val="20"/>
          <w:lang w:val="sr-Cyrl-RS"/>
        </w:rPr>
        <w:t xml:space="preserve"> утврдиле су </w:t>
      </w:r>
      <w:r w:rsidR="30BEB258" w:rsidRPr="00A021B7">
        <w:rPr>
          <w:rFonts w:ascii="Arial" w:hAnsi="Arial" w:cs="Arial"/>
          <w:sz w:val="20"/>
          <w:szCs w:val="20"/>
          <w:lang w:val="sr-Cyrl-RS"/>
        </w:rPr>
        <w:t xml:space="preserve">и </w:t>
      </w:r>
      <w:r w:rsidR="34512755" w:rsidRPr="00A021B7">
        <w:rPr>
          <w:rFonts w:ascii="Arial" w:hAnsi="Arial" w:cs="Arial"/>
          <w:sz w:val="20"/>
          <w:szCs w:val="20"/>
          <w:lang w:val="sr-Cyrl-RS"/>
        </w:rPr>
        <w:t>да не постоји потреба за</w:t>
      </w:r>
      <w:r w:rsidR="34512755" w:rsidRPr="00A021B7" w:rsidDel="005B2D75">
        <w:rPr>
          <w:rFonts w:ascii="Arial" w:hAnsi="Arial" w:cs="Arial"/>
          <w:sz w:val="20"/>
          <w:szCs w:val="20"/>
          <w:lang w:val="sr-Cyrl-RS"/>
        </w:rPr>
        <w:t xml:space="preserve"> </w:t>
      </w:r>
      <w:r w:rsidR="6E7D3F28" w:rsidRPr="00A021B7">
        <w:rPr>
          <w:rFonts w:ascii="Arial" w:hAnsi="Arial" w:cs="Arial"/>
          <w:sz w:val="20"/>
          <w:szCs w:val="20"/>
          <w:lang w:val="sr-Cyrl-RS"/>
        </w:rPr>
        <w:t>додатном обуком</w:t>
      </w:r>
      <w:r w:rsidR="463E68F0" w:rsidRPr="00A021B7">
        <w:rPr>
          <w:rFonts w:ascii="Arial" w:hAnsi="Arial" w:cs="Arial"/>
          <w:sz w:val="20"/>
          <w:szCs w:val="20"/>
          <w:lang w:val="sr-Cyrl-RS"/>
        </w:rPr>
        <w:t>.</w:t>
      </w:r>
      <w:r w:rsidR="009F5D4A" w:rsidRPr="00A021B7">
        <w:rPr>
          <w:rStyle w:val="FootnoteReference"/>
          <w:rFonts w:ascii="Arial" w:hAnsi="Arial" w:cs="Arial"/>
          <w:sz w:val="20"/>
          <w:szCs w:val="20"/>
          <w:lang w:val="sr-Cyrl-RS"/>
        </w:rPr>
        <w:footnoteReference w:id="100"/>
      </w:r>
      <w:r w:rsidR="463E68F0" w:rsidRPr="00A021B7">
        <w:rPr>
          <w:rFonts w:ascii="Arial" w:hAnsi="Arial" w:cs="Arial"/>
          <w:sz w:val="20"/>
          <w:szCs w:val="20"/>
          <w:lang w:val="sr-Cyrl-RS"/>
        </w:rPr>
        <w:t xml:space="preserve"> </w:t>
      </w:r>
      <w:r w:rsidR="1BB0F3DD" w:rsidRPr="00A021B7">
        <w:rPr>
          <w:rFonts w:ascii="Arial" w:hAnsi="Arial" w:cs="Arial"/>
          <w:sz w:val="20"/>
          <w:szCs w:val="20"/>
          <w:lang w:val="sr-Cyrl-RS"/>
        </w:rPr>
        <w:t xml:space="preserve">Коначно, већ поменути изазови у целом систему </w:t>
      </w:r>
      <w:r w:rsidR="6E7D3F28" w:rsidRPr="00A021B7">
        <w:rPr>
          <w:rFonts w:ascii="Arial" w:hAnsi="Arial" w:cs="Arial"/>
          <w:sz w:val="20"/>
          <w:szCs w:val="20"/>
          <w:lang w:val="sr-Cyrl-RS"/>
        </w:rPr>
        <w:t>УЉР</w:t>
      </w:r>
      <w:r w:rsidR="1BB0F3DD" w:rsidRPr="00A021B7">
        <w:rPr>
          <w:rFonts w:ascii="Arial" w:hAnsi="Arial" w:cs="Arial"/>
          <w:sz w:val="20"/>
          <w:szCs w:val="20"/>
          <w:lang w:val="sr-Cyrl-RS"/>
        </w:rPr>
        <w:t>, односно</w:t>
      </w:r>
      <w:r w:rsidR="359BBF9F" w:rsidRPr="00A021B7">
        <w:rPr>
          <w:rFonts w:ascii="Arial" w:hAnsi="Arial" w:cs="Arial"/>
          <w:sz w:val="20"/>
          <w:szCs w:val="20"/>
          <w:lang w:val="sr-Cyrl-RS"/>
        </w:rPr>
        <w:t xml:space="preserve"> једна врста </w:t>
      </w:r>
      <w:r w:rsidR="6E7D3F28" w:rsidRPr="00A021B7">
        <w:rPr>
          <w:rFonts w:ascii="Arial" w:hAnsi="Arial" w:cs="Arial"/>
          <w:sz w:val="20"/>
          <w:szCs w:val="20"/>
          <w:lang w:val="sr-Cyrl-RS"/>
        </w:rPr>
        <w:t>„</w:t>
      </w:r>
      <w:r w:rsidR="359BBF9F" w:rsidRPr="00A021B7">
        <w:rPr>
          <w:rFonts w:ascii="Arial" w:hAnsi="Arial" w:cs="Arial"/>
          <w:sz w:val="20"/>
          <w:szCs w:val="20"/>
          <w:lang w:val="sr-Cyrl-RS"/>
        </w:rPr>
        <w:t xml:space="preserve">замрзнутог </w:t>
      </w:r>
      <w:r w:rsidR="359BBF9F" w:rsidRPr="00A021B7">
        <w:rPr>
          <w:rFonts w:ascii="Arial" w:hAnsi="Arial" w:cs="Arial"/>
          <w:sz w:val="20"/>
          <w:szCs w:val="20"/>
          <w:lang w:val="sr-Cyrl-RS"/>
        </w:rPr>
        <w:lastRenderedPageBreak/>
        <w:t>стања”</w:t>
      </w:r>
      <w:r w:rsidR="6E7D3F28" w:rsidRPr="00A021B7">
        <w:rPr>
          <w:rFonts w:ascii="Arial" w:hAnsi="Arial" w:cs="Arial"/>
          <w:sz w:val="20"/>
          <w:szCs w:val="20"/>
          <w:lang w:val="sr-Cyrl-RS"/>
        </w:rPr>
        <w:t>,</w:t>
      </w:r>
      <w:r w:rsidR="359BBF9F" w:rsidRPr="00A021B7">
        <w:rPr>
          <w:rFonts w:ascii="Arial" w:hAnsi="Arial" w:cs="Arial"/>
          <w:sz w:val="20"/>
          <w:szCs w:val="20"/>
          <w:lang w:val="sr-Cyrl-RS"/>
        </w:rPr>
        <w:t xml:space="preserve"> т</w:t>
      </w:r>
      <w:r w:rsidR="00E32764">
        <w:rPr>
          <w:rFonts w:ascii="Arial" w:hAnsi="Arial" w:cs="Arial"/>
          <w:sz w:val="20"/>
          <w:szCs w:val="20"/>
          <w:lang w:val="sr-Cyrl-RS"/>
        </w:rPr>
        <w:t>ј.</w:t>
      </w:r>
      <w:r w:rsidR="1BB0F3DD" w:rsidRPr="00A021B7">
        <w:rPr>
          <w:rFonts w:ascii="Arial" w:hAnsi="Arial" w:cs="Arial"/>
          <w:sz w:val="20"/>
          <w:szCs w:val="20"/>
          <w:lang w:val="sr-Cyrl-RS"/>
        </w:rPr>
        <w:t xml:space="preserve"> </w:t>
      </w:r>
      <w:r w:rsidR="3F552E7F" w:rsidRPr="00A021B7">
        <w:rPr>
          <w:rFonts w:ascii="Arial" w:hAnsi="Arial" w:cs="Arial"/>
          <w:sz w:val="20"/>
          <w:szCs w:val="20"/>
          <w:lang w:val="sr-Cyrl-RS"/>
        </w:rPr>
        <w:t>ограничена</w:t>
      </w:r>
      <w:r w:rsidR="1BB0F3DD" w:rsidRPr="00A021B7">
        <w:rPr>
          <w:rFonts w:ascii="Arial" w:hAnsi="Arial" w:cs="Arial"/>
          <w:sz w:val="20"/>
          <w:szCs w:val="20"/>
          <w:lang w:val="sr-Cyrl-RS"/>
        </w:rPr>
        <w:t xml:space="preserve"> могућност </w:t>
      </w:r>
      <w:r w:rsidR="7DB7A3AB" w:rsidRPr="00A021B7">
        <w:rPr>
          <w:rFonts w:ascii="Arial" w:hAnsi="Arial" w:cs="Arial"/>
          <w:sz w:val="20"/>
          <w:szCs w:val="20"/>
          <w:lang w:val="sr-Cyrl-RS"/>
        </w:rPr>
        <w:t xml:space="preserve">да </w:t>
      </w:r>
      <w:r w:rsidR="44345123" w:rsidRPr="00A021B7">
        <w:rPr>
          <w:rFonts w:ascii="Arial" w:hAnsi="Arial" w:cs="Arial"/>
          <w:sz w:val="20"/>
          <w:szCs w:val="20"/>
          <w:lang w:val="sr-Cyrl-RS"/>
        </w:rPr>
        <w:t xml:space="preserve">стручно усавршавање </w:t>
      </w:r>
      <w:r w:rsidR="108D8C17" w:rsidRPr="00A021B7">
        <w:rPr>
          <w:rFonts w:ascii="Arial" w:hAnsi="Arial" w:cs="Arial"/>
          <w:sz w:val="20"/>
          <w:szCs w:val="20"/>
          <w:lang w:val="sr-Cyrl-RS"/>
        </w:rPr>
        <w:t>и развијање вештина</w:t>
      </w:r>
      <w:r w:rsidR="00E32764">
        <w:rPr>
          <w:rFonts w:ascii="Arial" w:hAnsi="Arial" w:cs="Arial"/>
          <w:sz w:val="20"/>
          <w:szCs w:val="20"/>
          <w:lang w:val="sr-Cyrl-RS"/>
        </w:rPr>
        <w:t xml:space="preserve"> као</w:t>
      </w:r>
      <w:r w:rsidR="108D8C17" w:rsidRPr="00A021B7">
        <w:rPr>
          <w:rFonts w:ascii="Arial" w:hAnsi="Arial" w:cs="Arial"/>
          <w:sz w:val="20"/>
          <w:szCs w:val="20"/>
          <w:lang w:val="sr-Cyrl-RS"/>
        </w:rPr>
        <w:t xml:space="preserve"> последицу</w:t>
      </w:r>
      <w:r w:rsidR="00E32764">
        <w:rPr>
          <w:rFonts w:ascii="Arial" w:hAnsi="Arial" w:cs="Arial"/>
          <w:sz w:val="20"/>
          <w:szCs w:val="20"/>
          <w:lang w:val="sr-Cyrl-RS"/>
        </w:rPr>
        <w:t xml:space="preserve"> има</w:t>
      </w:r>
      <w:r w:rsidR="108D8C17" w:rsidRPr="00A021B7">
        <w:rPr>
          <w:rFonts w:ascii="Arial" w:hAnsi="Arial" w:cs="Arial"/>
          <w:sz w:val="20"/>
          <w:szCs w:val="20"/>
          <w:lang w:val="sr-Cyrl-RS"/>
        </w:rPr>
        <w:t xml:space="preserve"> напредовање, награђивање и</w:t>
      </w:r>
      <w:r w:rsidR="00E32764">
        <w:rPr>
          <w:rFonts w:ascii="Arial" w:hAnsi="Arial" w:cs="Arial"/>
          <w:sz w:val="20"/>
          <w:szCs w:val="20"/>
          <w:lang w:val="sr-Cyrl-RS"/>
        </w:rPr>
        <w:t>,</w:t>
      </w:r>
      <w:r w:rsidR="108D8C17" w:rsidRPr="00A021B7">
        <w:rPr>
          <w:rFonts w:ascii="Arial" w:hAnsi="Arial" w:cs="Arial"/>
          <w:sz w:val="20"/>
          <w:szCs w:val="20"/>
          <w:lang w:val="sr-Cyrl-RS"/>
        </w:rPr>
        <w:t xml:space="preserve"> посебно</w:t>
      </w:r>
      <w:r w:rsidR="00E32764">
        <w:rPr>
          <w:rFonts w:ascii="Arial" w:hAnsi="Arial" w:cs="Arial"/>
          <w:sz w:val="20"/>
          <w:szCs w:val="20"/>
          <w:lang w:val="sr-Cyrl-RS"/>
        </w:rPr>
        <w:t>,</w:t>
      </w:r>
      <w:r w:rsidR="108D8C17" w:rsidRPr="00A021B7">
        <w:rPr>
          <w:rFonts w:ascii="Arial" w:hAnsi="Arial" w:cs="Arial"/>
          <w:sz w:val="20"/>
          <w:szCs w:val="20"/>
          <w:lang w:val="sr-Cyrl-RS"/>
        </w:rPr>
        <w:t xml:space="preserve"> раст </w:t>
      </w:r>
      <w:r w:rsidR="359BBF9F" w:rsidRPr="00A021B7">
        <w:rPr>
          <w:rFonts w:ascii="Arial" w:hAnsi="Arial" w:cs="Arial"/>
          <w:sz w:val="20"/>
          <w:szCs w:val="20"/>
          <w:lang w:val="sr-Cyrl-RS"/>
        </w:rPr>
        <w:t>плате локалн</w:t>
      </w:r>
      <w:r w:rsidR="7EEC1702" w:rsidRPr="00A021B7">
        <w:rPr>
          <w:rFonts w:ascii="Arial" w:hAnsi="Arial" w:cs="Arial"/>
          <w:sz w:val="20"/>
          <w:szCs w:val="20"/>
          <w:lang w:val="sr-Cyrl-RS"/>
        </w:rPr>
        <w:t>их</w:t>
      </w:r>
      <w:r w:rsidR="359BBF9F" w:rsidRPr="00A021B7">
        <w:rPr>
          <w:rFonts w:ascii="Arial" w:hAnsi="Arial" w:cs="Arial"/>
          <w:sz w:val="20"/>
          <w:szCs w:val="20"/>
          <w:lang w:val="sr-Cyrl-RS"/>
        </w:rPr>
        <w:t xml:space="preserve"> службеника</w:t>
      </w:r>
      <w:r w:rsidR="00E32764">
        <w:rPr>
          <w:rFonts w:ascii="Arial" w:hAnsi="Arial" w:cs="Arial"/>
          <w:sz w:val="20"/>
          <w:szCs w:val="20"/>
          <w:lang w:val="sr-Cyrl-RS"/>
        </w:rPr>
        <w:t>,</w:t>
      </w:r>
      <w:r w:rsidR="4164A92A" w:rsidRPr="00A021B7">
        <w:rPr>
          <w:rFonts w:ascii="Arial" w:hAnsi="Arial" w:cs="Arial"/>
          <w:sz w:val="20"/>
          <w:szCs w:val="20"/>
          <w:lang w:val="sr-Cyrl-RS"/>
        </w:rPr>
        <w:t xml:space="preserve"> ј</w:t>
      </w:r>
      <w:r w:rsidR="7EEC1702" w:rsidRPr="00A021B7">
        <w:rPr>
          <w:rFonts w:ascii="Arial" w:hAnsi="Arial" w:cs="Arial"/>
          <w:sz w:val="20"/>
          <w:szCs w:val="20"/>
          <w:lang w:val="sr-Cyrl-RS"/>
        </w:rPr>
        <w:t>есу</w:t>
      </w:r>
      <w:r w:rsidR="4164A92A" w:rsidRPr="00A021B7">
        <w:rPr>
          <w:rFonts w:ascii="Arial" w:hAnsi="Arial" w:cs="Arial"/>
          <w:sz w:val="20"/>
          <w:szCs w:val="20"/>
          <w:lang w:val="sr-Cyrl-RS"/>
        </w:rPr>
        <w:t xml:space="preserve"> </w:t>
      </w:r>
      <w:r w:rsidR="7EEC1702" w:rsidRPr="00A021B7">
        <w:rPr>
          <w:rFonts w:ascii="Arial" w:hAnsi="Arial" w:cs="Arial"/>
          <w:sz w:val="20"/>
          <w:szCs w:val="20"/>
          <w:lang w:val="sr-Cyrl-RS"/>
        </w:rPr>
        <w:t>део</w:t>
      </w:r>
      <w:r w:rsidR="4164A92A" w:rsidRPr="00A021B7">
        <w:rPr>
          <w:rFonts w:ascii="Arial" w:hAnsi="Arial" w:cs="Arial"/>
          <w:sz w:val="20"/>
          <w:szCs w:val="20"/>
          <w:lang w:val="sr-Cyrl-RS"/>
        </w:rPr>
        <w:t xml:space="preserve"> главних изазова за даљи разво</w:t>
      </w:r>
      <w:r w:rsidR="1FD90AD9" w:rsidRPr="00A021B7">
        <w:rPr>
          <w:rFonts w:ascii="Arial" w:hAnsi="Arial" w:cs="Arial"/>
          <w:sz w:val="20"/>
          <w:szCs w:val="20"/>
          <w:lang w:val="sr-Cyrl-RS"/>
        </w:rPr>
        <w:t>ј стручног усавршавања запослених у ЈЛС</w:t>
      </w:r>
      <w:r w:rsidR="34512755" w:rsidRPr="00A021B7">
        <w:rPr>
          <w:rFonts w:ascii="Arial" w:hAnsi="Arial" w:cs="Arial"/>
          <w:sz w:val="20"/>
          <w:szCs w:val="20"/>
          <w:lang w:val="sr-Cyrl-RS"/>
        </w:rPr>
        <w:t>.</w:t>
      </w:r>
    </w:p>
    <w:p w14:paraId="2E373584" w14:textId="77777777" w:rsidR="0002744C" w:rsidRPr="00A021B7" w:rsidRDefault="0002744C" w:rsidP="1A8E6423">
      <w:pPr>
        <w:ind w:firstLine="720"/>
        <w:jc w:val="both"/>
        <w:rPr>
          <w:rFonts w:ascii="Arial" w:hAnsi="Arial" w:cs="Arial"/>
          <w:sz w:val="20"/>
          <w:szCs w:val="20"/>
          <w:lang w:val="sr-Cyrl-RS"/>
        </w:rPr>
      </w:pPr>
    </w:p>
    <w:p w14:paraId="170CC413" w14:textId="29DC18E9" w:rsidR="001C7C2E" w:rsidRPr="00A021B7" w:rsidRDefault="7BCA79E1"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У пракси, </w:t>
      </w:r>
      <w:r w:rsidR="5145412E" w:rsidRPr="00A021B7">
        <w:rPr>
          <w:rFonts w:ascii="Arial" w:hAnsi="Arial" w:cs="Arial"/>
          <w:sz w:val="20"/>
          <w:szCs w:val="20"/>
          <w:lang w:val="sr-Cyrl-RS"/>
        </w:rPr>
        <w:t>локалним службеницима не мањка прилике за обуку јер је градовима и општинама доступан широк дијапазон семинара или радионица које организују њихови партнери. У оквиру националног система стручног усавршавања локалних службеника, првенствено НАЈУ и СКГО</w:t>
      </w:r>
      <w:r w:rsidR="00E32764">
        <w:rPr>
          <w:rFonts w:ascii="Arial" w:hAnsi="Arial" w:cs="Arial"/>
          <w:sz w:val="20"/>
          <w:szCs w:val="20"/>
          <w:lang w:val="sr-Cyrl-RS"/>
        </w:rPr>
        <w:t>,</w:t>
      </w:r>
      <w:r w:rsidR="5145412E" w:rsidRPr="00A021B7">
        <w:rPr>
          <w:rFonts w:ascii="Arial" w:hAnsi="Arial" w:cs="Arial"/>
          <w:sz w:val="20"/>
          <w:szCs w:val="20"/>
          <w:lang w:val="sr-Cyrl-RS"/>
        </w:rPr>
        <w:t xml:space="preserve"> али и друге националне институције (нпр. МДУЛС) </w:t>
      </w:r>
      <w:r w:rsidR="00E32764">
        <w:rPr>
          <w:rFonts w:ascii="Arial" w:hAnsi="Arial" w:cs="Arial"/>
          <w:sz w:val="20"/>
          <w:szCs w:val="20"/>
          <w:lang w:val="sr-Cyrl-RS"/>
        </w:rPr>
        <w:t xml:space="preserve">организују обуке </w:t>
      </w:r>
      <w:r w:rsidR="5145412E" w:rsidRPr="00A021B7">
        <w:rPr>
          <w:rFonts w:ascii="Arial" w:hAnsi="Arial" w:cs="Arial"/>
          <w:sz w:val="20"/>
          <w:szCs w:val="20"/>
          <w:lang w:val="sr-Cyrl-RS"/>
        </w:rPr>
        <w:t xml:space="preserve">које локални службеници у великој мери и </w:t>
      </w:r>
      <w:r w:rsidR="3CB0444E" w:rsidRPr="00A021B7">
        <w:rPr>
          <w:rFonts w:ascii="Arial" w:hAnsi="Arial" w:cs="Arial"/>
          <w:sz w:val="20"/>
          <w:szCs w:val="20"/>
          <w:lang w:val="sr-Cyrl-RS"/>
        </w:rPr>
        <w:t>похађају</w:t>
      </w:r>
      <w:r w:rsidR="5145412E" w:rsidRPr="00A021B7">
        <w:rPr>
          <w:rFonts w:ascii="Arial" w:hAnsi="Arial" w:cs="Arial"/>
          <w:sz w:val="20"/>
          <w:szCs w:val="20"/>
          <w:lang w:val="sr-Cyrl-RS"/>
        </w:rPr>
        <w:t>.</w:t>
      </w:r>
      <w:r w:rsidR="001C7C2E" w:rsidRPr="00A021B7">
        <w:rPr>
          <w:rFonts w:ascii="Arial" w:hAnsi="Arial" w:cs="Arial"/>
          <w:sz w:val="20"/>
          <w:szCs w:val="20"/>
          <w:vertAlign w:val="superscript"/>
          <w:lang w:val="sr-Cyrl-RS"/>
        </w:rPr>
        <w:footnoteReference w:id="101"/>
      </w:r>
      <w:r w:rsidR="5145412E" w:rsidRPr="00A021B7">
        <w:rPr>
          <w:rFonts w:ascii="Arial" w:hAnsi="Arial" w:cs="Arial"/>
          <w:sz w:val="20"/>
          <w:szCs w:val="20"/>
          <w:lang w:val="sr-Cyrl-RS"/>
        </w:rPr>
        <w:t xml:space="preserve"> </w:t>
      </w:r>
      <w:r w:rsidR="04EA6946" w:rsidRPr="00A021B7">
        <w:rPr>
          <w:rFonts w:ascii="Arial" w:hAnsi="Arial" w:cs="Arial"/>
          <w:sz w:val="20"/>
          <w:szCs w:val="20"/>
          <w:lang w:val="sr-Cyrl-RS"/>
        </w:rPr>
        <w:t xml:space="preserve">Доступна им је и различита обука коју </w:t>
      </w:r>
      <w:r w:rsidR="5145412E" w:rsidRPr="00A021B7">
        <w:rPr>
          <w:rFonts w:ascii="Arial" w:hAnsi="Arial" w:cs="Arial"/>
          <w:sz w:val="20"/>
          <w:szCs w:val="20"/>
          <w:lang w:val="sr-Cyrl-RS"/>
        </w:rPr>
        <w:t xml:space="preserve">организују различити пројекти и програми развојних партнера или организације цивилног друштва. </w:t>
      </w:r>
      <w:r w:rsidR="3C2C40D4" w:rsidRPr="00A021B7">
        <w:rPr>
          <w:rFonts w:ascii="Arial" w:hAnsi="Arial" w:cs="Arial"/>
          <w:sz w:val="20"/>
          <w:szCs w:val="20"/>
          <w:lang w:val="sr-Cyrl-RS"/>
        </w:rPr>
        <w:t>З</w:t>
      </w:r>
      <w:r w:rsidR="5145412E" w:rsidRPr="00A021B7">
        <w:rPr>
          <w:rFonts w:ascii="Arial" w:hAnsi="Arial" w:cs="Arial"/>
          <w:sz w:val="20"/>
          <w:szCs w:val="20"/>
          <w:lang w:val="sr-Cyrl-RS"/>
        </w:rPr>
        <w:t xml:space="preserve">а локалне власти постоји и низ могућности да запослене упућују на </w:t>
      </w:r>
      <w:r w:rsidR="77444E5D" w:rsidRPr="00A021B7">
        <w:rPr>
          <w:rFonts w:ascii="Arial" w:hAnsi="Arial" w:cs="Arial"/>
          <w:sz w:val="20"/>
          <w:szCs w:val="20"/>
          <w:lang w:val="sr-Cyrl-RS"/>
        </w:rPr>
        <w:t xml:space="preserve">обуку коју </w:t>
      </w:r>
      <w:r w:rsidR="5145412E" w:rsidRPr="00A021B7">
        <w:rPr>
          <w:rFonts w:ascii="Arial" w:hAnsi="Arial" w:cs="Arial"/>
          <w:sz w:val="20"/>
          <w:szCs w:val="20"/>
          <w:lang w:val="sr-Cyrl-RS"/>
        </w:rPr>
        <w:t>комерцијално</w:t>
      </w:r>
      <w:r w:rsidR="5145412E" w:rsidRPr="00A021B7" w:rsidDel="00A84391">
        <w:rPr>
          <w:rFonts w:ascii="Arial" w:hAnsi="Arial" w:cs="Arial"/>
          <w:sz w:val="20"/>
          <w:szCs w:val="20"/>
          <w:lang w:val="sr-Cyrl-RS"/>
        </w:rPr>
        <w:t xml:space="preserve"> </w:t>
      </w:r>
      <w:r w:rsidR="5145412E" w:rsidRPr="00A021B7">
        <w:rPr>
          <w:rFonts w:ascii="Arial" w:hAnsi="Arial" w:cs="Arial"/>
          <w:sz w:val="20"/>
          <w:szCs w:val="20"/>
          <w:lang w:val="sr-Cyrl-RS"/>
        </w:rPr>
        <w:t>организује низ организација, агенција и других сличних делатника</w:t>
      </w:r>
      <w:r w:rsidR="1C0DC736" w:rsidRPr="00A021B7">
        <w:rPr>
          <w:rFonts w:ascii="Arial" w:hAnsi="Arial" w:cs="Arial"/>
          <w:sz w:val="20"/>
          <w:szCs w:val="20"/>
          <w:lang w:val="sr-Cyrl-RS"/>
        </w:rPr>
        <w:t>.</w:t>
      </w:r>
      <w:r w:rsidR="00A74C08" w:rsidRPr="00A021B7">
        <w:rPr>
          <w:rStyle w:val="FootnoteReference"/>
          <w:rFonts w:ascii="Arial" w:hAnsi="Arial" w:cs="Arial"/>
          <w:sz w:val="20"/>
          <w:szCs w:val="20"/>
          <w:lang w:val="sr-Cyrl-RS"/>
        </w:rPr>
        <w:footnoteReference w:id="102"/>
      </w:r>
      <w:r w:rsidR="2C7CB325" w:rsidRPr="00A021B7">
        <w:rPr>
          <w:rFonts w:ascii="Arial" w:hAnsi="Arial" w:cs="Arial"/>
          <w:sz w:val="20"/>
          <w:szCs w:val="20"/>
          <w:lang w:val="sr-Cyrl-RS"/>
        </w:rPr>
        <w:t xml:space="preserve"> </w:t>
      </w:r>
      <w:r w:rsidR="6F3749EB" w:rsidRPr="00A021B7">
        <w:rPr>
          <w:rFonts w:ascii="Arial" w:hAnsi="Arial" w:cs="Arial"/>
          <w:sz w:val="20"/>
          <w:szCs w:val="20"/>
          <w:lang w:val="sr-Cyrl-RS"/>
        </w:rPr>
        <w:t>Ч</w:t>
      </w:r>
      <w:r w:rsidR="5145412E" w:rsidRPr="00A021B7">
        <w:rPr>
          <w:rFonts w:ascii="Arial" w:hAnsi="Arial" w:cs="Arial"/>
          <w:sz w:val="20"/>
          <w:szCs w:val="20"/>
          <w:lang w:val="sr-Cyrl-RS"/>
        </w:rPr>
        <w:t xml:space="preserve">ињеница је да коришћењем </w:t>
      </w:r>
      <w:r w:rsidR="19DAA72D" w:rsidRPr="00A021B7">
        <w:rPr>
          <w:rFonts w:ascii="Arial" w:hAnsi="Arial" w:cs="Arial"/>
          <w:sz w:val="20"/>
          <w:szCs w:val="20"/>
          <w:lang w:val="sr-Cyrl-RS"/>
        </w:rPr>
        <w:t xml:space="preserve">свих </w:t>
      </w:r>
      <w:r w:rsidR="5145412E" w:rsidRPr="00A021B7">
        <w:rPr>
          <w:rFonts w:ascii="Arial" w:hAnsi="Arial" w:cs="Arial"/>
          <w:sz w:val="20"/>
          <w:szCs w:val="20"/>
          <w:lang w:val="sr-Cyrl-RS"/>
        </w:rPr>
        <w:t xml:space="preserve">ових ресурса локалне власти задовољавају знатан део потреба за стручним усавршавањем, </w:t>
      </w:r>
      <w:r w:rsidR="57A3D7EA" w:rsidRPr="00A021B7">
        <w:rPr>
          <w:rFonts w:ascii="Arial" w:hAnsi="Arial" w:cs="Arial"/>
          <w:sz w:val="20"/>
          <w:szCs w:val="20"/>
          <w:lang w:val="sr-Cyrl-RS"/>
        </w:rPr>
        <w:t xml:space="preserve">али </w:t>
      </w:r>
      <w:r w:rsidR="5145412E" w:rsidRPr="00A021B7">
        <w:rPr>
          <w:rFonts w:ascii="Arial" w:hAnsi="Arial" w:cs="Arial"/>
          <w:sz w:val="20"/>
          <w:szCs w:val="20"/>
          <w:lang w:val="sr-Cyrl-RS"/>
        </w:rPr>
        <w:t>ови видови подршке не треба да замене</w:t>
      </w:r>
      <w:r w:rsidR="4EDED734" w:rsidRPr="00A021B7">
        <w:rPr>
          <w:rFonts w:ascii="Arial" w:hAnsi="Arial" w:cs="Arial"/>
          <w:sz w:val="20"/>
          <w:szCs w:val="20"/>
          <w:lang w:val="sr-Cyrl-RS"/>
        </w:rPr>
        <w:t xml:space="preserve"> активности локалних власти</w:t>
      </w:r>
      <w:r w:rsidR="5145412E" w:rsidRPr="00A021B7">
        <w:rPr>
          <w:rFonts w:ascii="Arial" w:hAnsi="Arial" w:cs="Arial"/>
          <w:sz w:val="20"/>
          <w:szCs w:val="20"/>
          <w:lang w:val="sr-Cyrl-RS"/>
        </w:rPr>
        <w:t xml:space="preserve">, већ да заједно са </w:t>
      </w:r>
      <w:r w:rsidR="57A3D7EA" w:rsidRPr="00A021B7">
        <w:rPr>
          <w:rFonts w:ascii="Arial" w:hAnsi="Arial" w:cs="Arial"/>
          <w:sz w:val="20"/>
          <w:szCs w:val="20"/>
          <w:lang w:val="sr-Cyrl-RS"/>
        </w:rPr>
        <w:t xml:space="preserve">обуком коју </w:t>
      </w:r>
      <w:r w:rsidR="5145412E" w:rsidRPr="00A021B7">
        <w:rPr>
          <w:rFonts w:ascii="Arial" w:hAnsi="Arial" w:cs="Arial"/>
          <w:sz w:val="20"/>
          <w:szCs w:val="20"/>
          <w:lang w:val="sr-Cyrl-RS"/>
        </w:rPr>
        <w:t xml:space="preserve">организују саме ЈЛС чине локални систем за континуирано стручно усавршавање. </w:t>
      </w:r>
      <w:r w:rsidR="07E0DC57" w:rsidRPr="00A021B7">
        <w:rPr>
          <w:rFonts w:ascii="Arial" w:hAnsi="Arial" w:cs="Arial"/>
          <w:sz w:val="20"/>
          <w:szCs w:val="20"/>
          <w:lang w:val="sr-Cyrl-RS"/>
        </w:rPr>
        <w:t xml:space="preserve">Наведени налази </w:t>
      </w:r>
      <w:r w:rsidR="00E32764">
        <w:rPr>
          <w:rFonts w:ascii="Arial" w:hAnsi="Arial" w:cs="Arial"/>
          <w:sz w:val="20"/>
          <w:szCs w:val="20"/>
          <w:lang w:val="sr-Cyrl-RS"/>
        </w:rPr>
        <w:t>по</w:t>
      </w:r>
      <w:r w:rsidR="07E0DC57" w:rsidRPr="00A021B7">
        <w:rPr>
          <w:rFonts w:ascii="Arial" w:hAnsi="Arial" w:cs="Arial"/>
          <w:sz w:val="20"/>
          <w:szCs w:val="20"/>
          <w:lang w:val="sr-Cyrl-RS"/>
        </w:rPr>
        <w:t xml:space="preserve">казују да је у области стручног усавршавања неопходна даља подршка локалним властима да успоставе све неопходне процедуре и процесе. </w:t>
      </w:r>
      <w:r w:rsidR="5145412E" w:rsidRPr="00A021B7">
        <w:rPr>
          <w:rFonts w:ascii="Arial" w:hAnsi="Arial" w:cs="Arial"/>
          <w:sz w:val="20"/>
          <w:szCs w:val="20"/>
          <w:lang w:val="sr-Cyrl-RS"/>
        </w:rPr>
        <w:t xml:space="preserve">У том циљу током 2020. године и почетком 2021. године, кроз сарадњу Савета Европе, МДУЛС и СКГО и уз подршку ЕУ, близу 100 градова и општина добиће стручну помоћ за спровођење процеса стручног усавршавања (од утврђивања потреба, преко планирања и израде програма, до буџетирања и извођења </w:t>
      </w:r>
      <w:r w:rsidR="192E9FB0" w:rsidRPr="00A021B7">
        <w:rPr>
          <w:rFonts w:ascii="Arial" w:hAnsi="Arial" w:cs="Arial"/>
          <w:sz w:val="20"/>
          <w:szCs w:val="20"/>
          <w:lang w:val="sr-Cyrl-RS"/>
        </w:rPr>
        <w:t>обуке</w:t>
      </w:r>
      <w:r w:rsidR="5145412E" w:rsidRPr="00A021B7">
        <w:rPr>
          <w:rFonts w:ascii="Arial" w:hAnsi="Arial" w:cs="Arial"/>
          <w:sz w:val="20"/>
          <w:szCs w:val="20"/>
          <w:lang w:val="sr-Cyrl-RS"/>
        </w:rPr>
        <w:t xml:space="preserve">). Ова интервенција треба да створи основ за даљи интензивнији развој локалног система за стручно усавршавање запослених у ЈЛС, јер је </w:t>
      </w:r>
      <w:r w:rsidR="00E32764">
        <w:rPr>
          <w:rFonts w:ascii="Arial" w:hAnsi="Arial" w:cs="Arial"/>
          <w:sz w:val="20"/>
          <w:szCs w:val="20"/>
          <w:lang w:val="sr-Cyrl-RS"/>
        </w:rPr>
        <w:t>то</w:t>
      </w:r>
      <w:r w:rsidR="00E32764" w:rsidRPr="00A021B7">
        <w:rPr>
          <w:rFonts w:ascii="Arial" w:hAnsi="Arial" w:cs="Arial"/>
          <w:sz w:val="20"/>
          <w:szCs w:val="20"/>
          <w:lang w:val="sr-Cyrl-RS"/>
        </w:rPr>
        <w:t xml:space="preserve"> </w:t>
      </w:r>
      <w:r w:rsidR="5145412E" w:rsidRPr="00A021B7">
        <w:rPr>
          <w:rFonts w:ascii="Arial" w:hAnsi="Arial" w:cs="Arial"/>
          <w:sz w:val="20"/>
          <w:szCs w:val="20"/>
          <w:lang w:val="sr-Cyrl-RS"/>
        </w:rPr>
        <w:t>један од кључних праваца развоја компетентне локалне управе.</w:t>
      </w:r>
    </w:p>
    <w:p w14:paraId="5FCACC71" w14:textId="77777777" w:rsidR="599627E8" w:rsidRPr="00A021B7" w:rsidRDefault="599627E8" w:rsidP="1A8E6423">
      <w:pPr>
        <w:ind w:firstLine="720"/>
        <w:jc w:val="both"/>
        <w:rPr>
          <w:rFonts w:ascii="Arial" w:hAnsi="Arial" w:cs="Arial"/>
          <w:sz w:val="20"/>
          <w:szCs w:val="20"/>
          <w:lang w:val="sr-Cyrl-RS"/>
        </w:rPr>
      </w:pPr>
    </w:p>
    <w:p w14:paraId="0211E618" w14:textId="3F5A8A03" w:rsidR="7C895C3A" w:rsidRPr="00A021B7" w:rsidRDefault="6E6B687E" w:rsidP="1A8E6423">
      <w:pPr>
        <w:ind w:firstLine="720"/>
        <w:jc w:val="both"/>
        <w:rPr>
          <w:rFonts w:ascii="Arial" w:hAnsi="Arial" w:cs="Arial"/>
          <w:sz w:val="20"/>
          <w:szCs w:val="20"/>
          <w:lang w:val="sr-Cyrl-RS"/>
        </w:rPr>
      </w:pPr>
      <w:r w:rsidRPr="1A8E6423">
        <w:rPr>
          <w:rFonts w:ascii="Arial" w:hAnsi="Arial" w:cs="Arial"/>
          <w:sz w:val="20"/>
          <w:szCs w:val="20"/>
          <w:lang w:val="sr-Cyrl-RS"/>
        </w:rPr>
        <w:t>Ако се може закључити да за запослене у ЈЛС постоји</w:t>
      </w:r>
      <w:r w:rsidR="380201FC" w:rsidRPr="1A8E6423">
        <w:rPr>
          <w:rFonts w:ascii="Arial" w:hAnsi="Arial" w:cs="Arial"/>
          <w:sz w:val="20"/>
          <w:szCs w:val="20"/>
          <w:lang w:val="sr-Cyrl-RS"/>
        </w:rPr>
        <w:t xml:space="preserve"> довољан број и структура програма обука који покривају најзначајнија знања </w:t>
      </w:r>
      <w:r w:rsidR="2F422305" w:rsidRPr="1A8E6423">
        <w:rPr>
          <w:rFonts w:ascii="Arial" w:hAnsi="Arial" w:cs="Arial"/>
          <w:sz w:val="20"/>
          <w:szCs w:val="20"/>
          <w:lang w:val="sr-Cyrl-RS"/>
        </w:rPr>
        <w:t xml:space="preserve">и вештине </w:t>
      </w:r>
      <w:r w:rsidR="00E32764" w:rsidRPr="1A8E6423">
        <w:rPr>
          <w:rFonts w:ascii="Arial" w:hAnsi="Arial" w:cs="Arial"/>
          <w:sz w:val="20"/>
          <w:szCs w:val="20"/>
          <w:lang w:val="sr-Cyrl-RS"/>
        </w:rPr>
        <w:t xml:space="preserve">потребне </w:t>
      </w:r>
      <w:r w:rsidR="2F422305" w:rsidRPr="1A8E6423">
        <w:rPr>
          <w:rFonts w:ascii="Arial" w:hAnsi="Arial" w:cs="Arial"/>
          <w:sz w:val="20"/>
          <w:szCs w:val="20"/>
          <w:lang w:val="sr-Cyrl-RS"/>
        </w:rPr>
        <w:t>за рад локалне управе</w:t>
      </w:r>
      <w:r w:rsidR="00067013" w:rsidRPr="1A8E6423">
        <w:rPr>
          <w:rFonts w:ascii="Arial" w:hAnsi="Arial" w:cs="Arial"/>
          <w:sz w:val="20"/>
          <w:szCs w:val="20"/>
          <w:lang w:val="sr-Cyrl-RS"/>
        </w:rPr>
        <w:t>,</w:t>
      </w:r>
      <w:r w:rsidR="2F422305" w:rsidRPr="1A8E6423">
        <w:rPr>
          <w:rFonts w:ascii="Arial" w:hAnsi="Arial" w:cs="Arial"/>
          <w:sz w:val="20"/>
          <w:szCs w:val="20"/>
          <w:lang w:val="sr-Cyrl-RS"/>
        </w:rPr>
        <w:t xml:space="preserve"> а да </w:t>
      </w:r>
      <w:r w:rsidR="005A7696" w:rsidRPr="1A8E6423">
        <w:rPr>
          <w:rFonts w:ascii="Arial" w:hAnsi="Arial" w:cs="Arial"/>
          <w:sz w:val="20"/>
          <w:szCs w:val="20"/>
          <w:lang w:val="sr-Cyrl-RS"/>
        </w:rPr>
        <w:t xml:space="preserve">и у наредном периоду </w:t>
      </w:r>
      <w:r w:rsidR="2F422305" w:rsidRPr="1A8E6423">
        <w:rPr>
          <w:rFonts w:ascii="Arial" w:hAnsi="Arial" w:cs="Arial"/>
          <w:sz w:val="20"/>
          <w:szCs w:val="20"/>
          <w:lang w:val="sr-Cyrl-RS"/>
        </w:rPr>
        <w:t>одзив ЈЛС</w:t>
      </w:r>
      <w:r w:rsidR="005A7696" w:rsidRPr="1A8E6423">
        <w:rPr>
          <w:rFonts w:ascii="Arial" w:hAnsi="Arial" w:cs="Arial"/>
          <w:sz w:val="20"/>
          <w:szCs w:val="20"/>
          <w:lang w:val="sr-Cyrl-RS"/>
        </w:rPr>
        <w:t xml:space="preserve"> за припрему и организацију </w:t>
      </w:r>
      <w:r w:rsidR="0041410B" w:rsidRPr="1A8E6423">
        <w:rPr>
          <w:rFonts w:ascii="Arial" w:hAnsi="Arial" w:cs="Arial"/>
          <w:sz w:val="20"/>
          <w:szCs w:val="20"/>
          <w:lang w:val="sr-Cyrl-RS"/>
        </w:rPr>
        <w:t xml:space="preserve">обуке </w:t>
      </w:r>
      <w:r w:rsidR="00291E56" w:rsidRPr="1A8E6423">
        <w:rPr>
          <w:rFonts w:ascii="Arial" w:hAnsi="Arial" w:cs="Arial"/>
          <w:sz w:val="20"/>
          <w:szCs w:val="20"/>
          <w:lang w:val="sr-Cyrl-RS"/>
        </w:rPr>
        <w:t>и заинтересов</w:t>
      </w:r>
      <w:r w:rsidR="00653B28" w:rsidRPr="1A8E6423">
        <w:rPr>
          <w:rFonts w:ascii="Arial" w:hAnsi="Arial" w:cs="Arial"/>
          <w:sz w:val="20"/>
          <w:szCs w:val="20"/>
          <w:lang w:val="sr-Cyrl-RS"/>
        </w:rPr>
        <w:t>а</w:t>
      </w:r>
      <w:r w:rsidR="00291E56" w:rsidRPr="1A8E6423">
        <w:rPr>
          <w:rFonts w:ascii="Arial" w:hAnsi="Arial" w:cs="Arial"/>
          <w:sz w:val="20"/>
          <w:szCs w:val="20"/>
          <w:lang w:val="sr-Cyrl-RS"/>
        </w:rPr>
        <w:t xml:space="preserve">ност самих службеника за учешће </w:t>
      </w:r>
      <w:r w:rsidR="005A7696" w:rsidRPr="1A8E6423">
        <w:rPr>
          <w:rFonts w:ascii="Arial" w:hAnsi="Arial" w:cs="Arial"/>
          <w:sz w:val="20"/>
          <w:szCs w:val="20"/>
          <w:lang w:val="sr-Cyrl-RS"/>
        </w:rPr>
        <w:t>не буде одгов</w:t>
      </w:r>
      <w:r w:rsidR="00653B28" w:rsidRPr="1A8E6423">
        <w:rPr>
          <w:rFonts w:ascii="Arial" w:hAnsi="Arial" w:cs="Arial"/>
          <w:sz w:val="20"/>
          <w:szCs w:val="20"/>
          <w:lang w:val="sr-Cyrl-RS"/>
        </w:rPr>
        <w:t>а</w:t>
      </w:r>
      <w:r w:rsidR="005A7696" w:rsidRPr="1A8E6423">
        <w:rPr>
          <w:rFonts w:ascii="Arial" w:hAnsi="Arial" w:cs="Arial"/>
          <w:sz w:val="20"/>
          <w:szCs w:val="20"/>
          <w:lang w:val="sr-Cyrl-RS"/>
        </w:rPr>
        <w:t>рајући</w:t>
      </w:r>
      <w:r w:rsidR="2F422305" w:rsidRPr="1A8E6423">
        <w:rPr>
          <w:rFonts w:ascii="Arial" w:hAnsi="Arial" w:cs="Arial"/>
          <w:sz w:val="20"/>
          <w:szCs w:val="20"/>
          <w:lang w:val="sr-Cyrl-RS"/>
        </w:rPr>
        <w:t>,</w:t>
      </w:r>
      <w:r w:rsidR="6B1E11F9" w:rsidRPr="1A8E6423">
        <w:rPr>
          <w:rFonts w:ascii="Arial" w:hAnsi="Arial" w:cs="Arial"/>
          <w:sz w:val="20"/>
          <w:szCs w:val="20"/>
          <w:lang w:val="sr-Cyrl-RS"/>
        </w:rPr>
        <w:t xml:space="preserve"> решење треба тражити у обавезност</w:t>
      </w:r>
      <w:r w:rsidR="28374E02" w:rsidRPr="1A8E6423">
        <w:rPr>
          <w:rFonts w:ascii="Arial" w:hAnsi="Arial" w:cs="Arial"/>
          <w:sz w:val="20"/>
          <w:szCs w:val="20"/>
          <w:lang w:val="sr-Cyrl-RS"/>
        </w:rPr>
        <w:t xml:space="preserve">и стручног усавршавања. </w:t>
      </w:r>
      <w:r w:rsidR="00116049" w:rsidRPr="1A8E6423">
        <w:rPr>
          <w:rFonts w:ascii="Arial" w:hAnsi="Arial" w:cs="Arial"/>
          <w:sz w:val="20"/>
          <w:szCs w:val="20"/>
          <w:lang w:val="sr-Cyrl-RS"/>
        </w:rPr>
        <w:t>Тај процес би подразумевао</w:t>
      </w:r>
      <w:r w:rsidR="28374E02" w:rsidRPr="1A8E6423">
        <w:rPr>
          <w:rFonts w:ascii="Arial" w:hAnsi="Arial" w:cs="Arial"/>
          <w:sz w:val="20"/>
          <w:szCs w:val="20"/>
          <w:lang w:val="sr-Cyrl-RS"/>
        </w:rPr>
        <w:t xml:space="preserve"> да </w:t>
      </w:r>
      <w:r w:rsidR="0808111E" w:rsidRPr="1A8E6423">
        <w:rPr>
          <w:rFonts w:ascii="Arial" w:hAnsi="Arial" w:cs="Arial"/>
          <w:sz w:val="20"/>
          <w:szCs w:val="20"/>
          <w:lang w:val="sr-Cyrl-RS"/>
        </w:rPr>
        <w:t>је годишњи план стручног усавршавања обавезни елемент годишњих радних циљева за сваког запосленог</w:t>
      </w:r>
      <w:r w:rsidR="1B0A4EAD" w:rsidRPr="1A8E6423">
        <w:rPr>
          <w:rFonts w:ascii="Arial" w:hAnsi="Arial" w:cs="Arial"/>
          <w:sz w:val="20"/>
          <w:szCs w:val="20"/>
          <w:lang w:val="sr-Cyrl-RS"/>
        </w:rPr>
        <w:t>, што имплицира да је обавезни део годишње оцене остварење плана стручног усавршавања</w:t>
      </w:r>
      <w:r w:rsidR="34839599" w:rsidRPr="1A8E6423">
        <w:rPr>
          <w:rFonts w:ascii="Arial" w:hAnsi="Arial" w:cs="Arial"/>
          <w:sz w:val="20"/>
          <w:szCs w:val="20"/>
          <w:lang w:val="sr-Cyrl-RS"/>
        </w:rPr>
        <w:t xml:space="preserve"> (и немогућност напредовања без успешно </w:t>
      </w:r>
      <w:r w:rsidR="0041410B" w:rsidRPr="1A8E6423">
        <w:rPr>
          <w:rFonts w:ascii="Arial" w:hAnsi="Arial" w:cs="Arial"/>
          <w:sz w:val="20"/>
          <w:szCs w:val="20"/>
          <w:lang w:val="sr-Cyrl-RS"/>
        </w:rPr>
        <w:t>реализован</w:t>
      </w:r>
      <w:r w:rsidR="5B621EE8" w:rsidRPr="1A8E6423">
        <w:rPr>
          <w:rFonts w:ascii="Arial" w:hAnsi="Arial" w:cs="Arial"/>
          <w:sz w:val="20"/>
          <w:szCs w:val="20"/>
          <w:lang w:val="sr-Cyrl-RS"/>
        </w:rPr>
        <w:t>е</w:t>
      </w:r>
      <w:r w:rsidR="0041410B" w:rsidRPr="1A8E6423">
        <w:rPr>
          <w:rFonts w:ascii="Arial" w:hAnsi="Arial" w:cs="Arial"/>
          <w:sz w:val="20"/>
          <w:szCs w:val="20"/>
          <w:lang w:val="sr-Cyrl-RS"/>
        </w:rPr>
        <w:t xml:space="preserve"> обук</w:t>
      </w:r>
      <w:r w:rsidR="5D276B07" w:rsidRPr="1A8E6423">
        <w:rPr>
          <w:rFonts w:ascii="Arial" w:hAnsi="Arial" w:cs="Arial"/>
          <w:sz w:val="20"/>
          <w:szCs w:val="20"/>
          <w:lang w:val="sr-Cyrl-RS"/>
        </w:rPr>
        <w:t>е</w:t>
      </w:r>
      <w:r w:rsidR="34839599" w:rsidRPr="1A8E6423">
        <w:rPr>
          <w:rFonts w:ascii="Arial" w:hAnsi="Arial" w:cs="Arial"/>
          <w:sz w:val="20"/>
          <w:szCs w:val="20"/>
          <w:lang w:val="sr-Cyrl-RS"/>
        </w:rPr>
        <w:t>)</w:t>
      </w:r>
      <w:r w:rsidR="1B0A4EAD" w:rsidRPr="1A8E6423">
        <w:rPr>
          <w:rFonts w:ascii="Arial" w:hAnsi="Arial" w:cs="Arial"/>
          <w:sz w:val="20"/>
          <w:szCs w:val="20"/>
          <w:lang w:val="sr-Cyrl-RS"/>
        </w:rPr>
        <w:t xml:space="preserve">. </w:t>
      </w:r>
      <w:r w:rsidR="00192BF1" w:rsidRPr="1A8E6423">
        <w:rPr>
          <w:rFonts w:ascii="Arial" w:hAnsi="Arial" w:cs="Arial"/>
          <w:sz w:val="20"/>
          <w:szCs w:val="20"/>
          <w:lang w:val="sr-Cyrl-RS"/>
        </w:rPr>
        <w:t>Са друге стране,</w:t>
      </w:r>
      <w:r w:rsidR="5F416B0C" w:rsidRPr="1A8E6423">
        <w:rPr>
          <w:rFonts w:ascii="Arial" w:hAnsi="Arial" w:cs="Arial"/>
          <w:sz w:val="20"/>
          <w:szCs w:val="20"/>
          <w:lang w:val="sr-Cyrl-RS"/>
        </w:rPr>
        <w:t xml:space="preserve"> да се не би догодило да службеник остане без могућности за стручно усавршавање због недостатка финансијских средста</w:t>
      </w:r>
      <w:r w:rsidR="0AE8F044" w:rsidRPr="1A8E6423">
        <w:rPr>
          <w:rFonts w:ascii="Arial" w:hAnsi="Arial" w:cs="Arial"/>
          <w:sz w:val="20"/>
          <w:szCs w:val="20"/>
          <w:lang w:val="sr-Cyrl-RS"/>
        </w:rPr>
        <w:t>ва ЈЛС</w:t>
      </w:r>
      <w:r w:rsidR="00E62AE1" w:rsidRPr="1A8E6423">
        <w:rPr>
          <w:rFonts w:ascii="Arial" w:hAnsi="Arial" w:cs="Arial"/>
          <w:sz w:val="20"/>
          <w:szCs w:val="20"/>
          <w:lang w:val="sr-Cyrl-RS"/>
        </w:rPr>
        <w:t>,</w:t>
      </w:r>
      <w:r w:rsidR="0015660E" w:rsidRPr="1A8E6423">
        <w:rPr>
          <w:rFonts w:ascii="Arial" w:hAnsi="Arial" w:cs="Arial"/>
          <w:sz w:val="20"/>
          <w:szCs w:val="20"/>
          <w:lang w:val="sr-Cyrl-RS"/>
        </w:rPr>
        <w:t xml:space="preserve"> </w:t>
      </w:r>
      <w:r w:rsidR="0AE8F044" w:rsidRPr="1A8E6423">
        <w:rPr>
          <w:rFonts w:ascii="Arial" w:hAnsi="Arial" w:cs="Arial"/>
          <w:sz w:val="20"/>
          <w:szCs w:val="20"/>
          <w:lang w:val="sr-Cyrl-RS"/>
        </w:rPr>
        <w:t xml:space="preserve">неопходно је прописати минимум издвајања </w:t>
      </w:r>
      <w:r w:rsidR="6062A6DF" w:rsidRPr="1A8E6423">
        <w:rPr>
          <w:rFonts w:ascii="Arial" w:hAnsi="Arial" w:cs="Arial"/>
          <w:sz w:val="20"/>
          <w:szCs w:val="20"/>
          <w:lang w:val="sr-Cyrl-RS"/>
        </w:rPr>
        <w:t>из локалног буџета у односу на укупан фонд зарада.</w:t>
      </w:r>
      <w:r w:rsidR="1E358D4B" w:rsidRPr="1A8E6423">
        <w:rPr>
          <w:rFonts w:ascii="Arial" w:hAnsi="Arial" w:cs="Arial"/>
          <w:sz w:val="20"/>
          <w:szCs w:val="20"/>
          <w:lang w:val="sr-Cyrl-RS"/>
        </w:rPr>
        <w:t xml:space="preserve"> Смисао законског уређивања обавезности елемената везаних за стручно усавршавање</w:t>
      </w:r>
      <w:r w:rsidR="004933B4" w:rsidRPr="1A8E6423">
        <w:rPr>
          <w:rFonts w:ascii="Arial" w:hAnsi="Arial" w:cs="Arial"/>
          <w:sz w:val="20"/>
          <w:szCs w:val="20"/>
          <w:lang w:val="sr-Cyrl-RS"/>
        </w:rPr>
        <w:t xml:space="preserve"> (за све нивое јавне управе)</w:t>
      </w:r>
      <w:r w:rsidR="1E358D4B" w:rsidRPr="1A8E6423">
        <w:rPr>
          <w:rFonts w:ascii="Arial" w:hAnsi="Arial" w:cs="Arial"/>
          <w:sz w:val="20"/>
          <w:szCs w:val="20"/>
          <w:lang w:val="sr-Cyrl-RS"/>
        </w:rPr>
        <w:t xml:space="preserve"> може</w:t>
      </w:r>
      <w:r w:rsidR="00E32764" w:rsidRPr="1A8E6423">
        <w:rPr>
          <w:rFonts w:ascii="Arial" w:hAnsi="Arial" w:cs="Arial"/>
          <w:sz w:val="20"/>
          <w:szCs w:val="20"/>
          <w:lang w:val="sr-Cyrl-RS"/>
        </w:rPr>
        <w:t xml:space="preserve"> се</w:t>
      </w:r>
      <w:r w:rsidR="1E358D4B" w:rsidRPr="1A8E6423">
        <w:rPr>
          <w:rFonts w:ascii="Arial" w:hAnsi="Arial" w:cs="Arial"/>
          <w:sz w:val="20"/>
          <w:szCs w:val="20"/>
          <w:lang w:val="sr-Cyrl-RS"/>
        </w:rPr>
        <w:t xml:space="preserve"> разумет</w:t>
      </w:r>
      <w:r w:rsidR="3D9A74F0" w:rsidRPr="1A8E6423">
        <w:rPr>
          <w:rFonts w:ascii="Arial" w:hAnsi="Arial" w:cs="Arial"/>
          <w:sz w:val="20"/>
          <w:szCs w:val="20"/>
          <w:lang w:val="sr-Cyrl-RS"/>
        </w:rPr>
        <w:t xml:space="preserve">и уколико се стручно усавршавање запослених посматра шире од ефекта </w:t>
      </w:r>
      <w:r w:rsidR="00E32764" w:rsidRPr="1A8E6423">
        <w:rPr>
          <w:rFonts w:ascii="Arial" w:hAnsi="Arial" w:cs="Arial"/>
          <w:sz w:val="20"/>
          <w:szCs w:val="20"/>
          <w:lang w:val="sr-Cyrl-RS"/>
        </w:rPr>
        <w:t>з</w:t>
      </w:r>
      <w:r w:rsidR="3D9A74F0" w:rsidRPr="1A8E6423">
        <w:rPr>
          <w:rFonts w:ascii="Arial" w:hAnsi="Arial" w:cs="Arial"/>
          <w:sz w:val="20"/>
          <w:szCs w:val="20"/>
          <w:lang w:val="sr-Cyrl-RS"/>
        </w:rPr>
        <w:t>а каријерни развој сваког службеника</w:t>
      </w:r>
      <w:r w:rsidR="0034397D" w:rsidRPr="1A8E6423">
        <w:rPr>
          <w:rFonts w:ascii="Arial" w:hAnsi="Arial" w:cs="Arial"/>
          <w:sz w:val="20"/>
          <w:szCs w:val="20"/>
          <w:lang w:val="sr-Cyrl-RS"/>
        </w:rPr>
        <w:t>,</w:t>
      </w:r>
      <w:r w:rsidR="3D9A74F0" w:rsidRPr="1A8E6423">
        <w:rPr>
          <w:rFonts w:ascii="Arial" w:hAnsi="Arial" w:cs="Arial"/>
          <w:sz w:val="20"/>
          <w:szCs w:val="20"/>
          <w:lang w:val="sr-Cyrl-RS"/>
        </w:rPr>
        <w:t xml:space="preserve"> већ се повеже</w:t>
      </w:r>
      <w:r w:rsidR="472EA650" w:rsidRPr="1A8E6423">
        <w:rPr>
          <w:rFonts w:ascii="Arial" w:hAnsi="Arial" w:cs="Arial"/>
          <w:sz w:val="20"/>
          <w:szCs w:val="20"/>
          <w:lang w:val="sr-Cyrl-RS"/>
        </w:rPr>
        <w:t xml:space="preserve"> са </w:t>
      </w:r>
      <w:r w:rsidR="00F93A14" w:rsidRPr="1A8E6423">
        <w:rPr>
          <w:rFonts w:ascii="Arial" w:hAnsi="Arial" w:cs="Arial"/>
          <w:sz w:val="20"/>
          <w:szCs w:val="20"/>
          <w:lang w:val="sr-Cyrl-RS"/>
        </w:rPr>
        <w:t xml:space="preserve">његовом </w:t>
      </w:r>
      <w:r w:rsidR="472EA650" w:rsidRPr="1A8E6423">
        <w:rPr>
          <w:rFonts w:ascii="Arial" w:hAnsi="Arial" w:cs="Arial"/>
          <w:sz w:val="20"/>
          <w:szCs w:val="20"/>
          <w:lang w:val="sr-Cyrl-RS"/>
        </w:rPr>
        <w:t>с</w:t>
      </w:r>
      <w:r w:rsidR="1E358D4B" w:rsidRPr="1A8E6423">
        <w:rPr>
          <w:rFonts w:ascii="Arial" w:hAnsi="Arial" w:cs="Arial"/>
          <w:sz w:val="20"/>
          <w:szCs w:val="20"/>
          <w:lang w:val="sr-Cyrl-RS"/>
        </w:rPr>
        <w:t>врх</w:t>
      </w:r>
      <w:r w:rsidR="2A96723A" w:rsidRPr="1A8E6423">
        <w:rPr>
          <w:rFonts w:ascii="Arial" w:hAnsi="Arial" w:cs="Arial"/>
          <w:sz w:val="20"/>
          <w:szCs w:val="20"/>
          <w:lang w:val="sr-Cyrl-RS"/>
        </w:rPr>
        <w:t>ом</w:t>
      </w:r>
      <w:r w:rsidR="00BD3BE3" w:rsidRPr="1A8E6423">
        <w:rPr>
          <w:rFonts w:ascii="Arial" w:hAnsi="Arial" w:cs="Arial"/>
          <w:sz w:val="20"/>
          <w:szCs w:val="20"/>
          <w:lang w:val="sr-Cyrl-RS"/>
        </w:rPr>
        <w:t>,</w:t>
      </w:r>
      <w:r w:rsidR="1E358D4B" w:rsidRPr="1A8E6423">
        <w:rPr>
          <w:rFonts w:ascii="Arial" w:hAnsi="Arial" w:cs="Arial"/>
          <w:sz w:val="20"/>
          <w:szCs w:val="20"/>
          <w:lang w:val="sr-Cyrl-RS"/>
        </w:rPr>
        <w:t xml:space="preserve"> </w:t>
      </w:r>
      <w:r w:rsidR="4D537740" w:rsidRPr="1A8E6423">
        <w:rPr>
          <w:rFonts w:ascii="Arial" w:hAnsi="Arial" w:cs="Arial"/>
          <w:sz w:val="20"/>
          <w:szCs w:val="20"/>
          <w:lang w:val="sr-Cyrl-RS"/>
        </w:rPr>
        <w:t xml:space="preserve">а то </w:t>
      </w:r>
      <w:r w:rsidR="1E358D4B" w:rsidRPr="1A8E6423">
        <w:rPr>
          <w:rFonts w:ascii="Arial" w:hAnsi="Arial" w:cs="Arial"/>
          <w:sz w:val="20"/>
          <w:szCs w:val="20"/>
          <w:lang w:val="sr-Cyrl-RS"/>
        </w:rPr>
        <w:t>је унутрашња реформа управе</w:t>
      </w:r>
      <w:r w:rsidR="00EE2171" w:rsidRPr="1A8E6423">
        <w:rPr>
          <w:rFonts w:ascii="Arial" w:hAnsi="Arial" w:cs="Arial"/>
          <w:sz w:val="20"/>
          <w:szCs w:val="20"/>
          <w:lang w:val="sr-Cyrl-RS"/>
        </w:rPr>
        <w:t xml:space="preserve">, како би </w:t>
      </w:r>
      <w:r w:rsidR="00E32764" w:rsidRPr="1A8E6423">
        <w:rPr>
          <w:rFonts w:ascii="Arial" w:hAnsi="Arial" w:cs="Arial"/>
          <w:sz w:val="20"/>
          <w:szCs w:val="20"/>
          <w:lang w:val="sr-Cyrl-RS"/>
        </w:rPr>
        <w:t xml:space="preserve">она </w:t>
      </w:r>
      <w:r w:rsidR="00EE2171" w:rsidRPr="1A8E6423">
        <w:rPr>
          <w:rFonts w:ascii="Arial" w:hAnsi="Arial" w:cs="Arial"/>
          <w:sz w:val="20"/>
          <w:szCs w:val="20"/>
          <w:lang w:val="sr-Cyrl-RS"/>
        </w:rPr>
        <w:t>могла</w:t>
      </w:r>
      <w:r w:rsidR="1E358D4B" w:rsidRPr="1A8E6423">
        <w:rPr>
          <w:rFonts w:ascii="Arial" w:hAnsi="Arial" w:cs="Arial"/>
          <w:sz w:val="20"/>
          <w:szCs w:val="20"/>
          <w:lang w:val="sr-Cyrl-RS"/>
        </w:rPr>
        <w:t xml:space="preserve"> да одговори </w:t>
      </w:r>
      <w:r w:rsidR="00E32764" w:rsidRPr="1A8E6423">
        <w:rPr>
          <w:rFonts w:ascii="Arial" w:hAnsi="Arial" w:cs="Arial"/>
          <w:sz w:val="20"/>
          <w:szCs w:val="20"/>
          <w:lang w:val="sr-Cyrl-RS"/>
        </w:rPr>
        <w:t xml:space="preserve">на </w:t>
      </w:r>
      <w:r w:rsidR="1E358D4B" w:rsidRPr="1A8E6423">
        <w:rPr>
          <w:rFonts w:ascii="Arial" w:hAnsi="Arial" w:cs="Arial"/>
          <w:sz w:val="20"/>
          <w:szCs w:val="20"/>
          <w:lang w:val="sr-Cyrl-RS"/>
        </w:rPr>
        <w:t>св</w:t>
      </w:r>
      <w:r w:rsidR="00E32764" w:rsidRPr="1A8E6423">
        <w:rPr>
          <w:rFonts w:ascii="Arial" w:hAnsi="Arial" w:cs="Arial"/>
          <w:sz w:val="20"/>
          <w:szCs w:val="20"/>
          <w:lang w:val="sr-Cyrl-RS"/>
        </w:rPr>
        <w:t>е</w:t>
      </w:r>
      <w:r w:rsidR="1E358D4B" w:rsidRPr="1A8E6423">
        <w:rPr>
          <w:rFonts w:ascii="Arial" w:hAnsi="Arial" w:cs="Arial"/>
          <w:sz w:val="20"/>
          <w:szCs w:val="20"/>
          <w:lang w:val="sr-Cyrl-RS"/>
        </w:rPr>
        <w:t xml:space="preserve"> утврђен</w:t>
      </w:r>
      <w:r w:rsidR="00E32764" w:rsidRPr="1A8E6423">
        <w:rPr>
          <w:rFonts w:ascii="Arial" w:hAnsi="Arial" w:cs="Arial"/>
          <w:sz w:val="20"/>
          <w:szCs w:val="20"/>
          <w:lang w:val="sr-Cyrl-RS"/>
        </w:rPr>
        <w:t>е</w:t>
      </w:r>
      <w:r w:rsidR="1E358D4B" w:rsidRPr="1A8E6423">
        <w:rPr>
          <w:rFonts w:ascii="Arial" w:hAnsi="Arial" w:cs="Arial"/>
          <w:sz w:val="20"/>
          <w:szCs w:val="20"/>
          <w:lang w:val="sr-Cyrl-RS"/>
        </w:rPr>
        <w:t xml:space="preserve"> захтев</w:t>
      </w:r>
      <w:r w:rsidR="00E32764" w:rsidRPr="1A8E6423">
        <w:rPr>
          <w:rFonts w:ascii="Arial" w:hAnsi="Arial" w:cs="Arial"/>
          <w:sz w:val="20"/>
          <w:szCs w:val="20"/>
          <w:lang w:val="sr-Cyrl-RS"/>
        </w:rPr>
        <w:t>е</w:t>
      </w:r>
      <w:r w:rsidR="1E358D4B" w:rsidRPr="1A8E6423">
        <w:rPr>
          <w:rFonts w:ascii="Arial" w:hAnsi="Arial" w:cs="Arial"/>
          <w:sz w:val="20"/>
          <w:szCs w:val="20"/>
          <w:lang w:val="sr-Cyrl-RS"/>
        </w:rPr>
        <w:t xml:space="preserve"> струке и </w:t>
      </w:r>
      <w:r w:rsidR="00E32764" w:rsidRPr="1A8E6423">
        <w:rPr>
          <w:rFonts w:ascii="Arial" w:hAnsi="Arial" w:cs="Arial"/>
          <w:sz w:val="20"/>
          <w:szCs w:val="20"/>
          <w:lang w:val="sr-Cyrl-RS"/>
        </w:rPr>
        <w:t xml:space="preserve">захтеве у погледу </w:t>
      </w:r>
      <w:r w:rsidR="1E358D4B" w:rsidRPr="1A8E6423">
        <w:rPr>
          <w:rFonts w:ascii="Arial" w:hAnsi="Arial" w:cs="Arial"/>
          <w:sz w:val="20"/>
          <w:szCs w:val="20"/>
          <w:lang w:val="sr-Cyrl-RS"/>
        </w:rPr>
        <w:t>квалитета услуга које</w:t>
      </w:r>
      <w:r w:rsidR="467BCD1E" w:rsidRPr="1A8E6423">
        <w:rPr>
          <w:rFonts w:ascii="Arial" w:hAnsi="Arial" w:cs="Arial"/>
          <w:sz w:val="20"/>
          <w:szCs w:val="20"/>
          <w:lang w:val="sr-Cyrl-RS"/>
        </w:rPr>
        <w:t xml:space="preserve"> </w:t>
      </w:r>
      <w:r w:rsidR="1E358D4B" w:rsidRPr="1A8E6423">
        <w:rPr>
          <w:rFonts w:ascii="Arial" w:hAnsi="Arial" w:cs="Arial"/>
          <w:sz w:val="20"/>
          <w:szCs w:val="20"/>
          <w:lang w:val="sr-Cyrl-RS"/>
        </w:rPr>
        <w:t>пружа.</w:t>
      </w:r>
    </w:p>
    <w:p w14:paraId="03B4CE6F" w14:textId="77777777" w:rsidR="001C7C2E" w:rsidRPr="00A021B7" w:rsidRDefault="001C7C2E" w:rsidP="1A8E6423">
      <w:pPr>
        <w:ind w:firstLine="720"/>
        <w:jc w:val="both"/>
        <w:rPr>
          <w:rFonts w:ascii="Arial" w:hAnsi="Arial" w:cs="Arial"/>
          <w:color w:val="1A1617"/>
          <w:sz w:val="20"/>
          <w:szCs w:val="20"/>
          <w:lang w:val="sr-Cyrl-RS"/>
        </w:rPr>
      </w:pPr>
    </w:p>
    <w:p w14:paraId="4A603624" w14:textId="745C20D2" w:rsidR="001C7C2E" w:rsidRPr="00A021B7" w:rsidRDefault="5145412E" w:rsidP="1A8E6423">
      <w:pPr>
        <w:ind w:firstLine="720"/>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Професионална јавна управа, укључујући и локалну самоуправу</w:t>
      </w:r>
      <w:r w:rsidR="24BB2BAC"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подразумева компетентне људске ресурсе и неопходно је да буде заснована на </w:t>
      </w:r>
      <w:r w:rsidR="24BB2BAC" w:rsidRPr="1A8E6423">
        <w:rPr>
          <w:rFonts w:ascii="Arial" w:hAnsi="Arial" w:cs="Arial"/>
          <w:color w:val="000000" w:themeColor="text1"/>
          <w:sz w:val="20"/>
          <w:szCs w:val="20"/>
          <w:lang w:val="sr-Cyrl-RS"/>
        </w:rPr>
        <w:t xml:space="preserve">начелу </w:t>
      </w:r>
      <w:r w:rsidRPr="1A8E6423">
        <w:rPr>
          <w:rFonts w:ascii="Arial" w:hAnsi="Arial" w:cs="Arial"/>
          <w:color w:val="000000" w:themeColor="text1"/>
          <w:sz w:val="20"/>
          <w:szCs w:val="20"/>
          <w:lang w:val="sr-Cyrl-RS"/>
        </w:rPr>
        <w:t>заслуга</w:t>
      </w:r>
      <w:r w:rsidR="3E7D0A6B" w:rsidRPr="1A8E6423">
        <w:rPr>
          <w:rFonts w:ascii="Arial" w:hAnsi="Arial" w:cs="Arial"/>
          <w:color w:val="000000" w:themeColor="text1"/>
          <w:sz w:val="20"/>
          <w:szCs w:val="20"/>
          <w:lang w:val="sr-Cyrl-RS"/>
        </w:rPr>
        <w:t>,</w:t>
      </w:r>
      <w:r w:rsidR="00E32764"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способности и одговорности јавних службеника. Влада је 2019. године усвојила Уредбу о одређивању компетенција за рад државних службеника</w:t>
      </w:r>
      <w:r w:rsidR="009063C1" w:rsidRPr="1A8E6423">
        <w:rPr>
          <w:rFonts w:ascii="Arial" w:hAnsi="Arial" w:cs="Arial"/>
          <w:color w:val="000000" w:themeColor="text1"/>
          <w:sz w:val="20"/>
          <w:szCs w:val="20"/>
          <w:lang w:val="sr-Cyrl-RS"/>
        </w:rPr>
        <w:t xml:space="preserve"> </w:t>
      </w:r>
      <w:r w:rsidR="009063C1" w:rsidRPr="1A8E6423">
        <w:rPr>
          <w:rFonts w:ascii="Arial" w:hAnsi="Arial" w:cs="Arial"/>
          <w:sz w:val="20"/>
          <w:szCs w:val="20"/>
          <w:lang w:val="sr-Cyrl-RS"/>
        </w:rPr>
        <w:t>(„Службени гласник РС”,</w:t>
      </w:r>
      <w:r w:rsidR="009063C1" w:rsidRPr="1A8E6423">
        <w:rPr>
          <w:rFonts w:ascii="Arial" w:hAnsi="Arial" w:cs="Arial"/>
          <w:i/>
          <w:iCs/>
          <w:sz w:val="20"/>
          <w:szCs w:val="20"/>
          <w:lang w:val="sr-Cyrl-RS"/>
        </w:rPr>
        <w:t xml:space="preserve"> </w:t>
      </w:r>
      <w:r w:rsidR="009063C1" w:rsidRPr="1A8E6423">
        <w:rPr>
          <w:rFonts w:ascii="Arial" w:hAnsi="Arial" w:cs="Arial"/>
          <w:sz w:val="20"/>
          <w:szCs w:val="20"/>
          <w:lang w:val="sr-Cyrl-RS"/>
        </w:rPr>
        <w:t>број 4/19)</w:t>
      </w:r>
      <w:r w:rsidRPr="1A8E6423">
        <w:rPr>
          <w:rFonts w:ascii="Arial" w:hAnsi="Arial" w:cs="Arial"/>
          <w:color w:val="000000" w:themeColor="text1"/>
          <w:sz w:val="20"/>
          <w:szCs w:val="20"/>
          <w:lang w:val="sr-Cyrl-RS"/>
        </w:rPr>
        <w:t xml:space="preserve">, чиме је почела примена система компетенција у државној управи, док је увођење компетенција за службенике локалне управе још увек у раној фази разматрања. Према </w:t>
      </w:r>
      <w:r w:rsidR="34167DA9" w:rsidRPr="1A8E6423">
        <w:rPr>
          <w:rFonts w:ascii="Arial" w:hAnsi="Arial" w:cs="Arial"/>
          <w:color w:val="000000" w:themeColor="text1"/>
          <w:sz w:val="20"/>
          <w:szCs w:val="20"/>
          <w:lang w:val="sr-Cyrl-RS"/>
        </w:rPr>
        <w:t>чл</w:t>
      </w:r>
      <w:r w:rsidR="0056BBBA" w:rsidRPr="1A8E6423">
        <w:rPr>
          <w:rFonts w:ascii="Arial" w:hAnsi="Arial" w:cs="Arial"/>
          <w:color w:val="000000" w:themeColor="text1"/>
          <w:sz w:val="20"/>
          <w:szCs w:val="20"/>
          <w:lang w:val="sr-Cyrl-RS"/>
        </w:rPr>
        <w:t>ану</w:t>
      </w:r>
      <w:r w:rsidR="34167DA9"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2</w:t>
      </w:r>
      <w:r w:rsidR="34167DA9"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ове Уредбе</w:t>
      </w:r>
      <w:r w:rsidRPr="1A8E6423">
        <w:rPr>
          <w:rFonts w:ascii="Arial" w:hAnsi="Arial" w:cs="Arial"/>
          <w:i/>
          <w:iCs/>
          <w:color w:val="000000" w:themeColor="text1"/>
          <w:sz w:val="20"/>
          <w:szCs w:val="20"/>
          <w:lang w:val="sr-Cyrl-RS"/>
        </w:rPr>
        <w:t xml:space="preserve">, </w:t>
      </w:r>
      <w:r w:rsidRPr="1A8E6423">
        <w:rPr>
          <w:rFonts w:ascii="Arial" w:hAnsi="Arial" w:cs="Arial"/>
          <w:color w:val="000000" w:themeColor="text1"/>
          <w:sz w:val="20"/>
          <w:szCs w:val="20"/>
          <w:lang w:val="sr-Cyrl-RS"/>
        </w:rPr>
        <w:t>„компетенције потребне за рад државног службеника представљају скуп знања, вештина, особина, ставова и способности које државни службеник поседује, а који обликују његово понашање и воде постизању очекиване радне успешности на радном месту.</w:t>
      </w:r>
      <w:r w:rsidR="503E649E"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Примена система компетенција директно је повезана са свим елементима функције </w:t>
      </w:r>
      <w:r w:rsidR="285ACEDC" w:rsidRPr="1A8E6423">
        <w:rPr>
          <w:rFonts w:ascii="Arial" w:hAnsi="Arial" w:cs="Arial"/>
          <w:color w:val="000000" w:themeColor="text1"/>
          <w:sz w:val="20"/>
          <w:szCs w:val="20"/>
          <w:lang w:val="sr-Cyrl-RS"/>
        </w:rPr>
        <w:t>УЉР</w:t>
      </w:r>
      <w:r w:rsidRPr="1A8E6423">
        <w:rPr>
          <w:rFonts w:ascii="Arial" w:hAnsi="Arial" w:cs="Arial"/>
          <w:color w:val="000000" w:themeColor="text1"/>
          <w:sz w:val="20"/>
          <w:szCs w:val="20"/>
          <w:lang w:val="sr-Cyrl-RS"/>
        </w:rPr>
        <w:t>, укључујући планирање људских ресурса, анализу описа радних места, попуњавање радних места (нарочито</w:t>
      </w:r>
      <w:r w:rsidR="512CDFFD" w:rsidRPr="1A8E6423">
        <w:rPr>
          <w:rFonts w:ascii="Arial" w:hAnsi="Arial" w:cs="Arial"/>
          <w:color w:val="000000" w:themeColor="text1"/>
          <w:sz w:val="20"/>
          <w:szCs w:val="20"/>
          <w:lang w:val="sr-Cyrl-RS"/>
        </w:rPr>
        <w:t xml:space="preserve"> </w:t>
      </w:r>
      <w:r w:rsidR="00A644D6" w:rsidRPr="1A8E6423">
        <w:rPr>
          <w:rFonts w:ascii="Arial" w:hAnsi="Arial" w:cs="Arial"/>
          <w:color w:val="000000" w:themeColor="text1"/>
          <w:sz w:val="20"/>
          <w:szCs w:val="20"/>
          <w:lang w:val="sr-Cyrl-RS"/>
        </w:rPr>
        <w:t xml:space="preserve">у </w:t>
      </w:r>
      <w:r w:rsidRPr="1A8E6423">
        <w:rPr>
          <w:rFonts w:ascii="Arial" w:hAnsi="Arial" w:cs="Arial"/>
          <w:color w:val="000000" w:themeColor="text1"/>
          <w:sz w:val="20"/>
          <w:szCs w:val="20"/>
          <w:lang w:val="sr-Cyrl-RS"/>
        </w:rPr>
        <w:t xml:space="preserve">делу провере знања и одабира кандидата), распоређивање, мобилност и напредовање у служби, оцењивање и награђивање према заслугама, оријентисаност ка резултатима, напредовање, </w:t>
      </w:r>
      <w:r w:rsidR="37F32FB9" w:rsidRPr="1A8E6423">
        <w:rPr>
          <w:rFonts w:ascii="Arial" w:hAnsi="Arial" w:cs="Arial"/>
          <w:color w:val="000000" w:themeColor="text1"/>
          <w:sz w:val="20"/>
          <w:szCs w:val="20"/>
          <w:lang w:val="sr-Cyrl-RS"/>
        </w:rPr>
        <w:t xml:space="preserve">као и </w:t>
      </w:r>
      <w:r w:rsidRPr="1A8E6423">
        <w:rPr>
          <w:rFonts w:ascii="Arial" w:hAnsi="Arial" w:cs="Arial"/>
          <w:color w:val="000000" w:themeColor="text1"/>
          <w:sz w:val="20"/>
          <w:szCs w:val="20"/>
          <w:lang w:val="sr-Cyrl-RS"/>
        </w:rPr>
        <w:t xml:space="preserve">лични и каријерни развој запослених. Одређивањем неопходних компетенција не посматра се само </w:t>
      </w:r>
      <w:r w:rsidRPr="1A8E6423">
        <w:rPr>
          <w:rFonts w:ascii="Arial" w:hAnsi="Arial" w:cs="Arial"/>
          <w:color w:val="000000" w:themeColor="text1"/>
          <w:sz w:val="20"/>
          <w:szCs w:val="20"/>
          <w:lang w:val="sr-Cyrl-RS"/>
        </w:rPr>
        <w:lastRenderedPageBreak/>
        <w:t xml:space="preserve">понашање и поступање на радном месту у обављању свакодневних дужности и задатака, већ је акценат на резултатима и доприносу појединца </w:t>
      </w:r>
      <w:r w:rsidR="60008DD6" w:rsidRPr="1A8E6423">
        <w:rPr>
          <w:rFonts w:ascii="Arial" w:hAnsi="Arial" w:cs="Arial"/>
          <w:color w:val="000000" w:themeColor="text1"/>
          <w:sz w:val="20"/>
          <w:szCs w:val="20"/>
          <w:lang w:val="sr-Cyrl-RS"/>
        </w:rPr>
        <w:t xml:space="preserve">остваривању </w:t>
      </w:r>
      <w:r w:rsidRPr="1A8E6423">
        <w:rPr>
          <w:rFonts w:ascii="Arial" w:hAnsi="Arial" w:cs="Arial"/>
          <w:color w:val="000000" w:themeColor="text1"/>
          <w:sz w:val="20"/>
          <w:szCs w:val="20"/>
          <w:lang w:val="sr-Cyrl-RS"/>
        </w:rPr>
        <w:t xml:space="preserve">виших циљева организације. </w:t>
      </w:r>
      <w:r w:rsidR="23BFA427" w:rsidRPr="1A8E6423">
        <w:rPr>
          <w:rFonts w:ascii="Arial" w:hAnsi="Arial" w:cs="Arial"/>
          <w:color w:val="000000" w:themeColor="text1"/>
          <w:sz w:val="20"/>
          <w:szCs w:val="20"/>
          <w:lang w:val="sr-Cyrl-RS"/>
        </w:rPr>
        <w:t>Систем компетенција треба да помогне да се за свако радно место идентификује пожељно знање и вештине запослених, како би посао радили на најбољи могући начин. Такође, он треба да</w:t>
      </w:r>
      <w:r w:rsidR="512CDFFD" w:rsidRPr="1A8E6423">
        <w:rPr>
          <w:rFonts w:ascii="Arial" w:hAnsi="Arial" w:cs="Arial"/>
          <w:color w:val="000000" w:themeColor="text1"/>
          <w:sz w:val="20"/>
          <w:szCs w:val="20"/>
          <w:lang w:val="sr-Cyrl-RS"/>
        </w:rPr>
        <w:t xml:space="preserve"> </w:t>
      </w:r>
      <w:r w:rsidR="23BFA427" w:rsidRPr="1A8E6423">
        <w:rPr>
          <w:rFonts w:ascii="Arial" w:hAnsi="Arial" w:cs="Arial"/>
          <w:color w:val="000000" w:themeColor="text1"/>
          <w:sz w:val="20"/>
          <w:szCs w:val="20"/>
          <w:lang w:val="sr-Cyrl-RS"/>
        </w:rPr>
        <w:t>буд</w:t>
      </w:r>
      <w:r w:rsidR="64623B1C" w:rsidRPr="1A8E6423">
        <w:rPr>
          <w:rFonts w:ascii="Arial" w:hAnsi="Arial" w:cs="Arial"/>
          <w:color w:val="000000" w:themeColor="text1"/>
          <w:sz w:val="20"/>
          <w:szCs w:val="20"/>
          <w:lang w:val="sr-Cyrl-RS"/>
        </w:rPr>
        <w:t>е</w:t>
      </w:r>
      <w:r w:rsidR="23BFA427" w:rsidRPr="1A8E6423">
        <w:rPr>
          <w:rFonts w:ascii="Arial" w:hAnsi="Arial" w:cs="Arial"/>
          <w:color w:val="000000" w:themeColor="text1"/>
          <w:sz w:val="20"/>
          <w:szCs w:val="20"/>
          <w:lang w:val="sr-Cyrl-RS"/>
        </w:rPr>
        <w:t xml:space="preserve"> и основа за ефикасније и сврсисходније стручно усаврша</w:t>
      </w:r>
      <w:r w:rsidR="4565B653" w:rsidRPr="1A8E6423">
        <w:rPr>
          <w:rFonts w:ascii="Arial" w:hAnsi="Arial" w:cs="Arial"/>
          <w:color w:val="000000" w:themeColor="text1"/>
          <w:sz w:val="20"/>
          <w:szCs w:val="20"/>
          <w:lang w:val="sr-Cyrl-RS"/>
        </w:rPr>
        <w:t>ва</w:t>
      </w:r>
      <w:r w:rsidR="23BFA427" w:rsidRPr="1A8E6423">
        <w:rPr>
          <w:rFonts w:ascii="Arial" w:hAnsi="Arial" w:cs="Arial"/>
          <w:color w:val="000000" w:themeColor="text1"/>
          <w:sz w:val="20"/>
          <w:szCs w:val="20"/>
          <w:lang w:val="sr-Cyrl-RS"/>
        </w:rPr>
        <w:t xml:space="preserve">ње запослених </w:t>
      </w:r>
      <w:r w:rsidR="4C38CDF4" w:rsidRPr="1A8E6423">
        <w:rPr>
          <w:rFonts w:ascii="Arial" w:hAnsi="Arial" w:cs="Arial"/>
          <w:color w:val="000000" w:themeColor="text1"/>
          <w:sz w:val="20"/>
          <w:szCs w:val="20"/>
          <w:lang w:val="sr-Cyrl-RS"/>
        </w:rPr>
        <w:t xml:space="preserve">у </w:t>
      </w:r>
      <w:r w:rsidR="23BFA427" w:rsidRPr="1A8E6423">
        <w:rPr>
          <w:rFonts w:ascii="Arial" w:hAnsi="Arial" w:cs="Arial"/>
          <w:color w:val="000000" w:themeColor="text1"/>
          <w:sz w:val="20"/>
          <w:szCs w:val="20"/>
          <w:lang w:val="sr-Cyrl-RS"/>
        </w:rPr>
        <w:t>ЈЛС</w:t>
      </w:r>
      <w:r w:rsidR="59F34C1A" w:rsidRPr="1A8E6423">
        <w:rPr>
          <w:rFonts w:ascii="Arial" w:hAnsi="Arial" w:cs="Arial"/>
          <w:color w:val="000000" w:themeColor="text1"/>
          <w:sz w:val="20"/>
          <w:szCs w:val="20"/>
          <w:lang w:val="sr-Cyrl-RS"/>
        </w:rPr>
        <w:t>, посебно за израду програма стручног усавршавања</w:t>
      </w:r>
      <w:r w:rsidR="23BFA427"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Крајем 2019. године</w:t>
      </w:r>
      <w:r w:rsidR="4C38CDF4"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кроз већ поменуту сарадњу Савет</w:t>
      </w:r>
      <w:r w:rsidR="00A644D6"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Европе, МДУЛС и СКГО и уз финансијску подршку ЕУ, спроведена је анализа </w:t>
      </w:r>
      <w:r w:rsidR="4C38CDF4" w:rsidRPr="1A8E6423">
        <w:rPr>
          <w:rFonts w:ascii="Arial" w:hAnsi="Arial" w:cs="Arial"/>
          <w:color w:val="000000" w:themeColor="text1"/>
          <w:sz w:val="20"/>
          <w:szCs w:val="20"/>
          <w:lang w:val="sr-Cyrl-RS"/>
        </w:rPr>
        <w:t xml:space="preserve">примењивости </w:t>
      </w:r>
      <w:r w:rsidRPr="1A8E6423">
        <w:rPr>
          <w:rFonts w:ascii="Arial" w:hAnsi="Arial" w:cs="Arial"/>
          <w:color w:val="000000" w:themeColor="text1"/>
          <w:sz w:val="20"/>
          <w:szCs w:val="20"/>
          <w:lang w:val="sr-Cyrl-RS"/>
        </w:rPr>
        <w:t>систем</w:t>
      </w:r>
      <w:r w:rsidR="4C38CDF4"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компетенција на државном нивоу на локалну самоуправу. На основу овог истраживања, утврђено је да се оквир компетенција може применити на локалном нивоу власти, уз одређене измене и допуне ради прилагођавања потребама ЈЛС и њиховим надлежностима (изворни и поверени послови). Оквир понашајних компетенција, као и показатељи, могу се применити готово у потпуности</w:t>
      </w:r>
      <w:r w:rsidR="3E9E7AAF"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а уз одређено прил</w:t>
      </w:r>
      <w:r w:rsidR="3FBC676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г</w:t>
      </w:r>
      <w:r w:rsidR="3FBC6769" w:rsidRPr="1A8E6423">
        <w:rPr>
          <w:rFonts w:ascii="Arial" w:hAnsi="Arial" w:cs="Arial"/>
          <w:color w:val="000000" w:themeColor="text1"/>
          <w:sz w:val="20"/>
          <w:szCs w:val="20"/>
          <w:lang w:val="sr-Cyrl-RS"/>
        </w:rPr>
        <w:t>о</w:t>
      </w:r>
      <w:r w:rsidRPr="1A8E6423">
        <w:rPr>
          <w:rFonts w:ascii="Arial" w:hAnsi="Arial" w:cs="Arial"/>
          <w:color w:val="000000" w:themeColor="text1"/>
          <w:sz w:val="20"/>
          <w:szCs w:val="20"/>
          <w:lang w:val="sr-Cyrl-RS"/>
        </w:rPr>
        <w:t xml:space="preserve">ђавање и измене, могуће је применити и опште функционалне компетенције на локалном нивоу власти. </w:t>
      </w:r>
      <w:r w:rsidR="00A644D6" w:rsidRPr="1A8E6423">
        <w:rPr>
          <w:rFonts w:ascii="Arial" w:hAnsi="Arial" w:cs="Arial"/>
          <w:color w:val="000000" w:themeColor="text1"/>
          <w:sz w:val="20"/>
          <w:szCs w:val="20"/>
          <w:lang w:val="sr-Cyrl-RS"/>
        </w:rPr>
        <w:t>Ако се</w:t>
      </w:r>
      <w:r w:rsidRPr="1A8E6423">
        <w:rPr>
          <w:rFonts w:ascii="Arial" w:hAnsi="Arial" w:cs="Arial"/>
          <w:color w:val="000000" w:themeColor="text1"/>
          <w:sz w:val="20"/>
          <w:szCs w:val="20"/>
          <w:lang w:val="sr-Cyrl-RS"/>
        </w:rPr>
        <w:t xml:space="preserve"> све ово</w:t>
      </w:r>
      <w:r w:rsidR="00A644D6" w:rsidRPr="1A8E6423">
        <w:rPr>
          <w:rFonts w:ascii="Arial" w:hAnsi="Arial" w:cs="Arial"/>
          <w:color w:val="000000" w:themeColor="text1"/>
          <w:sz w:val="20"/>
          <w:szCs w:val="20"/>
          <w:lang w:val="sr-Cyrl-RS"/>
        </w:rPr>
        <w:t xml:space="preserve"> има</w:t>
      </w:r>
      <w:r w:rsidRPr="1A8E6423">
        <w:rPr>
          <w:rFonts w:ascii="Arial" w:hAnsi="Arial" w:cs="Arial"/>
          <w:color w:val="000000" w:themeColor="text1"/>
          <w:sz w:val="20"/>
          <w:szCs w:val="20"/>
          <w:lang w:val="sr-Cyrl-RS"/>
        </w:rPr>
        <w:t xml:space="preserve"> у виду, развој компетенција запослених у локалној самоуправи представља један од кључних корака у даљој реформи у овој области.</w:t>
      </w:r>
    </w:p>
    <w:p w14:paraId="6809EE4A" w14:textId="77777777" w:rsidR="001C7C2E" w:rsidRPr="00A021B7" w:rsidRDefault="001C7C2E" w:rsidP="1A8E6423">
      <w:pPr>
        <w:ind w:firstLine="720"/>
        <w:jc w:val="both"/>
        <w:rPr>
          <w:rFonts w:ascii="Arial" w:hAnsi="Arial" w:cs="Arial"/>
          <w:color w:val="000000" w:themeColor="text1"/>
          <w:sz w:val="20"/>
          <w:szCs w:val="20"/>
          <w:lang w:val="sr-Cyrl-RS"/>
        </w:rPr>
      </w:pPr>
    </w:p>
    <w:p w14:paraId="60077B07" w14:textId="72F62EE1" w:rsidR="001C7C2E" w:rsidRPr="00A021B7" w:rsidRDefault="001C7C2E"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Компетентни људи, било да су изабрани, постављени или запослени као службеници или намештеници, представљају </w:t>
      </w:r>
      <w:r w:rsidR="003205B2" w:rsidRPr="1A8E6423">
        <w:rPr>
          <w:rFonts w:ascii="Arial" w:hAnsi="Arial" w:cs="Arial"/>
          <w:sz w:val="20"/>
          <w:szCs w:val="20"/>
          <w:lang w:val="sr-Cyrl-RS"/>
        </w:rPr>
        <w:t>кључни ресурс и потенцијал</w:t>
      </w:r>
      <w:r w:rsidRPr="1A8E6423">
        <w:rPr>
          <w:rFonts w:ascii="Arial" w:hAnsi="Arial" w:cs="Arial"/>
          <w:sz w:val="20"/>
          <w:szCs w:val="20"/>
          <w:lang w:val="sr-Cyrl-RS"/>
        </w:rPr>
        <w:t xml:space="preserve"> система локалне самоуправе и сви остали аспекти реформе јавне управе зависе од </w:t>
      </w:r>
      <w:r w:rsidR="00D43475" w:rsidRPr="1A8E6423">
        <w:rPr>
          <w:rFonts w:ascii="Arial" w:hAnsi="Arial" w:cs="Arial"/>
          <w:sz w:val="20"/>
          <w:szCs w:val="20"/>
          <w:lang w:val="sr-Cyrl-RS"/>
        </w:rPr>
        <w:t xml:space="preserve">њихових </w:t>
      </w:r>
      <w:r w:rsidRPr="1A8E6423">
        <w:rPr>
          <w:rFonts w:ascii="Arial" w:hAnsi="Arial" w:cs="Arial"/>
          <w:sz w:val="20"/>
          <w:szCs w:val="20"/>
          <w:lang w:val="sr-Cyrl-RS"/>
        </w:rPr>
        <w:t>капацитета. Због тога је управљање људским ресурсима једна од основних функција локалне самоуправе и предуслов за даљу децентрализацију, бољу функционалну расподелу послова и надлежности, пружање квалитетнијих услуга грађанима и привреди, као и за адекватно позиционирање локалне самоуправе у систему јавне власти у Републици Србији.</w:t>
      </w:r>
    </w:p>
    <w:p w14:paraId="1A0795D6" w14:textId="77777777" w:rsidR="00852AD7" w:rsidRPr="00A021B7" w:rsidRDefault="00852AD7" w:rsidP="003E7BC9">
      <w:pPr>
        <w:jc w:val="both"/>
        <w:rPr>
          <w:rFonts w:ascii="Arial" w:hAnsi="Arial" w:cs="Arial"/>
          <w:sz w:val="20"/>
          <w:szCs w:val="20"/>
          <w:lang w:val="sr-Cyrl-RS"/>
        </w:rPr>
      </w:pPr>
    </w:p>
    <w:p w14:paraId="300BE180" w14:textId="77777777" w:rsidR="00CE205B" w:rsidRPr="00A021B7" w:rsidRDefault="00992F0F" w:rsidP="004935B9">
      <w:pPr>
        <w:pStyle w:val="Heading2"/>
        <w:rPr>
          <w:lang w:val="sr-Cyrl-RS"/>
        </w:rPr>
      </w:pPr>
      <w:bookmarkStart w:id="92" w:name="_Toc52865784"/>
      <w:bookmarkStart w:id="93" w:name="_Toc52866195"/>
      <w:bookmarkStart w:id="94" w:name="_Toc56508444"/>
      <w:bookmarkStart w:id="95" w:name="_Toc60136080"/>
      <w:r w:rsidRPr="00A021B7">
        <w:rPr>
          <w:lang w:val="sr-Cyrl-RS"/>
        </w:rPr>
        <w:t>IV.</w:t>
      </w:r>
      <w:r w:rsidR="002A0469" w:rsidRPr="00A021B7">
        <w:rPr>
          <w:lang w:val="sr-Cyrl-RS"/>
        </w:rPr>
        <w:t>7</w:t>
      </w:r>
      <w:r w:rsidRPr="00A021B7">
        <w:rPr>
          <w:lang w:val="sr-Cyrl-RS"/>
        </w:rPr>
        <w:t xml:space="preserve">. </w:t>
      </w:r>
      <w:r w:rsidR="00292BDE" w:rsidRPr="00A021B7">
        <w:rPr>
          <w:lang w:val="sr-Cyrl-RS"/>
        </w:rPr>
        <w:t>Добро управљање у систему локалне самоуправе</w:t>
      </w:r>
      <w:bookmarkEnd w:id="92"/>
      <w:bookmarkEnd w:id="93"/>
      <w:bookmarkEnd w:id="94"/>
      <w:bookmarkEnd w:id="95"/>
    </w:p>
    <w:p w14:paraId="52D6AC2A" w14:textId="77777777" w:rsidR="00992F0F" w:rsidRPr="00A021B7" w:rsidRDefault="00992F0F" w:rsidP="003E7BC9">
      <w:pPr>
        <w:jc w:val="both"/>
        <w:rPr>
          <w:rFonts w:ascii="Arial" w:hAnsi="Arial" w:cs="Arial"/>
          <w:b/>
          <w:bCs/>
          <w:sz w:val="20"/>
          <w:szCs w:val="20"/>
          <w:lang w:val="sr-Cyrl-RS"/>
        </w:rPr>
      </w:pPr>
    </w:p>
    <w:p w14:paraId="109797BC" w14:textId="2CABDE41" w:rsidR="00D90DB0" w:rsidRPr="00A021B7" w:rsidRDefault="5AE00B6F" w:rsidP="1A8E6423">
      <w:pPr>
        <w:ind w:firstLine="72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Последњих деценија, добро управљање </w:t>
      </w:r>
      <w:r w:rsidR="00FE409C" w:rsidRPr="1A8E6423">
        <w:rPr>
          <w:rFonts w:ascii="Arial" w:eastAsiaTheme="minorEastAsia" w:hAnsi="Arial" w:cs="Arial"/>
          <w:sz w:val="20"/>
          <w:szCs w:val="20"/>
          <w:lang w:val="sr-Cyrl-RS"/>
        </w:rPr>
        <w:t>је</w:t>
      </w:r>
      <w:r w:rsidRPr="1A8E6423">
        <w:rPr>
          <w:rFonts w:ascii="Arial" w:eastAsiaTheme="minorEastAsia" w:hAnsi="Arial" w:cs="Arial"/>
          <w:sz w:val="20"/>
          <w:szCs w:val="20"/>
          <w:lang w:val="sr-Cyrl-RS"/>
        </w:rPr>
        <w:t xml:space="preserve"> најутицајнија доктрина у области јавне управе</w:t>
      </w:r>
      <w:r w:rsidR="24B17EE2" w:rsidRPr="1A8E6423">
        <w:rPr>
          <w:rFonts w:ascii="Arial" w:eastAsiaTheme="minorEastAsia" w:hAnsi="Arial" w:cs="Arial"/>
          <w:sz w:val="20"/>
          <w:szCs w:val="20"/>
          <w:lang w:val="sr-Cyrl-RS"/>
        </w:rPr>
        <w:t>, као и читавог јавног сектора,</w:t>
      </w:r>
      <w:r w:rsidRPr="1A8E6423">
        <w:rPr>
          <w:rFonts w:ascii="Arial" w:eastAsiaTheme="minorEastAsia" w:hAnsi="Arial" w:cs="Arial"/>
          <w:sz w:val="20"/>
          <w:szCs w:val="20"/>
          <w:lang w:val="sr-Cyrl-RS"/>
        </w:rPr>
        <w:t xml:space="preserve"> која се суштински може свести на комбинацију демократског и делотворног управљања. У питању је више ванправни концепт (али не искључиво ванправни)</w:t>
      </w:r>
      <w:r w:rsidR="40A489F4"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примеренији документима јавних политика. Бројне међународне организације прате и обрађују ово питање у настојању да својим деловањем утичу на развој </w:t>
      </w:r>
      <w:r w:rsidR="40A489F4"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 xml:space="preserve">доброг управљања </w:t>
      </w:r>
      <w:r w:rsidR="7C265614" w:rsidRPr="1A8E6423">
        <w:rPr>
          <w:rFonts w:ascii="Arial" w:eastAsiaTheme="minorEastAsia" w:hAnsi="Arial" w:cs="Arial"/>
          <w:sz w:val="20"/>
          <w:szCs w:val="20"/>
          <w:lang w:val="sr-Cyrl-RS"/>
        </w:rPr>
        <w:t xml:space="preserve">на свим </w:t>
      </w:r>
      <w:r w:rsidRPr="1A8E6423">
        <w:rPr>
          <w:rFonts w:ascii="Arial" w:eastAsiaTheme="minorEastAsia" w:hAnsi="Arial" w:cs="Arial"/>
          <w:sz w:val="20"/>
          <w:szCs w:val="20"/>
          <w:lang w:val="sr-Cyrl-RS"/>
        </w:rPr>
        <w:t>ниво</w:t>
      </w:r>
      <w:r w:rsidR="7C265614" w:rsidRPr="1A8E6423">
        <w:rPr>
          <w:rFonts w:ascii="Arial" w:eastAsiaTheme="minorEastAsia" w:hAnsi="Arial" w:cs="Arial"/>
          <w:sz w:val="20"/>
          <w:szCs w:val="20"/>
          <w:lang w:val="sr-Cyrl-RS"/>
        </w:rPr>
        <w:t>им</w:t>
      </w:r>
      <w:r w:rsidRPr="1A8E6423">
        <w:rPr>
          <w:rFonts w:ascii="Arial" w:eastAsiaTheme="minorEastAsia" w:hAnsi="Arial" w:cs="Arial"/>
          <w:sz w:val="20"/>
          <w:szCs w:val="20"/>
          <w:lang w:val="sr-Cyrl-RS"/>
        </w:rPr>
        <w:t>а власти.</w:t>
      </w:r>
      <w:r w:rsidR="00D90DB0" w:rsidRPr="1A8E6423">
        <w:rPr>
          <w:rStyle w:val="FootnoteReference"/>
          <w:rFonts w:ascii="Arial" w:eastAsiaTheme="minorEastAsia" w:hAnsi="Arial" w:cs="Arial"/>
          <w:sz w:val="20"/>
          <w:szCs w:val="20"/>
          <w:lang w:val="sr-Cyrl-RS"/>
        </w:rPr>
        <w:footnoteReference w:id="103"/>
      </w:r>
      <w:r w:rsidRPr="1A8E6423">
        <w:rPr>
          <w:rFonts w:ascii="Arial" w:eastAsiaTheme="minorEastAsia" w:hAnsi="Arial" w:cs="Arial"/>
          <w:sz w:val="20"/>
          <w:szCs w:val="20"/>
          <w:lang w:val="sr-Cyrl-RS"/>
        </w:rPr>
        <w:t xml:space="preserve"> </w:t>
      </w:r>
      <w:r w:rsidR="7C265614"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 xml:space="preserve">доброг управљања у локалној самоуправи најдетаљније су </w:t>
      </w:r>
      <w:r w:rsidR="7C265614" w:rsidRPr="1A8E6423">
        <w:rPr>
          <w:rFonts w:ascii="Arial" w:eastAsiaTheme="minorEastAsia" w:hAnsi="Arial" w:cs="Arial"/>
          <w:sz w:val="20"/>
          <w:szCs w:val="20"/>
          <w:lang w:val="sr-Cyrl-RS"/>
        </w:rPr>
        <w:t xml:space="preserve">разрађена </w:t>
      </w:r>
      <w:r w:rsidRPr="1A8E6423">
        <w:rPr>
          <w:rFonts w:ascii="Arial" w:eastAsiaTheme="minorEastAsia" w:hAnsi="Arial" w:cs="Arial"/>
          <w:sz w:val="20"/>
          <w:szCs w:val="20"/>
          <w:lang w:val="sr-Cyrl-RS"/>
        </w:rPr>
        <w:t>у оквиру Савета Европе</w:t>
      </w:r>
      <w:r w:rsidR="17B997E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који је усвојио Стратегију за иновацију и добро управљање на локалном нивоу</w:t>
      </w:r>
      <w:r w:rsidR="00FE409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која предвиђа 12 </w:t>
      </w:r>
      <w:r w:rsidR="17B997EC"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доброг управљања на локалном нивоу</w:t>
      </w:r>
      <w:r w:rsidR="17B997EC" w:rsidRPr="1A8E6423">
        <w:rPr>
          <w:rFonts w:ascii="Arial" w:eastAsiaTheme="minorEastAsia" w:hAnsi="Arial" w:cs="Arial"/>
          <w:sz w:val="20"/>
          <w:szCs w:val="20"/>
          <w:lang w:val="sr-Cyrl-RS"/>
        </w:rPr>
        <w:t>.</w:t>
      </w:r>
      <w:r w:rsidR="00D90DB0" w:rsidRPr="1A8E6423">
        <w:rPr>
          <w:rStyle w:val="FootnoteReference"/>
          <w:rFonts w:ascii="Arial" w:eastAsiaTheme="minorEastAsia" w:hAnsi="Arial" w:cs="Arial"/>
          <w:sz w:val="20"/>
          <w:szCs w:val="20"/>
          <w:lang w:val="sr-Cyrl-RS"/>
        </w:rPr>
        <w:footnoteReference w:id="104"/>
      </w:r>
      <w:r w:rsidRPr="1A8E6423">
        <w:rPr>
          <w:rFonts w:ascii="Arial" w:eastAsiaTheme="minorEastAsia" w:hAnsi="Arial" w:cs="Arial"/>
          <w:sz w:val="20"/>
          <w:szCs w:val="20"/>
          <w:lang w:val="sr-Cyrl-RS"/>
        </w:rPr>
        <w:t xml:space="preserve"> Са друге стране, добра управа је правни концепт који се развијао у оквиру различитих европских тела и организација. Најзначајнији документи којима је одређена садржина овог појма су Европска конвенција о људским правима из 1950. године, Повеља о основним правима Европске уније из 2000. године и</w:t>
      </w:r>
      <w:r w:rsidR="00FE409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можда најзначајнији међу њима </w:t>
      </w:r>
      <w:r w:rsidR="00FE409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Европски кодекс доброг управног понашања из 2005. године. </w:t>
      </w:r>
      <w:r w:rsidR="241A227D"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 xml:space="preserve">добре управе можемо сагледати као минимум стандарда </w:t>
      </w:r>
      <w:r w:rsidR="00FE409C" w:rsidRPr="1A8E6423">
        <w:rPr>
          <w:rFonts w:ascii="Arial" w:eastAsiaTheme="minorEastAsia" w:hAnsi="Arial" w:cs="Arial"/>
          <w:sz w:val="20"/>
          <w:szCs w:val="20"/>
          <w:lang w:val="sr-Cyrl-RS"/>
        </w:rPr>
        <w:t xml:space="preserve">за </w:t>
      </w:r>
      <w:r w:rsidRPr="1A8E6423">
        <w:rPr>
          <w:rFonts w:ascii="Arial" w:eastAsiaTheme="minorEastAsia" w:hAnsi="Arial" w:cs="Arial"/>
          <w:sz w:val="20"/>
          <w:szCs w:val="20"/>
          <w:lang w:val="sr-Cyrl-RS"/>
        </w:rPr>
        <w:t xml:space="preserve">деловање јавне управе, које </w:t>
      </w:r>
      <w:r w:rsidR="241A227D"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 xml:space="preserve">доброг управљања потом надграђују. Кршење </w:t>
      </w:r>
      <w:r w:rsidR="241A227D"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 xml:space="preserve">добре управе јесте супротно закону, док се непоштовање </w:t>
      </w:r>
      <w:r w:rsidR="241A227D"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доброг управљања првенствено карактерише као нелегитимно, не увек и као незаконито, у зависности од степена њиховог нормирања и кодификације.</w:t>
      </w:r>
    </w:p>
    <w:p w14:paraId="22A4BDEC"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2516CA2C" w14:textId="13254AA2" w:rsidR="007D1B02" w:rsidRPr="00A021B7" w:rsidRDefault="00D90DB0" w:rsidP="1A8E6423">
      <w:pPr>
        <w:ind w:firstLine="720"/>
        <w:contextualSpacing/>
        <w:jc w:val="both"/>
        <w:rPr>
          <w:rFonts w:ascii="Arial" w:hAnsi="Arial" w:cs="Arial"/>
          <w:sz w:val="20"/>
          <w:szCs w:val="20"/>
          <w:lang w:val="sr-Cyrl-RS"/>
        </w:rPr>
      </w:pPr>
      <w:r w:rsidRPr="1A8E6423">
        <w:rPr>
          <w:rFonts w:ascii="Arial" w:eastAsiaTheme="minorEastAsia" w:hAnsi="Arial" w:cs="Arial"/>
          <w:sz w:val="20"/>
          <w:szCs w:val="20"/>
          <w:lang w:val="sr-Cyrl-RS"/>
        </w:rPr>
        <w:t xml:space="preserve">У Републици Србији добро управљање јавља се у различитим документима </w:t>
      </w:r>
      <w:r w:rsidR="00C82F8A" w:rsidRPr="1A8E6423">
        <w:rPr>
          <w:rFonts w:ascii="Arial" w:eastAsiaTheme="minorEastAsia" w:hAnsi="Arial" w:cs="Arial"/>
          <w:sz w:val="20"/>
          <w:szCs w:val="20"/>
          <w:lang w:val="sr-Cyrl-RS"/>
        </w:rPr>
        <w:t>јавне политике</w:t>
      </w:r>
      <w:r w:rsidRPr="1A8E6423">
        <w:rPr>
          <w:rFonts w:ascii="Arial" w:eastAsiaTheme="minorEastAsia" w:hAnsi="Arial" w:cs="Arial"/>
          <w:sz w:val="20"/>
          <w:szCs w:val="20"/>
          <w:lang w:val="sr-Cyrl-RS"/>
        </w:rPr>
        <w:t xml:space="preserve">. Први пут се концепт доброг управљања појављује 2004. године, у Стратегији реформе државне управе (али под </w:t>
      </w:r>
      <w:r w:rsidR="00C82F8A" w:rsidRPr="1A8E6423">
        <w:rPr>
          <w:rFonts w:ascii="Arial" w:eastAsiaTheme="minorEastAsia" w:hAnsi="Arial" w:cs="Arial"/>
          <w:sz w:val="20"/>
          <w:szCs w:val="20"/>
          <w:lang w:val="sr-Cyrl-RS"/>
        </w:rPr>
        <w:t xml:space="preserve">архаичним </w:t>
      </w:r>
      <w:r w:rsidRPr="1A8E6423">
        <w:rPr>
          <w:rFonts w:ascii="Arial" w:eastAsiaTheme="minorEastAsia" w:hAnsi="Arial" w:cs="Arial"/>
          <w:sz w:val="20"/>
          <w:szCs w:val="20"/>
          <w:lang w:val="sr-Cyrl-RS"/>
        </w:rPr>
        <w:t>називом „добра владавина</w:t>
      </w:r>
      <w:r w:rsidR="0074037A"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а </w:t>
      </w:r>
      <w:r w:rsidR="002A7154" w:rsidRPr="1A8E6423">
        <w:rPr>
          <w:rFonts w:ascii="Arial" w:eastAsiaTheme="minorEastAsia" w:hAnsi="Arial" w:cs="Arial"/>
          <w:sz w:val="20"/>
          <w:szCs w:val="20"/>
          <w:lang w:val="sr-Cyrl-RS"/>
        </w:rPr>
        <w:t xml:space="preserve">10 </w:t>
      </w:r>
      <w:r w:rsidRPr="1A8E6423">
        <w:rPr>
          <w:rFonts w:ascii="Arial" w:eastAsiaTheme="minorEastAsia" w:hAnsi="Arial" w:cs="Arial"/>
          <w:sz w:val="20"/>
          <w:szCs w:val="20"/>
          <w:lang w:val="sr-Cyrl-RS"/>
        </w:rPr>
        <w:t>година касније</w:t>
      </w:r>
      <w:r w:rsidR="002A7154"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2014. године</w:t>
      </w:r>
      <w:r w:rsidR="002A7154"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w:t>
      </w:r>
      <w:r w:rsidR="002A7154" w:rsidRPr="1A8E6423">
        <w:rPr>
          <w:rFonts w:ascii="Arial" w:eastAsiaTheme="minorEastAsia" w:hAnsi="Arial" w:cs="Arial"/>
          <w:sz w:val="20"/>
          <w:szCs w:val="20"/>
          <w:lang w:val="sr-Cyrl-RS"/>
        </w:rPr>
        <w:t xml:space="preserve">ова начела </w:t>
      </w:r>
      <w:r w:rsidRPr="1A8E6423">
        <w:rPr>
          <w:rFonts w:ascii="Arial" w:eastAsiaTheme="minorEastAsia" w:hAnsi="Arial" w:cs="Arial"/>
          <w:sz w:val="20"/>
          <w:szCs w:val="20"/>
          <w:lang w:val="sr-Cyrl-RS"/>
        </w:rPr>
        <w:t xml:space="preserve">издвајају се као </w:t>
      </w:r>
      <w:r w:rsidR="00841D35" w:rsidRPr="1A8E6423">
        <w:rPr>
          <w:rFonts w:ascii="Arial" w:eastAsiaTheme="minorEastAsia" w:hAnsi="Arial" w:cs="Arial"/>
          <w:sz w:val="20"/>
          <w:szCs w:val="20"/>
          <w:lang w:val="sr-Cyrl-RS"/>
        </w:rPr>
        <w:t xml:space="preserve">кључна начела </w:t>
      </w:r>
      <w:r w:rsidRPr="1A8E6423">
        <w:rPr>
          <w:rFonts w:ascii="Arial" w:eastAsiaTheme="minorEastAsia" w:hAnsi="Arial" w:cs="Arial"/>
          <w:sz w:val="20"/>
          <w:szCs w:val="20"/>
          <w:lang w:val="sr-Cyrl-RS"/>
        </w:rPr>
        <w:t xml:space="preserve">на којима се заснива реформа државне управе у Србији. </w:t>
      </w:r>
      <w:r w:rsidR="00841D35" w:rsidRPr="1A8E6423">
        <w:rPr>
          <w:rFonts w:ascii="Arial" w:eastAsiaTheme="minorEastAsia" w:hAnsi="Arial" w:cs="Arial"/>
          <w:sz w:val="20"/>
          <w:szCs w:val="20"/>
          <w:lang w:val="sr-Cyrl-RS"/>
        </w:rPr>
        <w:t xml:space="preserve">Начела </w:t>
      </w:r>
      <w:r w:rsidRPr="1A8E6423">
        <w:rPr>
          <w:rFonts w:ascii="Arial" w:hAnsi="Arial" w:cs="Arial"/>
          <w:sz w:val="20"/>
          <w:szCs w:val="20"/>
          <w:lang w:val="sr-Cyrl-RS"/>
        </w:rPr>
        <w:t xml:space="preserve">које </w:t>
      </w:r>
      <w:r w:rsidR="00841D35" w:rsidRPr="1A8E6423">
        <w:rPr>
          <w:rFonts w:ascii="Arial" w:hAnsi="Arial" w:cs="Arial"/>
          <w:sz w:val="20"/>
          <w:szCs w:val="20"/>
          <w:lang w:val="sr-Cyrl-RS"/>
        </w:rPr>
        <w:t xml:space="preserve">препознаје </w:t>
      </w:r>
      <w:r w:rsidRPr="1A8E6423">
        <w:rPr>
          <w:rFonts w:ascii="Arial" w:hAnsi="Arial" w:cs="Arial"/>
          <w:sz w:val="20"/>
          <w:szCs w:val="20"/>
          <w:lang w:val="sr-Cyrl-RS"/>
        </w:rPr>
        <w:t>Стратегија су:</w:t>
      </w:r>
    </w:p>
    <w:p w14:paraId="7656BFBD" w14:textId="77777777" w:rsidR="006B550D" w:rsidRPr="00A021B7" w:rsidRDefault="006B550D" w:rsidP="003E7BC9">
      <w:pPr>
        <w:contextualSpacing/>
        <w:jc w:val="both"/>
        <w:rPr>
          <w:rFonts w:ascii="Arial" w:hAnsi="Arial" w:cs="Arial"/>
          <w:sz w:val="20"/>
          <w:szCs w:val="20"/>
          <w:lang w:val="sr-Cyrl-RS"/>
        </w:rPr>
      </w:pPr>
    </w:p>
    <w:p w14:paraId="7906B9FB" w14:textId="77777777" w:rsidR="00D90DB0" w:rsidRPr="00A021B7" w:rsidRDefault="00AB06D9" w:rsidP="00A57E7E">
      <w:pPr>
        <w:pStyle w:val="ListParagraph"/>
        <w:numPr>
          <w:ilvl w:val="0"/>
          <w:numId w:val="4"/>
        </w:numPr>
        <w:jc w:val="both"/>
        <w:rPr>
          <w:rFonts w:ascii="Arial" w:hAnsi="Arial" w:cs="Arial"/>
          <w:sz w:val="20"/>
          <w:szCs w:val="20"/>
          <w:lang w:val="sr-Cyrl-RS"/>
        </w:rPr>
      </w:pPr>
      <w:r w:rsidRPr="00A021B7">
        <w:rPr>
          <w:rFonts w:ascii="Arial" w:hAnsi="Arial" w:cs="Arial"/>
          <w:sz w:val="20"/>
          <w:szCs w:val="20"/>
          <w:lang w:val="sr-Cyrl-RS"/>
        </w:rPr>
        <w:t xml:space="preserve">правна </w:t>
      </w:r>
      <w:r w:rsidR="00D90DB0" w:rsidRPr="00A021B7">
        <w:rPr>
          <w:rFonts w:ascii="Arial" w:hAnsi="Arial" w:cs="Arial"/>
          <w:sz w:val="20"/>
          <w:szCs w:val="20"/>
          <w:lang w:val="sr-Cyrl-RS"/>
        </w:rPr>
        <w:t>сигурност</w:t>
      </w:r>
      <w:r w:rsidRPr="00A021B7">
        <w:rPr>
          <w:rFonts w:ascii="Arial" w:hAnsi="Arial" w:cs="Arial"/>
          <w:sz w:val="20"/>
          <w:szCs w:val="20"/>
          <w:lang w:val="sr-Cyrl-RS"/>
        </w:rPr>
        <w:t>,</w:t>
      </w:r>
    </w:p>
    <w:p w14:paraId="1219C9FF" w14:textId="77777777" w:rsidR="00D90DB0" w:rsidRPr="00A021B7" w:rsidRDefault="00AB06D9" w:rsidP="00A57E7E">
      <w:pPr>
        <w:pStyle w:val="ListParagraph"/>
        <w:numPr>
          <w:ilvl w:val="0"/>
          <w:numId w:val="4"/>
        </w:numPr>
        <w:jc w:val="both"/>
        <w:rPr>
          <w:rFonts w:ascii="Arial" w:hAnsi="Arial" w:cs="Arial"/>
          <w:sz w:val="20"/>
          <w:szCs w:val="20"/>
          <w:lang w:val="sr-Cyrl-RS"/>
        </w:rPr>
      </w:pPr>
      <w:r w:rsidRPr="00A021B7">
        <w:rPr>
          <w:rFonts w:ascii="Arial" w:hAnsi="Arial" w:cs="Arial"/>
          <w:sz w:val="20"/>
          <w:szCs w:val="20"/>
          <w:lang w:val="sr-Cyrl-RS"/>
        </w:rPr>
        <w:t xml:space="preserve">транспарентност </w:t>
      </w:r>
      <w:r w:rsidR="00D90DB0" w:rsidRPr="00A021B7">
        <w:rPr>
          <w:rFonts w:ascii="Arial" w:hAnsi="Arial" w:cs="Arial"/>
          <w:sz w:val="20"/>
          <w:szCs w:val="20"/>
          <w:lang w:val="sr-Cyrl-RS"/>
        </w:rPr>
        <w:t>(отвореност) и партиципација</w:t>
      </w:r>
      <w:r w:rsidRPr="00A021B7">
        <w:rPr>
          <w:rFonts w:ascii="Arial" w:hAnsi="Arial" w:cs="Arial"/>
          <w:sz w:val="20"/>
          <w:szCs w:val="20"/>
          <w:lang w:val="sr-Cyrl-RS"/>
        </w:rPr>
        <w:t xml:space="preserve"> (учешће),</w:t>
      </w:r>
    </w:p>
    <w:p w14:paraId="02670033" w14:textId="77777777" w:rsidR="00D90DB0" w:rsidRPr="00A021B7" w:rsidRDefault="00AB06D9" w:rsidP="00A57E7E">
      <w:pPr>
        <w:pStyle w:val="ListParagraph"/>
        <w:numPr>
          <w:ilvl w:val="0"/>
          <w:numId w:val="4"/>
        </w:numPr>
        <w:jc w:val="both"/>
        <w:rPr>
          <w:rFonts w:ascii="Arial" w:hAnsi="Arial" w:cs="Arial"/>
          <w:sz w:val="20"/>
          <w:szCs w:val="20"/>
          <w:lang w:val="sr-Cyrl-RS"/>
        </w:rPr>
      </w:pPr>
      <w:r w:rsidRPr="00A021B7">
        <w:rPr>
          <w:rFonts w:ascii="Arial" w:hAnsi="Arial" w:cs="Arial"/>
          <w:sz w:val="20"/>
          <w:szCs w:val="20"/>
          <w:lang w:val="sr-Cyrl-RS"/>
        </w:rPr>
        <w:t>одговорност и</w:t>
      </w:r>
    </w:p>
    <w:p w14:paraId="447F5FB9" w14:textId="77777777" w:rsidR="00D90DB0" w:rsidRPr="00A021B7" w:rsidRDefault="00AB06D9" w:rsidP="00A57E7E">
      <w:pPr>
        <w:pStyle w:val="ListParagraph"/>
        <w:numPr>
          <w:ilvl w:val="0"/>
          <w:numId w:val="4"/>
        </w:numPr>
        <w:jc w:val="both"/>
        <w:rPr>
          <w:rFonts w:ascii="Arial" w:hAnsi="Arial" w:cs="Arial"/>
          <w:sz w:val="20"/>
          <w:szCs w:val="20"/>
          <w:lang w:val="sr-Cyrl-RS"/>
        </w:rPr>
      </w:pPr>
      <w:r w:rsidRPr="00A021B7">
        <w:rPr>
          <w:rFonts w:ascii="Arial" w:hAnsi="Arial" w:cs="Arial"/>
          <w:sz w:val="20"/>
          <w:szCs w:val="20"/>
          <w:lang w:val="sr-Cyrl-RS"/>
        </w:rPr>
        <w:t xml:space="preserve">ефикасност </w:t>
      </w:r>
      <w:r w:rsidR="00D90DB0" w:rsidRPr="00A021B7">
        <w:rPr>
          <w:rFonts w:ascii="Arial" w:hAnsi="Arial" w:cs="Arial"/>
          <w:sz w:val="20"/>
          <w:szCs w:val="20"/>
          <w:lang w:val="sr-Cyrl-RS"/>
        </w:rPr>
        <w:t>и делотворност</w:t>
      </w:r>
      <w:r w:rsidRPr="00A021B7">
        <w:rPr>
          <w:rFonts w:ascii="Arial" w:hAnsi="Arial" w:cs="Arial"/>
          <w:sz w:val="20"/>
          <w:szCs w:val="20"/>
          <w:lang w:val="sr-Cyrl-RS"/>
        </w:rPr>
        <w:t>.</w:t>
      </w:r>
    </w:p>
    <w:p w14:paraId="658802B7" w14:textId="77777777" w:rsidR="00353B41" w:rsidRPr="00A021B7" w:rsidRDefault="00353B41" w:rsidP="003E7BC9">
      <w:pPr>
        <w:pStyle w:val="ListParagraph"/>
        <w:jc w:val="both"/>
        <w:rPr>
          <w:rFonts w:ascii="Arial" w:hAnsi="Arial" w:cs="Arial"/>
          <w:sz w:val="20"/>
          <w:szCs w:val="20"/>
          <w:lang w:val="sr-Cyrl-RS"/>
        </w:rPr>
      </w:pPr>
    </w:p>
    <w:p w14:paraId="2DDD1467" w14:textId="28F6D207" w:rsidR="00D90DB0" w:rsidRPr="00A021B7" w:rsidRDefault="00D90DB0" w:rsidP="1A8E6423">
      <w:pPr>
        <w:ind w:firstLine="81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Када је у питању </w:t>
      </w:r>
      <w:r w:rsidR="006B550D" w:rsidRPr="1A8E6423">
        <w:rPr>
          <w:rFonts w:ascii="Arial" w:eastAsiaTheme="minorEastAsia" w:hAnsi="Arial" w:cs="Arial"/>
          <w:sz w:val="20"/>
          <w:szCs w:val="20"/>
          <w:lang w:val="sr-Cyrl-RS"/>
        </w:rPr>
        <w:t>наш</w:t>
      </w:r>
      <w:r w:rsidRPr="1A8E6423">
        <w:rPr>
          <w:rFonts w:ascii="Arial" w:eastAsiaTheme="minorEastAsia" w:hAnsi="Arial" w:cs="Arial"/>
          <w:sz w:val="20"/>
          <w:szCs w:val="20"/>
          <w:lang w:val="sr-Cyrl-RS"/>
        </w:rPr>
        <w:t xml:space="preserve"> правни систем и примена </w:t>
      </w:r>
      <w:r w:rsidR="00090432"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 xml:space="preserve">доброг управљања, најпре треба истаћи уставне гаранције владавине права, правне државе, забрану дискриминације, заштиту људских и мањинских права, </w:t>
      </w:r>
      <w:r w:rsidR="00090432" w:rsidRPr="1A8E6423">
        <w:rPr>
          <w:rFonts w:ascii="Arial" w:eastAsiaTheme="minorEastAsia" w:hAnsi="Arial" w:cs="Arial"/>
          <w:sz w:val="20"/>
          <w:szCs w:val="20"/>
          <w:lang w:val="sr-Cyrl-RS"/>
        </w:rPr>
        <w:t xml:space="preserve">права </w:t>
      </w:r>
      <w:r w:rsidRPr="1A8E6423">
        <w:rPr>
          <w:rFonts w:ascii="Arial" w:eastAsiaTheme="minorEastAsia" w:hAnsi="Arial" w:cs="Arial"/>
          <w:sz w:val="20"/>
          <w:szCs w:val="20"/>
          <w:lang w:val="sr-Cyrl-RS"/>
        </w:rPr>
        <w:t xml:space="preserve">грађана на учешће у управљању јавним пословима и </w:t>
      </w:r>
      <w:r w:rsidR="00090432"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законитости и сразмерности.</w:t>
      </w:r>
    </w:p>
    <w:p w14:paraId="156478CE" w14:textId="77777777" w:rsidR="00D90DB0" w:rsidRPr="00A021B7" w:rsidRDefault="00D90DB0" w:rsidP="1A8E6423">
      <w:pPr>
        <w:ind w:firstLine="810"/>
        <w:contextualSpacing/>
        <w:jc w:val="both"/>
        <w:rPr>
          <w:rFonts w:ascii="Arial" w:eastAsiaTheme="minorEastAsia" w:hAnsi="Arial" w:cs="Arial"/>
          <w:sz w:val="20"/>
          <w:szCs w:val="20"/>
          <w:lang w:val="sr-Cyrl-RS"/>
        </w:rPr>
      </w:pPr>
    </w:p>
    <w:p w14:paraId="4A7B31F4" w14:textId="167E8427" w:rsidR="00D90DB0" w:rsidRPr="00A021B7" w:rsidRDefault="00D90DB0" w:rsidP="1A8E6423">
      <w:pPr>
        <w:ind w:firstLine="81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У вези са локалном самоуправом</w:t>
      </w:r>
      <w:r w:rsidR="00090432"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свакако су најважнији прописи који уређују овај систем</w:t>
      </w:r>
      <w:r w:rsidR="00B02C91"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као што су: </w:t>
      </w:r>
      <w:r w:rsidR="00B02C91" w:rsidRPr="1A8E6423">
        <w:rPr>
          <w:rFonts w:ascii="Arial" w:eastAsiaTheme="minorEastAsia" w:hAnsi="Arial" w:cs="Arial"/>
          <w:sz w:val="20"/>
          <w:szCs w:val="20"/>
          <w:lang w:val="sr-Cyrl-RS"/>
        </w:rPr>
        <w:t xml:space="preserve">ЗЛС </w:t>
      </w:r>
      <w:r w:rsidRPr="1A8E6423">
        <w:rPr>
          <w:rFonts w:ascii="Arial" w:eastAsiaTheme="minorEastAsia" w:hAnsi="Arial" w:cs="Arial"/>
          <w:sz w:val="20"/>
          <w:szCs w:val="20"/>
          <w:lang w:val="sr-Cyrl-RS"/>
        </w:rPr>
        <w:t xml:space="preserve">(којим се регулише низ питања – транспарентност рада, </w:t>
      </w:r>
      <w:r w:rsidR="00A7671E" w:rsidRPr="1A8E6423">
        <w:rPr>
          <w:rFonts w:ascii="Arial" w:eastAsiaTheme="minorEastAsia" w:hAnsi="Arial" w:cs="Arial"/>
          <w:sz w:val="20"/>
          <w:szCs w:val="20"/>
          <w:lang w:val="sr-Cyrl-RS"/>
        </w:rPr>
        <w:t xml:space="preserve">учешће </w:t>
      </w:r>
      <w:r w:rsidRPr="1A8E6423">
        <w:rPr>
          <w:rFonts w:ascii="Arial" w:eastAsiaTheme="minorEastAsia" w:hAnsi="Arial" w:cs="Arial"/>
          <w:sz w:val="20"/>
          <w:szCs w:val="20"/>
          <w:lang w:val="sr-Cyrl-RS"/>
        </w:rPr>
        <w:t xml:space="preserve">грађана у раду локалне самоуправе, укључивање националних мањина у </w:t>
      </w:r>
      <w:r w:rsidR="00D45BA4" w:rsidRPr="1A8E6423">
        <w:rPr>
          <w:rFonts w:ascii="Arial" w:eastAsiaTheme="minorEastAsia" w:hAnsi="Arial" w:cs="Arial"/>
          <w:sz w:val="20"/>
          <w:szCs w:val="20"/>
          <w:lang w:val="sr-Cyrl-RS"/>
        </w:rPr>
        <w:t xml:space="preserve">њен </w:t>
      </w:r>
      <w:r w:rsidRPr="1A8E6423">
        <w:rPr>
          <w:rFonts w:ascii="Arial" w:eastAsiaTheme="minorEastAsia" w:hAnsi="Arial" w:cs="Arial"/>
          <w:sz w:val="20"/>
          <w:szCs w:val="20"/>
          <w:lang w:val="sr-Cyrl-RS"/>
        </w:rPr>
        <w:t>рад, подел</w:t>
      </w:r>
      <w:r w:rsidR="00C73231" w:rsidRPr="1A8E6423">
        <w:rPr>
          <w:rFonts w:ascii="Arial" w:eastAsiaTheme="minorEastAsia" w:hAnsi="Arial" w:cs="Arial"/>
          <w:sz w:val="20"/>
          <w:szCs w:val="20"/>
          <w:lang w:val="sr-Cyrl-RS"/>
        </w:rPr>
        <w:t>а</w:t>
      </w:r>
      <w:r w:rsidRPr="1A8E6423">
        <w:rPr>
          <w:rFonts w:ascii="Arial" w:eastAsiaTheme="minorEastAsia" w:hAnsi="Arial" w:cs="Arial"/>
          <w:sz w:val="20"/>
          <w:szCs w:val="20"/>
          <w:lang w:val="sr-Cyrl-RS"/>
        </w:rPr>
        <w:t xml:space="preserve"> одговорности, контрол</w:t>
      </w:r>
      <w:r w:rsidR="00C73231" w:rsidRPr="1A8E6423">
        <w:rPr>
          <w:rFonts w:ascii="Arial" w:eastAsiaTheme="minorEastAsia" w:hAnsi="Arial" w:cs="Arial"/>
          <w:sz w:val="20"/>
          <w:szCs w:val="20"/>
          <w:lang w:val="sr-Cyrl-RS"/>
        </w:rPr>
        <w:t>а</w:t>
      </w:r>
      <w:r w:rsidRPr="1A8E6423">
        <w:rPr>
          <w:rFonts w:ascii="Arial" w:eastAsiaTheme="minorEastAsia" w:hAnsi="Arial" w:cs="Arial"/>
          <w:sz w:val="20"/>
          <w:szCs w:val="20"/>
          <w:lang w:val="sr-Cyrl-RS"/>
        </w:rPr>
        <w:t xml:space="preserve"> рада локалних органа и друга питања), Закон о референдуму и народној иницијативи (који уређује спровођење ова два најзначајнија </w:t>
      </w:r>
      <w:r w:rsidRPr="004826D6">
        <w:rPr>
          <w:rFonts w:ascii="Arial" w:eastAsiaTheme="minorEastAsia" w:hAnsi="Arial" w:cs="Arial"/>
          <w:sz w:val="20"/>
          <w:szCs w:val="20"/>
          <w:lang w:val="sr-Cyrl-RS"/>
        </w:rPr>
        <w:t>облика директног учешћ</w:t>
      </w:r>
      <w:r w:rsidR="00960F25" w:rsidRPr="004826D6">
        <w:rPr>
          <w:rFonts w:ascii="Arial" w:eastAsiaTheme="minorEastAsia" w:hAnsi="Arial" w:cs="Arial"/>
          <w:sz w:val="20"/>
          <w:szCs w:val="20"/>
          <w:lang w:val="sr-Cyrl-RS"/>
        </w:rPr>
        <w:t>а</w:t>
      </w:r>
      <w:r w:rsidRPr="004826D6">
        <w:rPr>
          <w:rFonts w:ascii="Arial" w:eastAsiaTheme="minorEastAsia" w:hAnsi="Arial" w:cs="Arial"/>
          <w:sz w:val="20"/>
          <w:szCs w:val="20"/>
          <w:lang w:val="sr-Cyrl-RS"/>
        </w:rPr>
        <w:t xml:space="preserve"> грађана у вршењу јавних послова), </w:t>
      </w:r>
      <w:r w:rsidR="006247FB" w:rsidRPr="004826D6">
        <w:rPr>
          <w:rFonts w:ascii="Arial" w:eastAsiaTheme="minorEastAsia" w:hAnsi="Arial" w:cs="Arial"/>
          <w:sz w:val="20"/>
          <w:szCs w:val="20"/>
          <w:lang w:val="sr-Cyrl-RS"/>
        </w:rPr>
        <w:t>Закон о управном поступку (</w:t>
      </w:r>
      <w:r w:rsidR="00C73231" w:rsidRPr="004826D6">
        <w:rPr>
          <w:rFonts w:ascii="Arial" w:eastAsiaTheme="minorEastAsia" w:hAnsi="Arial" w:cs="Arial"/>
          <w:sz w:val="20"/>
          <w:szCs w:val="20"/>
          <w:lang w:val="sr-Cyrl-RS"/>
        </w:rPr>
        <w:t xml:space="preserve">који уређује </w:t>
      </w:r>
      <w:r w:rsidR="006247FB" w:rsidRPr="004826D6">
        <w:rPr>
          <w:rFonts w:ascii="Arial" w:eastAsiaTheme="minorEastAsia" w:hAnsi="Arial" w:cs="Arial"/>
          <w:sz w:val="20"/>
          <w:szCs w:val="20"/>
          <w:lang w:val="sr-Cyrl-RS"/>
        </w:rPr>
        <w:t>низ питања као што су заштита права, делотворност, економичност, предвидивост),</w:t>
      </w:r>
      <w:r w:rsidR="004D5004" w:rsidRPr="004826D6">
        <w:rPr>
          <w:rFonts w:ascii="Arial" w:eastAsiaTheme="minorEastAsia" w:hAnsi="Arial" w:cs="Arial"/>
          <w:sz w:val="20"/>
          <w:szCs w:val="20"/>
          <w:lang w:val="sr-Cyrl-RS"/>
        </w:rPr>
        <w:t xml:space="preserve"> </w:t>
      </w:r>
      <w:r w:rsidRPr="004826D6">
        <w:rPr>
          <w:rFonts w:ascii="Arial" w:eastAsiaTheme="minorEastAsia" w:hAnsi="Arial" w:cs="Arial"/>
          <w:sz w:val="20"/>
          <w:szCs w:val="20"/>
          <w:lang w:val="sr-Cyrl-RS"/>
        </w:rPr>
        <w:t xml:space="preserve">Закон о </w:t>
      </w:r>
      <w:r w:rsidR="00082065" w:rsidRPr="004826D6">
        <w:rPr>
          <w:rFonts w:ascii="Arial" w:eastAsiaTheme="minorEastAsia" w:hAnsi="Arial" w:cs="Arial"/>
          <w:sz w:val="20"/>
          <w:szCs w:val="20"/>
          <w:lang w:val="sr-Cyrl-RS"/>
        </w:rPr>
        <w:t xml:space="preserve">спречавању </w:t>
      </w:r>
      <w:r w:rsidRPr="004826D6">
        <w:rPr>
          <w:rFonts w:ascii="Arial" w:eastAsiaTheme="minorEastAsia" w:hAnsi="Arial" w:cs="Arial"/>
          <w:sz w:val="20"/>
          <w:szCs w:val="20"/>
          <w:lang w:val="sr-Cyrl-RS"/>
        </w:rPr>
        <w:t xml:space="preserve">корупције и Закон о јавним набавкама (којим су уређене </w:t>
      </w:r>
      <w:r w:rsidR="00600938" w:rsidRPr="004826D6">
        <w:rPr>
          <w:rFonts w:ascii="Arial" w:eastAsiaTheme="minorEastAsia" w:hAnsi="Arial" w:cs="Arial"/>
          <w:sz w:val="20"/>
          <w:szCs w:val="20"/>
          <w:lang w:val="sr-Cyrl-RS"/>
        </w:rPr>
        <w:t>те области</w:t>
      </w:r>
      <w:r w:rsidRPr="004826D6">
        <w:rPr>
          <w:rFonts w:ascii="Arial" w:eastAsiaTheme="minorEastAsia" w:hAnsi="Arial" w:cs="Arial"/>
          <w:sz w:val="20"/>
          <w:szCs w:val="20"/>
          <w:lang w:val="sr-Cyrl-RS"/>
        </w:rPr>
        <w:t xml:space="preserve"> и за локалну самоуправу) или Закон о планском систему и подзаконски прописи из ове области (уређуј</w:t>
      </w:r>
      <w:r w:rsidR="00C73231" w:rsidRPr="004826D6">
        <w:rPr>
          <w:rFonts w:ascii="Arial" w:eastAsiaTheme="minorEastAsia" w:hAnsi="Arial" w:cs="Arial"/>
          <w:sz w:val="20"/>
          <w:szCs w:val="20"/>
          <w:lang w:val="sr-Cyrl-RS"/>
        </w:rPr>
        <w:t>у</w:t>
      </w:r>
      <w:r w:rsidRPr="004826D6">
        <w:rPr>
          <w:rFonts w:ascii="Arial" w:eastAsiaTheme="minorEastAsia" w:hAnsi="Arial" w:cs="Arial"/>
          <w:sz w:val="20"/>
          <w:szCs w:val="20"/>
          <w:lang w:val="sr-Cyrl-RS"/>
        </w:rPr>
        <w:t xml:space="preserve"> начин израде</w:t>
      </w:r>
      <w:r w:rsidR="00600938" w:rsidRPr="004826D6">
        <w:rPr>
          <w:rFonts w:ascii="Arial" w:eastAsiaTheme="minorEastAsia" w:hAnsi="Arial" w:cs="Arial"/>
          <w:sz w:val="20"/>
          <w:szCs w:val="20"/>
          <w:lang w:val="sr-Cyrl-RS"/>
        </w:rPr>
        <w:t xml:space="preserve"> докумената развојног планирања и</w:t>
      </w:r>
      <w:r w:rsidRPr="004826D6">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докумената јавних политика и обавезну партиципацију и транспарентност овог процеса, усмеравају на потребу сарадње са цивилним друштвом) и други прописи.</w:t>
      </w:r>
    </w:p>
    <w:p w14:paraId="7338438A" w14:textId="77777777" w:rsidR="00D90DB0" w:rsidRPr="00A021B7" w:rsidRDefault="00D90DB0" w:rsidP="1A8E6423">
      <w:pPr>
        <w:ind w:firstLine="810"/>
        <w:contextualSpacing/>
        <w:jc w:val="both"/>
        <w:rPr>
          <w:rFonts w:ascii="Arial" w:eastAsiaTheme="minorEastAsia" w:hAnsi="Arial" w:cs="Arial"/>
          <w:sz w:val="20"/>
          <w:szCs w:val="20"/>
          <w:lang w:val="sr-Cyrl-RS"/>
        </w:rPr>
      </w:pPr>
    </w:p>
    <w:p w14:paraId="50840689" w14:textId="23AB098F" w:rsidR="00D90DB0" w:rsidRPr="00A021B7" w:rsidRDefault="00D90DB0" w:rsidP="1A8E6423">
      <w:pPr>
        <w:ind w:firstLine="81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У последњих неколико година </w:t>
      </w:r>
      <w:r w:rsidR="00480D07" w:rsidRPr="1A8E6423">
        <w:rPr>
          <w:rFonts w:ascii="Arial" w:eastAsiaTheme="minorEastAsia" w:hAnsi="Arial" w:cs="Arial"/>
          <w:sz w:val="20"/>
          <w:szCs w:val="20"/>
          <w:lang w:val="sr-Cyrl-RS"/>
        </w:rPr>
        <w:t xml:space="preserve">су, </w:t>
      </w:r>
      <w:r w:rsidRPr="1A8E6423">
        <w:rPr>
          <w:rFonts w:ascii="Arial" w:eastAsiaTheme="minorEastAsia" w:hAnsi="Arial" w:cs="Arial"/>
          <w:sz w:val="20"/>
          <w:szCs w:val="20"/>
          <w:lang w:val="sr-Cyrl-RS"/>
        </w:rPr>
        <w:t xml:space="preserve">зарад развоја доброг управљања, спроведене веома значајне правне реформе. Посебан допринос у том правцу јесу измене </w:t>
      </w:r>
      <w:r w:rsidR="005322D6" w:rsidRPr="1A8E6423">
        <w:rPr>
          <w:rFonts w:ascii="Arial" w:eastAsiaTheme="minorEastAsia" w:hAnsi="Arial" w:cs="Arial"/>
          <w:sz w:val="20"/>
          <w:szCs w:val="20"/>
          <w:lang w:val="sr-Cyrl-RS"/>
        </w:rPr>
        <w:t xml:space="preserve">ЗЛС </w:t>
      </w:r>
      <w:r w:rsidRPr="1A8E6423">
        <w:rPr>
          <w:rFonts w:ascii="Arial" w:eastAsiaTheme="minorEastAsia" w:hAnsi="Arial" w:cs="Arial"/>
          <w:sz w:val="20"/>
          <w:szCs w:val="20"/>
          <w:lang w:val="sr-Cyrl-RS"/>
        </w:rPr>
        <w:t xml:space="preserve">и усвајање Закона о потврђивању Додатног протокола Европске повеље о локалној самоуправи о праву да се учествује у пословима локалне самоуправе, </w:t>
      </w:r>
      <w:r w:rsidR="003F24BC" w:rsidRPr="1A8E6423">
        <w:rPr>
          <w:rFonts w:ascii="Arial" w:eastAsiaTheme="minorEastAsia" w:hAnsi="Arial" w:cs="Arial"/>
          <w:sz w:val="20"/>
          <w:szCs w:val="20"/>
          <w:lang w:val="sr-Cyrl-RS"/>
        </w:rPr>
        <w:t xml:space="preserve">из </w:t>
      </w:r>
      <w:r w:rsidRPr="1A8E6423">
        <w:rPr>
          <w:rFonts w:ascii="Arial" w:eastAsiaTheme="minorEastAsia" w:hAnsi="Arial" w:cs="Arial"/>
          <w:sz w:val="20"/>
          <w:szCs w:val="20"/>
          <w:lang w:val="sr-Cyrl-RS"/>
        </w:rPr>
        <w:t>2018.</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године. Изменама ЗЛС значајно је унапређен правни оквир за јачање</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доброг</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управљања</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 xml:space="preserve">у локалној самоуправи. Уведена је обавеза спровођења поступка јавне расправе за доношење </w:t>
      </w:r>
      <w:r w:rsidR="00946237" w:rsidRPr="1A8E6423">
        <w:rPr>
          <w:rFonts w:ascii="Arial" w:eastAsiaTheme="minorEastAsia" w:hAnsi="Arial" w:cs="Arial"/>
          <w:sz w:val="20"/>
          <w:szCs w:val="20"/>
          <w:lang w:val="sr-Cyrl-RS"/>
        </w:rPr>
        <w:t>буџета – у домену планирања локалних инвестиција</w:t>
      </w:r>
      <w:r w:rsidR="00C73231" w:rsidRPr="1A8E6423">
        <w:rPr>
          <w:rFonts w:ascii="Arial" w:eastAsiaTheme="minorEastAsia" w:hAnsi="Arial" w:cs="Arial"/>
          <w:sz w:val="20"/>
          <w:szCs w:val="20"/>
          <w:lang w:val="sr-Cyrl-RS"/>
        </w:rPr>
        <w:t>,</w:t>
      </w:r>
      <w:r w:rsidR="00946237" w:rsidRPr="1A8E6423">
        <w:rPr>
          <w:rFonts w:ascii="Arial" w:eastAsiaTheme="minorEastAsia" w:hAnsi="Arial" w:cs="Arial"/>
          <w:sz w:val="20"/>
          <w:szCs w:val="20"/>
          <w:lang w:val="sr-Cyrl-RS"/>
        </w:rPr>
        <w:t xml:space="preserve"> као и раније утврђена обавеза за друге најзначајније опште </w:t>
      </w:r>
      <w:r w:rsidRPr="1A8E6423">
        <w:rPr>
          <w:rFonts w:ascii="Arial" w:eastAsiaTheme="minorEastAsia" w:hAnsi="Arial" w:cs="Arial"/>
          <w:sz w:val="20"/>
          <w:szCs w:val="20"/>
          <w:lang w:val="sr-Cyrl-RS"/>
        </w:rPr>
        <w:t>акт</w:t>
      </w:r>
      <w:r w:rsidR="00946237"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(статут, стратешк</w:t>
      </w:r>
      <w:r w:rsidR="00C73231"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план развоја, утврђивањ</w:t>
      </w:r>
      <w:r w:rsidR="00C73231"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стопе локалних прихода или усвајање просторних и урбанистичких планова) и проширен</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је</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круг овлашћених предлагача за спровођење јавне расправе. Изменама ЗЛС утврђена је и обавеза надлежних</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локалних</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 xml:space="preserve">органа да преко </w:t>
      </w:r>
      <w:r w:rsidR="00946237" w:rsidRPr="1A8E6423">
        <w:rPr>
          <w:rFonts w:ascii="Arial" w:eastAsiaTheme="minorEastAsia" w:hAnsi="Arial" w:cs="Arial"/>
          <w:sz w:val="20"/>
          <w:szCs w:val="20"/>
          <w:lang w:val="sr-Cyrl-RS"/>
        </w:rPr>
        <w:t xml:space="preserve">интернет </w:t>
      </w:r>
      <w:r w:rsidRPr="1A8E6423">
        <w:rPr>
          <w:rFonts w:ascii="Arial" w:eastAsiaTheme="minorEastAsia" w:hAnsi="Arial" w:cs="Arial"/>
          <w:sz w:val="20"/>
          <w:szCs w:val="20"/>
          <w:lang w:val="sr-Cyrl-RS"/>
        </w:rPr>
        <w:t>презентације или на други начин обавесте јавност да су почели са припремом прописа који доноси скупштина.</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На овај начин</w:t>
      </w:r>
      <w:r w:rsidRPr="1A8E6423">
        <w:rPr>
          <w:rFonts w:ascii="Arial" w:hAnsi="Arial" w:cs="Arial"/>
          <w:sz w:val="20"/>
          <w:szCs w:val="20"/>
          <w:lang w:val="sr-Cyrl-RS"/>
        </w:rPr>
        <w:t xml:space="preserve"> омогућен</w:t>
      </w:r>
      <w:r w:rsidR="00C73231" w:rsidRPr="1A8E6423">
        <w:rPr>
          <w:rFonts w:ascii="Arial" w:hAnsi="Arial" w:cs="Arial"/>
          <w:sz w:val="20"/>
          <w:szCs w:val="20"/>
          <w:lang w:val="sr-Cyrl-RS"/>
        </w:rPr>
        <w:t>и</w:t>
      </w:r>
      <w:r w:rsidRPr="1A8E6423">
        <w:rPr>
          <w:rFonts w:ascii="Arial" w:hAnsi="Arial" w:cs="Arial"/>
          <w:sz w:val="20"/>
          <w:szCs w:val="20"/>
          <w:lang w:val="sr-Cyrl-RS"/>
        </w:rPr>
        <w:t xml:space="preserve"> </w:t>
      </w:r>
      <w:r w:rsidR="00C73231" w:rsidRPr="1A8E6423">
        <w:rPr>
          <w:rFonts w:ascii="Arial" w:hAnsi="Arial" w:cs="Arial"/>
          <w:sz w:val="20"/>
          <w:szCs w:val="20"/>
          <w:lang w:val="sr-Cyrl-RS"/>
        </w:rPr>
        <w:t>су</w:t>
      </w:r>
      <w:r w:rsidRPr="1A8E6423">
        <w:rPr>
          <w:rFonts w:ascii="Arial" w:hAnsi="Arial" w:cs="Arial"/>
          <w:sz w:val="20"/>
          <w:szCs w:val="20"/>
          <w:lang w:val="sr-Cyrl-RS"/>
        </w:rPr>
        <w:t xml:space="preserve"> већа транспарентност буџета и </w:t>
      </w:r>
      <w:r w:rsidR="006B550D" w:rsidRPr="1A8E6423">
        <w:rPr>
          <w:rFonts w:ascii="Arial" w:hAnsi="Arial" w:cs="Arial"/>
          <w:sz w:val="20"/>
          <w:szCs w:val="20"/>
          <w:lang w:val="sr-Cyrl-RS"/>
        </w:rPr>
        <w:t xml:space="preserve">других општих аката и </w:t>
      </w:r>
      <w:r w:rsidRPr="1A8E6423">
        <w:rPr>
          <w:rFonts w:ascii="Arial" w:hAnsi="Arial" w:cs="Arial"/>
          <w:sz w:val="20"/>
          <w:szCs w:val="20"/>
          <w:lang w:val="sr-Cyrl-RS"/>
        </w:rPr>
        <w:t>јачање механизама за учешће јавности и заинтересованих страна у доношењу важних локалних одлука</w:t>
      </w:r>
      <w:r w:rsidRPr="1A8E6423">
        <w:rPr>
          <w:rFonts w:ascii="Arial" w:eastAsiaTheme="minorEastAsia" w:hAnsi="Arial" w:cs="Arial"/>
          <w:sz w:val="20"/>
          <w:szCs w:val="20"/>
          <w:lang w:val="sr-Cyrl-RS"/>
        </w:rPr>
        <w:t>. Поред тога, број потписа за грађанску иницијативу фиксиран је на 5% грађана са бирачким правом,</w:t>
      </w:r>
      <w:r w:rsidR="00C73231"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а дефинисана је и могућност да радна тела локалне скупштине у складу са потребом организују јавна слушања о прописима и одлукама о којима одлучује скупштина. Након усвајања измена ЗЛС, к</w:t>
      </w:r>
      <w:r w:rsidRPr="1A8E6423">
        <w:rPr>
          <w:rFonts w:ascii="Arial" w:hAnsi="Arial" w:cs="Arial"/>
          <w:sz w:val="20"/>
          <w:szCs w:val="20"/>
          <w:lang w:val="sr-Cyrl-RS"/>
        </w:rPr>
        <w:t xml:space="preserve">ао део подршке </w:t>
      </w:r>
      <w:r w:rsidR="00E94A82" w:rsidRPr="1A8E6423">
        <w:rPr>
          <w:rFonts w:ascii="Arial" w:hAnsi="Arial" w:cs="Arial"/>
          <w:sz w:val="20"/>
          <w:szCs w:val="20"/>
          <w:lang w:val="sr-Cyrl-RS"/>
        </w:rPr>
        <w:t xml:space="preserve">његовој </w:t>
      </w:r>
      <w:r w:rsidRPr="1A8E6423">
        <w:rPr>
          <w:rFonts w:ascii="Arial" w:hAnsi="Arial" w:cs="Arial"/>
          <w:sz w:val="20"/>
          <w:szCs w:val="20"/>
          <w:lang w:val="sr-Cyrl-RS"/>
        </w:rPr>
        <w:t xml:space="preserve">примени, у сарадњи </w:t>
      </w:r>
      <w:r w:rsidRPr="1A8E6423">
        <w:rPr>
          <w:rFonts w:ascii="Arial" w:eastAsiaTheme="minorEastAsia" w:hAnsi="Arial" w:cs="Arial"/>
          <w:sz w:val="20"/>
          <w:szCs w:val="20"/>
          <w:lang w:val="sr-Cyrl-RS"/>
        </w:rPr>
        <w:t xml:space="preserve">МДУЛС и СКГО </w:t>
      </w:r>
      <w:r w:rsidRPr="1A8E6423">
        <w:rPr>
          <w:rFonts w:ascii="Arial" w:hAnsi="Arial" w:cs="Arial"/>
          <w:sz w:val="20"/>
          <w:szCs w:val="20"/>
          <w:lang w:val="sr-Cyrl-RS"/>
        </w:rPr>
        <w:t>израђен је</w:t>
      </w:r>
      <w:r w:rsidRPr="1A8E6423">
        <w:rPr>
          <w:rFonts w:ascii="Arial" w:eastAsiaTheme="minorEastAsia" w:hAnsi="Arial" w:cs="Arial"/>
          <w:sz w:val="20"/>
          <w:szCs w:val="20"/>
          <w:lang w:val="sr-Cyrl-RS"/>
        </w:rPr>
        <w:t xml:space="preserve"> модел статута општина и градова којим су ова питања додатно разрађена.</w:t>
      </w:r>
    </w:p>
    <w:p w14:paraId="73FB83EB" w14:textId="77777777" w:rsidR="00D90DB0" w:rsidRPr="00A021B7" w:rsidRDefault="00D90DB0" w:rsidP="1A8E6423">
      <w:pPr>
        <w:pStyle w:val="paragraph"/>
        <w:spacing w:before="0" w:beforeAutospacing="0" w:after="0" w:afterAutospacing="0"/>
        <w:ind w:firstLine="810"/>
        <w:jc w:val="both"/>
        <w:textAlignment w:val="baseline"/>
        <w:rPr>
          <w:rFonts w:ascii="Arial" w:eastAsiaTheme="minorEastAsia" w:hAnsi="Arial" w:cs="Arial"/>
          <w:sz w:val="20"/>
          <w:szCs w:val="20"/>
          <w:lang w:val="sr-Cyrl-RS"/>
        </w:rPr>
      </w:pPr>
    </w:p>
    <w:p w14:paraId="1300B986" w14:textId="5493BAE5" w:rsidR="00D90DB0" w:rsidRPr="00A021B7" w:rsidRDefault="00D90DB0" w:rsidP="1A8E6423">
      <w:pPr>
        <w:ind w:firstLine="810"/>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За добро управљање веома је важна и реформа које је покренута усвајањем новог Закона о општем управном поступку, Закона о електронској управи и Закона о централном регистру становништва и подзаконским и другим прописима из ових области. Усвајањем ових прописа, </w:t>
      </w:r>
      <w:r w:rsidR="000B693B" w:rsidRPr="1A8E6423">
        <w:rPr>
          <w:rFonts w:ascii="Arial" w:eastAsiaTheme="minorEastAsia" w:hAnsi="Arial" w:cs="Arial"/>
          <w:sz w:val="20"/>
          <w:szCs w:val="20"/>
          <w:lang w:val="sr-Cyrl-RS"/>
        </w:rPr>
        <w:t xml:space="preserve">спровођењем </w:t>
      </w:r>
      <w:r w:rsidRPr="1A8E6423">
        <w:rPr>
          <w:rFonts w:ascii="Arial" w:eastAsiaTheme="minorEastAsia" w:hAnsi="Arial" w:cs="Arial"/>
          <w:sz w:val="20"/>
          <w:szCs w:val="20"/>
          <w:lang w:val="sr-Cyrl-RS"/>
        </w:rPr>
        <w:t xml:space="preserve">низа активности након тога и активностима </w:t>
      </w:r>
      <w:r w:rsidR="000B693B" w:rsidRPr="1A8E6423">
        <w:rPr>
          <w:rFonts w:ascii="Arial" w:eastAsiaTheme="minorEastAsia" w:hAnsi="Arial" w:cs="Arial"/>
          <w:sz w:val="20"/>
          <w:szCs w:val="20"/>
          <w:lang w:val="sr-Cyrl-RS"/>
        </w:rPr>
        <w:t xml:space="preserve">планираним за наредни </w:t>
      </w:r>
      <w:r w:rsidRPr="1A8E6423">
        <w:rPr>
          <w:rFonts w:ascii="Arial" w:eastAsiaTheme="minorEastAsia" w:hAnsi="Arial" w:cs="Arial"/>
          <w:sz w:val="20"/>
          <w:szCs w:val="20"/>
          <w:lang w:val="sr-Cyrl-RS"/>
        </w:rPr>
        <w:t xml:space="preserve">период, обезбеђују се услови за модернизацију и поједностављивање административних поступака и смањивање бирократије и трошкова за грађане и друге кориснике. Стављањем потреба корисника услуга у центар ове реформе, реформа </w:t>
      </w:r>
      <w:r w:rsidR="0004725A" w:rsidRPr="1A8E6423">
        <w:rPr>
          <w:rFonts w:ascii="Arial" w:eastAsiaTheme="minorEastAsia" w:hAnsi="Arial" w:cs="Arial"/>
          <w:sz w:val="20"/>
          <w:szCs w:val="20"/>
          <w:lang w:val="sr-Cyrl-RS"/>
        </w:rPr>
        <w:t xml:space="preserve">управног </w:t>
      </w:r>
      <w:r w:rsidRPr="1A8E6423">
        <w:rPr>
          <w:rFonts w:ascii="Arial" w:eastAsiaTheme="minorEastAsia" w:hAnsi="Arial" w:cs="Arial"/>
          <w:sz w:val="20"/>
          <w:szCs w:val="20"/>
          <w:lang w:val="sr-Cyrl-RS"/>
        </w:rPr>
        <w:t>поступања и</w:t>
      </w:r>
      <w:r w:rsidR="0004725A"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посебно</w:t>
      </w:r>
      <w:r w:rsidR="0004725A"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интензиван развој електронске управе омогућавају значајно унапређење ефикасности јавне управе</w:t>
      </w:r>
      <w:r w:rsidR="00473E2B"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чиме се остварује </w:t>
      </w:r>
      <w:r w:rsidR="009E3CE3" w:rsidRPr="1A8E6423">
        <w:rPr>
          <w:rFonts w:ascii="Arial" w:eastAsiaTheme="minorEastAsia" w:hAnsi="Arial" w:cs="Arial"/>
          <w:sz w:val="20"/>
          <w:szCs w:val="20"/>
          <w:lang w:val="sr-Cyrl-RS"/>
        </w:rPr>
        <w:t xml:space="preserve">једно </w:t>
      </w:r>
      <w:r w:rsidRPr="1A8E6423">
        <w:rPr>
          <w:rFonts w:ascii="Arial" w:eastAsiaTheme="minorEastAsia" w:hAnsi="Arial" w:cs="Arial"/>
          <w:sz w:val="20"/>
          <w:szCs w:val="20"/>
          <w:lang w:val="sr-Cyrl-RS"/>
        </w:rPr>
        <w:t xml:space="preserve">од кључних </w:t>
      </w:r>
      <w:r w:rsidR="009E3CE3"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добро</w:t>
      </w:r>
      <w:r w:rsidR="00473E2B" w:rsidRPr="1A8E6423">
        <w:rPr>
          <w:rFonts w:ascii="Arial" w:eastAsiaTheme="minorEastAsia" w:hAnsi="Arial" w:cs="Arial"/>
          <w:sz w:val="20"/>
          <w:szCs w:val="20"/>
          <w:lang w:val="sr-Cyrl-RS"/>
        </w:rPr>
        <w:t>г</w:t>
      </w:r>
      <w:r w:rsidRPr="1A8E6423">
        <w:rPr>
          <w:rFonts w:ascii="Arial" w:eastAsiaTheme="minorEastAsia" w:hAnsi="Arial" w:cs="Arial"/>
          <w:sz w:val="20"/>
          <w:szCs w:val="20"/>
          <w:lang w:val="sr-Cyrl-RS"/>
        </w:rPr>
        <w:t xml:space="preserve"> управљања. У претходних неколико година </w:t>
      </w:r>
      <w:r w:rsidR="009E3CE3" w:rsidRPr="1A8E6423">
        <w:rPr>
          <w:rFonts w:ascii="Arial" w:eastAsiaTheme="minorEastAsia" w:hAnsi="Arial" w:cs="Arial"/>
          <w:sz w:val="20"/>
          <w:szCs w:val="20"/>
          <w:lang w:val="sr-Cyrl-RS"/>
        </w:rPr>
        <w:t xml:space="preserve">спроводи </w:t>
      </w:r>
      <w:r w:rsidRPr="1A8E6423">
        <w:rPr>
          <w:rFonts w:ascii="Arial" w:eastAsiaTheme="minorEastAsia" w:hAnsi="Arial" w:cs="Arial"/>
          <w:sz w:val="20"/>
          <w:szCs w:val="20"/>
          <w:lang w:val="sr-Cyrl-RS"/>
        </w:rPr>
        <w:t xml:space="preserve">се низ реформи које говоре у прилог томе: </w:t>
      </w:r>
      <w:r w:rsidR="009E3CE3"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1) интензивно се развијају електронске услуге за грађане</w:t>
      </w:r>
      <w:r w:rsidR="00473E2B"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које укључују и бројне услуге локалне самоуправе</w:t>
      </w:r>
      <w:r w:rsidR="00553F3C" w:rsidRPr="1A8E6423">
        <w:rPr>
          <w:rFonts w:ascii="Arial" w:eastAsiaTheme="minorEastAsia" w:hAnsi="Arial" w:cs="Arial"/>
          <w:sz w:val="20"/>
          <w:szCs w:val="20"/>
          <w:lang w:val="sr-Cyrl-RS"/>
        </w:rPr>
        <w:t xml:space="preserve">, </w:t>
      </w:r>
      <w:r w:rsidR="009E3CE3"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2) успостављена је и развија се електронска инфраструктура за размену података између органа јавне управе</w:t>
      </w:r>
      <w:r w:rsidR="00553F3C" w:rsidRPr="1A8E6423">
        <w:rPr>
          <w:rFonts w:ascii="Arial" w:eastAsiaTheme="minorEastAsia" w:hAnsi="Arial" w:cs="Arial"/>
          <w:sz w:val="20"/>
          <w:szCs w:val="20"/>
          <w:lang w:val="sr-Cyrl-RS"/>
        </w:rPr>
        <w:t>, (</w:t>
      </w:r>
      <w:r w:rsidRPr="1A8E6423">
        <w:rPr>
          <w:rFonts w:ascii="Arial" w:eastAsiaTheme="minorEastAsia" w:hAnsi="Arial" w:cs="Arial"/>
          <w:sz w:val="20"/>
          <w:szCs w:val="20"/>
          <w:lang w:val="sr-Cyrl-RS"/>
        </w:rPr>
        <w:t>3) покренута је реформа локалних услужних центара за грађане и формирање локалних јединствених управних места</w:t>
      </w:r>
      <w:r w:rsidR="00553F3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4) иницирана је реформа локалних административних процедура, првенствено коришћењем модела административних процедура који су заједнички израдили СКГО</w:t>
      </w:r>
      <w:r w:rsidR="00946237" w:rsidRPr="1A8E6423">
        <w:rPr>
          <w:rFonts w:ascii="Arial" w:eastAsiaTheme="minorEastAsia" w:hAnsi="Arial" w:cs="Arial"/>
          <w:sz w:val="20"/>
          <w:szCs w:val="20"/>
          <w:lang w:val="sr-Cyrl-RS"/>
        </w:rPr>
        <w:t xml:space="preserve"> и МДУЛС</w:t>
      </w:r>
      <w:r w:rsidRPr="1A8E6423">
        <w:rPr>
          <w:rFonts w:ascii="Arial" w:eastAsiaTheme="minorEastAsia" w:hAnsi="Arial" w:cs="Arial"/>
          <w:sz w:val="20"/>
          <w:szCs w:val="20"/>
          <w:lang w:val="sr-Cyrl-RS"/>
        </w:rPr>
        <w:t xml:space="preserve"> итд.</w:t>
      </w:r>
    </w:p>
    <w:p w14:paraId="1DD9F391" w14:textId="77777777" w:rsidR="00D90DB0" w:rsidRPr="00A021B7" w:rsidRDefault="00D90DB0" w:rsidP="1A8E6423">
      <w:pPr>
        <w:ind w:firstLine="810"/>
        <w:jc w:val="both"/>
        <w:rPr>
          <w:rFonts w:ascii="Arial" w:eastAsiaTheme="minorEastAsia" w:hAnsi="Arial" w:cs="Arial"/>
          <w:sz w:val="20"/>
          <w:szCs w:val="20"/>
          <w:lang w:val="sr-Cyrl-RS"/>
        </w:rPr>
      </w:pPr>
    </w:p>
    <w:p w14:paraId="4D61C9C2" w14:textId="456576BE" w:rsidR="00D90DB0" w:rsidRPr="00A021B7" w:rsidRDefault="00D90DB0" w:rsidP="1A8E6423">
      <w:pPr>
        <w:pStyle w:val="paragraph"/>
        <w:spacing w:before="0" w:beforeAutospacing="0" w:after="0" w:afterAutospacing="0"/>
        <w:ind w:firstLine="810"/>
        <w:jc w:val="both"/>
        <w:textAlignment w:val="baseline"/>
        <w:rPr>
          <w:rFonts w:ascii="Arial" w:eastAsiaTheme="minorEastAsia" w:hAnsi="Arial" w:cs="Arial"/>
          <w:sz w:val="20"/>
          <w:szCs w:val="20"/>
          <w:lang w:val="sr-Cyrl-RS"/>
        </w:rPr>
      </w:pPr>
      <w:r w:rsidRPr="1A8E6423">
        <w:rPr>
          <w:rFonts w:ascii="Arial" w:eastAsiaTheme="minorEastAsia" w:hAnsi="Arial" w:cs="Arial"/>
          <w:sz w:val="20"/>
          <w:szCs w:val="20"/>
          <w:lang w:val="sr-Cyrl-RS"/>
        </w:rPr>
        <w:t>Значајни</w:t>
      </w:r>
      <w:r w:rsidR="004D5004"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искораци у припреми прописа и јавних политика направљени су и у области борбе против корупције. У последњих неколико година усвојени су Национална стратегија и Акциони план за борбу против корупције у Републици Србији за период 2013</w:t>
      </w:r>
      <w:r w:rsidR="00473E2B"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2018</w:t>
      </w:r>
      <w:r w:rsidR="00473E2B" w:rsidRPr="1A8E6423">
        <w:rPr>
          <w:rFonts w:ascii="Arial" w:eastAsiaTheme="minorEastAsia" w:hAnsi="Arial" w:cs="Arial"/>
          <w:sz w:val="20"/>
          <w:szCs w:val="20"/>
          <w:lang w:val="sr-Cyrl-RS"/>
        </w:rPr>
        <w:t>. године</w:t>
      </w:r>
      <w:r w:rsidRPr="1A8E6423">
        <w:rPr>
          <w:rFonts w:ascii="Arial" w:eastAsiaTheme="minorEastAsia" w:hAnsi="Arial" w:cs="Arial"/>
          <w:sz w:val="20"/>
          <w:szCs w:val="20"/>
          <w:lang w:val="sr-Cyrl-RS"/>
        </w:rPr>
        <w:t xml:space="preserve">, Акциони план за поглавље 23 преговора о чланству у Европској унији и напослетку и измене и допуне Закона о </w:t>
      </w:r>
      <w:r w:rsidR="00935D19" w:rsidRPr="1A8E6423">
        <w:rPr>
          <w:rFonts w:ascii="Arial" w:eastAsiaTheme="minorEastAsia" w:hAnsi="Arial" w:cs="Arial"/>
          <w:sz w:val="20"/>
          <w:szCs w:val="20"/>
          <w:lang w:val="sr-Cyrl-RS"/>
        </w:rPr>
        <w:t xml:space="preserve">Агенцији </w:t>
      </w:r>
      <w:r w:rsidRPr="1A8E6423">
        <w:rPr>
          <w:rFonts w:ascii="Arial" w:eastAsiaTheme="minorEastAsia" w:hAnsi="Arial" w:cs="Arial"/>
          <w:sz w:val="20"/>
          <w:szCs w:val="20"/>
          <w:lang w:val="sr-Cyrl-RS"/>
        </w:rPr>
        <w:t>за борбу против корупције. Овим документима и прописима, пред ЈЛС</w:t>
      </w:r>
      <w:r w:rsidR="008E05C0"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је постављен низ задатака у области превенције и борбе против корупције, а међу важнијима су усвајање локалних</w:t>
      </w:r>
      <w:r w:rsidR="008E05C0"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антикорупцијских</w:t>
      </w:r>
      <w:r w:rsidR="008E05C0"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планова</w:t>
      </w:r>
      <w:r w:rsidR="008E05C0"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 xml:space="preserve">и оснивање сталних радних тела локалних </w:t>
      </w:r>
      <w:r w:rsidRPr="1A8E6423">
        <w:rPr>
          <w:rFonts w:ascii="Arial" w:eastAsiaTheme="minorEastAsia" w:hAnsi="Arial" w:cs="Arial"/>
          <w:sz w:val="20"/>
          <w:szCs w:val="20"/>
          <w:lang w:val="sr-Cyrl-RS"/>
        </w:rPr>
        <w:lastRenderedPageBreak/>
        <w:t>скупштина која треба да надзиру њихово спровођење. У вези са питањима етике локалних функционера и службеника, треба истаћи и да је Законом о запосленима у АП и ЈЛС уређена обавеза усвајања Кодекса понашања службеника и да су ЈЛС тај кодекс и усвојиле (првенствено на основу модела који је СКГО припремила у сарадњи са МДУЛС). Реформисан је и Етички кодекс за локалне функционере тиме што је Скупштина СКГО у децембру 2019. године усвојила нови Етички кодекс</w:t>
      </w:r>
      <w:r w:rsidR="008E05C0"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који је препоручен градовима и општинама у Републици Србији.</w:t>
      </w:r>
    </w:p>
    <w:p w14:paraId="3B85E747" w14:textId="77777777" w:rsidR="00D90DB0" w:rsidRPr="00A021B7" w:rsidRDefault="00D90DB0" w:rsidP="1A8E6423">
      <w:pPr>
        <w:ind w:firstLine="810"/>
        <w:contextualSpacing/>
        <w:jc w:val="both"/>
        <w:rPr>
          <w:rFonts w:ascii="Arial" w:eastAsiaTheme="minorEastAsia" w:hAnsi="Arial" w:cs="Arial"/>
          <w:sz w:val="20"/>
          <w:szCs w:val="20"/>
          <w:lang w:val="sr-Cyrl-RS"/>
        </w:rPr>
      </w:pPr>
    </w:p>
    <w:p w14:paraId="5DE365F0" w14:textId="565F742A" w:rsidR="00516200" w:rsidRPr="00A021B7" w:rsidRDefault="5AE00B6F" w:rsidP="1A8E6423">
      <w:pPr>
        <w:pStyle w:val="CommentText"/>
        <w:ind w:firstLine="810"/>
        <w:jc w:val="both"/>
        <w:rPr>
          <w:rFonts w:ascii="Arial" w:eastAsiaTheme="minorEastAsia" w:hAnsi="Arial" w:cs="Arial"/>
          <w:lang w:val="sr-Cyrl-RS"/>
        </w:rPr>
      </w:pPr>
      <w:r w:rsidRPr="1A8E6423">
        <w:rPr>
          <w:rFonts w:ascii="Arial" w:eastAsiaTheme="minorEastAsia" w:hAnsi="Arial" w:cs="Arial"/>
          <w:lang w:val="sr-Cyrl-RS"/>
        </w:rPr>
        <w:t>Закон о планском систему</w:t>
      </w:r>
      <w:r w:rsidR="78652F70" w:rsidRPr="1A8E6423">
        <w:rPr>
          <w:rFonts w:ascii="Arial" w:eastAsiaTheme="minorEastAsia" w:hAnsi="Arial" w:cs="Arial"/>
          <w:lang w:val="sr-Cyrl-RS"/>
        </w:rPr>
        <w:t xml:space="preserve"> Републике Србије</w:t>
      </w:r>
      <w:r w:rsidRPr="1A8E6423">
        <w:rPr>
          <w:rFonts w:ascii="Arial" w:eastAsiaTheme="minorEastAsia" w:hAnsi="Arial" w:cs="Arial"/>
          <w:lang w:val="sr-Cyrl-RS"/>
        </w:rPr>
        <w:t xml:space="preserve"> </w:t>
      </w:r>
      <w:r w:rsidR="2BD44912" w:rsidRPr="1A8E6423">
        <w:rPr>
          <w:rFonts w:ascii="Arial" w:eastAsiaTheme="minorEastAsia" w:hAnsi="Arial" w:cs="Arial"/>
          <w:lang w:val="sr-Cyrl-RS"/>
        </w:rPr>
        <w:t xml:space="preserve">усвојен је 2018. године, </w:t>
      </w:r>
      <w:r w:rsidR="29552F19" w:rsidRPr="1A8E6423">
        <w:rPr>
          <w:rFonts w:ascii="Arial" w:eastAsiaTheme="minorEastAsia" w:hAnsi="Arial" w:cs="Arial"/>
          <w:lang w:val="sr-Cyrl-RS"/>
        </w:rPr>
        <w:t>а затим</w:t>
      </w:r>
      <w:r w:rsidR="008E05C0" w:rsidRPr="1A8E6423">
        <w:rPr>
          <w:rFonts w:ascii="Arial" w:eastAsiaTheme="minorEastAsia" w:hAnsi="Arial" w:cs="Arial"/>
          <w:lang w:val="sr-Cyrl-RS"/>
        </w:rPr>
        <w:t xml:space="preserve"> су усвојена</w:t>
      </w:r>
      <w:r w:rsidR="29552F19" w:rsidRPr="1A8E6423">
        <w:rPr>
          <w:rFonts w:ascii="Arial" w:eastAsiaTheme="minorEastAsia" w:hAnsi="Arial" w:cs="Arial"/>
          <w:lang w:val="sr-Cyrl-RS"/>
        </w:rPr>
        <w:t xml:space="preserve"> и пратећа подзаконска акта (</w:t>
      </w:r>
      <w:r w:rsidR="008E05C0" w:rsidRPr="1A8E6423">
        <w:rPr>
          <w:rFonts w:ascii="Arial" w:eastAsiaTheme="minorEastAsia" w:hAnsi="Arial" w:cs="Arial"/>
          <w:lang w:val="sr-Cyrl-RS"/>
        </w:rPr>
        <w:t>у</w:t>
      </w:r>
      <w:r w:rsidR="29552F19" w:rsidRPr="1A8E6423">
        <w:rPr>
          <w:rFonts w:ascii="Arial" w:eastAsiaTheme="minorEastAsia" w:hAnsi="Arial" w:cs="Arial"/>
          <w:lang w:val="sr-Cyrl-RS"/>
        </w:rPr>
        <w:t>редбе)</w:t>
      </w:r>
      <w:r w:rsidR="008E05C0" w:rsidRPr="1A8E6423">
        <w:rPr>
          <w:rFonts w:ascii="Arial" w:eastAsiaTheme="minorEastAsia" w:hAnsi="Arial" w:cs="Arial"/>
          <w:lang w:val="sr-Cyrl-RS"/>
        </w:rPr>
        <w:t>,</w:t>
      </w:r>
      <w:r w:rsidR="29552F19" w:rsidRPr="1A8E6423">
        <w:rPr>
          <w:rFonts w:ascii="Arial" w:eastAsiaTheme="minorEastAsia" w:hAnsi="Arial" w:cs="Arial"/>
          <w:lang w:val="sr-Cyrl-RS"/>
        </w:rPr>
        <w:t xml:space="preserve"> </w:t>
      </w:r>
      <w:r w:rsidRPr="1A8E6423">
        <w:rPr>
          <w:rFonts w:ascii="Arial" w:eastAsiaTheme="minorEastAsia" w:hAnsi="Arial" w:cs="Arial"/>
          <w:lang w:val="sr-Cyrl-RS"/>
        </w:rPr>
        <w:t xml:space="preserve">чиме су заокружена настојања да се дефинише систем </w:t>
      </w:r>
      <w:r w:rsidR="53BF749E" w:rsidRPr="1A8E6423">
        <w:rPr>
          <w:rFonts w:ascii="Arial" w:eastAsiaTheme="minorEastAsia" w:hAnsi="Arial" w:cs="Arial"/>
          <w:lang w:val="sr-Cyrl-RS"/>
        </w:rPr>
        <w:t xml:space="preserve">управљања јавним политикама </w:t>
      </w:r>
      <w:r w:rsidRPr="1A8E6423">
        <w:rPr>
          <w:rFonts w:ascii="Arial" w:eastAsiaTheme="minorEastAsia" w:hAnsi="Arial" w:cs="Arial"/>
          <w:lang w:val="sr-Cyrl-RS"/>
        </w:rPr>
        <w:t xml:space="preserve">у Републици Србији. Овим законом </w:t>
      </w:r>
      <w:r w:rsidR="1843601F" w:rsidRPr="1A8E6423">
        <w:rPr>
          <w:rFonts w:ascii="Arial" w:eastAsiaTheme="minorEastAsia" w:hAnsi="Arial" w:cs="Arial"/>
          <w:lang w:val="sr-Cyrl-RS"/>
        </w:rPr>
        <w:t xml:space="preserve">је </w:t>
      </w:r>
      <w:r w:rsidRPr="1A8E6423">
        <w:rPr>
          <w:rFonts w:ascii="Arial" w:eastAsiaTheme="minorEastAsia" w:hAnsi="Arial" w:cs="Arial"/>
          <w:lang w:val="sr-Cyrl-RS"/>
        </w:rPr>
        <w:t xml:space="preserve">за </w:t>
      </w:r>
      <w:r w:rsidR="1843601F" w:rsidRPr="1A8E6423">
        <w:rPr>
          <w:rFonts w:ascii="Arial" w:eastAsiaTheme="minorEastAsia" w:hAnsi="Arial" w:cs="Arial"/>
          <w:lang w:val="sr-Cyrl-RS"/>
        </w:rPr>
        <w:t xml:space="preserve">ЈЛС </w:t>
      </w:r>
      <w:r w:rsidRPr="1A8E6423">
        <w:rPr>
          <w:rFonts w:ascii="Arial" w:eastAsiaTheme="minorEastAsia" w:hAnsi="Arial" w:cs="Arial"/>
          <w:lang w:val="sr-Cyrl-RS"/>
        </w:rPr>
        <w:t xml:space="preserve">уведен нови институт </w:t>
      </w:r>
      <w:r w:rsidR="6911D925" w:rsidRPr="1A8E6423">
        <w:rPr>
          <w:rFonts w:ascii="Arial" w:eastAsiaTheme="minorEastAsia" w:hAnsi="Arial" w:cs="Arial"/>
          <w:lang w:val="sr-Cyrl-RS"/>
        </w:rPr>
        <w:t>развојног планирања (</w:t>
      </w:r>
      <w:r w:rsidR="5A488238" w:rsidRPr="1A8E6423">
        <w:rPr>
          <w:rFonts w:ascii="Arial" w:eastAsiaTheme="minorEastAsia" w:hAnsi="Arial" w:cs="Arial"/>
          <w:lang w:val="sr-Cyrl-RS"/>
        </w:rPr>
        <w:t xml:space="preserve">план </w:t>
      </w:r>
      <w:r w:rsidR="6911D925" w:rsidRPr="1A8E6423">
        <w:rPr>
          <w:rFonts w:ascii="Arial" w:eastAsiaTheme="minorEastAsia" w:hAnsi="Arial" w:cs="Arial"/>
          <w:lang w:val="sr-Cyrl-RS"/>
        </w:rPr>
        <w:t>развоја</w:t>
      </w:r>
      <w:r w:rsidRPr="1A8E6423">
        <w:rPr>
          <w:rFonts w:ascii="Arial" w:eastAsiaTheme="minorEastAsia" w:hAnsi="Arial" w:cs="Arial"/>
          <w:lang w:val="sr-Cyrl-RS"/>
        </w:rPr>
        <w:t xml:space="preserve"> ЈЛС</w:t>
      </w:r>
      <w:r w:rsidR="6911D925" w:rsidRPr="1A8E6423">
        <w:rPr>
          <w:rFonts w:ascii="Arial" w:eastAsiaTheme="minorEastAsia" w:hAnsi="Arial" w:cs="Arial"/>
          <w:lang w:val="sr-Cyrl-RS"/>
        </w:rPr>
        <w:t>)</w:t>
      </w:r>
      <w:r w:rsidRPr="1A8E6423">
        <w:rPr>
          <w:rFonts w:ascii="Arial" w:eastAsiaTheme="minorEastAsia" w:hAnsi="Arial" w:cs="Arial"/>
          <w:lang w:val="sr-Cyrl-RS"/>
        </w:rPr>
        <w:t xml:space="preserve"> који треба да буде основни развојни документ сваке локалне заједнице</w:t>
      </w:r>
      <w:r w:rsidR="29552F19" w:rsidRPr="1A8E6423">
        <w:rPr>
          <w:rFonts w:ascii="Arial" w:eastAsiaTheme="minorEastAsia" w:hAnsi="Arial" w:cs="Arial"/>
          <w:lang w:val="sr-Cyrl-RS"/>
        </w:rPr>
        <w:t>, а чија је структура додатно прецизирана Уредбом о обавезним елементима плана развоја АП и ЈЛС</w:t>
      </w:r>
      <w:r w:rsidR="006102C5" w:rsidRPr="1A8E6423">
        <w:rPr>
          <w:rStyle w:val="FootnoteReference"/>
          <w:rFonts w:ascii="Arial" w:eastAsiaTheme="minorEastAsia" w:hAnsi="Arial" w:cs="Arial"/>
          <w:lang w:val="sr-Cyrl-RS"/>
        </w:rPr>
        <w:footnoteReference w:id="105"/>
      </w:r>
      <w:r w:rsidRPr="1A8E6423">
        <w:rPr>
          <w:rFonts w:ascii="Arial" w:eastAsiaTheme="minorEastAsia" w:hAnsi="Arial" w:cs="Arial"/>
          <w:lang w:val="sr-Cyrl-RS"/>
        </w:rPr>
        <w:t xml:space="preserve">. За добро управљање посебно је важно </w:t>
      </w:r>
      <w:r w:rsidR="008E05C0" w:rsidRPr="1A8E6423">
        <w:rPr>
          <w:rFonts w:ascii="Arial" w:eastAsiaTheme="minorEastAsia" w:hAnsi="Arial" w:cs="Arial"/>
          <w:lang w:val="sr-Cyrl-RS"/>
        </w:rPr>
        <w:t xml:space="preserve">то </w:t>
      </w:r>
      <w:r w:rsidRPr="1A8E6423">
        <w:rPr>
          <w:rFonts w:ascii="Arial" w:eastAsiaTheme="minorEastAsia" w:hAnsi="Arial" w:cs="Arial"/>
          <w:lang w:val="sr-Cyrl-RS"/>
        </w:rPr>
        <w:t>што је усвајањем овог прописа и пратећих подзаконских аката</w:t>
      </w:r>
      <w:r w:rsidR="00F76A69">
        <w:rPr>
          <w:rFonts w:ascii="Arial" w:eastAsiaTheme="minorEastAsia" w:hAnsi="Arial" w:cs="Arial"/>
          <w:lang w:val="sr-Cyrl-RS"/>
        </w:rPr>
        <w:t>,</w:t>
      </w:r>
      <w:r w:rsidRPr="1A8E6423">
        <w:rPr>
          <w:rFonts w:ascii="Arial" w:eastAsiaTheme="minorEastAsia" w:hAnsi="Arial" w:cs="Arial"/>
          <w:lang w:val="sr-Cyrl-RS"/>
        </w:rPr>
        <w:t xml:space="preserve"> постављен систем </w:t>
      </w:r>
      <w:r w:rsidR="00F76A69">
        <w:rPr>
          <w:rFonts w:ascii="Arial" w:eastAsiaTheme="minorEastAsia" w:hAnsi="Arial" w:cs="Arial"/>
          <w:lang w:val="sr-Cyrl-RS"/>
        </w:rPr>
        <w:t>који</w:t>
      </w:r>
      <w:r w:rsidR="5A488238" w:rsidRPr="1A8E6423">
        <w:rPr>
          <w:rFonts w:ascii="Arial" w:eastAsiaTheme="minorEastAsia" w:hAnsi="Arial" w:cs="Arial"/>
          <w:lang w:val="sr-Cyrl-RS"/>
        </w:rPr>
        <w:t xml:space="preserve"> </w:t>
      </w:r>
      <w:r w:rsidRPr="1A8E6423">
        <w:rPr>
          <w:rFonts w:ascii="Arial" w:eastAsiaTheme="minorEastAsia" w:hAnsi="Arial" w:cs="Arial"/>
          <w:lang w:val="sr-Cyrl-RS"/>
        </w:rPr>
        <w:t xml:space="preserve">треба значајно </w:t>
      </w:r>
      <w:r w:rsidR="00F76A69">
        <w:rPr>
          <w:rFonts w:ascii="Arial" w:eastAsiaTheme="minorEastAsia" w:hAnsi="Arial" w:cs="Arial"/>
          <w:lang w:val="sr-Cyrl-RS"/>
        </w:rPr>
        <w:t xml:space="preserve">да </w:t>
      </w:r>
      <w:r w:rsidRPr="1A8E6423">
        <w:rPr>
          <w:rFonts w:ascii="Arial" w:eastAsiaTheme="minorEastAsia" w:hAnsi="Arial" w:cs="Arial"/>
          <w:lang w:val="sr-Cyrl-RS"/>
        </w:rPr>
        <w:t>унапреди развојно планирање и његово увезивањ</w:t>
      </w:r>
      <w:r w:rsidR="008E05C0" w:rsidRPr="1A8E6423">
        <w:rPr>
          <w:rFonts w:ascii="Arial" w:eastAsiaTheme="minorEastAsia" w:hAnsi="Arial" w:cs="Arial"/>
          <w:lang w:val="sr-Cyrl-RS"/>
        </w:rPr>
        <w:t>е</w:t>
      </w:r>
      <w:r w:rsidRPr="1A8E6423">
        <w:rPr>
          <w:rFonts w:ascii="Arial" w:eastAsiaTheme="minorEastAsia" w:hAnsi="Arial" w:cs="Arial"/>
          <w:lang w:val="sr-Cyrl-RS"/>
        </w:rPr>
        <w:t xml:space="preserve"> са </w:t>
      </w:r>
      <w:r w:rsidR="214F28E8" w:rsidRPr="1A8E6423">
        <w:rPr>
          <w:rFonts w:ascii="Arial" w:eastAsiaTheme="minorEastAsia" w:hAnsi="Arial" w:cs="Arial"/>
          <w:lang w:val="sr-Cyrl-RS"/>
        </w:rPr>
        <w:t xml:space="preserve">средњорочним планирањем, </w:t>
      </w:r>
      <w:r w:rsidRPr="1A8E6423">
        <w:rPr>
          <w:rFonts w:ascii="Arial" w:eastAsiaTheme="minorEastAsia" w:hAnsi="Arial" w:cs="Arial"/>
          <w:lang w:val="sr-Cyrl-RS"/>
        </w:rPr>
        <w:t>буџетским циклусом, програмским буџетом и другим чиниоцима развојне политике.</w:t>
      </w:r>
      <w:r w:rsidR="004826D6">
        <w:rPr>
          <w:rFonts w:ascii="Arial" w:eastAsiaTheme="minorEastAsia" w:hAnsi="Arial" w:cs="Arial"/>
        </w:rPr>
        <w:t xml:space="preserve"> </w:t>
      </w:r>
      <w:r w:rsidR="004826D6">
        <w:rPr>
          <w:rFonts w:ascii="Arial" w:eastAsiaTheme="minorEastAsia" w:hAnsi="Arial" w:cs="Arial"/>
          <w:lang w:val="sr-Cyrl-RS"/>
        </w:rPr>
        <w:t>Даље предстоји усаглашавање посебних закона којима се утврђује обавеза ЈЛС за доношењем различитих докумената јавних политика са Законом о планском систему.</w:t>
      </w:r>
      <w:r w:rsidRPr="1A8E6423">
        <w:rPr>
          <w:rFonts w:ascii="Arial" w:eastAsiaTheme="minorEastAsia" w:hAnsi="Arial" w:cs="Arial"/>
          <w:lang w:val="sr-Cyrl-RS"/>
        </w:rPr>
        <w:t xml:space="preserve"> </w:t>
      </w:r>
      <w:r w:rsidR="440D1BF2" w:rsidRPr="1A8E6423">
        <w:rPr>
          <w:rFonts w:ascii="Arial" w:eastAsiaTheme="minorEastAsia" w:hAnsi="Arial" w:cs="Arial"/>
          <w:lang w:val="sr-Cyrl-RS"/>
        </w:rPr>
        <w:t>Р</w:t>
      </w:r>
      <w:r w:rsidRPr="1A8E6423">
        <w:rPr>
          <w:rFonts w:ascii="Arial" w:eastAsiaTheme="minorEastAsia" w:hAnsi="Arial" w:cs="Arial"/>
          <w:lang w:val="sr-Cyrl-RS"/>
        </w:rPr>
        <w:t xml:space="preserve">еформама у овој области успоставља се систем у коме </w:t>
      </w:r>
      <w:r w:rsidR="008E05C0" w:rsidRPr="1A8E6423">
        <w:rPr>
          <w:rFonts w:ascii="Arial" w:eastAsiaTheme="minorEastAsia" w:hAnsi="Arial" w:cs="Arial"/>
          <w:lang w:val="sr-Cyrl-RS"/>
        </w:rPr>
        <w:t>су</w:t>
      </w:r>
      <w:r w:rsidRPr="1A8E6423">
        <w:rPr>
          <w:rFonts w:ascii="Arial" w:eastAsiaTheme="minorEastAsia" w:hAnsi="Arial" w:cs="Arial"/>
          <w:lang w:val="sr-Cyrl-RS"/>
        </w:rPr>
        <w:t xml:space="preserve"> неопходн</w:t>
      </w:r>
      <w:r w:rsidR="008E05C0" w:rsidRPr="1A8E6423">
        <w:rPr>
          <w:rFonts w:ascii="Arial" w:eastAsiaTheme="minorEastAsia" w:hAnsi="Arial" w:cs="Arial"/>
          <w:lang w:val="sr-Cyrl-RS"/>
        </w:rPr>
        <w:t>и</w:t>
      </w:r>
      <w:r w:rsidRPr="1A8E6423">
        <w:rPr>
          <w:rFonts w:ascii="Arial" w:eastAsiaTheme="minorEastAsia" w:hAnsi="Arial" w:cs="Arial"/>
          <w:lang w:val="sr-Cyrl-RS"/>
        </w:rPr>
        <w:t xml:space="preserve"> дугорочно планирање, квалитетн</w:t>
      </w:r>
      <w:r w:rsidR="66BCE86A" w:rsidRPr="1A8E6423">
        <w:rPr>
          <w:rFonts w:ascii="Arial" w:eastAsiaTheme="minorEastAsia" w:hAnsi="Arial" w:cs="Arial"/>
          <w:lang w:val="sr-Cyrl-RS"/>
        </w:rPr>
        <w:t>а</w:t>
      </w:r>
      <w:r w:rsidRPr="1A8E6423">
        <w:rPr>
          <w:rFonts w:ascii="Arial" w:eastAsiaTheme="minorEastAsia" w:hAnsi="Arial" w:cs="Arial"/>
          <w:lang w:val="sr-Cyrl-RS"/>
        </w:rPr>
        <w:t xml:space="preserve"> анализ</w:t>
      </w:r>
      <w:r w:rsidR="66BCE86A" w:rsidRPr="1A8E6423">
        <w:rPr>
          <w:rFonts w:ascii="Arial" w:eastAsiaTheme="minorEastAsia" w:hAnsi="Arial" w:cs="Arial"/>
          <w:lang w:val="sr-Cyrl-RS"/>
        </w:rPr>
        <w:t>а</w:t>
      </w:r>
      <w:r w:rsidRPr="1A8E6423">
        <w:rPr>
          <w:rFonts w:ascii="Arial" w:eastAsiaTheme="minorEastAsia" w:hAnsi="Arial" w:cs="Arial"/>
          <w:lang w:val="sr-Cyrl-RS"/>
        </w:rPr>
        <w:t xml:space="preserve"> могућих ефеката планираних политика и континуиран</w:t>
      </w:r>
      <w:r w:rsidR="66BCE86A" w:rsidRPr="1A8E6423">
        <w:rPr>
          <w:rFonts w:ascii="Arial" w:eastAsiaTheme="minorEastAsia" w:hAnsi="Arial" w:cs="Arial"/>
          <w:lang w:val="sr-Cyrl-RS"/>
        </w:rPr>
        <w:t>а</w:t>
      </w:r>
      <w:r w:rsidRPr="1A8E6423">
        <w:rPr>
          <w:rFonts w:ascii="Arial" w:eastAsiaTheme="minorEastAsia" w:hAnsi="Arial" w:cs="Arial"/>
          <w:lang w:val="sr-Cyrl-RS"/>
        </w:rPr>
        <w:t xml:space="preserve"> </w:t>
      </w:r>
      <w:r w:rsidR="440D1BF2" w:rsidRPr="1A8E6423">
        <w:rPr>
          <w:rFonts w:ascii="Arial" w:eastAsiaTheme="minorEastAsia" w:hAnsi="Arial" w:cs="Arial"/>
          <w:lang w:val="sr-Cyrl-RS"/>
        </w:rPr>
        <w:t xml:space="preserve">анализа </w:t>
      </w:r>
      <w:r w:rsidRPr="1A8E6423">
        <w:rPr>
          <w:rFonts w:ascii="Arial" w:eastAsiaTheme="minorEastAsia" w:hAnsi="Arial" w:cs="Arial"/>
          <w:lang w:val="sr-Cyrl-RS"/>
        </w:rPr>
        <w:t xml:space="preserve">остварености усвојених јавних политика и прописа. На овај начин се значајно јача одговорност јавних власти за остваривање њихових </w:t>
      </w:r>
      <w:r w:rsidR="37745228" w:rsidRPr="1A8E6423">
        <w:rPr>
          <w:rFonts w:ascii="Arial" w:eastAsiaTheme="minorEastAsia" w:hAnsi="Arial" w:cs="Arial"/>
          <w:lang w:val="sr-Cyrl-RS"/>
        </w:rPr>
        <w:t>функција</w:t>
      </w:r>
      <w:r w:rsidRPr="1A8E6423">
        <w:rPr>
          <w:rFonts w:ascii="Arial" w:eastAsiaTheme="minorEastAsia" w:hAnsi="Arial" w:cs="Arial"/>
          <w:lang w:val="sr-Cyrl-RS"/>
        </w:rPr>
        <w:t>. Нови прописи у овој области посебно уређују и питања транспарентности процеса планирања и обавезу укључивања локалне заједнице, циљних група и других заинтересованих страна у овај процес (привреде, ОЦД, корисника услуга и др.), не само кроз јавну расправу</w:t>
      </w:r>
      <w:r w:rsidR="008E05C0" w:rsidRPr="1A8E6423">
        <w:rPr>
          <w:rFonts w:ascii="Arial" w:eastAsiaTheme="minorEastAsia" w:hAnsi="Arial" w:cs="Arial"/>
          <w:lang w:val="sr-Cyrl-RS"/>
        </w:rPr>
        <w:t>,</w:t>
      </w:r>
      <w:r w:rsidRPr="1A8E6423">
        <w:rPr>
          <w:rFonts w:ascii="Arial" w:eastAsiaTheme="minorEastAsia" w:hAnsi="Arial" w:cs="Arial"/>
          <w:lang w:val="sr-Cyrl-RS"/>
        </w:rPr>
        <w:t xml:space="preserve"> већ и кроз консултације у раним фазама израде неког документа јавне политике или прописа.</w:t>
      </w:r>
    </w:p>
    <w:p w14:paraId="30D0E25C" w14:textId="77777777" w:rsidR="00516200" w:rsidRPr="00A021B7" w:rsidRDefault="00516200" w:rsidP="1A8E6423">
      <w:pPr>
        <w:pStyle w:val="CommentText"/>
        <w:ind w:firstLine="810"/>
        <w:jc w:val="both"/>
        <w:rPr>
          <w:rFonts w:ascii="Arial" w:eastAsiaTheme="minorEastAsia" w:hAnsi="Arial" w:cs="Arial"/>
          <w:lang w:val="sr-Cyrl-RS"/>
        </w:rPr>
      </w:pPr>
    </w:p>
    <w:p w14:paraId="5CBB651F" w14:textId="0AB9E39E" w:rsidR="00CE205B" w:rsidRPr="00A021B7" w:rsidRDefault="5AE00B6F" w:rsidP="1A8E6423">
      <w:pPr>
        <w:pStyle w:val="CommentText"/>
        <w:ind w:firstLine="810"/>
        <w:jc w:val="both"/>
        <w:rPr>
          <w:rFonts w:ascii="Arial" w:hAnsi="Arial" w:cs="Arial"/>
          <w:lang w:val="sr-Cyrl-RS"/>
        </w:rPr>
      </w:pPr>
      <w:r w:rsidRPr="1A8E6423">
        <w:rPr>
          <w:rFonts w:ascii="Arial" w:eastAsiaTheme="minorEastAsia" w:hAnsi="Arial" w:cs="Arial"/>
          <w:lang w:val="sr-Cyrl-RS"/>
        </w:rPr>
        <w:t xml:space="preserve">Као наставак даљих корака у овој области, Влада је усвојила и </w:t>
      </w:r>
      <w:r w:rsidRPr="00A021B7">
        <w:rPr>
          <w:rFonts w:ascii="Arial" w:hAnsi="Arial" w:cs="Arial"/>
          <w:color w:val="000000" w:themeColor="text1"/>
          <w:lang w:val="sr-Cyrl-RS"/>
        </w:rPr>
        <w:t>Смернице за укључивање организација цивилног друштва у радне групе за</w:t>
      </w:r>
      <w:r w:rsidR="512CDFFD" w:rsidRPr="00A021B7">
        <w:rPr>
          <w:rFonts w:ascii="Arial" w:hAnsi="Arial" w:cs="Arial"/>
          <w:color w:val="000000" w:themeColor="text1"/>
          <w:lang w:val="sr-Cyrl-RS"/>
        </w:rPr>
        <w:t xml:space="preserve"> </w:t>
      </w:r>
      <w:r w:rsidRPr="00A021B7">
        <w:rPr>
          <w:rFonts w:ascii="Arial" w:hAnsi="Arial" w:cs="Arial"/>
          <w:color w:val="000000" w:themeColor="text1"/>
          <w:lang w:val="sr-Cyrl-RS"/>
        </w:rPr>
        <w:t>израду предлога докумената јавних политика и нацрта, односно предлога пропис</w:t>
      </w:r>
      <w:r w:rsidR="008E05C0">
        <w:rPr>
          <w:rFonts w:ascii="Arial" w:hAnsi="Arial" w:cs="Arial"/>
          <w:color w:val="000000" w:themeColor="text1"/>
          <w:lang w:val="sr-Cyrl-RS"/>
        </w:rPr>
        <w:t>а</w:t>
      </w:r>
      <w:r w:rsidR="00EC0AAE" w:rsidRPr="00A021B7">
        <w:rPr>
          <w:rFonts w:ascii="Arial" w:hAnsi="Arial" w:cs="Arial"/>
          <w:color w:val="000000" w:themeColor="text1"/>
          <w:lang w:val="sr-Cyrl-RS"/>
        </w:rPr>
        <w:t xml:space="preserve"> </w:t>
      </w:r>
      <w:r w:rsidR="00EC0AAE" w:rsidRPr="1A8E6423">
        <w:rPr>
          <w:rFonts w:ascii="Arial" w:hAnsi="Arial" w:cs="Arial"/>
          <w:lang w:val="sr-Cyrl-RS"/>
        </w:rPr>
        <w:t xml:space="preserve">(„Службени гласник </w:t>
      </w:r>
      <w:r w:rsidR="008E05C0" w:rsidRPr="1A8E6423">
        <w:rPr>
          <w:rFonts w:ascii="Arial" w:hAnsi="Arial" w:cs="Arial"/>
          <w:lang w:val="sr-Cyrl-RS"/>
        </w:rPr>
        <w:t>РС</w:t>
      </w:r>
      <w:r w:rsidR="008E05C0" w:rsidRPr="1A8E6423">
        <w:rPr>
          <w:rFonts w:ascii="Arial" w:hAnsi="Arial" w:cs="Arial"/>
        </w:rPr>
        <w:t>”</w:t>
      </w:r>
      <w:r w:rsidR="00EC0AAE" w:rsidRPr="1A8E6423">
        <w:rPr>
          <w:rFonts w:ascii="Arial" w:hAnsi="Arial" w:cs="Arial"/>
          <w:lang w:val="sr-Cyrl-RS"/>
        </w:rPr>
        <w:t>, број 8/20).</w:t>
      </w:r>
      <w:r w:rsidR="00EC0AAE" w:rsidRPr="1A8E6423">
        <w:rPr>
          <w:rFonts w:ascii="Arial" w:hAnsi="Arial" w:cs="Arial"/>
          <w:color w:val="000000" w:themeColor="text1"/>
          <w:sz w:val="24"/>
          <w:szCs w:val="24"/>
          <w:lang w:val="sr-Cyrl-RS"/>
        </w:rPr>
        <w:t xml:space="preserve"> </w:t>
      </w:r>
      <w:r w:rsidR="648903FB" w:rsidRPr="00A021B7">
        <w:rPr>
          <w:rFonts w:ascii="Arial" w:hAnsi="Arial" w:cs="Arial"/>
          <w:color w:val="000000" w:themeColor="text1"/>
          <w:lang w:val="sr-Cyrl-RS"/>
        </w:rPr>
        <w:t>Овим</w:t>
      </w:r>
      <w:r w:rsidR="648903FB" w:rsidRPr="1A8E6423">
        <w:rPr>
          <w:rFonts w:ascii="Arial" w:hAnsi="Arial" w:cs="Arial"/>
          <w:i/>
          <w:iCs/>
          <w:color w:val="000000" w:themeColor="text1"/>
          <w:lang w:val="sr-Cyrl-RS"/>
        </w:rPr>
        <w:t xml:space="preserve"> </w:t>
      </w:r>
      <w:r w:rsidRPr="1A8E6423">
        <w:rPr>
          <w:rFonts w:ascii="Arial" w:eastAsiaTheme="minorEastAsia" w:hAnsi="Arial" w:cs="Arial"/>
          <w:lang w:val="sr-Cyrl-RS"/>
        </w:rPr>
        <w:t>смерница</w:t>
      </w:r>
      <w:r w:rsidR="648903FB" w:rsidRPr="1A8E6423">
        <w:rPr>
          <w:rFonts w:ascii="Arial" w:eastAsiaTheme="minorEastAsia" w:hAnsi="Arial" w:cs="Arial"/>
          <w:lang w:val="sr-Cyrl-RS"/>
        </w:rPr>
        <w:t>ма</w:t>
      </w:r>
      <w:r w:rsidR="1E2CE6E5" w:rsidRPr="1A8E6423">
        <w:rPr>
          <w:rFonts w:ascii="Arial" w:eastAsiaTheme="minorEastAsia" w:hAnsi="Arial" w:cs="Arial"/>
          <w:lang w:val="sr-Cyrl-RS"/>
        </w:rPr>
        <w:t>,</w:t>
      </w:r>
      <w:r w:rsidRPr="1A8E6423">
        <w:rPr>
          <w:rFonts w:ascii="Arial" w:eastAsiaTheme="minorEastAsia" w:hAnsi="Arial" w:cs="Arial"/>
          <w:lang w:val="sr-Cyrl-RS"/>
        </w:rPr>
        <w:t xml:space="preserve"> </w:t>
      </w:r>
      <w:r w:rsidR="1E2CE6E5" w:rsidRPr="1A8E6423">
        <w:rPr>
          <w:rFonts w:ascii="Arial" w:eastAsiaTheme="minorEastAsia" w:hAnsi="Arial" w:cs="Arial"/>
          <w:lang w:val="sr-Cyrl-RS"/>
        </w:rPr>
        <w:t xml:space="preserve">које </w:t>
      </w:r>
      <w:r w:rsidRPr="1A8E6423">
        <w:rPr>
          <w:rFonts w:ascii="Arial" w:eastAsiaTheme="minorEastAsia" w:hAnsi="Arial" w:cs="Arial"/>
          <w:lang w:val="sr-Cyrl-RS"/>
        </w:rPr>
        <w:t xml:space="preserve">је </w:t>
      </w:r>
      <w:r w:rsidR="1E2CE6E5" w:rsidRPr="1A8E6423">
        <w:rPr>
          <w:rFonts w:ascii="Arial" w:eastAsiaTheme="minorEastAsia" w:hAnsi="Arial" w:cs="Arial"/>
          <w:lang w:val="sr-Cyrl-RS"/>
        </w:rPr>
        <w:t>из</w:t>
      </w:r>
      <w:r w:rsidRPr="1A8E6423">
        <w:rPr>
          <w:rFonts w:ascii="Arial" w:eastAsiaTheme="minorEastAsia" w:hAnsi="Arial" w:cs="Arial"/>
          <w:lang w:val="sr-Cyrl-RS"/>
        </w:rPr>
        <w:t xml:space="preserve">радила </w:t>
      </w:r>
      <w:r w:rsidR="1E2CE6E5" w:rsidRPr="1A8E6423">
        <w:rPr>
          <w:rFonts w:ascii="Arial" w:eastAsiaTheme="minorEastAsia" w:hAnsi="Arial" w:cs="Arial"/>
          <w:lang w:val="sr-Cyrl-RS"/>
        </w:rPr>
        <w:t xml:space="preserve">Владина </w:t>
      </w:r>
      <w:r w:rsidRPr="1A8E6423">
        <w:rPr>
          <w:rFonts w:ascii="Arial" w:eastAsiaTheme="minorEastAsia" w:hAnsi="Arial" w:cs="Arial"/>
          <w:lang w:val="sr-Cyrl-RS"/>
        </w:rPr>
        <w:t>Канцеларија за сарадњу са</w:t>
      </w:r>
      <w:r w:rsidR="512CDFFD" w:rsidRPr="1A8E6423">
        <w:rPr>
          <w:rFonts w:ascii="Arial" w:eastAsiaTheme="minorEastAsia" w:hAnsi="Arial" w:cs="Arial"/>
          <w:lang w:val="sr-Cyrl-RS"/>
        </w:rPr>
        <w:t xml:space="preserve"> </w:t>
      </w:r>
      <w:r w:rsidRPr="1A8E6423">
        <w:rPr>
          <w:rFonts w:ascii="Arial" w:eastAsiaTheme="minorEastAsia" w:hAnsi="Arial" w:cs="Arial"/>
          <w:lang w:val="sr-Cyrl-RS"/>
        </w:rPr>
        <w:t xml:space="preserve">цивилним друштвом, додатно се подстиче укључивање свих заинтересованих страна, посебно организација цивилног друштва у процесе припреме јавних политика и прописа, како </w:t>
      </w:r>
      <w:r w:rsidR="6BD2606A" w:rsidRPr="1A8E6423">
        <w:rPr>
          <w:rFonts w:ascii="Arial" w:eastAsiaTheme="minorEastAsia" w:hAnsi="Arial" w:cs="Arial"/>
          <w:lang w:val="sr-Cyrl-RS"/>
        </w:rPr>
        <w:t xml:space="preserve">у </w:t>
      </w:r>
      <w:r w:rsidR="4EDE9CC1" w:rsidRPr="1A8E6423">
        <w:rPr>
          <w:rFonts w:ascii="Arial" w:eastAsiaTheme="minorEastAsia" w:hAnsi="Arial" w:cs="Arial"/>
          <w:lang w:val="sr-Cyrl-RS"/>
        </w:rPr>
        <w:t xml:space="preserve">републичким </w:t>
      </w:r>
      <w:r w:rsidRPr="1A8E6423">
        <w:rPr>
          <w:rFonts w:ascii="Arial" w:eastAsiaTheme="minorEastAsia" w:hAnsi="Arial" w:cs="Arial"/>
          <w:lang w:val="sr-Cyrl-RS"/>
        </w:rPr>
        <w:t xml:space="preserve">тако и </w:t>
      </w:r>
      <w:r w:rsidR="6BD2606A" w:rsidRPr="1A8E6423">
        <w:rPr>
          <w:rFonts w:ascii="Arial" w:eastAsiaTheme="minorEastAsia" w:hAnsi="Arial" w:cs="Arial"/>
          <w:lang w:val="sr-Cyrl-RS"/>
        </w:rPr>
        <w:t xml:space="preserve">у локалним </w:t>
      </w:r>
      <w:r w:rsidR="4EDE9CC1" w:rsidRPr="1A8E6423">
        <w:rPr>
          <w:rFonts w:ascii="Arial" w:eastAsiaTheme="minorEastAsia" w:hAnsi="Arial" w:cs="Arial"/>
          <w:lang w:val="sr-Cyrl-RS"/>
        </w:rPr>
        <w:t xml:space="preserve">органима </w:t>
      </w:r>
      <w:r w:rsidRPr="1A8E6423">
        <w:rPr>
          <w:rFonts w:ascii="Arial" w:eastAsiaTheme="minorEastAsia" w:hAnsi="Arial" w:cs="Arial"/>
          <w:lang w:val="sr-Cyrl-RS"/>
        </w:rPr>
        <w:t xml:space="preserve">власти. Ово треба да води дијалогу и развоју системске сарадње са организацијама цивилног друштва у питањима од заједничког интереса локалне заједнице. </w:t>
      </w:r>
      <w:r w:rsidR="4AD59959" w:rsidRPr="00A021B7">
        <w:rPr>
          <w:rFonts w:ascii="Arial" w:hAnsi="Arial" w:cs="Arial"/>
          <w:lang w:val="sr-Cyrl-RS"/>
        </w:rPr>
        <w:t>Канцеларија је крајем 2019. године иницирала именовање контакт особа</w:t>
      </w:r>
      <w:r w:rsidR="410DED70" w:rsidRPr="00A021B7">
        <w:rPr>
          <w:rFonts w:ascii="Arial" w:hAnsi="Arial" w:cs="Arial"/>
          <w:lang w:val="sr-Cyrl-RS"/>
        </w:rPr>
        <w:t xml:space="preserve"> </w:t>
      </w:r>
      <w:r w:rsidR="008E05C0">
        <w:rPr>
          <w:rFonts w:ascii="Arial" w:hAnsi="Arial" w:cs="Arial"/>
          <w:lang w:val="sr-Cyrl-RS"/>
        </w:rPr>
        <w:t>–</w:t>
      </w:r>
      <w:r w:rsidR="4AD59959" w:rsidRPr="00A021B7">
        <w:rPr>
          <w:rFonts w:ascii="Arial" w:hAnsi="Arial" w:cs="Arial"/>
          <w:lang w:val="sr-Cyrl-RS"/>
        </w:rPr>
        <w:t xml:space="preserve"> контакт тачака за сарадњу са цивилним друштвом у органима јавне управе на сва три нивоа власти и израдила базу података о контакт тачкама, </w:t>
      </w:r>
      <w:r w:rsidR="410DED70" w:rsidRPr="00A021B7">
        <w:rPr>
          <w:rFonts w:ascii="Arial" w:hAnsi="Arial" w:cs="Arial"/>
          <w:lang w:val="sr-Cyrl-RS"/>
        </w:rPr>
        <w:t xml:space="preserve">која је </w:t>
      </w:r>
      <w:r w:rsidR="4AD59959" w:rsidRPr="00A021B7">
        <w:rPr>
          <w:rFonts w:ascii="Arial" w:hAnsi="Arial" w:cs="Arial"/>
          <w:lang w:val="sr-Cyrl-RS"/>
        </w:rPr>
        <w:t>доступна на интернет страници Канцеларије.</w:t>
      </w:r>
      <w:r w:rsidR="00CE205B" w:rsidRPr="00A021B7">
        <w:rPr>
          <w:rStyle w:val="FootnoteReference"/>
          <w:rFonts w:ascii="Arial" w:hAnsi="Arial" w:cs="Arial"/>
          <w:lang w:val="sr-Cyrl-RS"/>
        </w:rPr>
        <w:footnoteReference w:id="106"/>
      </w:r>
      <w:r w:rsidR="4AD59959" w:rsidRPr="00A021B7">
        <w:rPr>
          <w:rFonts w:ascii="Arial" w:hAnsi="Arial" w:cs="Arial"/>
          <w:lang w:val="sr-Cyrl-RS"/>
        </w:rPr>
        <w:t xml:space="preserve"> Сврха ове базе је да омогући и подстакне директну комуникацију и сарадњу органа управе и организација цивилног друштва, посебно у процесима одлучивања (као што је процес израде прописа и </w:t>
      </w:r>
      <w:r w:rsidR="008E05C0">
        <w:rPr>
          <w:rFonts w:ascii="Arial" w:hAnsi="Arial" w:cs="Arial"/>
          <w:lang w:val="sr-Cyrl-RS"/>
        </w:rPr>
        <w:t>докумената јавне политике</w:t>
      </w:r>
      <w:r w:rsidR="4AD59959" w:rsidRPr="00A021B7">
        <w:rPr>
          <w:rFonts w:ascii="Arial" w:hAnsi="Arial" w:cs="Arial"/>
          <w:lang w:val="sr-Cyrl-RS"/>
        </w:rPr>
        <w:t xml:space="preserve">), али и међусобну сарадњу и размену искустава самих државних органа у овој области. У моделу </w:t>
      </w:r>
      <w:r w:rsidR="008E05C0" w:rsidRPr="00A021B7">
        <w:rPr>
          <w:rFonts w:ascii="Arial" w:hAnsi="Arial" w:cs="Arial"/>
          <w:lang w:val="sr-Cyrl-RS"/>
        </w:rPr>
        <w:t>описа</w:t>
      </w:r>
      <w:r w:rsidR="4AD59959" w:rsidRPr="00A021B7">
        <w:rPr>
          <w:rFonts w:ascii="Arial" w:hAnsi="Arial" w:cs="Arial"/>
          <w:lang w:val="sr-Cyrl-RS"/>
        </w:rPr>
        <w:t xml:space="preserve"> послова радног места односно дела радног места службеника задуженог за сарадњу са цивилним друштвом, које је СКГО у сарадњи са Канцеларијом изради</w:t>
      </w:r>
      <w:r w:rsidR="7F45F53C" w:rsidRPr="00A021B7">
        <w:rPr>
          <w:rFonts w:ascii="Arial" w:hAnsi="Arial" w:cs="Arial"/>
          <w:lang w:val="sr-Cyrl-RS"/>
        </w:rPr>
        <w:t>ла</w:t>
      </w:r>
      <w:r w:rsidR="4AD59959" w:rsidRPr="00A021B7">
        <w:rPr>
          <w:rFonts w:ascii="Arial" w:hAnsi="Arial" w:cs="Arial"/>
          <w:lang w:val="sr-Cyrl-RS"/>
        </w:rPr>
        <w:t>, предвиђено је да овај службеник пружа подршку у иницирању, организовању и одржавању јавних расправа и консултација са ОЦД.</w:t>
      </w:r>
    </w:p>
    <w:p w14:paraId="224AB143" w14:textId="77777777" w:rsidR="00FB0F1B" w:rsidRPr="00A021B7" w:rsidRDefault="00FB0F1B" w:rsidP="1A8E6423">
      <w:pPr>
        <w:pStyle w:val="CommentText"/>
        <w:ind w:firstLine="810"/>
        <w:jc w:val="both"/>
        <w:rPr>
          <w:rFonts w:ascii="Arial" w:eastAsiaTheme="minorEastAsia" w:hAnsi="Arial" w:cs="Arial"/>
          <w:lang w:val="sr-Cyrl-RS"/>
        </w:rPr>
      </w:pPr>
    </w:p>
    <w:p w14:paraId="1C233F04" w14:textId="3E047286" w:rsidR="00D90DB0" w:rsidRPr="00A021B7" w:rsidRDefault="777E3BFC" w:rsidP="1A8E6423">
      <w:pPr>
        <w:ind w:firstLine="810"/>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П</w:t>
      </w:r>
      <w:r w:rsidR="5AE00B6F" w:rsidRPr="1A8E6423">
        <w:rPr>
          <w:rFonts w:ascii="Arial" w:eastAsiaTheme="minorEastAsia" w:hAnsi="Arial" w:cs="Arial"/>
          <w:sz w:val="20"/>
          <w:szCs w:val="20"/>
          <w:lang w:val="sr-Cyrl-RS"/>
        </w:rPr>
        <w:t>осебно треба истаћи и реформе које су покренуте у области подршке локалне самоуправе раду и деловању организација цивилног друштва. Током 2018.</w:t>
      </w:r>
      <w:r w:rsidR="43D74A28" w:rsidRPr="1A8E6423">
        <w:rPr>
          <w:rFonts w:ascii="Arial" w:eastAsiaTheme="minorEastAsia" w:hAnsi="Arial" w:cs="Arial"/>
          <w:sz w:val="20"/>
          <w:szCs w:val="20"/>
          <w:lang w:val="sr-Cyrl-RS"/>
        </w:rPr>
        <w:t xml:space="preserve"> </w:t>
      </w:r>
      <w:r w:rsidR="5AE00B6F" w:rsidRPr="1A8E6423">
        <w:rPr>
          <w:rFonts w:ascii="Arial" w:eastAsiaTheme="minorEastAsia" w:hAnsi="Arial" w:cs="Arial"/>
          <w:sz w:val="20"/>
          <w:szCs w:val="20"/>
          <w:lang w:val="sr-Cyrl-RS"/>
        </w:rPr>
        <w:t xml:space="preserve">године усвојена је </w:t>
      </w:r>
      <w:r w:rsidR="5AE00B6F" w:rsidRPr="00A021B7">
        <w:rPr>
          <w:rFonts w:ascii="Arial" w:hAnsi="Arial" w:cs="Arial"/>
          <w:color w:val="000000" w:themeColor="text1"/>
          <w:sz w:val="20"/>
          <w:szCs w:val="20"/>
          <w:lang w:val="sr-Cyrl-RS"/>
        </w:rPr>
        <w:t>Уредба о средствима за подстицање програма или недостајућег дела средстава за финансирање програма од јавног интереса која реализују удружења</w:t>
      </w:r>
      <w:r w:rsidR="00EC0AAE" w:rsidRPr="00A021B7">
        <w:rPr>
          <w:rFonts w:ascii="Arial" w:hAnsi="Arial" w:cs="Arial"/>
          <w:color w:val="000000" w:themeColor="text1"/>
          <w:sz w:val="20"/>
          <w:szCs w:val="20"/>
          <w:lang w:val="sr-Cyrl-RS"/>
        </w:rPr>
        <w:t xml:space="preserve"> </w:t>
      </w:r>
      <w:r w:rsidR="00EC0AAE" w:rsidRPr="00A021B7">
        <w:rPr>
          <w:rFonts w:ascii="Arial" w:hAnsi="Arial" w:cs="Arial"/>
          <w:sz w:val="20"/>
          <w:szCs w:val="20"/>
          <w:lang w:val="sr-Cyrl-RS"/>
        </w:rPr>
        <w:t xml:space="preserve">(„Службени гласник </w:t>
      </w:r>
      <w:r w:rsidR="008E05C0">
        <w:rPr>
          <w:rFonts w:ascii="Arial" w:hAnsi="Arial" w:cs="Arial"/>
          <w:sz w:val="20"/>
          <w:szCs w:val="20"/>
          <w:lang w:val="sr-Cyrl-RS"/>
        </w:rPr>
        <w:t>РС</w:t>
      </w:r>
      <w:r w:rsidR="008E05C0">
        <w:rPr>
          <w:rFonts w:ascii="Arial" w:hAnsi="Arial" w:cs="Arial"/>
          <w:sz w:val="20"/>
          <w:szCs w:val="20"/>
        </w:rPr>
        <w:t>”</w:t>
      </w:r>
      <w:r w:rsidR="00EC0AAE" w:rsidRPr="00A021B7">
        <w:rPr>
          <w:rFonts w:ascii="Arial" w:hAnsi="Arial" w:cs="Arial"/>
          <w:sz w:val="20"/>
          <w:szCs w:val="20"/>
          <w:lang w:val="sr-Cyrl-RS"/>
        </w:rPr>
        <w:t>, број 16/18)</w:t>
      </w:r>
      <w:r w:rsidR="5AE00B6F" w:rsidRPr="1A8E6423">
        <w:rPr>
          <w:rFonts w:ascii="Arial" w:hAnsi="Arial" w:cs="Arial"/>
          <w:color w:val="000000" w:themeColor="text1"/>
          <w:lang w:val="sr-Cyrl-RS"/>
        </w:rPr>
        <w:t xml:space="preserve">. </w:t>
      </w:r>
      <w:r w:rsidR="5AE00B6F" w:rsidRPr="1A8E6423">
        <w:rPr>
          <w:rFonts w:ascii="Arial" w:eastAsiaTheme="minorEastAsia" w:hAnsi="Arial" w:cs="Arial"/>
          <w:sz w:val="20"/>
          <w:szCs w:val="20"/>
          <w:lang w:val="sr-Cyrl-RS"/>
        </w:rPr>
        <w:t>Ова уредба представља основни правни акт који уређује питања начина доделе средстава и праћења спровођења програма и пројеката удружења којима се остварује јавни интерес. Њеним усвајањем реформисан је и значајно унапређен не само поступак за</w:t>
      </w:r>
      <w:r w:rsidR="512CDFFD" w:rsidRPr="1A8E6423">
        <w:rPr>
          <w:rFonts w:ascii="Arial" w:eastAsiaTheme="minorEastAsia" w:hAnsi="Arial" w:cs="Arial"/>
          <w:sz w:val="20"/>
          <w:szCs w:val="20"/>
          <w:lang w:val="sr-Cyrl-RS"/>
        </w:rPr>
        <w:t xml:space="preserve"> </w:t>
      </w:r>
      <w:r w:rsidR="5AE00B6F" w:rsidRPr="1A8E6423">
        <w:rPr>
          <w:rFonts w:ascii="Arial" w:eastAsiaTheme="minorEastAsia" w:hAnsi="Arial" w:cs="Arial"/>
          <w:sz w:val="20"/>
          <w:szCs w:val="20"/>
          <w:lang w:val="sr-Cyrl-RS"/>
        </w:rPr>
        <w:t>додел</w:t>
      </w:r>
      <w:r w:rsidR="31372DB1" w:rsidRPr="1A8E6423">
        <w:rPr>
          <w:rFonts w:ascii="Arial" w:eastAsiaTheme="minorEastAsia" w:hAnsi="Arial" w:cs="Arial"/>
          <w:sz w:val="20"/>
          <w:szCs w:val="20"/>
          <w:lang w:val="sr-Cyrl-RS"/>
        </w:rPr>
        <w:t>у</w:t>
      </w:r>
      <w:r w:rsidR="5AE00B6F" w:rsidRPr="1A8E6423">
        <w:rPr>
          <w:rFonts w:ascii="Arial" w:eastAsiaTheme="minorEastAsia" w:hAnsi="Arial" w:cs="Arial"/>
          <w:sz w:val="20"/>
          <w:szCs w:val="20"/>
          <w:lang w:val="sr-Cyrl-RS"/>
        </w:rPr>
        <w:t xml:space="preserve"> ових средстава</w:t>
      </w:r>
      <w:r w:rsidR="18F0A027" w:rsidRPr="1A8E6423">
        <w:rPr>
          <w:rFonts w:ascii="Arial" w:eastAsiaTheme="minorEastAsia" w:hAnsi="Arial" w:cs="Arial"/>
          <w:sz w:val="20"/>
          <w:szCs w:val="20"/>
          <w:lang w:val="sr-Cyrl-RS"/>
        </w:rPr>
        <w:t>, него</w:t>
      </w:r>
      <w:r w:rsidR="5AE00B6F" w:rsidRPr="1A8E6423">
        <w:rPr>
          <w:rFonts w:ascii="Arial" w:eastAsiaTheme="minorEastAsia" w:hAnsi="Arial" w:cs="Arial"/>
          <w:sz w:val="20"/>
          <w:szCs w:val="20"/>
          <w:lang w:val="sr-Cyrl-RS"/>
        </w:rPr>
        <w:t xml:space="preserve"> и процес који се односи на праћење коришћења средстава и </w:t>
      </w:r>
      <w:r w:rsidR="18F0A027" w:rsidRPr="1A8E6423">
        <w:rPr>
          <w:rFonts w:ascii="Arial" w:eastAsiaTheme="minorEastAsia" w:hAnsi="Arial" w:cs="Arial"/>
          <w:sz w:val="20"/>
          <w:szCs w:val="20"/>
          <w:lang w:val="sr-Cyrl-RS"/>
        </w:rPr>
        <w:t xml:space="preserve">остваривања </w:t>
      </w:r>
      <w:r w:rsidR="5AE00B6F" w:rsidRPr="1A8E6423">
        <w:rPr>
          <w:rFonts w:ascii="Arial" w:eastAsiaTheme="minorEastAsia" w:hAnsi="Arial" w:cs="Arial"/>
          <w:sz w:val="20"/>
          <w:szCs w:val="20"/>
          <w:lang w:val="sr-Cyrl-RS"/>
        </w:rPr>
        <w:t xml:space="preserve">програма. Посебно је важно што је овим прописом утврђена обавеза објављивања годишњег </w:t>
      </w:r>
      <w:r w:rsidR="5AE00B6F" w:rsidRPr="1A8E6423">
        <w:rPr>
          <w:rFonts w:ascii="Arial" w:eastAsiaTheme="minorEastAsia" w:hAnsi="Arial" w:cs="Arial"/>
          <w:sz w:val="20"/>
          <w:szCs w:val="20"/>
          <w:lang w:val="sr-Cyrl-RS"/>
        </w:rPr>
        <w:lastRenderedPageBreak/>
        <w:t>плана јавних конкурса и формирањ</w:t>
      </w:r>
      <w:r w:rsidR="008E05C0" w:rsidRPr="1A8E6423">
        <w:rPr>
          <w:rFonts w:ascii="Arial" w:eastAsiaTheme="minorEastAsia" w:hAnsi="Arial" w:cs="Arial"/>
          <w:sz w:val="20"/>
          <w:szCs w:val="20"/>
          <w:lang w:val="sr-Cyrl-RS"/>
        </w:rPr>
        <w:t>а</w:t>
      </w:r>
      <w:r w:rsidR="5AE00B6F" w:rsidRPr="1A8E6423">
        <w:rPr>
          <w:rFonts w:ascii="Arial" w:eastAsiaTheme="minorEastAsia" w:hAnsi="Arial" w:cs="Arial"/>
          <w:sz w:val="20"/>
          <w:szCs w:val="20"/>
          <w:lang w:val="sr-Cyrl-RS"/>
        </w:rPr>
        <w:t xml:space="preserve"> календара јавних конкурса</w:t>
      </w:r>
      <w:r w:rsidR="20882E29" w:rsidRPr="1A8E6423">
        <w:rPr>
          <w:rFonts w:ascii="Arial" w:eastAsiaTheme="minorEastAsia" w:hAnsi="Arial" w:cs="Arial"/>
          <w:sz w:val="20"/>
          <w:szCs w:val="20"/>
          <w:lang w:val="sr-Cyrl-RS"/>
        </w:rPr>
        <w:t>,</w:t>
      </w:r>
      <w:r w:rsidR="5AE00B6F" w:rsidRPr="1A8E6423">
        <w:rPr>
          <w:rFonts w:ascii="Arial" w:eastAsiaTheme="minorEastAsia" w:hAnsi="Arial" w:cs="Arial"/>
          <w:sz w:val="20"/>
          <w:szCs w:val="20"/>
          <w:lang w:val="sr-Cyrl-RS"/>
        </w:rPr>
        <w:t xml:space="preserve"> који укључује и конкурсе локалних власти и који је јавно доступан на интернет страници Канцеларије за сарадњу са цивилним друштвом.</w:t>
      </w:r>
      <w:r w:rsidR="001D5B3A" w:rsidRPr="1A8E6423">
        <w:rPr>
          <w:rStyle w:val="FootnoteReference"/>
          <w:rFonts w:ascii="Arial" w:eastAsiaTheme="minorEastAsia" w:hAnsi="Arial" w:cs="Arial"/>
          <w:sz w:val="20"/>
          <w:szCs w:val="20"/>
          <w:lang w:val="sr-Cyrl-RS"/>
        </w:rPr>
        <w:footnoteReference w:id="107"/>
      </w:r>
      <w:r w:rsidR="76C68A80" w:rsidRPr="1A8E6423">
        <w:rPr>
          <w:rFonts w:ascii="Arial" w:eastAsiaTheme="minorEastAsia" w:hAnsi="Arial" w:cs="Arial"/>
          <w:sz w:val="20"/>
          <w:szCs w:val="20"/>
          <w:lang w:val="sr-Cyrl-RS"/>
        </w:rPr>
        <w:t xml:space="preserve"> </w:t>
      </w:r>
      <w:r w:rsidR="5AE00B6F" w:rsidRPr="1A8E6423">
        <w:rPr>
          <w:rFonts w:ascii="Arial" w:eastAsiaTheme="minorEastAsia" w:hAnsi="Arial" w:cs="Arial"/>
          <w:sz w:val="20"/>
          <w:szCs w:val="20"/>
          <w:lang w:val="sr-Cyrl-RS"/>
        </w:rPr>
        <w:t xml:space="preserve">Ова </w:t>
      </w:r>
      <w:r w:rsidR="20882E29" w:rsidRPr="1A8E6423">
        <w:rPr>
          <w:rFonts w:ascii="Arial" w:eastAsiaTheme="minorEastAsia" w:hAnsi="Arial" w:cs="Arial"/>
          <w:sz w:val="20"/>
          <w:szCs w:val="20"/>
          <w:lang w:val="sr-Cyrl-RS"/>
        </w:rPr>
        <w:t xml:space="preserve">Канцеларија </w:t>
      </w:r>
      <w:r w:rsidR="2B0B8069" w:rsidRPr="1A8E6423">
        <w:rPr>
          <w:rFonts w:ascii="Arial" w:eastAsiaTheme="minorEastAsia" w:hAnsi="Arial" w:cs="Arial"/>
          <w:sz w:val="20"/>
          <w:szCs w:val="20"/>
          <w:lang w:val="sr-Cyrl-RS"/>
        </w:rPr>
        <w:t>је</w:t>
      </w:r>
      <w:r w:rsidR="5AE00B6F" w:rsidRPr="1A8E6423">
        <w:rPr>
          <w:rFonts w:ascii="Arial" w:eastAsiaTheme="minorEastAsia" w:hAnsi="Arial" w:cs="Arial"/>
          <w:sz w:val="20"/>
          <w:szCs w:val="20"/>
          <w:lang w:val="sr-Cyrl-RS"/>
        </w:rPr>
        <w:t xml:space="preserve">, </w:t>
      </w:r>
      <w:r w:rsidR="008E05C0" w:rsidRPr="1A8E6423">
        <w:rPr>
          <w:rFonts w:ascii="Arial" w:eastAsiaTheme="minorEastAsia" w:hAnsi="Arial" w:cs="Arial"/>
          <w:sz w:val="20"/>
          <w:szCs w:val="20"/>
          <w:lang w:val="sr-Cyrl-RS"/>
        </w:rPr>
        <w:t>ради</w:t>
      </w:r>
      <w:r w:rsidR="5AE00B6F" w:rsidRPr="1A8E6423">
        <w:rPr>
          <w:rFonts w:ascii="Arial" w:eastAsiaTheme="minorEastAsia" w:hAnsi="Arial" w:cs="Arial"/>
          <w:sz w:val="20"/>
          <w:szCs w:val="20"/>
          <w:lang w:val="sr-Cyrl-RS"/>
        </w:rPr>
        <w:t xml:space="preserve"> подршке локалним властима</w:t>
      </w:r>
      <w:r w:rsidR="20882E29" w:rsidRPr="1A8E6423">
        <w:rPr>
          <w:rFonts w:ascii="Arial" w:eastAsiaTheme="minorEastAsia" w:hAnsi="Arial" w:cs="Arial"/>
          <w:sz w:val="20"/>
          <w:szCs w:val="20"/>
          <w:lang w:val="sr-Cyrl-RS"/>
        </w:rPr>
        <w:t>,</w:t>
      </w:r>
      <w:r w:rsidR="5AE00B6F" w:rsidRPr="1A8E6423">
        <w:rPr>
          <w:rFonts w:ascii="Arial" w:eastAsiaTheme="minorEastAsia" w:hAnsi="Arial" w:cs="Arial"/>
          <w:sz w:val="20"/>
          <w:szCs w:val="20"/>
          <w:lang w:val="sr-Cyrl-RS"/>
        </w:rPr>
        <w:t xml:space="preserve"> у сарадњи са МДУЛС и СКГО, израдила 2019. године и </w:t>
      </w:r>
      <w:r w:rsidR="4AD59959" w:rsidRPr="00A021B7">
        <w:rPr>
          <w:rFonts w:ascii="Arial" w:hAnsi="Arial" w:cs="Arial"/>
          <w:sz w:val="20"/>
          <w:szCs w:val="20"/>
          <w:lang w:val="sr-Cyrl-RS"/>
        </w:rPr>
        <w:t>Водич за транспарентно финансирање удружења и других организација цивилног друштва из средстава буџета локалних самоуправа</w:t>
      </w:r>
      <w:r w:rsidR="5AE00B6F" w:rsidRPr="1A8E6423">
        <w:rPr>
          <w:rFonts w:ascii="Arial" w:eastAsiaTheme="minorEastAsia" w:hAnsi="Arial" w:cs="Arial"/>
          <w:sz w:val="20"/>
          <w:szCs w:val="20"/>
          <w:lang w:val="sr-Cyrl-RS"/>
        </w:rPr>
        <w:t>.</w:t>
      </w:r>
      <w:r w:rsidR="00D60322" w:rsidRPr="1A8E6423">
        <w:rPr>
          <w:rStyle w:val="FootnoteReference"/>
          <w:rFonts w:ascii="Arial" w:eastAsiaTheme="minorEastAsia" w:hAnsi="Arial" w:cs="Arial"/>
          <w:sz w:val="20"/>
          <w:szCs w:val="20"/>
          <w:lang w:val="sr-Cyrl-RS"/>
        </w:rPr>
        <w:footnoteReference w:id="108"/>
      </w:r>
    </w:p>
    <w:p w14:paraId="0F352D62" w14:textId="77777777" w:rsidR="00520773" w:rsidRPr="00A021B7" w:rsidRDefault="00520773" w:rsidP="1A8E6423">
      <w:pPr>
        <w:ind w:firstLine="810"/>
        <w:jc w:val="both"/>
        <w:rPr>
          <w:rFonts w:ascii="Arial" w:eastAsiaTheme="minorEastAsia" w:hAnsi="Arial" w:cs="Arial"/>
          <w:sz w:val="20"/>
          <w:szCs w:val="20"/>
          <w:lang w:val="sr-Cyrl-RS"/>
        </w:rPr>
      </w:pPr>
    </w:p>
    <w:p w14:paraId="061AD389" w14:textId="0FE80477" w:rsidR="00D90DB0" w:rsidRPr="00A021B7" w:rsidRDefault="00D90DB0" w:rsidP="1A8E6423">
      <w:pPr>
        <w:ind w:firstLine="810"/>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И поред значајних реформских корака у </w:t>
      </w:r>
      <w:r w:rsidR="00BB1928" w:rsidRPr="1A8E6423">
        <w:rPr>
          <w:rFonts w:ascii="Arial" w:eastAsiaTheme="minorEastAsia" w:hAnsi="Arial" w:cs="Arial"/>
          <w:sz w:val="20"/>
          <w:szCs w:val="20"/>
          <w:lang w:val="sr-Cyrl-RS"/>
        </w:rPr>
        <w:t xml:space="preserve">претходним </w:t>
      </w:r>
      <w:r w:rsidRPr="1A8E6423">
        <w:rPr>
          <w:rFonts w:ascii="Arial" w:eastAsiaTheme="minorEastAsia" w:hAnsi="Arial" w:cs="Arial"/>
          <w:sz w:val="20"/>
          <w:szCs w:val="20"/>
          <w:lang w:val="sr-Cyrl-RS"/>
        </w:rPr>
        <w:t>година</w:t>
      </w:r>
      <w:r w:rsidR="00BB1928" w:rsidRPr="1A8E6423">
        <w:rPr>
          <w:rFonts w:ascii="Arial" w:eastAsiaTheme="minorEastAsia" w:hAnsi="Arial" w:cs="Arial"/>
          <w:sz w:val="20"/>
          <w:szCs w:val="20"/>
          <w:lang w:val="sr-Cyrl-RS"/>
        </w:rPr>
        <w:t>ма</w:t>
      </w:r>
      <w:r w:rsidRPr="1A8E6423">
        <w:rPr>
          <w:rFonts w:ascii="Arial" w:eastAsiaTheme="minorEastAsia" w:hAnsi="Arial" w:cs="Arial"/>
          <w:sz w:val="20"/>
          <w:szCs w:val="20"/>
          <w:lang w:val="sr-Cyrl-RS"/>
        </w:rPr>
        <w:t xml:space="preserve">, у области доброг управљања </w:t>
      </w:r>
      <w:r w:rsidR="00BB1928" w:rsidRPr="1A8E6423">
        <w:rPr>
          <w:rFonts w:ascii="Arial" w:eastAsiaTheme="minorEastAsia" w:hAnsi="Arial" w:cs="Arial"/>
          <w:sz w:val="20"/>
          <w:szCs w:val="20"/>
          <w:lang w:val="sr-Cyrl-RS"/>
        </w:rPr>
        <w:t xml:space="preserve">у локалној самоуправи </w:t>
      </w:r>
      <w:r w:rsidRPr="1A8E6423">
        <w:rPr>
          <w:rFonts w:ascii="Arial" w:eastAsiaTheme="minorEastAsia" w:hAnsi="Arial" w:cs="Arial"/>
          <w:sz w:val="20"/>
          <w:szCs w:val="20"/>
          <w:lang w:val="sr-Cyrl-RS"/>
        </w:rPr>
        <w:t xml:space="preserve">и даље су присутни бројни изазови. Постојеће стање може </w:t>
      </w:r>
      <w:r w:rsidR="00CD3CF7" w:rsidRPr="1A8E6423">
        <w:rPr>
          <w:rFonts w:ascii="Arial" w:eastAsiaTheme="minorEastAsia" w:hAnsi="Arial" w:cs="Arial"/>
          <w:sz w:val="20"/>
          <w:szCs w:val="20"/>
          <w:lang w:val="sr-Cyrl-RS"/>
        </w:rPr>
        <w:t xml:space="preserve">се </w:t>
      </w:r>
      <w:r w:rsidRPr="1A8E6423">
        <w:rPr>
          <w:rFonts w:ascii="Arial" w:eastAsiaTheme="minorEastAsia" w:hAnsi="Arial" w:cs="Arial"/>
          <w:sz w:val="20"/>
          <w:szCs w:val="20"/>
          <w:lang w:val="sr-Cyrl-RS"/>
        </w:rPr>
        <w:t xml:space="preserve">у великој мери сагледати </w:t>
      </w:r>
      <w:r w:rsidR="00CD3CF7" w:rsidRPr="1A8E6423">
        <w:rPr>
          <w:rFonts w:ascii="Arial" w:eastAsiaTheme="minorEastAsia" w:hAnsi="Arial" w:cs="Arial"/>
          <w:sz w:val="20"/>
          <w:szCs w:val="20"/>
          <w:lang w:val="sr-Cyrl-RS"/>
        </w:rPr>
        <w:t xml:space="preserve">кроз налазе </w:t>
      </w:r>
      <w:r w:rsidRPr="1A8E6423">
        <w:rPr>
          <w:rFonts w:ascii="Arial" w:eastAsiaTheme="minorEastAsia" w:hAnsi="Arial" w:cs="Arial"/>
          <w:sz w:val="20"/>
          <w:szCs w:val="20"/>
          <w:lang w:val="sr-Cyrl-RS"/>
        </w:rPr>
        <w:t>два истраживања</w:t>
      </w:r>
      <w:r w:rsidR="008E05C0" w:rsidRPr="1A8E6423">
        <w:rPr>
          <w:rFonts w:ascii="Arial" w:eastAsiaTheme="minorEastAsia" w:hAnsi="Arial" w:cs="Arial"/>
          <w:sz w:val="20"/>
          <w:szCs w:val="20"/>
          <w:lang w:val="sr-Cyrl-RS"/>
        </w:rPr>
        <w:t>, а то су</w:t>
      </w:r>
      <w:r w:rsidRPr="1A8E6423">
        <w:rPr>
          <w:rFonts w:ascii="Arial" w:eastAsiaTheme="minorEastAsia" w:hAnsi="Arial" w:cs="Arial"/>
          <w:sz w:val="20"/>
          <w:szCs w:val="20"/>
          <w:lang w:val="sr-Cyrl-RS"/>
        </w:rPr>
        <w:t>:</w:t>
      </w:r>
    </w:p>
    <w:p w14:paraId="4E31D475" w14:textId="3183FFFB" w:rsidR="00D90DB0" w:rsidRPr="00A021B7" w:rsidRDefault="00CC188E" w:rsidP="00A57E7E">
      <w:pPr>
        <w:pStyle w:val="ListParagraph"/>
        <w:numPr>
          <w:ilvl w:val="0"/>
          <w:numId w:val="5"/>
        </w:numPr>
        <w:jc w:val="both"/>
        <w:rPr>
          <w:rFonts w:ascii="Arial" w:hAnsi="Arial" w:cs="Arial"/>
          <w:sz w:val="20"/>
          <w:szCs w:val="20"/>
          <w:lang w:val="sr-Cyrl-RS"/>
        </w:rPr>
      </w:pPr>
      <w:r w:rsidRPr="1A8E6423">
        <w:rPr>
          <w:rFonts w:ascii="Arial" w:hAnsi="Arial" w:cs="Arial"/>
          <w:sz w:val="20"/>
          <w:szCs w:val="20"/>
          <w:lang w:val="sr-Cyrl-RS"/>
        </w:rPr>
        <w:t xml:space="preserve">Анализа </w:t>
      </w:r>
      <w:r w:rsidR="00D90DB0" w:rsidRPr="1A8E6423">
        <w:rPr>
          <w:rFonts w:ascii="Arial" w:hAnsi="Arial" w:cs="Arial"/>
          <w:sz w:val="20"/>
          <w:szCs w:val="20"/>
          <w:lang w:val="sr-Cyrl-RS"/>
        </w:rPr>
        <w:t xml:space="preserve">капацитета у 60 изабраних </w:t>
      </w:r>
      <w:r w:rsidR="00A809DB" w:rsidRPr="1A8E6423">
        <w:rPr>
          <w:rFonts w:ascii="Arial" w:hAnsi="Arial" w:cs="Arial"/>
          <w:sz w:val="20"/>
          <w:szCs w:val="20"/>
          <w:lang w:val="sr-Cyrl-RS"/>
        </w:rPr>
        <w:t xml:space="preserve">ЈЛС </w:t>
      </w:r>
      <w:r w:rsidR="00D90DB0" w:rsidRPr="1A8E6423">
        <w:rPr>
          <w:rFonts w:ascii="Arial" w:hAnsi="Arial" w:cs="Arial"/>
          <w:sz w:val="20"/>
          <w:szCs w:val="20"/>
          <w:lang w:val="sr-Cyrl-RS"/>
        </w:rPr>
        <w:t xml:space="preserve">на основу </w:t>
      </w:r>
      <w:r w:rsidR="007F2DA5" w:rsidRPr="1A8E6423">
        <w:rPr>
          <w:rFonts w:ascii="Arial" w:hAnsi="Arial" w:cs="Arial"/>
          <w:b/>
          <w:bCs/>
          <w:i/>
          <w:iCs/>
          <w:sz w:val="20"/>
          <w:szCs w:val="20"/>
          <w:lang w:val="sr-Cyrl-RS"/>
        </w:rPr>
        <w:t>и</w:t>
      </w:r>
      <w:r w:rsidR="00D90DB0" w:rsidRPr="1A8E6423">
        <w:rPr>
          <w:rFonts w:ascii="Arial" w:hAnsi="Arial" w:cs="Arial"/>
          <w:b/>
          <w:bCs/>
          <w:i/>
          <w:iCs/>
          <w:sz w:val="20"/>
          <w:szCs w:val="20"/>
          <w:lang w:val="sr-Cyrl-RS"/>
        </w:rPr>
        <w:t>ндекса добре управе</w:t>
      </w:r>
      <w:r w:rsidR="00D90DB0" w:rsidRPr="1A8E6423">
        <w:rPr>
          <w:rFonts w:ascii="Arial" w:hAnsi="Arial" w:cs="Arial"/>
          <w:sz w:val="20"/>
          <w:szCs w:val="20"/>
          <w:lang w:val="sr-Cyrl-RS"/>
        </w:rPr>
        <w:t xml:space="preserve"> на локалном нивоу (ИДУ)</w:t>
      </w:r>
      <w:r w:rsidR="00307113" w:rsidRPr="1A8E6423">
        <w:rPr>
          <w:rFonts w:ascii="Arial" w:hAnsi="Arial" w:cs="Arial"/>
          <w:sz w:val="20"/>
          <w:szCs w:val="20"/>
          <w:lang w:val="sr-Cyrl-RS"/>
        </w:rPr>
        <w:t>,</w:t>
      </w:r>
      <w:r w:rsidR="00D90DB0" w:rsidRPr="1A8E6423">
        <w:rPr>
          <w:rFonts w:ascii="Arial" w:hAnsi="Arial" w:cs="Arial"/>
          <w:sz w:val="20"/>
          <w:szCs w:val="20"/>
          <w:lang w:val="sr-Cyrl-RS"/>
        </w:rPr>
        <w:t xml:space="preserve"> коју је </w:t>
      </w:r>
      <w:r w:rsidR="00390D80" w:rsidRPr="1A8E6423">
        <w:rPr>
          <w:rFonts w:ascii="Arial" w:hAnsi="Arial" w:cs="Arial"/>
          <w:sz w:val="20"/>
          <w:szCs w:val="20"/>
          <w:lang w:val="sr-Cyrl-RS"/>
        </w:rPr>
        <w:t xml:space="preserve">2018. године </w:t>
      </w:r>
      <w:r w:rsidR="00D90DB0" w:rsidRPr="1A8E6423">
        <w:rPr>
          <w:rFonts w:ascii="Arial" w:hAnsi="Arial" w:cs="Arial"/>
          <w:sz w:val="20"/>
          <w:szCs w:val="20"/>
          <w:lang w:val="sr-Cyrl-RS"/>
        </w:rPr>
        <w:t xml:space="preserve">урадила СКГО </w:t>
      </w:r>
      <w:r w:rsidR="00390D80" w:rsidRPr="1A8E6423">
        <w:rPr>
          <w:rFonts w:ascii="Arial" w:hAnsi="Arial" w:cs="Arial"/>
          <w:sz w:val="20"/>
          <w:szCs w:val="20"/>
          <w:lang w:val="sr-Cyrl-RS"/>
        </w:rPr>
        <w:t>и</w:t>
      </w:r>
    </w:p>
    <w:p w14:paraId="68B0745A" w14:textId="70D6D481" w:rsidR="00D90DB0" w:rsidRPr="00A021B7" w:rsidRDefault="00D90DB0" w:rsidP="00A57E7E">
      <w:pPr>
        <w:pStyle w:val="ListParagraph"/>
        <w:numPr>
          <w:ilvl w:val="0"/>
          <w:numId w:val="5"/>
        </w:numPr>
        <w:jc w:val="both"/>
        <w:rPr>
          <w:rFonts w:ascii="Arial" w:hAnsi="Arial" w:cs="Arial"/>
          <w:sz w:val="20"/>
          <w:szCs w:val="20"/>
          <w:lang w:val="sr-Cyrl-RS"/>
        </w:rPr>
      </w:pPr>
      <w:r w:rsidRPr="1A8E6423">
        <w:rPr>
          <w:rFonts w:ascii="Arial" w:hAnsi="Arial" w:cs="Arial"/>
          <w:sz w:val="20"/>
          <w:szCs w:val="20"/>
          <w:lang w:val="sr-Cyrl-RS"/>
        </w:rPr>
        <w:t>Индекс транспарентности локалне самоуправе</w:t>
      </w:r>
      <w:r w:rsidR="00307113" w:rsidRPr="1A8E6423">
        <w:rPr>
          <w:rFonts w:ascii="Arial" w:hAnsi="Arial" w:cs="Arial"/>
          <w:sz w:val="20"/>
          <w:szCs w:val="20"/>
          <w:lang w:val="sr-Cyrl-RS"/>
        </w:rPr>
        <w:t>, који је</w:t>
      </w:r>
      <w:r w:rsidRPr="1A8E6423">
        <w:rPr>
          <w:rFonts w:ascii="Arial" w:hAnsi="Arial" w:cs="Arial"/>
          <w:sz w:val="20"/>
          <w:szCs w:val="20"/>
          <w:lang w:val="sr-Cyrl-RS"/>
        </w:rPr>
        <w:t xml:space="preserve"> 20</w:t>
      </w:r>
      <w:r w:rsidR="00F47685" w:rsidRPr="1A8E6423">
        <w:rPr>
          <w:rFonts w:ascii="Arial" w:hAnsi="Arial" w:cs="Arial"/>
          <w:sz w:val="20"/>
          <w:szCs w:val="20"/>
          <w:lang w:val="sr-Cyrl-RS"/>
        </w:rPr>
        <w:t>20</w:t>
      </w:r>
      <w:r w:rsidRPr="1A8E6423">
        <w:rPr>
          <w:rFonts w:ascii="Arial" w:hAnsi="Arial" w:cs="Arial"/>
          <w:sz w:val="20"/>
          <w:szCs w:val="20"/>
          <w:lang w:val="sr-Cyrl-RS"/>
        </w:rPr>
        <w:t xml:space="preserve">. године </w:t>
      </w:r>
      <w:r w:rsidR="00390D80" w:rsidRPr="1A8E6423">
        <w:rPr>
          <w:rFonts w:ascii="Arial" w:hAnsi="Arial" w:cs="Arial"/>
          <w:sz w:val="20"/>
          <w:szCs w:val="20"/>
          <w:lang w:val="sr-Cyrl-RS"/>
        </w:rPr>
        <w:t xml:space="preserve">урадила </w:t>
      </w:r>
      <w:r w:rsidRPr="1A8E6423">
        <w:rPr>
          <w:rFonts w:ascii="Arial" w:hAnsi="Arial" w:cs="Arial"/>
          <w:sz w:val="20"/>
          <w:szCs w:val="20"/>
          <w:lang w:val="sr-Cyrl-RS"/>
        </w:rPr>
        <w:t>Транспаре</w:t>
      </w:r>
      <w:r w:rsidR="00F4543B" w:rsidRPr="1A8E6423">
        <w:rPr>
          <w:rFonts w:ascii="Arial" w:hAnsi="Arial" w:cs="Arial"/>
          <w:sz w:val="20"/>
          <w:szCs w:val="20"/>
          <w:lang w:val="sr-Cyrl-RS"/>
        </w:rPr>
        <w:t>нтн</w:t>
      </w:r>
      <w:r w:rsidRPr="1A8E6423">
        <w:rPr>
          <w:rFonts w:ascii="Arial" w:hAnsi="Arial" w:cs="Arial"/>
          <w:sz w:val="20"/>
          <w:szCs w:val="20"/>
          <w:lang w:val="sr-Cyrl-RS"/>
        </w:rPr>
        <w:t>ост Србија</w:t>
      </w:r>
      <w:r w:rsidR="00390D80" w:rsidRPr="1A8E6423">
        <w:rPr>
          <w:rFonts w:ascii="Arial" w:hAnsi="Arial" w:cs="Arial"/>
          <w:sz w:val="20"/>
          <w:szCs w:val="20"/>
          <w:lang w:val="sr-Cyrl-RS"/>
        </w:rPr>
        <w:t>.</w:t>
      </w:r>
    </w:p>
    <w:p w14:paraId="546C9775" w14:textId="77777777" w:rsidR="00D90DB0" w:rsidRPr="00A021B7" w:rsidRDefault="00D90DB0" w:rsidP="003E7BC9">
      <w:pPr>
        <w:contextualSpacing/>
        <w:jc w:val="both"/>
        <w:rPr>
          <w:rFonts w:ascii="Arial" w:eastAsiaTheme="minorEastAsia" w:hAnsi="Arial" w:cs="Arial"/>
          <w:sz w:val="20"/>
          <w:szCs w:val="20"/>
          <w:lang w:val="sr-Cyrl-RS"/>
        </w:rPr>
      </w:pPr>
    </w:p>
    <w:p w14:paraId="64FB3985" w14:textId="2B780CB1" w:rsidR="00D90DB0" w:rsidRPr="00A021B7" w:rsidRDefault="5AE00B6F" w:rsidP="1A8E6423">
      <w:pPr>
        <w:ind w:firstLine="720"/>
        <w:contextualSpacing/>
        <w:jc w:val="both"/>
        <w:rPr>
          <w:rFonts w:ascii="Arial" w:hAnsi="Arial" w:cs="Arial"/>
          <w:sz w:val="20"/>
          <w:szCs w:val="20"/>
          <w:lang w:val="sr-Cyrl-RS"/>
        </w:rPr>
      </w:pPr>
      <w:r w:rsidRPr="1A8E6423">
        <w:rPr>
          <w:rFonts w:ascii="Arial" w:eastAsiaTheme="minorEastAsia" w:hAnsi="Arial" w:cs="Arial"/>
          <w:sz w:val="20"/>
          <w:szCs w:val="20"/>
          <w:lang w:val="sr-Cyrl-RS"/>
        </w:rPr>
        <w:t xml:space="preserve">Током 2018. године СКГО </w:t>
      </w:r>
      <w:r w:rsidR="1E8E151B" w:rsidRPr="1A8E6423">
        <w:rPr>
          <w:rFonts w:ascii="Arial" w:eastAsiaTheme="minorEastAsia" w:hAnsi="Arial" w:cs="Arial"/>
          <w:sz w:val="20"/>
          <w:szCs w:val="20"/>
          <w:lang w:val="sr-Cyrl-RS"/>
        </w:rPr>
        <w:t xml:space="preserve">је спровела детаљну </w:t>
      </w:r>
      <w:r w:rsidR="6CC04BBB" w:rsidRPr="1A8E6423">
        <w:rPr>
          <w:rFonts w:ascii="Arial" w:eastAsiaTheme="minorEastAsia" w:hAnsi="Arial" w:cs="Arial"/>
          <w:sz w:val="20"/>
          <w:szCs w:val="20"/>
          <w:lang w:val="sr-Cyrl-RS"/>
        </w:rPr>
        <w:t xml:space="preserve">процену </w:t>
      </w:r>
      <w:r w:rsidRPr="1A8E6423">
        <w:rPr>
          <w:rFonts w:ascii="Arial" w:eastAsiaTheme="minorEastAsia" w:hAnsi="Arial" w:cs="Arial"/>
          <w:sz w:val="20"/>
          <w:szCs w:val="20"/>
          <w:lang w:val="sr-Cyrl-RS"/>
        </w:rPr>
        <w:t xml:space="preserve">капацитета градских и општинских управа </w:t>
      </w:r>
      <w:r w:rsidR="1E8E151B" w:rsidRPr="1A8E6423">
        <w:rPr>
          <w:rFonts w:ascii="Arial" w:eastAsiaTheme="minorEastAsia" w:hAnsi="Arial" w:cs="Arial"/>
          <w:sz w:val="20"/>
          <w:szCs w:val="20"/>
          <w:lang w:val="sr-Cyrl-RS"/>
        </w:rPr>
        <w:t xml:space="preserve">за примену начела </w:t>
      </w:r>
      <w:r w:rsidRPr="1A8E6423">
        <w:rPr>
          <w:rFonts w:ascii="Arial" w:eastAsiaTheme="minorEastAsia" w:hAnsi="Arial" w:cs="Arial"/>
          <w:sz w:val="20"/>
          <w:szCs w:val="20"/>
          <w:lang w:val="sr-Cyrl-RS"/>
        </w:rPr>
        <w:t xml:space="preserve">доброг управљања, на основу </w:t>
      </w:r>
      <w:r w:rsidR="1E8E151B" w:rsidRPr="1A8E6423">
        <w:rPr>
          <w:rFonts w:ascii="Arial" w:eastAsiaTheme="minorEastAsia" w:hAnsi="Arial" w:cs="Arial"/>
          <w:sz w:val="20"/>
          <w:szCs w:val="20"/>
          <w:lang w:val="sr-Cyrl-RS"/>
        </w:rPr>
        <w:t xml:space="preserve">свог </w:t>
      </w:r>
      <w:r w:rsidRPr="1A8E6423">
        <w:rPr>
          <w:rFonts w:ascii="Arial" w:eastAsiaTheme="minorEastAsia" w:hAnsi="Arial" w:cs="Arial"/>
          <w:sz w:val="20"/>
          <w:szCs w:val="20"/>
          <w:lang w:val="sr-Cyrl-RS"/>
        </w:rPr>
        <w:t>Индекса добре управе на локалном нивоу.</w:t>
      </w:r>
      <w:r w:rsidR="00D90DB0" w:rsidRPr="1A8E6423">
        <w:rPr>
          <w:rStyle w:val="FootnoteReference"/>
          <w:rFonts w:ascii="Arial" w:eastAsiaTheme="minorEastAsia" w:hAnsi="Arial" w:cs="Arial"/>
          <w:sz w:val="20"/>
          <w:szCs w:val="20"/>
          <w:lang w:val="sr-Cyrl-RS"/>
        </w:rPr>
        <w:footnoteReference w:id="109"/>
      </w:r>
      <w:r w:rsidRPr="1A8E6423">
        <w:rPr>
          <w:rFonts w:ascii="Arial" w:eastAsiaTheme="minorEastAsia" w:hAnsi="Arial" w:cs="Arial"/>
          <w:sz w:val="20"/>
          <w:szCs w:val="20"/>
          <w:lang w:val="sr-Cyrl-RS"/>
        </w:rPr>
        <w:t xml:space="preserve"> </w:t>
      </w:r>
      <w:r w:rsidRPr="00A021B7">
        <w:rPr>
          <w:rFonts w:ascii="Arial" w:hAnsi="Arial" w:cs="Arial"/>
          <w:sz w:val="20"/>
          <w:szCs w:val="20"/>
          <w:lang w:val="sr-Cyrl-RS"/>
        </w:rPr>
        <w:t xml:space="preserve">Индикатори </w:t>
      </w:r>
      <w:r w:rsidR="14573E7C" w:rsidRPr="00A021B7">
        <w:rPr>
          <w:rFonts w:ascii="Arial" w:hAnsi="Arial" w:cs="Arial"/>
          <w:sz w:val="20"/>
          <w:szCs w:val="20"/>
          <w:lang w:val="sr-Cyrl-RS"/>
        </w:rPr>
        <w:t xml:space="preserve">из </w:t>
      </w:r>
      <w:r w:rsidR="7529284A" w:rsidRPr="00A021B7">
        <w:rPr>
          <w:rFonts w:ascii="Arial" w:hAnsi="Arial" w:cs="Arial"/>
          <w:sz w:val="20"/>
          <w:szCs w:val="20"/>
          <w:lang w:val="sr-Cyrl-RS"/>
        </w:rPr>
        <w:t xml:space="preserve">Индекса </w:t>
      </w:r>
      <w:r w:rsidRPr="00A021B7">
        <w:rPr>
          <w:rFonts w:ascii="Arial" w:hAnsi="Arial" w:cs="Arial"/>
          <w:sz w:val="20"/>
          <w:szCs w:val="20"/>
          <w:lang w:val="sr-Cyrl-RS"/>
        </w:rPr>
        <w:t xml:space="preserve">груписани </w:t>
      </w:r>
      <w:r w:rsidR="14573E7C" w:rsidRPr="00A021B7">
        <w:rPr>
          <w:rFonts w:ascii="Arial" w:hAnsi="Arial" w:cs="Arial"/>
          <w:sz w:val="20"/>
          <w:szCs w:val="20"/>
          <w:lang w:val="sr-Cyrl-RS"/>
        </w:rPr>
        <w:t xml:space="preserve">су </w:t>
      </w:r>
      <w:r w:rsidRPr="00A021B7">
        <w:rPr>
          <w:rFonts w:ascii="Arial" w:hAnsi="Arial" w:cs="Arial"/>
          <w:sz w:val="20"/>
          <w:szCs w:val="20"/>
          <w:lang w:val="sr-Cyrl-RS"/>
        </w:rPr>
        <w:t xml:space="preserve">у пет </w:t>
      </w:r>
      <w:r w:rsidR="14573E7C" w:rsidRPr="00A021B7">
        <w:rPr>
          <w:rFonts w:ascii="Arial" w:hAnsi="Arial" w:cs="Arial"/>
          <w:sz w:val="20"/>
          <w:szCs w:val="20"/>
          <w:lang w:val="sr-Cyrl-RS"/>
        </w:rPr>
        <w:t>начела</w:t>
      </w:r>
      <w:r w:rsidRPr="00A021B7">
        <w:rPr>
          <w:rFonts w:ascii="Arial" w:hAnsi="Arial" w:cs="Arial"/>
          <w:sz w:val="20"/>
          <w:szCs w:val="20"/>
          <w:lang w:val="sr-Cyrl-RS"/>
        </w:rPr>
        <w:t>:</w:t>
      </w:r>
    </w:p>
    <w:p w14:paraId="378BB2ED" w14:textId="77777777" w:rsidR="00C734CC" w:rsidRPr="00A021B7" w:rsidRDefault="00C734CC" w:rsidP="003E7BC9">
      <w:pPr>
        <w:contextualSpacing/>
        <w:jc w:val="both"/>
        <w:rPr>
          <w:rFonts w:ascii="Arial" w:hAnsi="Arial" w:cs="Arial"/>
          <w:sz w:val="20"/>
          <w:szCs w:val="20"/>
          <w:lang w:val="sr-Cyrl-RS"/>
        </w:rPr>
      </w:pPr>
    </w:p>
    <w:p w14:paraId="14DA913D" w14:textId="77777777" w:rsidR="00D90DB0" w:rsidRPr="00A021B7" w:rsidRDefault="008E7873" w:rsidP="00A57E7E">
      <w:pPr>
        <w:pStyle w:val="ListParagraph"/>
        <w:numPr>
          <w:ilvl w:val="0"/>
          <w:numId w:val="6"/>
        </w:numPr>
        <w:jc w:val="both"/>
        <w:rPr>
          <w:rFonts w:ascii="Arial" w:hAnsi="Arial" w:cs="Arial"/>
          <w:sz w:val="20"/>
          <w:szCs w:val="20"/>
          <w:lang w:val="sr-Cyrl-RS"/>
        </w:rPr>
      </w:pPr>
      <w:r w:rsidRPr="00A021B7">
        <w:rPr>
          <w:rFonts w:ascii="Arial" w:hAnsi="Arial" w:cs="Arial"/>
          <w:sz w:val="20"/>
          <w:szCs w:val="20"/>
          <w:lang w:val="sr-Cyrl-RS"/>
        </w:rPr>
        <w:t>одговорност,</w:t>
      </w:r>
    </w:p>
    <w:p w14:paraId="2002968C" w14:textId="77777777" w:rsidR="00D90DB0" w:rsidRPr="00A021B7" w:rsidRDefault="008E7873" w:rsidP="00A57E7E">
      <w:pPr>
        <w:pStyle w:val="ListParagraph"/>
        <w:numPr>
          <w:ilvl w:val="0"/>
          <w:numId w:val="6"/>
        </w:numPr>
        <w:jc w:val="both"/>
        <w:rPr>
          <w:rFonts w:ascii="Arial" w:hAnsi="Arial" w:cs="Arial"/>
          <w:sz w:val="20"/>
          <w:szCs w:val="20"/>
          <w:lang w:val="sr-Cyrl-RS"/>
        </w:rPr>
      </w:pPr>
      <w:r w:rsidRPr="00A021B7">
        <w:rPr>
          <w:rFonts w:ascii="Arial" w:hAnsi="Arial" w:cs="Arial"/>
          <w:sz w:val="20"/>
          <w:szCs w:val="20"/>
          <w:lang w:val="sr-Cyrl-RS"/>
        </w:rPr>
        <w:t xml:space="preserve">транспарентност </w:t>
      </w:r>
      <w:r w:rsidR="00D90DB0" w:rsidRPr="00A021B7">
        <w:rPr>
          <w:rFonts w:ascii="Arial" w:hAnsi="Arial" w:cs="Arial"/>
          <w:sz w:val="20"/>
          <w:szCs w:val="20"/>
          <w:lang w:val="sr-Cyrl-RS"/>
        </w:rPr>
        <w:t>и партиципација</w:t>
      </w:r>
      <w:r w:rsidRPr="00A021B7">
        <w:rPr>
          <w:rFonts w:ascii="Arial" w:hAnsi="Arial" w:cs="Arial"/>
          <w:sz w:val="20"/>
          <w:szCs w:val="20"/>
          <w:lang w:val="sr-Cyrl-RS"/>
        </w:rPr>
        <w:t>,</w:t>
      </w:r>
    </w:p>
    <w:p w14:paraId="1E5633FB" w14:textId="77777777" w:rsidR="00D90DB0" w:rsidRPr="00A021B7" w:rsidRDefault="008E7873" w:rsidP="00A57E7E">
      <w:pPr>
        <w:pStyle w:val="ListParagraph"/>
        <w:numPr>
          <w:ilvl w:val="0"/>
          <w:numId w:val="6"/>
        </w:numPr>
        <w:jc w:val="both"/>
        <w:rPr>
          <w:rFonts w:ascii="Arial" w:hAnsi="Arial" w:cs="Arial"/>
          <w:sz w:val="20"/>
          <w:szCs w:val="20"/>
          <w:lang w:val="sr-Cyrl-RS"/>
        </w:rPr>
      </w:pPr>
      <w:r w:rsidRPr="00A021B7">
        <w:rPr>
          <w:rFonts w:ascii="Arial" w:hAnsi="Arial" w:cs="Arial"/>
          <w:sz w:val="20"/>
          <w:szCs w:val="20"/>
          <w:lang w:val="sr-Cyrl-RS"/>
        </w:rPr>
        <w:t>равноправност,</w:t>
      </w:r>
    </w:p>
    <w:p w14:paraId="6C14E3B8" w14:textId="77777777" w:rsidR="00D90DB0" w:rsidRPr="00A021B7" w:rsidRDefault="008E7873" w:rsidP="00A57E7E">
      <w:pPr>
        <w:pStyle w:val="ListParagraph"/>
        <w:numPr>
          <w:ilvl w:val="0"/>
          <w:numId w:val="6"/>
        </w:numPr>
        <w:jc w:val="both"/>
        <w:rPr>
          <w:rFonts w:ascii="Arial" w:hAnsi="Arial" w:cs="Arial"/>
          <w:sz w:val="20"/>
          <w:szCs w:val="20"/>
          <w:lang w:val="sr-Cyrl-RS"/>
        </w:rPr>
      </w:pPr>
      <w:r w:rsidRPr="00A021B7">
        <w:rPr>
          <w:rFonts w:ascii="Arial" w:hAnsi="Arial" w:cs="Arial"/>
          <w:sz w:val="20"/>
          <w:szCs w:val="20"/>
          <w:lang w:val="sr-Cyrl-RS"/>
        </w:rPr>
        <w:t>предвидивост</w:t>
      </w:r>
      <w:r w:rsidR="00D90DB0" w:rsidRPr="00A021B7">
        <w:rPr>
          <w:rFonts w:ascii="Arial" w:hAnsi="Arial" w:cs="Arial"/>
          <w:sz w:val="20"/>
          <w:szCs w:val="20"/>
          <w:lang w:val="sr-Cyrl-RS"/>
        </w:rPr>
        <w:t xml:space="preserve">, економичност/ефикасност и делотворност локалне самоуправе и </w:t>
      </w:r>
    </w:p>
    <w:p w14:paraId="78710B3E" w14:textId="72BA0A10" w:rsidR="00D90DB0" w:rsidRPr="00A021B7" w:rsidRDefault="008E7873" w:rsidP="00A57E7E">
      <w:pPr>
        <w:pStyle w:val="ListParagraph"/>
        <w:numPr>
          <w:ilvl w:val="0"/>
          <w:numId w:val="6"/>
        </w:numPr>
        <w:jc w:val="both"/>
        <w:rPr>
          <w:rFonts w:ascii="Arial" w:hAnsi="Arial" w:cs="Arial"/>
          <w:sz w:val="20"/>
          <w:szCs w:val="20"/>
          <w:lang w:val="sr-Cyrl-RS"/>
        </w:rPr>
      </w:pPr>
      <w:r w:rsidRPr="1A8E6423">
        <w:rPr>
          <w:rFonts w:ascii="Arial" w:hAnsi="Arial" w:cs="Arial"/>
          <w:sz w:val="20"/>
          <w:szCs w:val="20"/>
          <w:lang w:val="sr-Cyrl-RS"/>
        </w:rPr>
        <w:t>антикорупција</w:t>
      </w:r>
      <w:r w:rsidR="00D90DB0" w:rsidRPr="1A8E6423">
        <w:rPr>
          <w:rFonts w:ascii="Arial" w:hAnsi="Arial" w:cs="Arial"/>
          <w:sz w:val="20"/>
          <w:szCs w:val="20"/>
          <w:lang w:val="sr-Cyrl-RS"/>
        </w:rPr>
        <w:t>.</w:t>
      </w:r>
    </w:p>
    <w:p w14:paraId="23C93E0A" w14:textId="77777777" w:rsidR="00D90DB0" w:rsidRPr="00A021B7" w:rsidRDefault="00D90DB0" w:rsidP="003E7BC9">
      <w:pPr>
        <w:rPr>
          <w:rFonts w:ascii="Arial" w:hAnsi="Arial" w:cs="Arial"/>
          <w:sz w:val="20"/>
          <w:szCs w:val="20"/>
          <w:lang w:val="sr-Cyrl-RS"/>
        </w:rPr>
      </w:pPr>
    </w:p>
    <w:p w14:paraId="7A5DCA7D" w14:textId="7701AB9E" w:rsidR="00D90DB0" w:rsidRPr="00A021B7" w:rsidRDefault="00D90DB0" w:rsidP="1A8E6423">
      <w:pPr>
        <w:ind w:firstLine="72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ЈЛС су изабране на основу одговарајућих критеријума тако да представљају репрезентативн</w:t>
      </w:r>
      <w:r w:rsidR="00F47685"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w:t>
      </w:r>
      <w:r w:rsidR="00F47685" w:rsidRPr="1A8E6423">
        <w:rPr>
          <w:rFonts w:ascii="Arial" w:eastAsiaTheme="minorEastAsia" w:hAnsi="Arial" w:cs="Arial"/>
          <w:sz w:val="20"/>
          <w:szCs w:val="20"/>
          <w:lang w:val="sr-Cyrl-RS"/>
        </w:rPr>
        <w:t xml:space="preserve">узорак </w:t>
      </w:r>
      <w:r w:rsidRPr="1A8E6423">
        <w:rPr>
          <w:rFonts w:ascii="Arial" w:eastAsiaTheme="minorEastAsia" w:hAnsi="Arial" w:cs="Arial"/>
          <w:sz w:val="20"/>
          <w:szCs w:val="20"/>
          <w:lang w:val="sr-Cyrl-RS"/>
        </w:rPr>
        <w:t xml:space="preserve">локалне самоуправе (минимум по једна ЈЛС из сваког управног округа, пропорционална заступљеност градова и општина, сагледавање ЈЛС са различитим степеном развијености по званичној типологији и др.). Анализа података добијених од 60 </w:t>
      </w:r>
      <w:r w:rsidR="00091563"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 xml:space="preserve">које су учествовале </w:t>
      </w:r>
      <w:r w:rsidR="00F47685" w:rsidRPr="1A8E6423">
        <w:rPr>
          <w:rFonts w:ascii="Arial" w:eastAsiaTheme="minorEastAsia" w:hAnsi="Arial" w:cs="Arial"/>
          <w:sz w:val="20"/>
          <w:szCs w:val="20"/>
          <w:lang w:val="sr-Cyrl-RS"/>
        </w:rPr>
        <w:t>у истраживању</w:t>
      </w:r>
      <w:r w:rsidRPr="1A8E6423">
        <w:rPr>
          <w:rFonts w:ascii="Arial" w:eastAsiaTheme="minorEastAsia" w:hAnsi="Arial" w:cs="Arial"/>
          <w:sz w:val="20"/>
          <w:szCs w:val="20"/>
          <w:lang w:val="sr-Cyrl-RS"/>
        </w:rPr>
        <w:t xml:space="preserve"> 2018. године, показала је да су се укупне оцене на скали од 1 до 100% кретале у распону од 18% до 63,6%. Просечна </w:t>
      </w:r>
      <w:r w:rsidR="006C745B" w:rsidRPr="1A8E6423">
        <w:rPr>
          <w:rFonts w:ascii="Arial" w:eastAsiaTheme="minorEastAsia" w:hAnsi="Arial" w:cs="Arial"/>
          <w:sz w:val="20"/>
          <w:szCs w:val="20"/>
          <w:lang w:val="sr-Cyrl-RS"/>
        </w:rPr>
        <w:t xml:space="preserve">вредност </w:t>
      </w:r>
      <w:r w:rsidR="008E05C0" w:rsidRPr="1A8E6423">
        <w:rPr>
          <w:rFonts w:ascii="Arial" w:eastAsiaTheme="minorEastAsia" w:hAnsi="Arial" w:cs="Arial"/>
          <w:sz w:val="20"/>
          <w:szCs w:val="20"/>
          <w:lang w:val="sr-Cyrl-RS"/>
        </w:rPr>
        <w:t>и</w:t>
      </w:r>
      <w:r w:rsidR="00B3261B" w:rsidRPr="1A8E6423">
        <w:rPr>
          <w:rFonts w:ascii="Arial" w:eastAsiaTheme="minorEastAsia" w:hAnsi="Arial" w:cs="Arial"/>
          <w:sz w:val="20"/>
          <w:szCs w:val="20"/>
          <w:lang w:val="sr-Cyrl-RS"/>
        </w:rPr>
        <w:t xml:space="preserve">ндекса </w:t>
      </w:r>
      <w:r w:rsidRPr="1A8E6423">
        <w:rPr>
          <w:rFonts w:ascii="Arial" w:eastAsiaTheme="minorEastAsia" w:hAnsi="Arial" w:cs="Arial"/>
          <w:sz w:val="20"/>
          <w:szCs w:val="20"/>
          <w:lang w:val="sr-Cyrl-RS"/>
        </w:rPr>
        <w:t xml:space="preserve">је била 39,1%. </w:t>
      </w:r>
      <w:r w:rsidR="00B3261B" w:rsidRPr="1A8E6423">
        <w:rPr>
          <w:rFonts w:ascii="Arial" w:eastAsiaTheme="minorEastAsia" w:hAnsi="Arial" w:cs="Arial"/>
          <w:sz w:val="20"/>
          <w:szCs w:val="20"/>
          <w:lang w:val="sr-Cyrl-RS"/>
        </w:rPr>
        <w:t>А</w:t>
      </w:r>
      <w:r w:rsidRPr="1A8E6423">
        <w:rPr>
          <w:rFonts w:ascii="Arial" w:eastAsiaTheme="minorEastAsia" w:hAnsi="Arial" w:cs="Arial"/>
          <w:sz w:val="20"/>
          <w:szCs w:val="20"/>
          <w:lang w:val="sr-Cyrl-RS"/>
        </w:rPr>
        <w:t xml:space="preserve">нализа је показала да су градови боље рангирани од општина (47% према 36%), развијеније </w:t>
      </w:r>
      <w:r w:rsidR="003C28F9"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 xml:space="preserve">боље </w:t>
      </w:r>
      <w:r w:rsidR="003C28F9" w:rsidRPr="1A8E6423">
        <w:rPr>
          <w:rFonts w:ascii="Arial" w:eastAsiaTheme="minorEastAsia" w:hAnsi="Arial" w:cs="Arial"/>
          <w:sz w:val="20"/>
          <w:szCs w:val="20"/>
          <w:lang w:val="sr-Cyrl-RS"/>
        </w:rPr>
        <w:t xml:space="preserve">су </w:t>
      </w:r>
      <w:r w:rsidRPr="1A8E6423">
        <w:rPr>
          <w:rFonts w:ascii="Arial" w:eastAsiaTheme="minorEastAsia" w:hAnsi="Arial" w:cs="Arial"/>
          <w:sz w:val="20"/>
          <w:szCs w:val="20"/>
          <w:lang w:val="sr-Cyrl-RS"/>
        </w:rPr>
        <w:t xml:space="preserve">рангиране од слабије </w:t>
      </w:r>
      <w:r w:rsidR="00645EB2" w:rsidRPr="1A8E6423">
        <w:rPr>
          <w:rFonts w:ascii="Arial" w:eastAsiaTheme="minorEastAsia" w:hAnsi="Arial" w:cs="Arial"/>
          <w:sz w:val="20"/>
          <w:szCs w:val="20"/>
          <w:lang w:val="sr-Cyrl-RS"/>
        </w:rPr>
        <w:t>развијених</w:t>
      </w:r>
      <w:r w:rsidRPr="1A8E6423">
        <w:rPr>
          <w:rFonts w:ascii="Arial" w:eastAsiaTheme="minorEastAsia" w:hAnsi="Arial" w:cs="Arial"/>
          <w:sz w:val="20"/>
          <w:szCs w:val="20"/>
          <w:lang w:val="sr-Cyrl-RS"/>
        </w:rPr>
        <w:t xml:space="preserve">, према Уредби о утврђивању јединствене листе развијености региона и </w:t>
      </w:r>
      <w:r w:rsidR="005E1859"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из 2014. године (прва група ЈЛС 47%, друга група 43%, трећа група 37%, четврта група 35%). Када се</w:t>
      </w:r>
      <w:r w:rsidR="004D5004"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погледају подаци по области</w:t>
      </w:r>
      <w:r w:rsidR="005C0AF2" w:rsidRPr="1A8E6423">
        <w:rPr>
          <w:rFonts w:ascii="Arial" w:eastAsiaTheme="minorEastAsia" w:hAnsi="Arial" w:cs="Arial"/>
          <w:sz w:val="20"/>
          <w:szCs w:val="20"/>
          <w:lang w:val="sr-Cyrl-RS"/>
        </w:rPr>
        <w:t>ма</w:t>
      </w:r>
      <w:r w:rsidRPr="1A8E6423">
        <w:rPr>
          <w:rFonts w:ascii="Arial" w:eastAsiaTheme="minorEastAsia" w:hAnsi="Arial" w:cs="Arial"/>
          <w:sz w:val="20"/>
          <w:szCs w:val="20"/>
          <w:lang w:val="sr-Cyrl-RS"/>
        </w:rPr>
        <w:t xml:space="preserve">, најнижи резултат постигнут је у области антикорупције (испод 25%). </w:t>
      </w:r>
      <w:r w:rsidR="005C0AF2" w:rsidRPr="1A8E6423">
        <w:rPr>
          <w:rFonts w:ascii="Arial" w:eastAsiaTheme="minorEastAsia" w:hAnsi="Arial" w:cs="Arial"/>
          <w:sz w:val="20"/>
          <w:szCs w:val="20"/>
          <w:lang w:val="sr-Cyrl-RS"/>
        </w:rPr>
        <w:t>С</w:t>
      </w:r>
      <w:r w:rsidRPr="1A8E6423">
        <w:rPr>
          <w:rFonts w:ascii="Arial" w:eastAsiaTheme="minorEastAsia" w:hAnsi="Arial" w:cs="Arial"/>
          <w:sz w:val="20"/>
          <w:szCs w:val="20"/>
          <w:lang w:val="sr-Cyrl-RS"/>
        </w:rPr>
        <w:t>лед</w:t>
      </w:r>
      <w:r w:rsidR="008E05C0"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равноправност (28%), па транспарентност и партиципација (41%), предвидивост и ефикасности (42%) </w:t>
      </w:r>
      <w:r w:rsidR="005C0AF2" w:rsidRPr="1A8E6423">
        <w:rPr>
          <w:rFonts w:ascii="Arial" w:eastAsiaTheme="minorEastAsia" w:hAnsi="Arial" w:cs="Arial"/>
          <w:sz w:val="20"/>
          <w:szCs w:val="20"/>
          <w:lang w:val="sr-Cyrl-RS"/>
        </w:rPr>
        <w:t xml:space="preserve">и </w:t>
      </w:r>
      <w:r w:rsidRPr="1A8E6423">
        <w:rPr>
          <w:rFonts w:ascii="Arial" w:eastAsiaTheme="minorEastAsia" w:hAnsi="Arial" w:cs="Arial"/>
          <w:sz w:val="20"/>
          <w:szCs w:val="20"/>
          <w:lang w:val="sr-Cyrl-RS"/>
        </w:rPr>
        <w:t>на крају, као најбоље рангирана, одговорност (45%).</w:t>
      </w:r>
    </w:p>
    <w:p w14:paraId="7B2E1AD6"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32C886A5" w14:textId="16BEDC5C" w:rsidR="00D90DB0" w:rsidRPr="00A021B7" w:rsidRDefault="00D90DB0" w:rsidP="1A8E6423">
      <w:pPr>
        <w:ind w:firstLine="72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Детаљниј</w:t>
      </w:r>
      <w:r w:rsidR="008E05C0" w:rsidRPr="1A8E6423">
        <w:rPr>
          <w:rFonts w:ascii="Arial" w:eastAsiaTheme="minorEastAsia" w:hAnsi="Arial" w:cs="Arial"/>
          <w:sz w:val="20"/>
          <w:szCs w:val="20"/>
          <w:lang w:val="sr-Cyrl-RS"/>
        </w:rPr>
        <w:t>ом</w:t>
      </w:r>
      <w:r w:rsidRPr="1A8E6423">
        <w:rPr>
          <w:rFonts w:ascii="Arial" w:eastAsiaTheme="minorEastAsia" w:hAnsi="Arial" w:cs="Arial"/>
          <w:sz w:val="20"/>
          <w:szCs w:val="20"/>
          <w:lang w:val="sr-Cyrl-RS"/>
        </w:rPr>
        <w:t xml:space="preserve"> анализ</w:t>
      </w:r>
      <w:r w:rsidR="008E05C0" w:rsidRPr="1A8E6423">
        <w:rPr>
          <w:rFonts w:ascii="Arial" w:eastAsiaTheme="minorEastAsia" w:hAnsi="Arial" w:cs="Arial"/>
          <w:sz w:val="20"/>
          <w:szCs w:val="20"/>
          <w:lang w:val="sr-Cyrl-RS"/>
        </w:rPr>
        <w:t>ом</w:t>
      </w:r>
      <w:r w:rsidRPr="1A8E6423">
        <w:rPr>
          <w:rFonts w:ascii="Arial" w:eastAsiaTheme="minorEastAsia" w:hAnsi="Arial" w:cs="Arial"/>
          <w:sz w:val="20"/>
          <w:szCs w:val="20"/>
          <w:lang w:val="sr-Cyrl-RS"/>
        </w:rPr>
        <w:t xml:space="preserve"> одговор</w:t>
      </w:r>
      <w:r w:rsidR="008E05C0" w:rsidRPr="1A8E6423">
        <w:rPr>
          <w:rFonts w:ascii="Arial" w:eastAsiaTheme="minorEastAsia" w:hAnsi="Arial" w:cs="Arial"/>
          <w:sz w:val="20"/>
          <w:szCs w:val="20"/>
          <w:lang w:val="sr-Cyrl-RS"/>
        </w:rPr>
        <w:t>а</w:t>
      </w:r>
      <w:r w:rsidRPr="1A8E6423">
        <w:rPr>
          <w:rFonts w:ascii="Arial" w:eastAsiaTheme="minorEastAsia" w:hAnsi="Arial" w:cs="Arial"/>
          <w:sz w:val="20"/>
          <w:szCs w:val="20"/>
          <w:lang w:val="sr-Cyrl-RS"/>
        </w:rPr>
        <w:t xml:space="preserve"> ЈЛС који се тичу примене </w:t>
      </w:r>
      <w:r w:rsidR="00507ED1"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доброг управљања, утврђује се да у област</w:t>
      </w:r>
      <w:r w:rsidR="00507ED1"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w:t>
      </w:r>
      <w:r w:rsidRPr="1A8E6423">
        <w:rPr>
          <w:rFonts w:ascii="Arial" w:eastAsiaTheme="minorEastAsia" w:hAnsi="Arial" w:cs="Arial"/>
          <w:b/>
          <w:bCs/>
          <w:i/>
          <w:iCs/>
          <w:sz w:val="20"/>
          <w:szCs w:val="20"/>
          <w:lang w:val="sr-Cyrl-RS"/>
        </w:rPr>
        <w:t>одговорност</w:t>
      </w:r>
      <w:r w:rsidR="008E05C0" w:rsidRPr="1A8E6423">
        <w:rPr>
          <w:rFonts w:ascii="Arial" w:eastAsiaTheme="minorEastAsia" w:hAnsi="Arial" w:cs="Arial"/>
          <w:b/>
          <w:bCs/>
          <w:i/>
          <w:iCs/>
          <w:sz w:val="20"/>
          <w:szCs w:val="20"/>
          <w:lang w:val="sr-Cyrl-RS"/>
        </w:rPr>
        <w:t>и</w:t>
      </w:r>
      <w:r w:rsidRPr="1A8E6423">
        <w:rPr>
          <w:rFonts w:ascii="Arial" w:eastAsiaTheme="minorEastAsia" w:hAnsi="Arial" w:cs="Arial"/>
          <w:sz w:val="20"/>
          <w:szCs w:val="20"/>
          <w:lang w:val="sr-Cyrl-RS"/>
        </w:rPr>
        <w:t xml:space="preserve"> већина има усвојене кровне стратегије, као и одређени број секторских стратегија и акционих планова. Међутим, резултати на плану </w:t>
      </w:r>
      <w:r w:rsidR="00BF5F09" w:rsidRPr="1A8E6423">
        <w:rPr>
          <w:rFonts w:ascii="Arial" w:eastAsiaTheme="minorEastAsia" w:hAnsi="Arial" w:cs="Arial"/>
          <w:sz w:val="20"/>
          <w:szCs w:val="20"/>
          <w:lang w:val="sr-Cyrl-RS"/>
        </w:rPr>
        <w:t xml:space="preserve">спровођења </w:t>
      </w:r>
      <w:r w:rsidRPr="1A8E6423">
        <w:rPr>
          <w:rFonts w:ascii="Arial" w:eastAsiaTheme="minorEastAsia" w:hAnsi="Arial" w:cs="Arial"/>
          <w:sz w:val="20"/>
          <w:szCs w:val="20"/>
          <w:lang w:val="sr-Cyrl-RS"/>
        </w:rPr>
        <w:t xml:space="preserve">усвојених планских </w:t>
      </w:r>
      <w:r w:rsidR="00BF5F09" w:rsidRPr="1A8E6423">
        <w:rPr>
          <w:rFonts w:ascii="Arial" w:eastAsiaTheme="minorEastAsia" w:hAnsi="Arial" w:cs="Arial"/>
          <w:sz w:val="20"/>
          <w:szCs w:val="20"/>
          <w:lang w:val="sr-Cyrl-RS"/>
        </w:rPr>
        <w:t xml:space="preserve">докумената </w:t>
      </w:r>
      <w:r w:rsidRPr="1A8E6423">
        <w:rPr>
          <w:rFonts w:ascii="Arial" w:eastAsiaTheme="minorEastAsia" w:hAnsi="Arial" w:cs="Arial"/>
          <w:sz w:val="20"/>
          <w:szCs w:val="20"/>
          <w:lang w:val="sr-Cyrl-RS"/>
        </w:rPr>
        <w:t xml:space="preserve">и докумената </w:t>
      </w:r>
      <w:r w:rsidR="00BF5F09" w:rsidRPr="1A8E6423">
        <w:rPr>
          <w:rFonts w:ascii="Arial" w:eastAsiaTheme="minorEastAsia" w:hAnsi="Arial" w:cs="Arial"/>
          <w:sz w:val="20"/>
          <w:szCs w:val="20"/>
          <w:lang w:val="sr-Cyrl-RS"/>
        </w:rPr>
        <w:t xml:space="preserve">јавне политике </w:t>
      </w:r>
      <w:r w:rsidRPr="1A8E6423">
        <w:rPr>
          <w:rFonts w:ascii="Arial" w:eastAsiaTheme="minorEastAsia" w:hAnsi="Arial" w:cs="Arial"/>
          <w:sz w:val="20"/>
          <w:szCs w:val="20"/>
          <w:lang w:val="sr-Cyrl-RS"/>
        </w:rPr>
        <w:t xml:space="preserve">су лоши. </w:t>
      </w:r>
      <w:r w:rsidR="00BF5F09" w:rsidRPr="1A8E6423">
        <w:rPr>
          <w:rFonts w:ascii="Arial" w:eastAsiaTheme="minorEastAsia" w:hAnsi="Arial" w:cs="Arial"/>
          <w:sz w:val="20"/>
          <w:szCs w:val="20"/>
          <w:lang w:val="sr-Cyrl-RS"/>
        </w:rPr>
        <w:t>В</w:t>
      </w:r>
      <w:r w:rsidRPr="1A8E6423">
        <w:rPr>
          <w:rFonts w:ascii="Arial" w:eastAsiaTheme="minorEastAsia" w:hAnsi="Arial" w:cs="Arial"/>
          <w:sz w:val="20"/>
          <w:szCs w:val="20"/>
          <w:lang w:val="sr-Cyrl-RS"/>
        </w:rPr>
        <w:t xml:space="preserve">редност индекса је ниска и када је </w:t>
      </w:r>
      <w:r w:rsidR="008E05C0" w:rsidRPr="1A8E6423">
        <w:rPr>
          <w:rFonts w:ascii="Arial" w:eastAsiaTheme="minorEastAsia" w:hAnsi="Arial" w:cs="Arial"/>
          <w:sz w:val="20"/>
          <w:szCs w:val="20"/>
          <w:lang w:val="sr-Cyrl-RS"/>
        </w:rPr>
        <w:t>реч о</w:t>
      </w:r>
      <w:r w:rsidRPr="1A8E6423">
        <w:rPr>
          <w:rFonts w:ascii="Arial" w:eastAsiaTheme="minorEastAsia" w:hAnsi="Arial" w:cs="Arial"/>
          <w:sz w:val="20"/>
          <w:szCs w:val="20"/>
          <w:lang w:val="sr-Cyrl-RS"/>
        </w:rPr>
        <w:t xml:space="preserve"> планирањ</w:t>
      </w:r>
      <w:r w:rsidR="008E05C0" w:rsidRPr="1A8E6423">
        <w:rPr>
          <w:rFonts w:ascii="Arial" w:eastAsiaTheme="minorEastAsia" w:hAnsi="Arial" w:cs="Arial"/>
          <w:sz w:val="20"/>
          <w:szCs w:val="20"/>
          <w:lang w:val="sr-Cyrl-RS"/>
        </w:rPr>
        <w:t>у</w:t>
      </w:r>
      <w:r w:rsidRPr="1A8E6423">
        <w:rPr>
          <w:rFonts w:ascii="Arial" w:eastAsiaTheme="minorEastAsia" w:hAnsi="Arial" w:cs="Arial"/>
          <w:sz w:val="20"/>
          <w:szCs w:val="20"/>
          <w:lang w:val="sr-Cyrl-RS"/>
        </w:rPr>
        <w:t xml:space="preserve"> капиталних пројеката</w:t>
      </w:r>
      <w:r w:rsidR="00257F6B"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што додатно подрива значај планских докумената (</w:t>
      </w:r>
      <w:r w:rsidR="007841DB" w:rsidRPr="1A8E6423">
        <w:rPr>
          <w:rFonts w:ascii="Arial" w:eastAsiaTheme="minorEastAsia" w:hAnsi="Arial" w:cs="Arial"/>
          <w:sz w:val="20"/>
          <w:szCs w:val="20"/>
          <w:lang w:val="sr-Cyrl-RS"/>
        </w:rPr>
        <w:t xml:space="preserve">просечан </w:t>
      </w:r>
      <w:r w:rsidR="00257F6B" w:rsidRPr="1A8E6423">
        <w:rPr>
          <w:rFonts w:ascii="Arial" w:eastAsiaTheme="minorEastAsia" w:hAnsi="Arial" w:cs="Arial"/>
          <w:sz w:val="20"/>
          <w:szCs w:val="20"/>
          <w:lang w:val="sr-Cyrl-RS"/>
        </w:rPr>
        <w:t xml:space="preserve">резултат је </w:t>
      </w:r>
      <w:r w:rsidRPr="1A8E6423">
        <w:rPr>
          <w:rFonts w:ascii="Arial" w:eastAsiaTheme="minorEastAsia" w:hAnsi="Arial" w:cs="Arial"/>
          <w:sz w:val="20"/>
          <w:szCs w:val="20"/>
          <w:lang w:val="sr-Cyrl-RS"/>
        </w:rPr>
        <w:t xml:space="preserve">20%). Када је </w:t>
      </w:r>
      <w:r w:rsidR="008E05C0" w:rsidRPr="1A8E6423">
        <w:rPr>
          <w:rFonts w:ascii="Arial" w:eastAsiaTheme="minorEastAsia" w:hAnsi="Arial" w:cs="Arial"/>
          <w:sz w:val="20"/>
          <w:szCs w:val="20"/>
          <w:lang w:val="sr-Cyrl-RS"/>
        </w:rPr>
        <w:t>реч о</w:t>
      </w:r>
      <w:r w:rsidRPr="1A8E6423">
        <w:rPr>
          <w:rFonts w:ascii="Arial" w:eastAsiaTheme="minorEastAsia" w:hAnsi="Arial" w:cs="Arial"/>
          <w:sz w:val="20"/>
          <w:szCs w:val="20"/>
          <w:lang w:val="sr-Cyrl-RS"/>
        </w:rPr>
        <w:t xml:space="preserve"> одговорн</w:t>
      </w:r>
      <w:r w:rsidR="008E05C0" w:rsidRPr="1A8E6423">
        <w:rPr>
          <w:rFonts w:ascii="Arial" w:eastAsiaTheme="minorEastAsia" w:hAnsi="Arial" w:cs="Arial"/>
          <w:sz w:val="20"/>
          <w:szCs w:val="20"/>
          <w:lang w:val="sr-Cyrl-RS"/>
        </w:rPr>
        <w:t>ом</w:t>
      </w:r>
      <w:r w:rsidRPr="1A8E6423">
        <w:rPr>
          <w:rFonts w:ascii="Arial" w:eastAsiaTheme="minorEastAsia" w:hAnsi="Arial" w:cs="Arial"/>
          <w:sz w:val="20"/>
          <w:szCs w:val="20"/>
          <w:lang w:val="sr-Cyrl-RS"/>
        </w:rPr>
        <w:t xml:space="preserve"> однос</w:t>
      </w:r>
      <w:r w:rsidR="008E05C0" w:rsidRPr="1A8E6423">
        <w:rPr>
          <w:rFonts w:ascii="Arial" w:eastAsiaTheme="minorEastAsia" w:hAnsi="Arial" w:cs="Arial"/>
          <w:sz w:val="20"/>
          <w:szCs w:val="20"/>
          <w:lang w:val="sr-Cyrl-RS"/>
        </w:rPr>
        <w:t>у</w:t>
      </w:r>
      <w:r w:rsidRPr="1A8E6423">
        <w:rPr>
          <w:rFonts w:ascii="Arial" w:eastAsiaTheme="minorEastAsia" w:hAnsi="Arial" w:cs="Arial"/>
          <w:sz w:val="20"/>
          <w:szCs w:val="20"/>
          <w:lang w:val="sr-Cyrl-RS"/>
        </w:rPr>
        <w:t xml:space="preserve"> према имовини </w:t>
      </w:r>
      <w:r w:rsidR="00257F6B"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 xml:space="preserve">вредности показују да области пописа, уписа и утврђивања вредности имовине могу значајно да се побољшају. Остале области са простором за побољшање су финансирање медијских садржаја и пројеката удружења, праћење примене </w:t>
      </w:r>
      <w:r w:rsidR="005D283E" w:rsidRPr="1A8E6423">
        <w:rPr>
          <w:rFonts w:ascii="Arial" w:eastAsiaTheme="minorEastAsia" w:hAnsi="Arial" w:cs="Arial"/>
          <w:sz w:val="20"/>
          <w:szCs w:val="20"/>
          <w:lang w:val="sr-Cyrl-RS"/>
        </w:rPr>
        <w:t xml:space="preserve">Етичког </w:t>
      </w:r>
      <w:r w:rsidRPr="1A8E6423">
        <w:rPr>
          <w:rFonts w:ascii="Arial" w:eastAsiaTheme="minorEastAsia" w:hAnsi="Arial" w:cs="Arial"/>
          <w:sz w:val="20"/>
          <w:szCs w:val="20"/>
          <w:lang w:val="sr-Cyrl-RS"/>
        </w:rPr>
        <w:t xml:space="preserve">кодекса, </w:t>
      </w:r>
      <w:r w:rsidR="005D283E" w:rsidRPr="1A8E6423">
        <w:rPr>
          <w:rFonts w:ascii="Arial" w:eastAsiaTheme="minorEastAsia" w:hAnsi="Arial" w:cs="Arial"/>
          <w:sz w:val="20"/>
          <w:szCs w:val="20"/>
          <w:lang w:val="sr-Cyrl-RS"/>
        </w:rPr>
        <w:t xml:space="preserve">успостављање </w:t>
      </w:r>
      <w:r w:rsidRPr="1A8E6423">
        <w:rPr>
          <w:rFonts w:ascii="Arial" w:eastAsiaTheme="minorEastAsia" w:hAnsi="Arial" w:cs="Arial"/>
          <w:sz w:val="20"/>
          <w:szCs w:val="20"/>
          <w:lang w:val="sr-Cyrl-RS"/>
        </w:rPr>
        <w:t>механизама заштите података о личности, успостављањ</w:t>
      </w:r>
      <w:r w:rsidR="007841DB"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институције заштитника грађана и формирањ</w:t>
      </w:r>
      <w:r w:rsidR="00E177CF"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радног тела скупштине за разматрање представки и притужби грађана.</w:t>
      </w:r>
    </w:p>
    <w:p w14:paraId="51E22801"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78A49084"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5C48FED4" w14:textId="5ED3BBCD" w:rsidR="00D90DB0" w:rsidRPr="00A021B7" w:rsidRDefault="00D90DB0" w:rsidP="1A8E6423">
      <w:pPr>
        <w:ind w:firstLine="72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У области </w:t>
      </w:r>
      <w:r w:rsidRPr="1A8E6423">
        <w:rPr>
          <w:rFonts w:ascii="Arial" w:eastAsiaTheme="minorEastAsia" w:hAnsi="Arial" w:cs="Arial"/>
          <w:b/>
          <w:bCs/>
          <w:i/>
          <w:iCs/>
          <w:sz w:val="20"/>
          <w:szCs w:val="20"/>
          <w:lang w:val="sr-Cyrl-RS"/>
        </w:rPr>
        <w:t>транспарентности и партиципације</w:t>
      </w:r>
      <w:r w:rsidRPr="1A8E6423">
        <w:rPr>
          <w:rFonts w:ascii="Arial" w:eastAsiaTheme="minorEastAsia" w:hAnsi="Arial" w:cs="Arial"/>
          <w:sz w:val="20"/>
          <w:szCs w:val="20"/>
          <w:lang w:val="sr-Cyrl-RS"/>
        </w:rPr>
        <w:t xml:space="preserve"> резултат је такође био нешто изнад просека (41%). У побољшању остваривања првог </w:t>
      </w:r>
      <w:r w:rsidR="00D03956" w:rsidRPr="1A8E6423">
        <w:rPr>
          <w:rFonts w:ascii="Arial" w:eastAsiaTheme="minorEastAsia" w:hAnsi="Arial" w:cs="Arial"/>
          <w:sz w:val="20"/>
          <w:szCs w:val="20"/>
          <w:lang w:val="sr-Cyrl-RS"/>
        </w:rPr>
        <w:t xml:space="preserve">подначела </w:t>
      </w:r>
      <w:r w:rsidRPr="1A8E6423">
        <w:rPr>
          <w:rFonts w:ascii="Arial" w:eastAsiaTheme="minorEastAsia" w:hAnsi="Arial" w:cs="Arial"/>
          <w:sz w:val="20"/>
          <w:szCs w:val="20"/>
          <w:lang w:val="sr-Cyrl-RS"/>
        </w:rPr>
        <w:t>(транспарентност и учешће грађана у процесу јавних политика)</w:t>
      </w:r>
      <w:r w:rsidR="00D03956" w:rsidRPr="1A8E6423">
        <w:rPr>
          <w:rFonts w:ascii="Arial" w:eastAsiaTheme="minorEastAsia" w:hAnsi="Arial" w:cs="Arial"/>
          <w:sz w:val="20"/>
          <w:szCs w:val="20"/>
          <w:lang w:val="sr-Cyrl-RS"/>
        </w:rPr>
        <w:t>, нагласак</w:t>
      </w:r>
      <w:r w:rsidRPr="1A8E6423">
        <w:rPr>
          <w:rFonts w:ascii="Arial" w:eastAsiaTheme="minorEastAsia" w:hAnsi="Arial" w:cs="Arial"/>
          <w:sz w:val="20"/>
          <w:szCs w:val="20"/>
          <w:lang w:val="sr-Cyrl-RS"/>
        </w:rPr>
        <w:t xml:space="preserve"> треба ставити на повећање учешћа јавности (грађана и </w:t>
      </w:r>
      <w:r w:rsidR="00D74437" w:rsidRPr="1A8E6423">
        <w:rPr>
          <w:rFonts w:ascii="Arial" w:eastAsiaTheme="minorEastAsia" w:hAnsi="Arial" w:cs="Arial"/>
          <w:sz w:val="20"/>
          <w:szCs w:val="20"/>
          <w:lang w:val="sr-Cyrl-RS"/>
        </w:rPr>
        <w:t>њихових удружења</w:t>
      </w:r>
      <w:r w:rsidRPr="1A8E6423">
        <w:rPr>
          <w:rFonts w:ascii="Arial" w:eastAsiaTheme="minorEastAsia" w:hAnsi="Arial" w:cs="Arial"/>
          <w:sz w:val="20"/>
          <w:szCs w:val="20"/>
          <w:lang w:val="sr-Cyrl-RS"/>
        </w:rPr>
        <w:t>) у јавним расправама. У области транспарентности рада скупштине</w:t>
      </w:r>
      <w:r w:rsidR="00D74437"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показало се да се највише заостаје у транспарентности организације, рада и резултата у раду различитих скупштинских тела. Када је </w:t>
      </w:r>
      <w:r w:rsidR="00E177CF" w:rsidRPr="1A8E6423">
        <w:rPr>
          <w:rFonts w:ascii="Arial" w:eastAsiaTheme="minorEastAsia" w:hAnsi="Arial" w:cs="Arial"/>
          <w:sz w:val="20"/>
          <w:szCs w:val="20"/>
          <w:lang w:val="sr-Cyrl-RS"/>
        </w:rPr>
        <w:t>реч о</w:t>
      </w:r>
      <w:r w:rsidRPr="1A8E6423">
        <w:rPr>
          <w:rFonts w:ascii="Arial" w:eastAsiaTheme="minorEastAsia" w:hAnsi="Arial" w:cs="Arial"/>
          <w:sz w:val="20"/>
          <w:szCs w:val="20"/>
          <w:lang w:val="sr-Cyrl-RS"/>
        </w:rPr>
        <w:t xml:space="preserve"> отвореност</w:t>
      </w:r>
      <w:r w:rsidR="00E177CF"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и учешћ</w:t>
      </w:r>
      <w:r w:rsidR="00E177CF" w:rsidRPr="1A8E6423">
        <w:rPr>
          <w:rFonts w:ascii="Arial" w:eastAsiaTheme="minorEastAsia" w:hAnsi="Arial" w:cs="Arial"/>
          <w:sz w:val="20"/>
          <w:szCs w:val="20"/>
          <w:lang w:val="sr-Cyrl-RS"/>
        </w:rPr>
        <w:t>у</w:t>
      </w:r>
      <w:r w:rsidRPr="1A8E6423">
        <w:rPr>
          <w:rFonts w:ascii="Arial" w:eastAsiaTheme="minorEastAsia" w:hAnsi="Arial" w:cs="Arial"/>
          <w:sz w:val="20"/>
          <w:szCs w:val="20"/>
          <w:lang w:val="sr-Cyrl-RS"/>
        </w:rPr>
        <w:t xml:space="preserve"> грађана у креирању и праћењу трошења буџета</w:t>
      </w:r>
      <w:r w:rsidR="00D74437"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највише простора за побољшање </w:t>
      </w:r>
      <w:r w:rsidR="00921DA3" w:rsidRPr="1A8E6423">
        <w:rPr>
          <w:rFonts w:ascii="Arial" w:eastAsiaTheme="minorEastAsia" w:hAnsi="Arial" w:cs="Arial"/>
          <w:sz w:val="20"/>
          <w:szCs w:val="20"/>
          <w:lang w:val="sr-Cyrl-RS"/>
        </w:rPr>
        <w:t xml:space="preserve">има </w:t>
      </w:r>
      <w:r w:rsidRPr="1A8E6423">
        <w:rPr>
          <w:rFonts w:ascii="Arial" w:eastAsiaTheme="minorEastAsia" w:hAnsi="Arial" w:cs="Arial"/>
          <w:sz w:val="20"/>
          <w:szCs w:val="20"/>
          <w:lang w:val="sr-Cyrl-RS"/>
        </w:rPr>
        <w:t xml:space="preserve">у области учешћа јавности у изради буџета, </w:t>
      </w:r>
      <w:r w:rsidR="00DE121B" w:rsidRPr="1A8E6423">
        <w:rPr>
          <w:rFonts w:ascii="Arial" w:eastAsiaTheme="minorEastAsia" w:hAnsi="Arial" w:cs="Arial"/>
          <w:sz w:val="20"/>
          <w:szCs w:val="20"/>
          <w:lang w:val="sr-Cyrl-RS"/>
        </w:rPr>
        <w:t xml:space="preserve">као </w:t>
      </w:r>
      <w:r w:rsidRPr="1A8E6423">
        <w:rPr>
          <w:rFonts w:ascii="Arial" w:eastAsiaTheme="minorEastAsia" w:hAnsi="Arial" w:cs="Arial"/>
          <w:sz w:val="20"/>
          <w:szCs w:val="20"/>
          <w:lang w:val="sr-Cyrl-RS"/>
        </w:rPr>
        <w:t xml:space="preserve">и </w:t>
      </w:r>
      <w:r w:rsidR="00DE121B" w:rsidRPr="1A8E6423">
        <w:rPr>
          <w:rFonts w:ascii="Arial" w:eastAsiaTheme="minorEastAsia" w:hAnsi="Arial" w:cs="Arial"/>
          <w:sz w:val="20"/>
          <w:szCs w:val="20"/>
          <w:lang w:val="sr-Cyrl-RS"/>
        </w:rPr>
        <w:t xml:space="preserve">у </w:t>
      </w:r>
      <w:r w:rsidRPr="1A8E6423">
        <w:rPr>
          <w:rFonts w:ascii="Arial" w:eastAsiaTheme="minorEastAsia" w:hAnsi="Arial" w:cs="Arial"/>
          <w:sz w:val="20"/>
          <w:szCs w:val="20"/>
          <w:lang w:val="sr-Cyrl-RS"/>
        </w:rPr>
        <w:t>усвајању предлога и примедби грађана у овој области. У области механизама за побољшање транспарентности</w:t>
      </w:r>
      <w:r w:rsidR="00DE121B"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индикатори показују врло слабу развијеност служби за односе са јавношћу. Када су јавне набавке у питању</w:t>
      </w:r>
      <w:r w:rsidR="00DE121B"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најслабији учинак </w:t>
      </w:r>
      <w:r w:rsidR="00DE121B"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 xml:space="preserve">показују у области израде и објављивања извештаја о реализацији јавних набавки. </w:t>
      </w:r>
      <w:r w:rsidR="00933ADB" w:rsidRPr="1A8E6423">
        <w:rPr>
          <w:rFonts w:ascii="Arial" w:eastAsiaTheme="minorEastAsia" w:hAnsi="Arial" w:cs="Arial"/>
          <w:sz w:val="20"/>
          <w:szCs w:val="20"/>
          <w:lang w:val="sr-Cyrl-RS"/>
        </w:rPr>
        <w:t>З</w:t>
      </w:r>
      <w:r w:rsidRPr="1A8E6423">
        <w:rPr>
          <w:rFonts w:ascii="Arial" w:eastAsiaTheme="minorEastAsia" w:hAnsi="Arial" w:cs="Arial"/>
          <w:sz w:val="20"/>
          <w:szCs w:val="20"/>
          <w:lang w:val="sr-Cyrl-RS"/>
        </w:rPr>
        <w:t xml:space="preserve">начајан простор за побољшање постоји и у области транспарентности конкурса о додели својине </w:t>
      </w:r>
      <w:r w:rsidR="00933ADB"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у закуп.</w:t>
      </w:r>
    </w:p>
    <w:p w14:paraId="7764F3FD"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76F11D1B" w14:textId="5F99D071" w:rsidR="00D90DB0" w:rsidRPr="00A021B7" w:rsidRDefault="00D90DB0" w:rsidP="1A8E6423">
      <w:pPr>
        <w:ind w:firstLine="72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У области </w:t>
      </w:r>
      <w:r w:rsidR="00933ADB" w:rsidRPr="1A8E6423">
        <w:rPr>
          <w:rFonts w:ascii="Arial" w:eastAsiaTheme="minorEastAsia" w:hAnsi="Arial" w:cs="Arial"/>
          <w:sz w:val="20"/>
          <w:szCs w:val="20"/>
          <w:lang w:val="sr-Cyrl-RS"/>
        </w:rPr>
        <w:t xml:space="preserve">начела </w:t>
      </w:r>
      <w:r w:rsidRPr="1A8E6423">
        <w:rPr>
          <w:rFonts w:ascii="Arial" w:eastAsiaTheme="minorEastAsia" w:hAnsi="Arial" w:cs="Arial"/>
          <w:b/>
          <w:bCs/>
          <w:i/>
          <w:iCs/>
          <w:sz w:val="20"/>
          <w:szCs w:val="20"/>
          <w:lang w:val="sr-Cyrl-RS"/>
        </w:rPr>
        <w:t>предвидивости, економичности и делотворности</w:t>
      </w:r>
      <w:r w:rsidRPr="1A8E6423">
        <w:rPr>
          <w:rFonts w:ascii="Arial" w:eastAsiaTheme="minorEastAsia" w:hAnsi="Arial" w:cs="Arial"/>
          <w:sz w:val="20"/>
          <w:szCs w:val="20"/>
          <w:lang w:val="sr-Cyrl-RS"/>
        </w:rPr>
        <w:t xml:space="preserve"> просечна оцена била је 42%. </w:t>
      </w:r>
      <w:r w:rsidR="00C31866" w:rsidRPr="1A8E6423">
        <w:rPr>
          <w:rFonts w:ascii="Arial" w:eastAsiaTheme="minorEastAsia" w:hAnsi="Arial" w:cs="Arial"/>
          <w:sz w:val="20"/>
          <w:szCs w:val="20"/>
          <w:lang w:val="sr-Cyrl-RS"/>
        </w:rPr>
        <w:t xml:space="preserve">Ту су </w:t>
      </w:r>
      <w:r w:rsidRPr="1A8E6423">
        <w:rPr>
          <w:rFonts w:ascii="Arial" w:eastAsiaTheme="minorEastAsia" w:hAnsi="Arial" w:cs="Arial"/>
          <w:sz w:val="20"/>
          <w:szCs w:val="20"/>
          <w:lang w:val="sr-Cyrl-RS"/>
        </w:rPr>
        <w:t xml:space="preserve">најлошији резултати у домену постојања и примене механизама за уједначавања управне праксе (свега 10%). </w:t>
      </w:r>
      <w:r w:rsidR="00C83B0E" w:rsidRPr="1A8E6423">
        <w:rPr>
          <w:rFonts w:ascii="Arial" w:eastAsiaTheme="minorEastAsia" w:hAnsi="Arial" w:cs="Arial"/>
          <w:sz w:val="20"/>
          <w:szCs w:val="20"/>
          <w:lang w:val="sr-Cyrl-RS"/>
        </w:rPr>
        <w:t>З</w:t>
      </w:r>
      <w:r w:rsidRPr="1A8E6423">
        <w:rPr>
          <w:rFonts w:ascii="Arial" w:eastAsiaTheme="minorEastAsia" w:hAnsi="Arial" w:cs="Arial"/>
          <w:sz w:val="20"/>
          <w:szCs w:val="20"/>
          <w:lang w:val="sr-Cyrl-RS"/>
        </w:rPr>
        <w:t xml:space="preserve">начајно побољшање могуће је остварити </w:t>
      </w:r>
      <w:r w:rsidR="00C83B0E" w:rsidRPr="1A8E6423">
        <w:rPr>
          <w:rFonts w:ascii="Arial" w:eastAsiaTheme="minorEastAsia" w:hAnsi="Arial" w:cs="Arial"/>
          <w:sz w:val="20"/>
          <w:szCs w:val="20"/>
          <w:lang w:val="sr-Cyrl-RS"/>
        </w:rPr>
        <w:t xml:space="preserve">и </w:t>
      </w:r>
      <w:r w:rsidRPr="1A8E6423">
        <w:rPr>
          <w:rFonts w:ascii="Arial" w:eastAsiaTheme="minorEastAsia" w:hAnsi="Arial" w:cs="Arial"/>
          <w:sz w:val="20"/>
          <w:szCs w:val="20"/>
          <w:lang w:val="sr-Cyrl-RS"/>
        </w:rPr>
        <w:t xml:space="preserve">у домену јединственог управног места, међуопштинске сарадње, стандардизованог пружања услуга управе, утврђивању и анализи ефеката прописа </w:t>
      </w:r>
      <w:r w:rsidR="00C83B0E" w:rsidRPr="1A8E6423">
        <w:rPr>
          <w:rFonts w:ascii="Arial" w:eastAsiaTheme="minorEastAsia" w:hAnsi="Arial" w:cs="Arial"/>
          <w:sz w:val="20"/>
          <w:szCs w:val="20"/>
          <w:lang w:val="sr-Cyrl-RS"/>
        </w:rPr>
        <w:t xml:space="preserve">и </w:t>
      </w:r>
      <w:r w:rsidR="009F749E" w:rsidRPr="1A8E6423">
        <w:rPr>
          <w:rFonts w:ascii="Arial" w:eastAsiaTheme="minorEastAsia" w:hAnsi="Arial" w:cs="Arial"/>
          <w:sz w:val="20"/>
          <w:szCs w:val="20"/>
          <w:lang w:val="sr-Cyrl-RS"/>
        </w:rPr>
        <w:t xml:space="preserve">корисничкој </w:t>
      </w:r>
      <w:r w:rsidR="00C83B0E" w:rsidRPr="1A8E6423">
        <w:rPr>
          <w:rFonts w:ascii="Arial" w:eastAsiaTheme="minorEastAsia" w:hAnsi="Arial" w:cs="Arial"/>
          <w:sz w:val="20"/>
          <w:szCs w:val="20"/>
          <w:lang w:val="sr-Cyrl-RS"/>
        </w:rPr>
        <w:t xml:space="preserve">оцени </w:t>
      </w:r>
      <w:r w:rsidRPr="1A8E6423">
        <w:rPr>
          <w:rFonts w:ascii="Arial" w:eastAsiaTheme="minorEastAsia" w:hAnsi="Arial" w:cs="Arial"/>
          <w:sz w:val="20"/>
          <w:szCs w:val="20"/>
          <w:lang w:val="sr-Cyrl-RS"/>
        </w:rPr>
        <w:t>рада локалних органа и служби</w:t>
      </w:r>
      <w:r w:rsidR="000C1084" w:rsidRPr="1A8E6423">
        <w:rPr>
          <w:rFonts w:ascii="Arial" w:eastAsiaTheme="minorEastAsia" w:hAnsi="Arial" w:cs="Arial"/>
          <w:sz w:val="20"/>
          <w:szCs w:val="20"/>
          <w:lang w:val="sr-Cyrl-RS"/>
        </w:rPr>
        <w:t>.</w:t>
      </w:r>
    </w:p>
    <w:p w14:paraId="1AF679BD"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7CA914E8" w14:textId="5369191C" w:rsidR="00D90DB0" w:rsidRPr="00A021B7" w:rsidRDefault="00D90DB0" w:rsidP="1A8E6423">
      <w:pPr>
        <w:ind w:firstLine="72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Два слабије остварена </w:t>
      </w:r>
      <w:r w:rsidR="009F749E"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јесу</w:t>
      </w:r>
      <w:r w:rsidRPr="1A8E6423">
        <w:rPr>
          <w:rFonts w:ascii="Arial" w:eastAsiaTheme="minorEastAsia" w:hAnsi="Arial" w:cs="Arial"/>
          <w:b/>
          <w:bCs/>
          <w:i/>
          <w:iCs/>
          <w:sz w:val="20"/>
          <w:szCs w:val="20"/>
          <w:lang w:val="sr-Cyrl-RS"/>
        </w:rPr>
        <w:t xml:space="preserve"> равноправност</w:t>
      </w:r>
      <w:r w:rsidRPr="1A8E6423">
        <w:rPr>
          <w:rFonts w:ascii="Arial" w:eastAsiaTheme="minorEastAsia" w:hAnsi="Arial" w:cs="Arial"/>
          <w:sz w:val="20"/>
          <w:szCs w:val="20"/>
          <w:lang w:val="sr-Cyrl-RS"/>
        </w:rPr>
        <w:t xml:space="preserve"> (28% у просеку) и </w:t>
      </w:r>
      <w:r w:rsidRPr="1A8E6423">
        <w:rPr>
          <w:rFonts w:ascii="Arial" w:eastAsiaTheme="minorEastAsia" w:hAnsi="Arial" w:cs="Arial"/>
          <w:b/>
          <w:bCs/>
          <w:i/>
          <w:iCs/>
          <w:sz w:val="20"/>
          <w:szCs w:val="20"/>
          <w:lang w:val="sr-Cyrl-RS"/>
        </w:rPr>
        <w:t>антикорупција</w:t>
      </w:r>
      <w:r w:rsidRPr="1A8E6423">
        <w:rPr>
          <w:rFonts w:ascii="Arial" w:eastAsiaTheme="minorEastAsia" w:hAnsi="Arial" w:cs="Arial"/>
          <w:sz w:val="20"/>
          <w:szCs w:val="20"/>
          <w:lang w:val="sr-Cyrl-RS"/>
        </w:rPr>
        <w:t xml:space="preserve"> (25%). У области равноправности значајно побољшање је могуће постићи кроз већу доступност услуга </w:t>
      </w:r>
      <w:r w:rsidR="003D40D2" w:rsidRPr="1A8E6423">
        <w:rPr>
          <w:rFonts w:ascii="Arial" w:eastAsiaTheme="minorEastAsia" w:hAnsi="Arial" w:cs="Arial"/>
          <w:sz w:val="20"/>
          <w:szCs w:val="20"/>
          <w:lang w:val="sr-Cyrl-RS"/>
        </w:rPr>
        <w:t xml:space="preserve">ЈЛС </w:t>
      </w:r>
      <w:r w:rsidR="00E177CF" w:rsidRPr="1A8E6423">
        <w:rPr>
          <w:rFonts w:ascii="Arial" w:eastAsiaTheme="minorEastAsia" w:hAnsi="Arial" w:cs="Arial"/>
          <w:sz w:val="20"/>
          <w:szCs w:val="20"/>
          <w:lang w:val="sr-Cyrl-RS"/>
        </w:rPr>
        <w:t xml:space="preserve">за </w:t>
      </w:r>
      <w:r w:rsidRPr="1A8E6423">
        <w:rPr>
          <w:rFonts w:ascii="Arial" w:eastAsiaTheme="minorEastAsia" w:hAnsi="Arial" w:cs="Arial"/>
          <w:sz w:val="20"/>
          <w:szCs w:val="20"/>
          <w:lang w:val="sr-Cyrl-RS"/>
        </w:rPr>
        <w:t>осетљив</w:t>
      </w:r>
      <w:r w:rsidR="00E177CF"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груп</w:t>
      </w:r>
      <w:r w:rsidR="00E177CF"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становништва, постојање локалних програма унапређења социјалне заштите и, нарочито, унапређењ</w:t>
      </w:r>
      <w:r w:rsidR="00E177CF"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положаја Рома, побољшање сарадње са организацијама које подржавају осетљиве друштвене групе у области спречавања дискриминације, </w:t>
      </w:r>
      <w:r w:rsidR="00580AB9" w:rsidRPr="1A8E6423">
        <w:rPr>
          <w:rFonts w:ascii="Arial" w:eastAsiaTheme="minorEastAsia" w:hAnsi="Arial" w:cs="Arial"/>
          <w:sz w:val="20"/>
          <w:szCs w:val="20"/>
          <w:lang w:val="sr-Cyrl-RS"/>
        </w:rPr>
        <w:t xml:space="preserve">увођење родно одговорних индикатора у буџету и </w:t>
      </w:r>
      <w:r w:rsidRPr="1A8E6423">
        <w:rPr>
          <w:rFonts w:ascii="Arial" w:eastAsiaTheme="minorEastAsia" w:hAnsi="Arial" w:cs="Arial"/>
          <w:sz w:val="20"/>
          <w:szCs w:val="20"/>
          <w:lang w:val="sr-Cyrl-RS"/>
        </w:rPr>
        <w:t xml:space="preserve">дефинисање мера за побољшање положаја миграната. </w:t>
      </w:r>
      <w:r w:rsidR="00C50B24" w:rsidRPr="1A8E6423">
        <w:rPr>
          <w:rFonts w:ascii="Arial" w:eastAsiaTheme="minorEastAsia" w:hAnsi="Arial" w:cs="Arial"/>
          <w:sz w:val="20"/>
          <w:szCs w:val="20"/>
          <w:lang w:val="sr-Cyrl-RS"/>
        </w:rPr>
        <w:t>Друго начел</w:t>
      </w:r>
      <w:r w:rsidR="00580AB9" w:rsidRPr="1A8E6423">
        <w:rPr>
          <w:rFonts w:ascii="Arial" w:eastAsiaTheme="minorEastAsia" w:hAnsi="Arial" w:cs="Arial"/>
          <w:sz w:val="20"/>
          <w:szCs w:val="20"/>
          <w:lang w:val="sr-Cyrl-RS"/>
        </w:rPr>
        <w:t>о</w:t>
      </w:r>
      <w:r w:rsidR="00C50B24" w:rsidRPr="1A8E6423">
        <w:rPr>
          <w:rFonts w:ascii="Arial" w:eastAsiaTheme="minorEastAsia" w:hAnsi="Arial" w:cs="Arial"/>
          <w:sz w:val="20"/>
          <w:szCs w:val="20"/>
          <w:lang w:val="sr-Cyrl-RS"/>
        </w:rPr>
        <w:t xml:space="preserve"> </w:t>
      </w:r>
      <w:r w:rsidRPr="1A8E6423">
        <w:rPr>
          <w:rFonts w:ascii="Arial" w:eastAsiaTheme="minorEastAsia" w:hAnsi="Arial" w:cs="Arial"/>
          <w:sz w:val="20"/>
          <w:szCs w:val="20"/>
          <w:lang w:val="sr-Cyrl-RS"/>
        </w:rPr>
        <w:t xml:space="preserve">са значајним простором за побољшање је антикорупција. </w:t>
      </w:r>
      <w:r w:rsidR="00423687" w:rsidRPr="1A8E6423">
        <w:rPr>
          <w:rFonts w:ascii="Arial" w:eastAsiaTheme="minorEastAsia" w:hAnsi="Arial" w:cs="Arial"/>
          <w:sz w:val="20"/>
          <w:szCs w:val="20"/>
          <w:lang w:val="sr-Cyrl-RS"/>
        </w:rPr>
        <w:t>Ч</w:t>
      </w:r>
      <w:r w:rsidRPr="1A8E6423">
        <w:rPr>
          <w:rFonts w:ascii="Arial" w:eastAsiaTheme="minorEastAsia" w:hAnsi="Arial" w:cs="Arial"/>
          <w:sz w:val="20"/>
          <w:szCs w:val="20"/>
          <w:lang w:val="sr-Cyrl-RS"/>
        </w:rPr>
        <w:t xml:space="preserve">ак 36% градова и 33% општина није имало усвојен </w:t>
      </w:r>
      <w:r w:rsidR="00423687" w:rsidRPr="1A8E6423">
        <w:rPr>
          <w:rFonts w:ascii="Arial" w:eastAsiaTheme="minorEastAsia" w:hAnsi="Arial" w:cs="Arial"/>
          <w:sz w:val="20"/>
          <w:szCs w:val="20"/>
          <w:lang w:val="sr-Cyrl-RS"/>
        </w:rPr>
        <w:t xml:space="preserve">план </w:t>
      </w:r>
      <w:r w:rsidRPr="1A8E6423">
        <w:rPr>
          <w:rFonts w:ascii="Arial" w:eastAsiaTheme="minorEastAsia" w:hAnsi="Arial" w:cs="Arial"/>
          <w:sz w:val="20"/>
          <w:szCs w:val="20"/>
          <w:lang w:val="sr-Cyrl-RS"/>
        </w:rPr>
        <w:t>интегритета</w:t>
      </w:r>
      <w:r w:rsidR="00423687"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иако се ради о законској обавези. </w:t>
      </w:r>
      <w:r w:rsidR="00E177CF" w:rsidRPr="1A8E6423">
        <w:rPr>
          <w:rFonts w:ascii="Arial" w:eastAsiaTheme="minorEastAsia" w:hAnsi="Arial" w:cs="Arial"/>
          <w:sz w:val="20"/>
          <w:szCs w:val="20"/>
          <w:lang w:val="sr-Cyrl-RS"/>
        </w:rPr>
        <w:t>Ако се то и</w:t>
      </w:r>
      <w:r w:rsidRPr="1A8E6423">
        <w:rPr>
          <w:rFonts w:ascii="Arial" w:eastAsiaTheme="minorEastAsia" w:hAnsi="Arial" w:cs="Arial"/>
          <w:sz w:val="20"/>
          <w:szCs w:val="20"/>
          <w:lang w:val="sr-Cyrl-RS"/>
        </w:rPr>
        <w:t xml:space="preserve">ма у виду, у овој области значајан напредак могуће је остварити у области обезбеђивања неопходних услова за поступање по пријавама узбуњивача, одређивању јасних и прецизних критеријума за давање сагласности запосленом за обављање додатног посла, обучавању функционера о свим аспектима сукоба интереса, усвајању плана интегритета, одређивању лица одговорног за праћење плана интегритета и израђивања периодичних извештаја о спровођењу мера из </w:t>
      </w:r>
      <w:r w:rsidR="00E177CF" w:rsidRPr="1A8E6423">
        <w:rPr>
          <w:rFonts w:ascii="Arial" w:eastAsiaTheme="minorEastAsia" w:hAnsi="Arial" w:cs="Arial"/>
          <w:sz w:val="20"/>
          <w:szCs w:val="20"/>
          <w:lang w:val="sr-Cyrl-RS"/>
        </w:rPr>
        <w:t>тог плана</w:t>
      </w:r>
      <w:r w:rsidR="00FE084A" w:rsidRPr="1A8E6423">
        <w:rPr>
          <w:rFonts w:ascii="Arial" w:eastAsiaTheme="minorEastAsia" w:hAnsi="Arial" w:cs="Arial"/>
          <w:sz w:val="20"/>
          <w:szCs w:val="20"/>
          <w:lang w:val="sr-Cyrl-RS"/>
        </w:rPr>
        <w:t>, као и примени и праћењу примене локалних антикорупцијских планова.</w:t>
      </w:r>
    </w:p>
    <w:p w14:paraId="7D9412E5"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34A5DCE5" w14:textId="61A3CAA8" w:rsidR="00D90DB0" w:rsidRPr="00A021B7" w:rsidRDefault="5AE00B6F" w:rsidP="1A8E6423">
      <w:pPr>
        <w:ind w:firstLine="720"/>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За анализу у области </w:t>
      </w:r>
      <w:r w:rsidRPr="1A8E6423">
        <w:rPr>
          <w:rFonts w:ascii="Arial" w:eastAsiaTheme="minorEastAsia" w:hAnsi="Arial" w:cs="Arial"/>
          <w:b/>
          <w:bCs/>
          <w:i/>
          <w:iCs/>
          <w:sz w:val="20"/>
          <w:szCs w:val="20"/>
          <w:lang w:val="sr-Cyrl-RS"/>
        </w:rPr>
        <w:t>транспарентности</w:t>
      </w:r>
      <w:r w:rsidRPr="1A8E6423">
        <w:rPr>
          <w:rFonts w:ascii="Arial" w:eastAsiaTheme="minorEastAsia" w:hAnsi="Arial" w:cs="Arial"/>
          <w:sz w:val="20"/>
          <w:szCs w:val="20"/>
          <w:lang w:val="sr-Cyrl-RS"/>
        </w:rPr>
        <w:t>, као јед</w:t>
      </w:r>
      <w:r w:rsidR="00E177CF" w:rsidRPr="1A8E6423">
        <w:rPr>
          <w:rFonts w:ascii="Arial" w:eastAsiaTheme="minorEastAsia" w:hAnsi="Arial" w:cs="Arial"/>
          <w:sz w:val="20"/>
          <w:szCs w:val="20"/>
          <w:lang w:val="sr-Cyrl-RS"/>
        </w:rPr>
        <w:t>а</w:t>
      </w:r>
      <w:r w:rsidRPr="1A8E6423">
        <w:rPr>
          <w:rFonts w:ascii="Arial" w:eastAsiaTheme="minorEastAsia" w:hAnsi="Arial" w:cs="Arial"/>
          <w:sz w:val="20"/>
          <w:szCs w:val="20"/>
          <w:lang w:val="sr-Cyrl-RS"/>
        </w:rPr>
        <w:t>н од кључних индикатора доброг управљања, веома је важан и Индекс транспарентности локалне самоуправе (ЛТИ)</w:t>
      </w:r>
      <w:r w:rsidR="00E177CF"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који од 2015. године израђује организација Транспарентност Србија.</w:t>
      </w:r>
      <w:r w:rsidR="00373F54" w:rsidRPr="1A8E6423">
        <w:rPr>
          <w:rStyle w:val="FootnoteReference"/>
          <w:rFonts w:ascii="Arial" w:eastAsiaTheme="minorEastAsia" w:hAnsi="Arial" w:cs="Arial"/>
          <w:sz w:val="20"/>
          <w:szCs w:val="20"/>
          <w:lang w:val="sr-Cyrl-RS"/>
        </w:rPr>
        <w:footnoteReference w:id="110"/>
      </w:r>
      <w:r w:rsidRPr="1A8E6423">
        <w:rPr>
          <w:rFonts w:ascii="Arial" w:eastAsiaTheme="minorEastAsia" w:hAnsi="Arial" w:cs="Arial"/>
          <w:sz w:val="20"/>
          <w:szCs w:val="20"/>
          <w:lang w:val="sr-Cyrl-RS"/>
        </w:rPr>
        <w:t xml:space="preserve"> Овим истраживањем је обухваћен</w:t>
      </w:r>
      <w:r w:rsidR="52B8811F" w:rsidRPr="1A8E6423">
        <w:rPr>
          <w:rFonts w:ascii="Arial" w:eastAsiaTheme="minorEastAsia" w:hAnsi="Arial" w:cs="Arial"/>
          <w:sz w:val="20"/>
          <w:szCs w:val="20"/>
          <w:lang w:val="sr-Cyrl-RS"/>
        </w:rPr>
        <w:t>о</w:t>
      </w:r>
      <w:r w:rsidR="7027446A" w:rsidRPr="1A8E6423">
        <w:rPr>
          <w:rFonts w:ascii="Arial" w:eastAsiaTheme="minorEastAsia" w:hAnsi="Arial" w:cs="Arial"/>
          <w:sz w:val="20"/>
          <w:szCs w:val="20"/>
          <w:lang w:val="sr-Cyrl-RS"/>
        </w:rPr>
        <w:t xml:space="preserve"> 145 ЈЛС</w:t>
      </w:r>
      <w:r w:rsidRPr="1A8E6423">
        <w:rPr>
          <w:rFonts w:ascii="Arial" w:eastAsiaTheme="minorEastAsia" w:hAnsi="Arial" w:cs="Arial"/>
          <w:sz w:val="20"/>
          <w:szCs w:val="20"/>
          <w:lang w:val="sr-Cyrl-RS"/>
        </w:rPr>
        <w:t>, уз 20 градских општина</w:t>
      </w:r>
      <w:r w:rsidR="7027446A"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које су рангиране на основу резултата остварених у области транспарентности (на скали од 0 до 100) у следећи</w:t>
      </w:r>
      <w:r w:rsidR="75147D32" w:rsidRPr="1A8E6423">
        <w:rPr>
          <w:rFonts w:ascii="Arial" w:eastAsiaTheme="minorEastAsia" w:hAnsi="Arial" w:cs="Arial"/>
          <w:sz w:val="20"/>
          <w:szCs w:val="20"/>
          <w:lang w:val="sr-Cyrl-RS"/>
        </w:rPr>
        <w:t xml:space="preserve">м </w:t>
      </w:r>
      <w:r w:rsidRPr="1A8E6423">
        <w:rPr>
          <w:rFonts w:ascii="Arial" w:eastAsiaTheme="minorEastAsia" w:hAnsi="Arial" w:cs="Arial"/>
          <w:sz w:val="20"/>
          <w:szCs w:val="20"/>
          <w:lang w:val="sr-Cyrl-RS"/>
        </w:rPr>
        <w:t>по</w:t>
      </w:r>
      <w:r w:rsidR="00E177CF" w:rsidRPr="1A8E6423">
        <w:rPr>
          <w:rFonts w:ascii="Arial" w:eastAsiaTheme="minorEastAsia" w:hAnsi="Arial" w:cs="Arial"/>
          <w:sz w:val="20"/>
          <w:szCs w:val="20"/>
          <w:lang w:val="sr-Cyrl-RS"/>
        </w:rPr>
        <w:t>т</w:t>
      </w:r>
      <w:r w:rsidRPr="1A8E6423">
        <w:rPr>
          <w:rFonts w:ascii="Arial" w:eastAsiaTheme="minorEastAsia" w:hAnsi="Arial" w:cs="Arial"/>
          <w:sz w:val="20"/>
          <w:szCs w:val="20"/>
          <w:lang w:val="sr-Cyrl-RS"/>
        </w:rPr>
        <w:t>категорија</w:t>
      </w:r>
      <w:r w:rsidR="75147D32" w:rsidRPr="1A8E6423">
        <w:rPr>
          <w:rFonts w:ascii="Arial" w:eastAsiaTheme="minorEastAsia" w:hAnsi="Arial" w:cs="Arial"/>
          <w:sz w:val="20"/>
          <w:szCs w:val="20"/>
          <w:lang w:val="sr-Cyrl-RS"/>
        </w:rPr>
        <w:t>ма</w:t>
      </w:r>
      <w:r w:rsidRPr="1A8E6423">
        <w:rPr>
          <w:rFonts w:ascii="Arial" w:eastAsiaTheme="minorEastAsia" w:hAnsi="Arial" w:cs="Arial"/>
          <w:sz w:val="20"/>
          <w:szCs w:val="20"/>
          <w:lang w:val="sr-Cyrl-RS"/>
        </w:rPr>
        <w:t>:</w:t>
      </w:r>
    </w:p>
    <w:p w14:paraId="3E5C9542" w14:textId="77777777" w:rsidR="00234723" w:rsidRPr="00A021B7" w:rsidRDefault="00234723" w:rsidP="003E7BC9">
      <w:pPr>
        <w:jc w:val="both"/>
        <w:rPr>
          <w:rFonts w:ascii="Arial" w:eastAsiaTheme="minorEastAsia" w:hAnsi="Arial" w:cs="Arial"/>
          <w:sz w:val="20"/>
          <w:szCs w:val="20"/>
          <w:lang w:val="sr-Cyrl-RS"/>
        </w:rPr>
      </w:pPr>
    </w:p>
    <w:p w14:paraId="5A1800DA" w14:textId="77777777" w:rsidR="00C70D37"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скупштина и веће,</w:t>
      </w:r>
    </w:p>
    <w:p w14:paraId="65E585DB" w14:textId="77777777" w:rsidR="00C70D37"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буџет,</w:t>
      </w:r>
    </w:p>
    <w:p w14:paraId="314D1A85" w14:textId="77777777" w:rsidR="00C70D37" w:rsidRPr="00A021B7" w:rsidRDefault="00923886"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ЈЛС</w:t>
      </w:r>
      <w:r w:rsidR="00986B52" w:rsidRPr="00A021B7">
        <w:rPr>
          <w:rFonts w:ascii="Arial" w:hAnsi="Arial" w:cs="Arial"/>
          <w:sz w:val="20"/>
          <w:szCs w:val="20"/>
          <w:lang w:val="sr-Cyrl-RS"/>
        </w:rPr>
        <w:t xml:space="preserve"> и грађани,</w:t>
      </w:r>
    </w:p>
    <w:p w14:paraId="75FF32BC" w14:textId="77777777" w:rsidR="0035584A"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слободан приступ информацијама,</w:t>
      </w:r>
    </w:p>
    <w:p w14:paraId="5A4A4F01" w14:textId="77777777" w:rsidR="00D90DB0"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јавне набавке,</w:t>
      </w:r>
    </w:p>
    <w:p w14:paraId="6FC5CB2D" w14:textId="77777777" w:rsidR="00D90DB0"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информатор о раду,</w:t>
      </w:r>
    </w:p>
    <w:p w14:paraId="12107A2E" w14:textId="77777777" w:rsidR="00D90DB0"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јавне расправе,</w:t>
      </w:r>
    </w:p>
    <w:p w14:paraId="1D2C01DE" w14:textId="77777777" w:rsidR="00D90DB0"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јавна предузећа и јавне установе и</w:t>
      </w:r>
    </w:p>
    <w:p w14:paraId="3C505C3E" w14:textId="77777777" w:rsidR="0035584A" w:rsidRPr="00A021B7" w:rsidRDefault="00986B52" w:rsidP="00A57E7E">
      <w:pPr>
        <w:pStyle w:val="ListParagraph"/>
        <w:numPr>
          <w:ilvl w:val="0"/>
          <w:numId w:val="7"/>
        </w:numPr>
        <w:jc w:val="both"/>
        <w:rPr>
          <w:rFonts w:ascii="Arial" w:hAnsi="Arial" w:cs="Arial"/>
          <w:sz w:val="20"/>
          <w:szCs w:val="20"/>
          <w:lang w:val="sr-Cyrl-RS"/>
        </w:rPr>
      </w:pPr>
      <w:r w:rsidRPr="00A021B7">
        <w:rPr>
          <w:rFonts w:ascii="Arial" w:hAnsi="Arial" w:cs="Arial"/>
          <w:sz w:val="20"/>
          <w:szCs w:val="20"/>
          <w:lang w:val="sr-Cyrl-RS"/>
        </w:rPr>
        <w:t>остало.</w:t>
      </w:r>
    </w:p>
    <w:p w14:paraId="71EF9202" w14:textId="77777777" w:rsidR="00D90DB0" w:rsidRPr="00A021B7" w:rsidRDefault="00D90DB0" w:rsidP="003E7BC9">
      <w:pPr>
        <w:rPr>
          <w:rFonts w:ascii="Arial" w:hAnsi="Arial" w:cs="Arial"/>
          <w:sz w:val="20"/>
          <w:szCs w:val="20"/>
          <w:lang w:val="sr-Cyrl-RS"/>
        </w:rPr>
      </w:pPr>
    </w:p>
    <w:p w14:paraId="0EC14E9D" w14:textId="7E74E2CB" w:rsidR="00D90DB0" w:rsidRPr="00A021B7" w:rsidRDefault="2DA23ACD" w:rsidP="1A8E6423">
      <w:pPr>
        <w:ind w:firstLine="720"/>
        <w:jc w:val="both"/>
        <w:rPr>
          <w:rFonts w:ascii="Arial" w:eastAsiaTheme="minorEastAsia" w:hAnsi="Arial" w:cs="Arial"/>
          <w:sz w:val="20"/>
          <w:szCs w:val="20"/>
          <w:lang w:val="sr-Cyrl-RS"/>
        </w:rPr>
      </w:pPr>
      <w:r w:rsidRPr="00A021B7">
        <w:rPr>
          <w:rFonts w:ascii="Arial" w:hAnsi="Arial" w:cs="Arial"/>
          <w:sz w:val="20"/>
          <w:szCs w:val="20"/>
          <w:lang w:val="sr-Cyrl-RS"/>
        </w:rPr>
        <w:t>Од 2015. године спроведена су три истраживања на нивоу свих градова и општина</w:t>
      </w:r>
      <w:r w:rsidR="78E6E299" w:rsidRPr="00A021B7">
        <w:rPr>
          <w:rFonts w:ascii="Arial" w:hAnsi="Arial" w:cs="Arial"/>
          <w:sz w:val="20"/>
          <w:szCs w:val="20"/>
          <w:lang w:val="sr-Cyrl-RS"/>
        </w:rPr>
        <w:t xml:space="preserve"> (2015</w:t>
      </w:r>
      <w:r w:rsidR="1527DB52" w:rsidRPr="00A021B7">
        <w:rPr>
          <w:rFonts w:ascii="Arial" w:hAnsi="Arial" w:cs="Arial"/>
          <w:sz w:val="20"/>
          <w:szCs w:val="20"/>
          <w:lang w:val="sr-Cyrl-RS"/>
        </w:rPr>
        <w:t>, 2019</w:t>
      </w:r>
      <w:r w:rsidR="6057090A" w:rsidRPr="00A021B7">
        <w:rPr>
          <w:rFonts w:ascii="Arial" w:hAnsi="Arial" w:cs="Arial"/>
          <w:sz w:val="20"/>
          <w:szCs w:val="20"/>
          <w:lang w:val="sr-Cyrl-RS"/>
        </w:rPr>
        <w:t>.</w:t>
      </w:r>
      <w:r w:rsidR="1527DB52" w:rsidRPr="00A021B7">
        <w:rPr>
          <w:rFonts w:ascii="Arial" w:hAnsi="Arial" w:cs="Arial"/>
          <w:sz w:val="20"/>
          <w:szCs w:val="20"/>
          <w:lang w:val="sr-Cyrl-RS"/>
        </w:rPr>
        <w:t xml:space="preserve"> и 2020) и једно на мањем узорку од 15 ЈЛС (2017)</w:t>
      </w:r>
      <w:r w:rsidRPr="00A021B7">
        <w:rPr>
          <w:rFonts w:ascii="Arial" w:hAnsi="Arial" w:cs="Arial"/>
          <w:sz w:val="20"/>
          <w:szCs w:val="20"/>
          <w:lang w:val="sr-Cyrl-RS"/>
        </w:rPr>
        <w:t xml:space="preserve">. Последње истраживање </w:t>
      </w:r>
      <w:r w:rsidR="68135B9A" w:rsidRPr="00A021B7">
        <w:rPr>
          <w:rFonts w:ascii="Arial" w:hAnsi="Arial" w:cs="Arial"/>
          <w:sz w:val="20"/>
          <w:szCs w:val="20"/>
          <w:lang w:val="sr-Cyrl-RS"/>
        </w:rPr>
        <w:t xml:space="preserve">спроведено је у првој половини 2020. године. </w:t>
      </w:r>
      <w:r w:rsidR="3F48F5B6" w:rsidRPr="00A021B7">
        <w:rPr>
          <w:rFonts w:ascii="Arial" w:hAnsi="Arial" w:cs="Arial"/>
          <w:sz w:val="20"/>
          <w:szCs w:val="20"/>
          <w:lang w:val="sr-Cyrl-RS"/>
        </w:rPr>
        <w:t>Н</w:t>
      </w:r>
      <w:r w:rsidR="5AE00B6F" w:rsidRPr="00A021B7">
        <w:rPr>
          <w:rFonts w:ascii="Arial" w:hAnsi="Arial" w:cs="Arial"/>
          <w:sz w:val="20"/>
          <w:szCs w:val="20"/>
          <w:lang w:val="sr-Cyrl-RS"/>
        </w:rPr>
        <w:t>а скали од 0 до 100</w:t>
      </w:r>
      <w:r w:rsidR="3F48F5B6" w:rsidRPr="00A021B7">
        <w:rPr>
          <w:rFonts w:ascii="Arial" w:hAnsi="Arial" w:cs="Arial"/>
          <w:sz w:val="20"/>
          <w:szCs w:val="20"/>
          <w:lang w:val="sr-Cyrl-RS"/>
        </w:rPr>
        <w:t>,</w:t>
      </w:r>
      <w:r w:rsidR="5AE00B6F" w:rsidRPr="00A021B7">
        <w:rPr>
          <w:rFonts w:ascii="Arial" w:hAnsi="Arial" w:cs="Arial"/>
          <w:sz w:val="20"/>
          <w:szCs w:val="20"/>
          <w:lang w:val="sr-Cyrl-RS"/>
        </w:rPr>
        <w:t xml:space="preserve"> просечан успех свих анализираних локалних власти био је 4</w:t>
      </w:r>
      <w:r w:rsidR="5DAAAD80" w:rsidRPr="00A021B7">
        <w:rPr>
          <w:rFonts w:ascii="Arial" w:hAnsi="Arial" w:cs="Arial"/>
          <w:sz w:val="20"/>
          <w:szCs w:val="20"/>
          <w:lang w:val="sr-Cyrl-RS"/>
        </w:rPr>
        <w:t>6</w:t>
      </w:r>
      <w:r w:rsidR="5AE00B6F" w:rsidRPr="00A021B7">
        <w:rPr>
          <w:rFonts w:ascii="Arial" w:hAnsi="Arial" w:cs="Arial"/>
          <w:sz w:val="20"/>
          <w:szCs w:val="20"/>
          <w:lang w:val="sr-Cyrl-RS"/>
        </w:rPr>
        <w:t xml:space="preserve"> и „</w:t>
      </w:r>
      <w:r w:rsidR="60BA9899" w:rsidRPr="00A021B7">
        <w:rPr>
          <w:rFonts w:ascii="Arial" w:hAnsi="Arial" w:cs="Arial"/>
          <w:sz w:val="20"/>
          <w:szCs w:val="20"/>
          <w:lang w:val="sr-Cyrl-RS"/>
        </w:rPr>
        <w:t>учинак</w:t>
      </w:r>
      <w:r w:rsidR="503E649E" w:rsidRPr="00A021B7">
        <w:rPr>
          <w:rFonts w:ascii="Arial" w:hAnsi="Arial" w:cs="Arial"/>
          <w:sz w:val="20"/>
          <w:szCs w:val="20"/>
          <w:lang w:val="sr-Cyrl-RS"/>
        </w:rPr>
        <w:t>”</w:t>
      </w:r>
      <w:r w:rsidR="5AE00B6F" w:rsidRPr="00A021B7">
        <w:rPr>
          <w:rFonts w:ascii="Arial" w:hAnsi="Arial" w:cs="Arial"/>
          <w:sz w:val="20"/>
          <w:szCs w:val="20"/>
          <w:lang w:val="sr-Cyrl-RS"/>
        </w:rPr>
        <w:t xml:space="preserve"> се крета</w:t>
      </w:r>
      <w:r w:rsidR="60BA9899" w:rsidRPr="00A021B7">
        <w:rPr>
          <w:rFonts w:ascii="Arial" w:hAnsi="Arial" w:cs="Arial"/>
          <w:sz w:val="20"/>
          <w:szCs w:val="20"/>
          <w:lang w:val="sr-Cyrl-RS"/>
        </w:rPr>
        <w:t>о</w:t>
      </w:r>
      <w:r w:rsidR="5AE00B6F" w:rsidRPr="00A021B7">
        <w:rPr>
          <w:rFonts w:ascii="Arial" w:hAnsi="Arial" w:cs="Arial"/>
          <w:sz w:val="20"/>
          <w:szCs w:val="20"/>
          <w:lang w:val="sr-Cyrl-RS"/>
        </w:rPr>
        <w:t xml:space="preserve"> у распону од 1</w:t>
      </w:r>
      <w:r w:rsidR="60BA9899" w:rsidRPr="00A021B7">
        <w:rPr>
          <w:rFonts w:ascii="Arial" w:hAnsi="Arial" w:cs="Arial"/>
          <w:sz w:val="20"/>
          <w:szCs w:val="20"/>
          <w:lang w:val="sr-Cyrl-RS"/>
        </w:rPr>
        <w:t>8</w:t>
      </w:r>
      <w:r w:rsidR="5AE00B6F" w:rsidRPr="00A021B7">
        <w:rPr>
          <w:rFonts w:ascii="Arial" w:hAnsi="Arial" w:cs="Arial"/>
          <w:sz w:val="20"/>
          <w:szCs w:val="20"/>
          <w:lang w:val="sr-Cyrl-RS"/>
        </w:rPr>
        <w:t xml:space="preserve"> до </w:t>
      </w:r>
      <w:r w:rsidR="60BA9899" w:rsidRPr="00A021B7">
        <w:rPr>
          <w:rFonts w:ascii="Arial" w:hAnsi="Arial" w:cs="Arial"/>
          <w:sz w:val="20"/>
          <w:szCs w:val="20"/>
          <w:lang w:val="sr-Cyrl-RS"/>
        </w:rPr>
        <w:t>83</w:t>
      </w:r>
      <w:r w:rsidR="5AE00B6F" w:rsidRPr="00A021B7">
        <w:rPr>
          <w:rFonts w:ascii="Arial" w:hAnsi="Arial" w:cs="Arial"/>
          <w:sz w:val="20"/>
          <w:szCs w:val="20"/>
          <w:lang w:val="sr-Cyrl-RS"/>
        </w:rPr>
        <w:t>.</w:t>
      </w:r>
      <w:r w:rsidR="512CDFFD" w:rsidRPr="00A021B7">
        <w:rPr>
          <w:rFonts w:ascii="Arial" w:hAnsi="Arial" w:cs="Arial"/>
          <w:sz w:val="20"/>
          <w:szCs w:val="20"/>
          <w:lang w:val="sr-Cyrl-RS"/>
        </w:rPr>
        <w:t xml:space="preserve"> </w:t>
      </w:r>
      <w:r w:rsidR="5AE00B6F" w:rsidRPr="00A021B7">
        <w:rPr>
          <w:rFonts w:ascii="Arial" w:hAnsi="Arial" w:cs="Arial"/>
          <w:sz w:val="20"/>
          <w:szCs w:val="20"/>
          <w:lang w:val="sr-Cyrl-RS"/>
        </w:rPr>
        <w:t xml:space="preserve">Свега </w:t>
      </w:r>
      <w:r w:rsidR="02707B3F" w:rsidRPr="00A021B7">
        <w:rPr>
          <w:rFonts w:ascii="Arial" w:hAnsi="Arial" w:cs="Arial"/>
          <w:sz w:val="20"/>
          <w:szCs w:val="20"/>
          <w:lang w:val="sr-Cyrl-RS"/>
        </w:rPr>
        <w:t xml:space="preserve">осам </w:t>
      </w:r>
      <w:r w:rsidR="5AE00B6F" w:rsidRPr="00A021B7">
        <w:rPr>
          <w:rFonts w:ascii="Arial" w:hAnsi="Arial" w:cs="Arial"/>
          <w:sz w:val="20"/>
          <w:szCs w:val="20"/>
          <w:lang w:val="sr-Cyrl-RS"/>
        </w:rPr>
        <w:t xml:space="preserve">градова и општина остварило је резултат већи од 60. </w:t>
      </w:r>
      <w:r w:rsidR="5AE00B6F" w:rsidRPr="1A8E6423">
        <w:rPr>
          <w:rFonts w:ascii="Arial" w:eastAsiaTheme="minorEastAsia" w:hAnsi="Arial" w:cs="Arial"/>
          <w:sz w:val="20"/>
          <w:szCs w:val="20"/>
          <w:lang w:val="sr-Cyrl-RS"/>
        </w:rPr>
        <w:t>Најважнији закључци до којих се до</w:t>
      </w:r>
      <w:r w:rsidR="20551F2A" w:rsidRPr="1A8E6423">
        <w:rPr>
          <w:rFonts w:ascii="Arial" w:eastAsiaTheme="minorEastAsia" w:hAnsi="Arial" w:cs="Arial"/>
          <w:sz w:val="20"/>
          <w:szCs w:val="20"/>
          <w:lang w:val="sr-Cyrl-RS"/>
        </w:rPr>
        <w:t>шло</w:t>
      </w:r>
      <w:r w:rsidR="5AE00B6F" w:rsidRPr="1A8E6423">
        <w:rPr>
          <w:rFonts w:ascii="Arial" w:eastAsiaTheme="minorEastAsia" w:hAnsi="Arial" w:cs="Arial"/>
          <w:sz w:val="20"/>
          <w:szCs w:val="20"/>
          <w:lang w:val="sr-Cyrl-RS"/>
        </w:rPr>
        <w:t xml:space="preserve"> анализом резултата ЛТИ </w:t>
      </w:r>
      <w:r w:rsidR="00E177CF" w:rsidRPr="1A8E6423">
        <w:rPr>
          <w:rFonts w:ascii="Arial" w:eastAsiaTheme="minorEastAsia" w:hAnsi="Arial" w:cs="Arial"/>
          <w:sz w:val="20"/>
          <w:szCs w:val="20"/>
          <w:lang w:val="sr-Cyrl-RS"/>
        </w:rPr>
        <w:t>јесу</w:t>
      </w:r>
      <w:r w:rsidR="5EA8CDE8" w:rsidRPr="1A8E6423">
        <w:rPr>
          <w:rFonts w:ascii="Arial" w:eastAsiaTheme="minorEastAsia" w:hAnsi="Arial" w:cs="Arial"/>
          <w:sz w:val="20"/>
          <w:szCs w:val="20"/>
          <w:lang w:val="sr-Cyrl-RS"/>
        </w:rPr>
        <w:t xml:space="preserve"> </w:t>
      </w:r>
      <w:r w:rsidR="14C47BCC" w:rsidRPr="1A8E6423">
        <w:rPr>
          <w:rFonts w:ascii="Arial" w:eastAsiaTheme="minorEastAsia" w:hAnsi="Arial" w:cs="Arial"/>
          <w:sz w:val="20"/>
          <w:szCs w:val="20"/>
          <w:lang w:val="sr-Cyrl-RS"/>
        </w:rPr>
        <w:t>да</w:t>
      </w:r>
      <w:r w:rsidR="02707B3F" w:rsidRPr="1A8E6423">
        <w:rPr>
          <w:rFonts w:ascii="Arial" w:eastAsiaTheme="minorEastAsia" w:hAnsi="Arial" w:cs="Arial"/>
          <w:sz w:val="20"/>
          <w:szCs w:val="20"/>
          <w:lang w:val="sr-Cyrl-RS"/>
        </w:rPr>
        <w:t>,</w:t>
      </w:r>
      <w:r w:rsidR="756A481E" w:rsidRPr="1A8E6423">
        <w:rPr>
          <w:rFonts w:ascii="Arial" w:eastAsiaTheme="minorEastAsia" w:hAnsi="Arial" w:cs="Arial"/>
          <w:sz w:val="20"/>
          <w:szCs w:val="20"/>
          <w:lang w:val="sr-Cyrl-RS"/>
        </w:rPr>
        <w:t xml:space="preserve"> иако је просечан резултат повећан</w:t>
      </w:r>
      <w:r w:rsidR="207193CA" w:rsidRPr="1A8E6423">
        <w:rPr>
          <w:rFonts w:ascii="Arial" w:eastAsiaTheme="minorEastAsia" w:hAnsi="Arial" w:cs="Arial"/>
          <w:sz w:val="20"/>
          <w:szCs w:val="20"/>
          <w:lang w:val="sr-Cyrl-RS"/>
        </w:rPr>
        <w:t xml:space="preserve"> у односу на раније године (2015</w:t>
      </w:r>
      <w:r w:rsidR="02707B3F" w:rsidRPr="1A8E6423">
        <w:rPr>
          <w:rFonts w:ascii="Arial" w:eastAsiaTheme="minorEastAsia" w:hAnsi="Arial" w:cs="Arial"/>
          <w:sz w:val="20"/>
          <w:szCs w:val="20"/>
          <w:lang w:val="sr-Cyrl-RS"/>
        </w:rPr>
        <w:t>.</w:t>
      </w:r>
      <w:r w:rsidR="207193CA" w:rsidRPr="1A8E6423">
        <w:rPr>
          <w:rFonts w:ascii="Arial" w:eastAsiaTheme="minorEastAsia" w:hAnsi="Arial" w:cs="Arial"/>
          <w:sz w:val="20"/>
          <w:szCs w:val="20"/>
          <w:lang w:val="sr-Cyrl-RS"/>
        </w:rPr>
        <w:t xml:space="preserve"> и 2019</w:t>
      </w:r>
      <w:r w:rsidR="02707B3F" w:rsidRPr="1A8E6423">
        <w:rPr>
          <w:rFonts w:ascii="Arial" w:eastAsiaTheme="minorEastAsia" w:hAnsi="Arial" w:cs="Arial"/>
          <w:sz w:val="20"/>
          <w:szCs w:val="20"/>
          <w:lang w:val="sr-Cyrl-RS"/>
        </w:rPr>
        <w:t>.</w:t>
      </w:r>
      <w:r w:rsidR="207193CA" w:rsidRPr="1A8E6423">
        <w:rPr>
          <w:rFonts w:ascii="Arial" w:eastAsiaTheme="minorEastAsia" w:hAnsi="Arial" w:cs="Arial"/>
          <w:sz w:val="20"/>
          <w:szCs w:val="20"/>
          <w:lang w:val="sr-Cyrl-RS"/>
        </w:rPr>
        <w:t xml:space="preserve"> је био </w:t>
      </w:r>
      <w:r w:rsidR="207193CA" w:rsidRPr="1A8E6423">
        <w:rPr>
          <w:rFonts w:ascii="Arial" w:eastAsiaTheme="minorEastAsia" w:hAnsi="Arial" w:cs="Arial"/>
          <w:sz w:val="20"/>
          <w:szCs w:val="20"/>
          <w:lang w:val="sr-Cyrl-RS"/>
        </w:rPr>
        <w:lastRenderedPageBreak/>
        <w:t>40)</w:t>
      </w:r>
      <w:r w:rsidR="02707B3F" w:rsidRPr="1A8E6423">
        <w:rPr>
          <w:rFonts w:ascii="Arial" w:eastAsiaTheme="minorEastAsia" w:hAnsi="Arial" w:cs="Arial"/>
          <w:sz w:val="20"/>
          <w:szCs w:val="20"/>
          <w:lang w:val="sr-Cyrl-RS"/>
        </w:rPr>
        <w:t>,</w:t>
      </w:r>
      <w:r w:rsidR="207193CA" w:rsidRPr="00A021B7">
        <w:rPr>
          <w:rFonts w:ascii="Arial" w:hAnsi="Arial" w:cs="Arial"/>
          <w:sz w:val="20"/>
          <w:szCs w:val="20"/>
          <w:lang w:val="sr-Cyrl-RS"/>
        </w:rPr>
        <w:t xml:space="preserve"> </w:t>
      </w:r>
      <w:r w:rsidR="60BA9899" w:rsidRPr="00A021B7">
        <w:rPr>
          <w:rFonts w:ascii="Arial" w:hAnsi="Arial" w:cs="Arial"/>
          <w:sz w:val="20"/>
          <w:szCs w:val="20"/>
          <w:lang w:val="sr-Cyrl-RS"/>
        </w:rPr>
        <w:t xml:space="preserve">локалне власти </w:t>
      </w:r>
      <w:r w:rsidR="14C47BCC" w:rsidRPr="00A021B7">
        <w:rPr>
          <w:rFonts w:ascii="Arial" w:hAnsi="Arial" w:cs="Arial"/>
          <w:sz w:val="20"/>
          <w:szCs w:val="20"/>
          <w:lang w:val="sr-Cyrl-RS"/>
        </w:rPr>
        <w:t xml:space="preserve">и даље </w:t>
      </w:r>
      <w:r w:rsidR="60BA9899" w:rsidRPr="00A021B7">
        <w:rPr>
          <w:rFonts w:ascii="Arial" w:hAnsi="Arial" w:cs="Arial"/>
          <w:sz w:val="20"/>
          <w:szCs w:val="20"/>
          <w:lang w:val="sr-Cyrl-RS"/>
        </w:rPr>
        <w:t>остварују низак учинак</w:t>
      </w:r>
      <w:r w:rsidR="5AE00B6F" w:rsidRPr="00A021B7">
        <w:rPr>
          <w:rFonts w:ascii="Arial" w:hAnsi="Arial" w:cs="Arial"/>
          <w:sz w:val="20"/>
          <w:szCs w:val="20"/>
          <w:lang w:val="sr-Cyrl-RS"/>
        </w:rPr>
        <w:t xml:space="preserve">. </w:t>
      </w:r>
      <w:r w:rsidR="53EA06FE" w:rsidRPr="00A021B7">
        <w:rPr>
          <w:rFonts w:ascii="Arial" w:hAnsi="Arial" w:cs="Arial"/>
          <w:sz w:val="20"/>
          <w:szCs w:val="20"/>
          <w:lang w:val="sr-Cyrl-RS"/>
        </w:rPr>
        <w:t>У односу на претходни период, локалне власти су највећи н</w:t>
      </w:r>
      <w:r w:rsidR="0C016EAE" w:rsidRPr="00A021B7">
        <w:rPr>
          <w:rFonts w:ascii="Arial" w:hAnsi="Arial" w:cs="Arial"/>
          <w:sz w:val="20"/>
          <w:szCs w:val="20"/>
          <w:lang w:val="sr-Cyrl-RS"/>
        </w:rPr>
        <w:t>апредак оствариле у области објављивања буџета и усвајања локалних антикорупцијских планова.</w:t>
      </w:r>
      <w:r w:rsidR="00AC209F" w:rsidRPr="1A8E6423">
        <w:rPr>
          <w:rStyle w:val="FootnoteReference"/>
          <w:rFonts w:ascii="Arial" w:eastAsiaTheme="minorEastAsia" w:hAnsi="Arial" w:cs="Arial"/>
          <w:sz w:val="20"/>
          <w:szCs w:val="20"/>
          <w:lang w:val="sr-Cyrl-RS"/>
        </w:rPr>
        <w:footnoteReference w:id="111"/>
      </w:r>
      <w:r w:rsidR="59DBE588" w:rsidRPr="1A8E6423">
        <w:rPr>
          <w:rFonts w:ascii="Arial" w:eastAsiaTheme="minorEastAsia" w:hAnsi="Arial" w:cs="Arial"/>
          <w:sz w:val="20"/>
          <w:szCs w:val="20"/>
          <w:lang w:val="sr-Cyrl-RS"/>
        </w:rPr>
        <w:t xml:space="preserve"> </w:t>
      </w:r>
      <w:r w:rsidR="7F969C83" w:rsidRPr="1A8E6423">
        <w:rPr>
          <w:rFonts w:ascii="Arial" w:eastAsiaTheme="minorEastAsia" w:hAnsi="Arial" w:cs="Arial"/>
          <w:sz w:val="20"/>
          <w:szCs w:val="20"/>
          <w:lang w:val="sr-Cyrl-RS"/>
        </w:rPr>
        <w:t xml:space="preserve">За даљи развој </w:t>
      </w:r>
      <w:r w:rsidR="04A81A18" w:rsidRPr="1A8E6423">
        <w:rPr>
          <w:rFonts w:ascii="Arial" w:eastAsiaTheme="minorEastAsia" w:hAnsi="Arial" w:cs="Arial"/>
          <w:sz w:val="20"/>
          <w:szCs w:val="20"/>
          <w:lang w:val="sr-Cyrl-RS"/>
        </w:rPr>
        <w:t>транспаре</w:t>
      </w:r>
      <w:r w:rsidR="53E24DC3" w:rsidRPr="1A8E6423">
        <w:rPr>
          <w:rFonts w:ascii="Arial" w:eastAsiaTheme="minorEastAsia" w:hAnsi="Arial" w:cs="Arial"/>
          <w:sz w:val="20"/>
          <w:szCs w:val="20"/>
          <w:lang w:val="sr-Cyrl-RS"/>
        </w:rPr>
        <w:t>н</w:t>
      </w:r>
      <w:r w:rsidR="04A81A18" w:rsidRPr="1A8E6423">
        <w:rPr>
          <w:rFonts w:ascii="Arial" w:eastAsiaTheme="minorEastAsia" w:hAnsi="Arial" w:cs="Arial"/>
          <w:sz w:val="20"/>
          <w:szCs w:val="20"/>
          <w:lang w:val="sr-Cyrl-RS"/>
        </w:rPr>
        <w:t xml:space="preserve">тности потребно је </w:t>
      </w:r>
      <w:r w:rsidR="5AE00B6F" w:rsidRPr="1A8E6423">
        <w:rPr>
          <w:rFonts w:ascii="Arial" w:eastAsiaTheme="minorEastAsia" w:hAnsi="Arial" w:cs="Arial"/>
          <w:sz w:val="20"/>
          <w:szCs w:val="20"/>
          <w:lang w:val="sr-Cyrl-RS"/>
        </w:rPr>
        <w:t>подржати развој шире државне политике у овој области</w:t>
      </w:r>
      <w:r w:rsidR="04A81A18" w:rsidRPr="1A8E6423">
        <w:rPr>
          <w:rFonts w:ascii="Arial" w:eastAsiaTheme="minorEastAsia" w:hAnsi="Arial" w:cs="Arial"/>
          <w:sz w:val="20"/>
          <w:szCs w:val="20"/>
          <w:lang w:val="sr-Cyrl-RS"/>
        </w:rPr>
        <w:t xml:space="preserve">, посебно </w:t>
      </w:r>
      <w:r w:rsidR="00E177CF" w:rsidRPr="1A8E6423">
        <w:rPr>
          <w:rFonts w:ascii="Arial" w:eastAsiaTheme="minorEastAsia" w:hAnsi="Arial" w:cs="Arial"/>
          <w:sz w:val="20"/>
          <w:szCs w:val="20"/>
          <w:lang w:val="sr-Cyrl-RS"/>
        </w:rPr>
        <w:t xml:space="preserve">јер </w:t>
      </w:r>
      <w:r w:rsidR="04A81A18" w:rsidRPr="1A8E6423">
        <w:rPr>
          <w:rFonts w:ascii="Arial" w:eastAsiaTheme="minorEastAsia" w:hAnsi="Arial" w:cs="Arial"/>
          <w:sz w:val="20"/>
          <w:szCs w:val="20"/>
          <w:lang w:val="sr-Cyrl-RS"/>
        </w:rPr>
        <w:t xml:space="preserve">нема гаранција да је достигнути ниво </w:t>
      </w:r>
      <w:r w:rsidR="53E24DC3" w:rsidRPr="1A8E6423">
        <w:rPr>
          <w:rFonts w:ascii="Arial" w:eastAsiaTheme="minorEastAsia" w:hAnsi="Arial" w:cs="Arial"/>
          <w:sz w:val="20"/>
          <w:szCs w:val="20"/>
          <w:lang w:val="sr-Cyrl-RS"/>
        </w:rPr>
        <w:t>одржив</w:t>
      </w:r>
      <w:r w:rsidR="5AE00B6F" w:rsidRPr="1A8E6423">
        <w:rPr>
          <w:rFonts w:ascii="Arial" w:eastAsiaTheme="minorEastAsia" w:hAnsi="Arial" w:cs="Arial"/>
          <w:sz w:val="20"/>
          <w:szCs w:val="20"/>
          <w:lang w:val="sr-Cyrl-RS"/>
        </w:rPr>
        <w:t>.</w:t>
      </w:r>
      <w:r w:rsidR="72E2F4CB" w:rsidRPr="00A021B7">
        <w:rPr>
          <w:rFonts w:ascii="Arial" w:hAnsi="Arial" w:cs="Arial"/>
          <w:sz w:val="20"/>
          <w:szCs w:val="20"/>
          <w:lang w:val="sr-Cyrl-RS"/>
        </w:rPr>
        <w:t xml:space="preserve"> </w:t>
      </w:r>
      <w:r w:rsidR="00E177CF">
        <w:rPr>
          <w:rFonts w:ascii="Arial" w:hAnsi="Arial" w:cs="Arial"/>
          <w:sz w:val="20"/>
          <w:szCs w:val="20"/>
          <w:lang w:val="sr-Cyrl-RS"/>
        </w:rPr>
        <w:t>Положају</w:t>
      </w:r>
      <w:r w:rsidR="72E2F4CB" w:rsidRPr="1A8E6423">
        <w:rPr>
          <w:rFonts w:ascii="Arial" w:eastAsiaTheme="minorEastAsia" w:hAnsi="Arial" w:cs="Arial"/>
          <w:sz w:val="20"/>
          <w:szCs w:val="20"/>
          <w:lang w:val="sr-Cyrl-RS"/>
        </w:rPr>
        <w:t xml:space="preserve"> на ранг лист у великој мери мо</w:t>
      </w:r>
      <w:r w:rsidR="00E177CF" w:rsidRPr="1A8E6423">
        <w:rPr>
          <w:rFonts w:ascii="Arial" w:eastAsiaTheme="minorEastAsia" w:hAnsi="Arial" w:cs="Arial"/>
          <w:sz w:val="20"/>
          <w:szCs w:val="20"/>
          <w:lang w:val="sr-Cyrl-RS"/>
        </w:rPr>
        <w:t>гу</w:t>
      </w:r>
      <w:r w:rsidR="72E2F4CB" w:rsidRPr="1A8E6423">
        <w:rPr>
          <w:rFonts w:ascii="Arial" w:eastAsiaTheme="minorEastAsia" w:hAnsi="Arial" w:cs="Arial"/>
          <w:sz w:val="20"/>
          <w:szCs w:val="20"/>
          <w:lang w:val="sr-Cyrl-RS"/>
        </w:rPr>
        <w:t xml:space="preserve"> допринети лични напор и посвећеност локалних службеника. </w:t>
      </w:r>
      <w:r w:rsidR="5AE00B6F" w:rsidRPr="1A8E6423">
        <w:rPr>
          <w:rFonts w:ascii="Arial" w:eastAsiaTheme="minorEastAsia" w:hAnsi="Arial" w:cs="Arial"/>
          <w:sz w:val="20"/>
          <w:szCs w:val="20"/>
          <w:lang w:val="sr-Cyrl-RS"/>
        </w:rPr>
        <w:t>Као и ИДУ</w:t>
      </w:r>
      <w:r w:rsidR="5F748F49" w:rsidRPr="1A8E6423">
        <w:rPr>
          <w:rFonts w:ascii="Arial" w:eastAsiaTheme="minorEastAsia" w:hAnsi="Arial" w:cs="Arial"/>
          <w:sz w:val="20"/>
          <w:szCs w:val="20"/>
          <w:lang w:val="sr-Cyrl-RS"/>
        </w:rPr>
        <w:t>,</w:t>
      </w:r>
      <w:r w:rsidR="5AE00B6F" w:rsidRPr="1A8E6423">
        <w:rPr>
          <w:rFonts w:ascii="Arial" w:eastAsiaTheme="minorEastAsia" w:hAnsi="Arial" w:cs="Arial"/>
          <w:sz w:val="20"/>
          <w:szCs w:val="20"/>
          <w:lang w:val="sr-Cyrl-RS"/>
        </w:rPr>
        <w:t xml:space="preserve"> и ЛТИ је показао боље резултате тамо где су постојале јасне законске обавезе, па је на тај начин заправо могуће индиректно мерити квалитет норми у овој области. </w:t>
      </w:r>
      <w:r w:rsidR="0B4C1AE9" w:rsidRPr="1A8E6423">
        <w:rPr>
          <w:rFonts w:ascii="Arial" w:eastAsiaTheme="minorEastAsia" w:hAnsi="Arial" w:cs="Arial"/>
          <w:sz w:val="20"/>
          <w:szCs w:val="20"/>
          <w:lang w:val="sr-Cyrl-RS"/>
        </w:rPr>
        <w:t>П</w:t>
      </w:r>
      <w:r w:rsidR="5AE00B6F" w:rsidRPr="1A8E6423">
        <w:rPr>
          <w:rFonts w:ascii="Arial" w:eastAsiaTheme="minorEastAsia" w:hAnsi="Arial" w:cs="Arial"/>
          <w:sz w:val="20"/>
          <w:szCs w:val="20"/>
          <w:lang w:val="sr-Cyrl-RS"/>
        </w:rPr>
        <w:t>омак</w:t>
      </w:r>
      <w:r w:rsidR="328EA498" w:rsidRPr="1A8E6423">
        <w:rPr>
          <w:rFonts w:ascii="Arial" w:eastAsiaTheme="minorEastAsia" w:hAnsi="Arial" w:cs="Arial"/>
          <w:sz w:val="20"/>
          <w:szCs w:val="20"/>
          <w:lang w:val="sr-Cyrl-RS"/>
        </w:rPr>
        <w:t xml:space="preserve"> и даље</w:t>
      </w:r>
      <w:r w:rsidR="5AE00B6F" w:rsidRPr="1A8E6423">
        <w:rPr>
          <w:rFonts w:ascii="Arial" w:eastAsiaTheme="minorEastAsia" w:hAnsi="Arial" w:cs="Arial"/>
          <w:sz w:val="20"/>
          <w:szCs w:val="20"/>
          <w:lang w:val="sr-Cyrl-RS"/>
        </w:rPr>
        <w:t xml:space="preserve"> није остварен у областима као што су </w:t>
      </w:r>
      <w:r w:rsidR="28B3F435" w:rsidRPr="1A8E6423">
        <w:rPr>
          <w:rFonts w:ascii="Arial" w:eastAsiaTheme="minorEastAsia" w:hAnsi="Arial" w:cs="Arial"/>
          <w:sz w:val="20"/>
          <w:szCs w:val="20"/>
          <w:lang w:val="sr-Cyrl-RS"/>
        </w:rPr>
        <w:t xml:space="preserve">редовно </w:t>
      </w:r>
      <w:r w:rsidR="5AE00B6F" w:rsidRPr="1A8E6423">
        <w:rPr>
          <w:rFonts w:ascii="Arial" w:eastAsiaTheme="minorEastAsia" w:hAnsi="Arial" w:cs="Arial"/>
          <w:sz w:val="20"/>
          <w:szCs w:val="20"/>
          <w:lang w:val="sr-Cyrl-RS"/>
        </w:rPr>
        <w:t>ажурирањ</w:t>
      </w:r>
      <w:r w:rsidR="5628E503" w:rsidRPr="1A8E6423">
        <w:rPr>
          <w:rFonts w:ascii="Arial" w:eastAsiaTheme="minorEastAsia" w:hAnsi="Arial" w:cs="Arial"/>
          <w:sz w:val="20"/>
          <w:szCs w:val="20"/>
          <w:lang w:val="sr-Cyrl-RS"/>
        </w:rPr>
        <w:t>е</w:t>
      </w:r>
      <w:r w:rsidR="5AE00B6F" w:rsidRPr="1A8E6423">
        <w:rPr>
          <w:rFonts w:ascii="Arial" w:eastAsiaTheme="minorEastAsia" w:hAnsi="Arial" w:cs="Arial"/>
          <w:sz w:val="20"/>
          <w:szCs w:val="20"/>
          <w:lang w:val="sr-Cyrl-RS"/>
        </w:rPr>
        <w:t xml:space="preserve"> садржине информатора о раду </w:t>
      </w:r>
      <w:r w:rsidR="28B3F435" w:rsidRPr="1A8E6423">
        <w:rPr>
          <w:rFonts w:ascii="Arial" w:eastAsiaTheme="minorEastAsia" w:hAnsi="Arial" w:cs="Arial"/>
          <w:sz w:val="20"/>
          <w:szCs w:val="20"/>
          <w:lang w:val="sr-Cyrl-RS"/>
        </w:rPr>
        <w:t xml:space="preserve">и </w:t>
      </w:r>
      <w:r w:rsidR="5AE00B6F" w:rsidRPr="1A8E6423">
        <w:rPr>
          <w:rFonts w:ascii="Arial" w:eastAsiaTheme="minorEastAsia" w:hAnsi="Arial" w:cs="Arial"/>
          <w:sz w:val="20"/>
          <w:szCs w:val="20"/>
          <w:lang w:val="sr-Cyrl-RS"/>
        </w:rPr>
        <w:t>објављивањ</w:t>
      </w:r>
      <w:r w:rsidR="5628E503" w:rsidRPr="1A8E6423">
        <w:rPr>
          <w:rFonts w:ascii="Arial" w:eastAsiaTheme="minorEastAsia" w:hAnsi="Arial" w:cs="Arial"/>
          <w:sz w:val="20"/>
          <w:szCs w:val="20"/>
          <w:lang w:val="sr-Cyrl-RS"/>
        </w:rPr>
        <w:t>е</w:t>
      </w:r>
      <w:r w:rsidR="5AE00B6F" w:rsidRPr="1A8E6423">
        <w:rPr>
          <w:rFonts w:ascii="Arial" w:eastAsiaTheme="minorEastAsia" w:hAnsi="Arial" w:cs="Arial"/>
          <w:sz w:val="20"/>
          <w:szCs w:val="20"/>
          <w:lang w:val="sr-Cyrl-RS"/>
        </w:rPr>
        <w:t xml:space="preserve"> свих обавезних података, </w:t>
      </w:r>
      <w:r w:rsidR="4A83C40A" w:rsidRPr="1A8E6423">
        <w:rPr>
          <w:rFonts w:ascii="Arial" w:eastAsiaTheme="minorEastAsia" w:hAnsi="Arial" w:cs="Arial"/>
          <w:sz w:val="20"/>
          <w:szCs w:val="20"/>
          <w:lang w:val="sr-Cyrl-RS"/>
        </w:rPr>
        <w:t>информ</w:t>
      </w:r>
      <w:r w:rsidR="6D88367C" w:rsidRPr="1A8E6423">
        <w:rPr>
          <w:rFonts w:ascii="Arial" w:eastAsiaTheme="minorEastAsia" w:hAnsi="Arial" w:cs="Arial"/>
          <w:sz w:val="20"/>
          <w:szCs w:val="20"/>
          <w:lang w:val="sr-Cyrl-RS"/>
        </w:rPr>
        <w:t xml:space="preserve">исање </w:t>
      </w:r>
      <w:r w:rsidR="4A83C40A" w:rsidRPr="1A8E6423">
        <w:rPr>
          <w:rFonts w:ascii="Arial" w:eastAsiaTheme="minorEastAsia" w:hAnsi="Arial" w:cs="Arial"/>
          <w:sz w:val="20"/>
          <w:szCs w:val="20"/>
          <w:lang w:val="sr-Cyrl-RS"/>
        </w:rPr>
        <w:t xml:space="preserve">о поступку доношења одлука или </w:t>
      </w:r>
      <w:r w:rsidR="5AE00B6F" w:rsidRPr="1A8E6423">
        <w:rPr>
          <w:rFonts w:ascii="Arial" w:eastAsiaTheme="minorEastAsia" w:hAnsi="Arial" w:cs="Arial"/>
          <w:sz w:val="20"/>
          <w:szCs w:val="20"/>
          <w:lang w:val="sr-Cyrl-RS"/>
        </w:rPr>
        <w:t>објављивањ</w:t>
      </w:r>
      <w:r w:rsidR="00E177CF" w:rsidRPr="1A8E6423">
        <w:rPr>
          <w:rFonts w:ascii="Arial" w:eastAsiaTheme="minorEastAsia" w:hAnsi="Arial" w:cs="Arial"/>
          <w:sz w:val="20"/>
          <w:szCs w:val="20"/>
          <w:lang w:val="sr-Cyrl-RS"/>
        </w:rPr>
        <w:t>е</w:t>
      </w:r>
      <w:r w:rsidR="5AE00B6F" w:rsidRPr="1A8E6423">
        <w:rPr>
          <w:rFonts w:ascii="Arial" w:eastAsiaTheme="minorEastAsia" w:hAnsi="Arial" w:cs="Arial"/>
          <w:sz w:val="20"/>
          <w:szCs w:val="20"/>
          <w:lang w:val="sr-Cyrl-RS"/>
        </w:rPr>
        <w:t xml:space="preserve"> информација о некретнинама или о имовини </w:t>
      </w:r>
      <w:r w:rsidR="6AEEB6C0" w:rsidRPr="1A8E6423">
        <w:rPr>
          <w:rFonts w:ascii="Arial" w:eastAsiaTheme="minorEastAsia" w:hAnsi="Arial" w:cs="Arial"/>
          <w:sz w:val="20"/>
          <w:szCs w:val="20"/>
          <w:lang w:val="sr-Cyrl-RS"/>
        </w:rPr>
        <w:t>ЈЛС</w:t>
      </w:r>
      <w:r w:rsidR="5AE00B6F" w:rsidRPr="1A8E6423">
        <w:rPr>
          <w:rFonts w:ascii="Arial" w:eastAsiaTheme="minorEastAsia" w:hAnsi="Arial" w:cs="Arial"/>
          <w:sz w:val="20"/>
          <w:szCs w:val="20"/>
          <w:lang w:val="sr-Cyrl-RS"/>
        </w:rPr>
        <w:t xml:space="preserve">. ЛТИ показује </w:t>
      </w:r>
      <w:r w:rsidR="6AEEB6C0" w:rsidRPr="1A8E6423">
        <w:rPr>
          <w:rFonts w:ascii="Arial" w:eastAsiaTheme="minorEastAsia" w:hAnsi="Arial" w:cs="Arial"/>
          <w:sz w:val="20"/>
          <w:szCs w:val="20"/>
          <w:lang w:val="sr-Cyrl-RS"/>
        </w:rPr>
        <w:t xml:space="preserve">и </w:t>
      </w:r>
      <w:r w:rsidR="2C26009D" w:rsidRPr="1A8E6423">
        <w:rPr>
          <w:rFonts w:ascii="Arial" w:eastAsiaTheme="minorEastAsia" w:hAnsi="Arial" w:cs="Arial"/>
          <w:sz w:val="20"/>
          <w:szCs w:val="20"/>
          <w:lang w:val="sr-Cyrl-RS"/>
        </w:rPr>
        <w:t xml:space="preserve">низак </w:t>
      </w:r>
      <w:r w:rsidR="5AE00B6F" w:rsidRPr="1A8E6423">
        <w:rPr>
          <w:rFonts w:ascii="Arial" w:eastAsiaTheme="minorEastAsia" w:hAnsi="Arial" w:cs="Arial"/>
          <w:sz w:val="20"/>
          <w:szCs w:val="20"/>
          <w:lang w:val="sr-Cyrl-RS"/>
        </w:rPr>
        <w:t xml:space="preserve">степен отворености када је у питању рад јавних предузећа и установа </w:t>
      </w:r>
      <w:r w:rsidR="6AEEB6C0" w:rsidRPr="1A8E6423">
        <w:rPr>
          <w:rFonts w:ascii="Arial" w:eastAsiaTheme="minorEastAsia" w:hAnsi="Arial" w:cs="Arial"/>
          <w:sz w:val="20"/>
          <w:szCs w:val="20"/>
          <w:lang w:val="sr-Cyrl-RS"/>
        </w:rPr>
        <w:t xml:space="preserve">ЈЛС </w:t>
      </w:r>
      <w:r w:rsidR="5AE00B6F" w:rsidRPr="1A8E6423">
        <w:rPr>
          <w:rFonts w:ascii="Arial" w:eastAsiaTheme="minorEastAsia" w:hAnsi="Arial" w:cs="Arial"/>
          <w:sz w:val="20"/>
          <w:szCs w:val="20"/>
          <w:lang w:val="sr-Cyrl-RS"/>
        </w:rPr>
        <w:t>(непотпуна транспарентност избора директора, информација о свим запосленима у јавним службама,</w:t>
      </w:r>
      <w:r w:rsidR="2D0DCDFC" w:rsidRPr="1A8E6423">
        <w:rPr>
          <w:rFonts w:ascii="Arial" w:eastAsiaTheme="minorEastAsia" w:hAnsi="Arial" w:cs="Arial"/>
          <w:sz w:val="20"/>
          <w:szCs w:val="20"/>
          <w:lang w:val="sr-Cyrl-RS"/>
        </w:rPr>
        <w:t xml:space="preserve"> планови и извештаји о раду</w:t>
      </w:r>
      <w:r w:rsidR="1404674B" w:rsidRPr="1A8E6423">
        <w:rPr>
          <w:rFonts w:ascii="Arial" w:eastAsiaTheme="minorEastAsia" w:hAnsi="Arial" w:cs="Arial"/>
          <w:sz w:val="20"/>
          <w:szCs w:val="20"/>
          <w:lang w:val="sr-Cyrl-RS"/>
        </w:rPr>
        <w:t xml:space="preserve"> итд</w:t>
      </w:r>
      <w:r w:rsidR="00E177CF" w:rsidRPr="1A8E6423">
        <w:rPr>
          <w:rFonts w:ascii="Arial" w:eastAsiaTheme="minorEastAsia" w:hAnsi="Arial" w:cs="Arial"/>
          <w:sz w:val="20"/>
          <w:szCs w:val="20"/>
          <w:lang w:val="sr-Cyrl-RS"/>
        </w:rPr>
        <w:t>.</w:t>
      </w:r>
      <w:r w:rsidR="5AE00B6F" w:rsidRPr="1A8E6423">
        <w:rPr>
          <w:rFonts w:ascii="Arial" w:eastAsiaTheme="minorEastAsia" w:hAnsi="Arial" w:cs="Arial"/>
          <w:sz w:val="20"/>
          <w:szCs w:val="20"/>
          <w:lang w:val="sr-Cyrl-RS"/>
        </w:rPr>
        <w:t>).</w:t>
      </w:r>
      <w:r w:rsidR="001E79ED" w:rsidRPr="1A8E6423">
        <w:rPr>
          <w:rStyle w:val="FootnoteReference"/>
          <w:rFonts w:ascii="Arial" w:eastAsiaTheme="minorEastAsia" w:hAnsi="Arial" w:cs="Arial"/>
          <w:sz w:val="20"/>
          <w:szCs w:val="20"/>
          <w:lang w:val="sr-Cyrl-RS"/>
        </w:rPr>
        <w:footnoteReference w:id="112"/>
      </w:r>
    </w:p>
    <w:p w14:paraId="28F1A87D" w14:textId="77777777" w:rsidR="00D90DB0" w:rsidRPr="00A021B7" w:rsidRDefault="00D90DB0" w:rsidP="1A8E6423">
      <w:pPr>
        <w:ind w:firstLine="720"/>
        <w:contextualSpacing/>
        <w:jc w:val="both"/>
        <w:rPr>
          <w:rFonts w:ascii="Arial" w:eastAsiaTheme="minorEastAsia" w:hAnsi="Arial" w:cs="Arial"/>
          <w:sz w:val="20"/>
          <w:szCs w:val="20"/>
          <w:lang w:val="sr-Cyrl-RS"/>
        </w:rPr>
      </w:pPr>
    </w:p>
    <w:p w14:paraId="59D999E0" w14:textId="0B4DEF33" w:rsidR="00D90DB0" w:rsidRPr="00A021B7" w:rsidRDefault="00D90DB0" w:rsidP="1A8E6423">
      <w:pPr>
        <w:ind w:firstLine="720"/>
        <w:contextualSpacing/>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Налази </w:t>
      </w:r>
      <w:r w:rsidR="000468C0" w:rsidRPr="1A8E6423">
        <w:rPr>
          <w:rFonts w:ascii="Arial" w:eastAsiaTheme="minorEastAsia" w:hAnsi="Arial" w:cs="Arial"/>
          <w:sz w:val="20"/>
          <w:szCs w:val="20"/>
          <w:lang w:val="sr-Cyrl-RS"/>
        </w:rPr>
        <w:t xml:space="preserve">ових </w:t>
      </w:r>
      <w:r w:rsidRPr="1A8E6423">
        <w:rPr>
          <w:rFonts w:ascii="Arial" w:eastAsiaTheme="minorEastAsia" w:hAnsi="Arial" w:cs="Arial"/>
          <w:sz w:val="20"/>
          <w:szCs w:val="20"/>
          <w:lang w:val="sr-Cyrl-RS"/>
        </w:rPr>
        <w:t>анализ</w:t>
      </w:r>
      <w:r w:rsidR="0068240C" w:rsidRPr="1A8E6423">
        <w:rPr>
          <w:rFonts w:ascii="Arial" w:eastAsiaTheme="minorEastAsia" w:hAnsi="Arial" w:cs="Arial"/>
          <w:sz w:val="20"/>
          <w:szCs w:val="20"/>
          <w:lang w:val="sr-Cyrl-RS"/>
        </w:rPr>
        <w:t>а</w:t>
      </w:r>
      <w:r w:rsidRPr="1A8E6423">
        <w:rPr>
          <w:rFonts w:ascii="Arial" w:eastAsiaTheme="minorEastAsia" w:hAnsi="Arial" w:cs="Arial"/>
          <w:sz w:val="20"/>
          <w:szCs w:val="20"/>
          <w:lang w:val="sr-Cyrl-RS"/>
        </w:rPr>
        <w:t xml:space="preserve"> показују да је у свим областима доброг управљања неопходно учинити даље значајне кораке. Општи закључци о стању </w:t>
      </w:r>
      <w:r w:rsidR="00E177CF" w:rsidRPr="1A8E6423">
        <w:rPr>
          <w:rFonts w:ascii="Arial" w:eastAsiaTheme="minorEastAsia" w:hAnsi="Arial" w:cs="Arial"/>
          <w:sz w:val="20"/>
          <w:szCs w:val="20"/>
          <w:lang w:val="sr-Cyrl-RS"/>
        </w:rPr>
        <w:t xml:space="preserve">у погледу </w:t>
      </w:r>
      <w:r w:rsidR="00D51885" w:rsidRPr="1A8E6423">
        <w:rPr>
          <w:rFonts w:ascii="Arial" w:eastAsiaTheme="minorEastAsia" w:hAnsi="Arial" w:cs="Arial"/>
          <w:sz w:val="20"/>
          <w:szCs w:val="20"/>
          <w:lang w:val="sr-Cyrl-RS"/>
        </w:rPr>
        <w:t xml:space="preserve">остваривања начела доброг управљања </w:t>
      </w:r>
      <w:r w:rsidRPr="1A8E6423">
        <w:rPr>
          <w:rFonts w:ascii="Arial" w:eastAsiaTheme="minorEastAsia" w:hAnsi="Arial" w:cs="Arial"/>
          <w:sz w:val="20"/>
          <w:szCs w:val="20"/>
          <w:lang w:val="sr-Cyrl-RS"/>
        </w:rPr>
        <w:t>у локалној самоуправи указују</w:t>
      </w:r>
      <w:r w:rsidR="00E177CF" w:rsidRPr="1A8E6423">
        <w:rPr>
          <w:rFonts w:ascii="Arial" w:eastAsiaTheme="minorEastAsia" w:hAnsi="Arial" w:cs="Arial"/>
          <w:sz w:val="20"/>
          <w:szCs w:val="20"/>
          <w:lang w:val="sr-Cyrl-RS"/>
        </w:rPr>
        <w:t xml:space="preserve"> на то</w:t>
      </w:r>
      <w:r w:rsidRPr="1A8E6423">
        <w:rPr>
          <w:rFonts w:ascii="Arial" w:eastAsiaTheme="minorEastAsia" w:hAnsi="Arial" w:cs="Arial"/>
          <w:sz w:val="20"/>
          <w:szCs w:val="20"/>
          <w:lang w:val="sr-Cyrl-RS"/>
        </w:rPr>
        <w:t xml:space="preserve"> да постоји значајна корелација </w:t>
      </w:r>
      <w:r w:rsidR="0057270E" w:rsidRPr="1A8E6423">
        <w:rPr>
          <w:rFonts w:ascii="Arial" w:eastAsiaTheme="minorEastAsia" w:hAnsi="Arial" w:cs="Arial"/>
          <w:sz w:val="20"/>
          <w:szCs w:val="20"/>
          <w:lang w:val="sr-Cyrl-RS"/>
        </w:rPr>
        <w:t>измеђ</w:t>
      </w:r>
      <w:r w:rsidRPr="1A8E6423">
        <w:rPr>
          <w:rFonts w:ascii="Arial" w:eastAsiaTheme="minorEastAsia" w:hAnsi="Arial" w:cs="Arial"/>
          <w:sz w:val="20"/>
          <w:szCs w:val="20"/>
          <w:lang w:val="sr-Cyrl-RS"/>
        </w:rPr>
        <w:t xml:space="preserve">у капацитета за </w:t>
      </w:r>
      <w:r w:rsidR="0057270E" w:rsidRPr="1A8E6423">
        <w:rPr>
          <w:rFonts w:ascii="Arial" w:eastAsiaTheme="minorEastAsia" w:hAnsi="Arial" w:cs="Arial"/>
          <w:sz w:val="20"/>
          <w:szCs w:val="20"/>
          <w:lang w:val="sr-Cyrl-RS"/>
        </w:rPr>
        <w:t xml:space="preserve">њихово </w:t>
      </w:r>
      <w:r w:rsidRPr="1A8E6423">
        <w:rPr>
          <w:rFonts w:ascii="Arial" w:eastAsiaTheme="minorEastAsia" w:hAnsi="Arial" w:cs="Arial"/>
          <w:sz w:val="20"/>
          <w:szCs w:val="20"/>
          <w:lang w:val="sr-Cyrl-RS"/>
        </w:rPr>
        <w:t xml:space="preserve">потпуније остваривање и развијености </w:t>
      </w:r>
      <w:r w:rsidR="00DF741D"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(мерено БДП-ом по глави становника). На то посебн</w:t>
      </w:r>
      <w:r w:rsidR="0087286E" w:rsidRPr="1A8E6423">
        <w:rPr>
          <w:rFonts w:ascii="Arial" w:eastAsiaTheme="minorEastAsia" w:hAnsi="Arial" w:cs="Arial"/>
          <w:sz w:val="20"/>
          <w:szCs w:val="20"/>
          <w:lang w:val="sr-Cyrl-RS"/>
        </w:rPr>
        <w:t>о</w:t>
      </w:r>
      <w:r w:rsidRPr="1A8E6423">
        <w:rPr>
          <w:rFonts w:ascii="Arial" w:eastAsiaTheme="minorEastAsia" w:hAnsi="Arial" w:cs="Arial"/>
          <w:sz w:val="20"/>
          <w:szCs w:val="20"/>
          <w:lang w:val="sr-Cyrl-RS"/>
        </w:rPr>
        <w:t xml:space="preserve"> указују налази </w:t>
      </w:r>
      <w:r w:rsidR="006249CD" w:rsidRPr="1A8E6423">
        <w:rPr>
          <w:rFonts w:ascii="Arial" w:eastAsiaTheme="minorEastAsia" w:hAnsi="Arial" w:cs="Arial"/>
          <w:sz w:val="20"/>
          <w:szCs w:val="20"/>
          <w:lang w:val="sr-Cyrl-RS"/>
        </w:rPr>
        <w:t xml:space="preserve">на основу </w:t>
      </w:r>
      <w:r w:rsidRPr="1A8E6423">
        <w:rPr>
          <w:rFonts w:ascii="Arial" w:eastAsiaTheme="minorEastAsia" w:hAnsi="Arial" w:cs="Arial"/>
          <w:sz w:val="20"/>
          <w:szCs w:val="20"/>
          <w:lang w:val="sr-Cyrl-RS"/>
        </w:rPr>
        <w:t xml:space="preserve">Индекса добре управе СКГО. Анализа остваривања </w:t>
      </w:r>
      <w:r w:rsidR="00842477"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 xml:space="preserve">доброг управљања показује да мале </w:t>
      </w:r>
      <w:r w:rsidR="00842477"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немају капацитета да организационо, кадровски и финансијски пропрате константну диференцијацију јавних послова и све већи број задатака који се пред њих постављају</w:t>
      </w:r>
      <w:r w:rsidR="00842477"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а који је потребно спровести и </w:t>
      </w:r>
      <w:r w:rsidR="00064F55" w:rsidRPr="1A8E6423">
        <w:rPr>
          <w:rFonts w:ascii="Arial" w:eastAsiaTheme="minorEastAsia" w:hAnsi="Arial" w:cs="Arial"/>
          <w:sz w:val="20"/>
          <w:szCs w:val="20"/>
          <w:lang w:val="sr-Cyrl-RS"/>
        </w:rPr>
        <w:t>добрим управљањем</w:t>
      </w:r>
      <w:r w:rsidRPr="1A8E6423">
        <w:rPr>
          <w:rFonts w:ascii="Arial" w:eastAsiaTheme="minorEastAsia" w:hAnsi="Arial" w:cs="Arial"/>
          <w:sz w:val="20"/>
          <w:szCs w:val="20"/>
          <w:lang w:val="sr-Cyrl-RS"/>
        </w:rPr>
        <w:t xml:space="preserve">, што такође захтева значајне ресурсе. Следећи закључак јесте да су резултати бољи тамо где је законска норма успоставила јасну обавезу </w:t>
      </w:r>
      <w:r w:rsidR="00D31CD6" w:rsidRPr="1A8E6423">
        <w:rPr>
          <w:rFonts w:ascii="Arial" w:eastAsiaTheme="minorEastAsia" w:hAnsi="Arial" w:cs="Arial"/>
          <w:sz w:val="20"/>
          <w:szCs w:val="20"/>
          <w:lang w:val="sr-Cyrl-RS"/>
        </w:rPr>
        <w:t xml:space="preserve">ЈЛС </w:t>
      </w:r>
      <w:r w:rsidRPr="1A8E6423">
        <w:rPr>
          <w:rFonts w:ascii="Arial" w:eastAsiaTheme="minorEastAsia" w:hAnsi="Arial" w:cs="Arial"/>
          <w:sz w:val="20"/>
          <w:szCs w:val="20"/>
          <w:lang w:val="sr-Cyrl-RS"/>
        </w:rPr>
        <w:t xml:space="preserve">(праћену одредбом о одговорности за њено неизвршење). Оба истраживања су то показала, па је на тај начин заправо могуће индиректно мерити квалитет норми у овој области. </w:t>
      </w:r>
      <w:r w:rsidR="00D31CD6" w:rsidRPr="1A8E6423">
        <w:rPr>
          <w:rFonts w:ascii="Arial" w:eastAsiaTheme="minorEastAsia" w:hAnsi="Arial" w:cs="Arial"/>
          <w:sz w:val="20"/>
          <w:szCs w:val="20"/>
          <w:lang w:val="sr-Cyrl-RS"/>
        </w:rPr>
        <w:t xml:space="preserve">Постојање </w:t>
      </w:r>
      <w:r w:rsidRPr="1A8E6423">
        <w:rPr>
          <w:rFonts w:ascii="Arial" w:eastAsiaTheme="minorEastAsia" w:hAnsi="Arial" w:cs="Arial"/>
          <w:sz w:val="20"/>
          <w:szCs w:val="20"/>
          <w:lang w:val="sr-Cyrl-RS"/>
        </w:rPr>
        <w:t>законског оквира</w:t>
      </w:r>
      <w:r w:rsidR="00D31CD6" w:rsidRPr="1A8E6423">
        <w:rPr>
          <w:rFonts w:ascii="Arial" w:eastAsiaTheme="minorEastAsia" w:hAnsi="Arial" w:cs="Arial"/>
          <w:sz w:val="20"/>
          <w:szCs w:val="20"/>
          <w:lang w:val="sr-Cyrl-RS"/>
        </w:rPr>
        <w:t>, међутим,</w:t>
      </w:r>
      <w:r w:rsidRPr="1A8E6423">
        <w:rPr>
          <w:rFonts w:ascii="Arial" w:eastAsiaTheme="minorEastAsia" w:hAnsi="Arial" w:cs="Arial"/>
          <w:sz w:val="20"/>
          <w:szCs w:val="20"/>
          <w:lang w:val="sr-Cyrl-RS"/>
        </w:rPr>
        <w:t xml:space="preserve"> не осигурава у потпуности примену ових </w:t>
      </w:r>
      <w:r w:rsidR="00575ECC" w:rsidRPr="1A8E6423">
        <w:rPr>
          <w:rFonts w:ascii="Arial" w:eastAsiaTheme="minorEastAsia" w:hAnsi="Arial" w:cs="Arial"/>
          <w:sz w:val="20"/>
          <w:szCs w:val="20"/>
          <w:lang w:val="sr-Cyrl-RS"/>
        </w:rPr>
        <w:t xml:space="preserve">начела </w:t>
      </w:r>
      <w:r w:rsidRPr="1A8E6423">
        <w:rPr>
          <w:rFonts w:ascii="Arial" w:eastAsiaTheme="minorEastAsia" w:hAnsi="Arial" w:cs="Arial"/>
          <w:sz w:val="20"/>
          <w:szCs w:val="20"/>
          <w:lang w:val="sr-Cyrl-RS"/>
        </w:rPr>
        <w:t>у пуном капацитету, већ је за то неопходна додатна помоћ, размена знања и праксе између локалних власти. Примера ради</w:t>
      </w:r>
      <w:r w:rsidR="00575EC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након измена ЗЛС 2018. године и увођења обавезне јавне расправе, дошло је до значајно</w:t>
      </w:r>
      <w:r w:rsidR="00E177CF" w:rsidRPr="1A8E6423">
        <w:rPr>
          <w:rFonts w:ascii="Arial" w:eastAsiaTheme="minorEastAsia" w:hAnsi="Arial" w:cs="Arial"/>
          <w:sz w:val="20"/>
          <w:szCs w:val="20"/>
          <w:lang w:val="sr-Cyrl-RS"/>
        </w:rPr>
        <w:t>г</w:t>
      </w:r>
      <w:r w:rsidRPr="1A8E6423">
        <w:rPr>
          <w:rFonts w:ascii="Arial" w:eastAsiaTheme="minorEastAsia" w:hAnsi="Arial" w:cs="Arial"/>
          <w:sz w:val="20"/>
          <w:szCs w:val="20"/>
          <w:lang w:val="sr-Cyrl-RS"/>
        </w:rPr>
        <w:t xml:space="preserve"> интензивирања организације јавних расправа у процесу припреме буџета и тај процес се спроводи у већини градова и општина. Али и даље остаје отворено питање квалитета тог процеса, посебно у смислу </w:t>
      </w:r>
      <w:r w:rsidR="005C2981" w:rsidRPr="1A8E6423">
        <w:rPr>
          <w:rFonts w:ascii="Arial" w:eastAsiaTheme="minorEastAsia" w:hAnsi="Arial" w:cs="Arial"/>
          <w:sz w:val="20"/>
          <w:szCs w:val="20"/>
          <w:lang w:val="sr-Cyrl-RS"/>
        </w:rPr>
        <w:t>њ</w:t>
      </w:r>
      <w:r w:rsidR="00E177CF" w:rsidRPr="1A8E6423">
        <w:rPr>
          <w:rFonts w:ascii="Arial" w:eastAsiaTheme="minorEastAsia" w:hAnsi="Arial" w:cs="Arial"/>
          <w:sz w:val="20"/>
          <w:szCs w:val="20"/>
          <w:lang w:val="sr-Cyrl-RS"/>
        </w:rPr>
        <w:t>ег</w:t>
      </w:r>
      <w:r w:rsidR="005C2981" w:rsidRPr="1A8E6423">
        <w:rPr>
          <w:rFonts w:ascii="Arial" w:eastAsiaTheme="minorEastAsia" w:hAnsi="Arial" w:cs="Arial"/>
          <w:sz w:val="20"/>
          <w:szCs w:val="20"/>
          <w:lang w:val="sr-Cyrl-RS"/>
        </w:rPr>
        <w:t xml:space="preserve">овог </w:t>
      </w:r>
      <w:r w:rsidRPr="1A8E6423">
        <w:rPr>
          <w:rFonts w:ascii="Arial" w:eastAsiaTheme="minorEastAsia" w:hAnsi="Arial" w:cs="Arial"/>
          <w:sz w:val="20"/>
          <w:szCs w:val="20"/>
          <w:lang w:val="sr-Cyrl-RS"/>
        </w:rPr>
        <w:t xml:space="preserve">трајања, начина организовања, обухвата заинтересованих страна и повратне информације о ефектима на одлуке локалних органа. Из анализе стања може се закључити да је бројним ЈЛС потребна помоћ </w:t>
      </w:r>
      <w:r w:rsidR="0068503E" w:rsidRPr="1A8E6423">
        <w:rPr>
          <w:rFonts w:ascii="Arial" w:eastAsiaTheme="minorEastAsia" w:hAnsi="Arial" w:cs="Arial"/>
          <w:sz w:val="20"/>
          <w:szCs w:val="20"/>
          <w:lang w:val="sr-Cyrl-RS"/>
        </w:rPr>
        <w:t xml:space="preserve">споља, </w:t>
      </w:r>
      <w:r w:rsidRPr="1A8E6423">
        <w:rPr>
          <w:rFonts w:ascii="Arial" w:eastAsiaTheme="minorEastAsia" w:hAnsi="Arial" w:cs="Arial"/>
          <w:sz w:val="20"/>
          <w:szCs w:val="20"/>
          <w:lang w:val="sr-Cyrl-RS"/>
        </w:rPr>
        <w:t>јер</w:t>
      </w:r>
      <w:r w:rsidR="00AD0A6A" w:rsidRPr="1A8E6423">
        <w:rPr>
          <w:rFonts w:ascii="Arial" w:eastAsiaTheme="minorEastAsia" w:hAnsi="Arial" w:cs="Arial"/>
          <w:sz w:val="20"/>
          <w:szCs w:val="20"/>
          <w:lang w:val="sr-Cyrl-RS"/>
        </w:rPr>
        <w:t xml:space="preserve"> се</w:t>
      </w:r>
      <w:r w:rsidRPr="1A8E6423">
        <w:rPr>
          <w:rFonts w:ascii="Arial" w:eastAsiaTheme="minorEastAsia" w:hAnsi="Arial" w:cs="Arial"/>
          <w:sz w:val="20"/>
          <w:szCs w:val="20"/>
          <w:lang w:val="sr-Cyrl-RS"/>
        </w:rPr>
        <w:t xml:space="preserve"> уз </w:t>
      </w:r>
      <w:r w:rsidR="0068503E" w:rsidRPr="1A8E6423">
        <w:rPr>
          <w:rFonts w:ascii="Arial" w:eastAsiaTheme="minorEastAsia" w:hAnsi="Arial" w:cs="Arial"/>
          <w:sz w:val="20"/>
          <w:szCs w:val="20"/>
          <w:lang w:val="sr-Cyrl-RS"/>
        </w:rPr>
        <w:t xml:space="preserve">њу </w:t>
      </w:r>
      <w:r w:rsidRPr="1A8E6423">
        <w:rPr>
          <w:rFonts w:ascii="Arial" w:eastAsiaTheme="minorEastAsia" w:hAnsi="Arial" w:cs="Arial"/>
          <w:sz w:val="20"/>
          <w:szCs w:val="20"/>
          <w:lang w:val="sr-Cyrl-RS"/>
        </w:rPr>
        <w:t xml:space="preserve">(укључујући посебно подршку кроз пројекте из мултилатералне и билатералне међународне развојне помоћи) резултати у појединим областима значајно побољшавају – чак и онда када за </w:t>
      </w:r>
      <w:r w:rsidR="00460A4B" w:rsidRPr="1A8E6423">
        <w:rPr>
          <w:rFonts w:ascii="Arial" w:eastAsiaTheme="minorEastAsia" w:hAnsi="Arial" w:cs="Arial"/>
          <w:sz w:val="20"/>
          <w:szCs w:val="20"/>
          <w:lang w:val="sr-Cyrl-RS"/>
        </w:rPr>
        <w:t xml:space="preserve">њихово спровођење </w:t>
      </w:r>
      <w:r w:rsidRPr="1A8E6423">
        <w:rPr>
          <w:rFonts w:ascii="Arial" w:eastAsiaTheme="minorEastAsia" w:hAnsi="Arial" w:cs="Arial"/>
          <w:sz w:val="20"/>
          <w:szCs w:val="20"/>
          <w:lang w:val="sr-Cyrl-RS"/>
        </w:rPr>
        <w:t xml:space="preserve">није нормирана изричита законска обавеза. </w:t>
      </w:r>
      <w:r w:rsidR="00375695" w:rsidRPr="1A8E6423">
        <w:rPr>
          <w:rFonts w:ascii="Arial" w:eastAsiaTheme="minorEastAsia" w:hAnsi="Arial" w:cs="Arial"/>
          <w:sz w:val="20"/>
          <w:szCs w:val="20"/>
          <w:lang w:val="sr-Cyrl-RS"/>
        </w:rPr>
        <w:t xml:space="preserve">Даљи </w:t>
      </w:r>
      <w:r w:rsidR="00285BAF" w:rsidRPr="1A8E6423">
        <w:rPr>
          <w:rFonts w:ascii="Arial" w:eastAsiaTheme="minorEastAsia" w:hAnsi="Arial" w:cs="Arial"/>
          <w:sz w:val="20"/>
          <w:szCs w:val="20"/>
          <w:lang w:val="sr-Cyrl-RS"/>
        </w:rPr>
        <w:t xml:space="preserve">развој </w:t>
      </w:r>
      <w:r w:rsidR="00375695" w:rsidRPr="1A8E6423">
        <w:rPr>
          <w:rFonts w:ascii="Arial" w:eastAsiaTheme="minorEastAsia" w:hAnsi="Arial" w:cs="Arial"/>
          <w:sz w:val="20"/>
          <w:szCs w:val="20"/>
          <w:lang w:val="sr-Cyrl-RS"/>
        </w:rPr>
        <w:t xml:space="preserve">се, међутим, </w:t>
      </w:r>
      <w:r w:rsidR="00C9007A" w:rsidRPr="1A8E6423">
        <w:rPr>
          <w:rFonts w:ascii="Arial" w:eastAsiaTheme="minorEastAsia" w:hAnsi="Arial" w:cs="Arial"/>
          <w:sz w:val="20"/>
          <w:szCs w:val="20"/>
          <w:lang w:val="sr-Cyrl-RS"/>
        </w:rPr>
        <w:t>само делимично може обезбедити нормативним механизмима</w:t>
      </w:r>
      <w:r w:rsidR="006B3542" w:rsidRPr="1A8E6423">
        <w:rPr>
          <w:rFonts w:ascii="Arial" w:eastAsiaTheme="minorEastAsia" w:hAnsi="Arial" w:cs="Arial"/>
          <w:sz w:val="20"/>
          <w:szCs w:val="20"/>
          <w:lang w:val="sr-Cyrl-RS"/>
        </w:rPr>
        <w:t xml:space="preserve"> и</w:t>
      </w:r>
      <w:r w:rsidR="00C53300" w:rsidRPr="1A8E6423">
        <w:rPr>
          <w:rFonts w:ascii="Arial" w:eastAsiaTheme="minorEastAsia" w:hAnsi="Arial" w:cs="Arial"/>
          <w:sz w:val="20"/>
          <w:szCs w:val="20"/>
          <w:lang w:val="sr-Cyrl-RS"/>
        </w:rPr>
        <w:t>ли</w:t>
      </w:r>
      <w:r w:rsidR="006B3542" w:rsidRPr="1A8E6423">
        <w:rPr>
          <w:rFonts w:ascii="Arial" w:eastAsiaTheme="minorEastAsia" w:hAnsi="Arial" w:cs="Arial"/>
          <w:sz w:val="20"/>
          <w:szCs w:val="20"/>
          <w:lang w:val="sr-Cyrl-RS"/>
        </w:rPr>
        <w:t xml:space="preserve"> развојем капацитета локалних органа и з</w:t>
      </w:r>
      <w:r w:rsidR="006C5833" w:rsidRPr="1A8E6423">
        <w:rPr>
          <w:rFonts w:ascii="Arial" w:eastAsiaTheme="minorEastAsia" w:hAnsi="Arial" w:cs="Arial"/>
          <w:sz w:val="20"/>
          <w:szCs w:val="20"/>
          <w:lang w:val="sr-Cyrl-RS"/>
        </w:rPr>
        <w:t>н</w:t>
      </w:r>
      <w:r w:rsidR="006B3542" w:rsidRPr="1A8E6423">
        <w:rPr>
          <w:rFonts w:ascii="Arial" w:eastAsiaTheme="minorEastAsia" w:hAnsi="Arial" w:cs="Arial"/>
          <w:sz w:val="20"/>
          <w:szCs w:val="20"/>
          <w:lang w:val="sr-Cyrl-RS"/>
        </w:rPr>
        <w:t>ања и вештина локалних службеника. У</w:t>
      </w:r>
      <w:r w:rsidR="00C9007A" w:rsidRPr="1A8E6423">
        <w:rPr>
          <w:rFonts w:ascii="Arial" w:eastAsiaTheme="minorEastAsia" w:hAnsi="Arial" w:cs="Arial"/>
          <w:sz w:val="20"/>
          <w:szCs w:val="20"/>
          <w:lang w:val="sr-Cyrl-RS"/>
        </w:rPr>
        <w:t xml:space="preserve"> суштинском смислу</w:t>
      </w:r>
      <w:r w:rsidR="00555EDB" w:rsidRPr="1A8E6423">
        <w:rPr>
          <w:rFonts w:ascii="Arial" w:eastAsiaTheme="minorEastAsia" w:hAnsi="Arial" w:cs="Arial"/>
          <w:sz w:val="20"/>
          <w:szCs w:val="20"/>
          <w:lang w:val="sr-Cyrl-RS"/>
        </w:rPr>
        <w:t>,</w:t>
      </w:r>
      <w:r w:rsidR="00C9007A" w:rsidRPr="1A8E6423">
        <w:rPr>
          <w:rFonts w:ascii="Arial" w:eastAsiaTheme="minorEastAsia" w:hAnsi="Arial" w:cs="Arial"/>
          <w:sz w:val="20"/>
          <w:szCs w:val="20"/>
          <w:lang w:val="sr-Cyrl-RS"/>
        </w:rPr>
        <w:t xml:space="preserve"> пуно остваривање</w:t>
      </w:r>
      <w:r w:rsidR="00257CC9" w:rsidRPr="1A8E6423">
        <w:rPr>
          <w:rFonts w:ascii="Arial" w:eastAsiaTheme="minorEastAsia" w:hAnsi="Arial" w:cs="Arial"/>
          <w:sz w:val="20"/>
          <w:szCs w:val="20"/>
          <w:lang w:val="sr-Cyrl-RS"/>
        </w:rPr>
        <w:t xml:space="preserve"> </w:t>
      </w:r>
      <w:r w:rsidR="00555EDB" w:rsidRPr="1A8E6423">
        <w:rPr>
          <w:rFonts w:ascii="Arial" w:eastAsiaTheme="minorEastAsia" w:hAnsi="Arial" w:cs="Arial"/>
          <w:sz w:val="20"/>
          <w:szCs w:val="20"/>
          <w:lang w:val="sr-Cyrl-RS"/>
        </w:rPr>
        <w:t xml:space="preserve">начела </w:t>
      </w:r>
      <w:r w:rsidR="00C9007A" w:rsidRPr="1A8E6423">
        <w:rPr>
          <w:rFonts w:ascii="Arial" w:eastAsiaTheme="minorEastAsia" w:hAnsi="Arial" w:cs="Arial"/>
          <w:sz w:val="20"/>
          <w:szCs w:val="20"/>
          <w:lang w:val="sr-Cyrl-RS"/>
        </w:rPr>
        <w:t>доброг управљања</w:t>
      </w:r>
      <w:r w:rsidR="00EF078D" w:rsidRPr="1A8E6423">
        <w:rPr>
          <w:rFonts w:ascii="Arial" w:eastAsiaTheme="minorEastAsia" w:hAnsi="Arial" w:cs="Arial"/>
          <w:sz w:val="20"/>
          <w:szCs w:val="20"/>
          <w:lang w:val="sr-Cyrl-RS"/>
        </w:rPr>
        <w:t xml:space="preserve"> </w:t>
      </w:r>
      <w:r w:rsidR="00C9007A" w:rsidRPr="1A8E6423">
        <w:rPr>
          <w:rFonts w:ascii="Arial" w:eastAsiaTheme="minorEastAsia" w:hAnsi="Arial" w:cs="Arial"/>
          <w:sz w:val="20"/>
          <w:szCs w:val="20"/>
          <w:lang w:val="sr-Cyrl-RS"/>
        </w:rPr>
        <w:t>зависи</w:t>
      </w:r>
      <w:r w:rsidR="00C53300" w:rsidRPr="1A8E6423">
        <w:rPr>
          <w:rFonts w:ascii="Arial" w:eastAsiaTheme="minorEastAsia" w:hAnsi="Arial" w:cs="Arial"/>
          <w:sz w:val="20"/>
          <w:szCs w:val="20"/>
          <w:lang w:val="sr-Cyrl-RS"/>
        </w:rPr>
        <w:t xml:space="preserve"> и</w:t>
      </w:r>
      <w:r w:rsidR="00EF078D" w:rsidRPr="1A8E6423">
        <w:rPr>
          <w:rFonts w:ascii="Arial" w:eastAsiaTheme="minorEastAsia" w:hAnsi="Arial" w:cs="Arial"/>
          <w:sz w:val="20"/>
          <w:szCs w:val="20"/>
          <w:lang w:val="sr-Cyrl-RS"/>
        </w:rPr>
        <w:t xml:space="preserve"> </w:t>
      </w:r>
      <w:r w:rsidR="00C9007A" w:rsidRPr="1A8E6423">
        <w:rPr>
          <w:rFonts w:ascii="Arial" w:eastAsiaTheme="minorEastAsia" w:hAnsi="Arial" w:cs="Arial"/>
          <w:sz w:val="20"/>
          <w:szCs w:val="20"/>
          <w:lang w:val="sr-Cyrl-RS"/>
        </w:rPr>
        <w:t>од даљег развоја демократске културе и демократских институција</w:t>
      </w:r>
      <w:r w:rsidR="00257CC9" w:rsidRPr="1A8E6423">
        <w:rPr>
          <w:rFonts w:ascii="Arial" w:eastAsiaTheme="minorEastAsia" w:hAnsi="Arial" w:cs="Arial"/>
          <w:sz w:val="20"/>
          <w:szCs w:val="20"/>
          <w:lang w:val="sr-Cyrl-RS"/>
        </w:rPr>
        <w:t>. Од свега тога заједно</w:t>
      </w:r>
      <w:r w:rsidR="00EF078D" w:rsidRPr="1A8E6423">
        <w:rPr>
          <w:rFonts w:ascii="Arial" w:eastAsiaTheme="minorEastAsia" w:hAnsi="Arial" w:cs="Arial"/>
          <w:sz w:val="20"/>
          <w:szCs w:val="20"/>
          <w:lang w:val="sr-Cyrl-RS"/>
        </w:rPr>
        <w:t xml:space="preserve"> зави</w:t>
      </w:r>
      <w:r w:rsidR="00257CC9" w:rsidRPr="1A8E6423">
        <w:rPr>
          <w:rFonts w:ascii="Arial" w:eastAsiaTheme="minorEastAsia" w:hAnsi="Arial" w:cs="Arial"/>
          <w:sz w:val="20"/>
          <w:szCs w:val="20"/>
          <w:lang w:val="sr-Cyrl-RS"/>
        </w:rPr>
        <w:t>сиће</w:t>
      </w:r>
      <w:r w:rsidR="00024B28" w:rsidRPr="1A8E6423">
        <w:rPr>
          <w:rFonts w:ascii="Arial" w:eastAsiaTheme="minorEastAsia" w:hAnsi="Arial" w:cs="Arial"/>
          <w:sz w:val="20"/>
          <w:szCs w:val="20"/>
          <w:lang w:val="sr-Cyrl-RS"/>
        </w:rPr>
        <w:t xml:space="preserve"> </w:t>
      </w:r>
      <w:r w:rsidR="00F7390F" w:rsidRPr="1A8E6423">
        <w:rPr>
          <w:rFonts w:ascii="Arial" w:eastAsiaTheme="minorEastAsia" w:hAnsi="Arial" w:cs="Arial"/>
          <w:sz w:val="20"/>
          <w:szCs w:val="20"/>
          <w:lang w:val="sr-Cyrl-RS"/>
        </w:rPr>
        <w:t xml:space="preserve">то </w:t>
      </w:r>
      <w:r w:rsidR="00024B28" w:rsidRPr="1A8E6423">
        <w:rPr>
          <w:rFonts w:ascii="Arial" w:eastAsiaTheme="minorEastAsia" w:hAnsi="Arial" w:cs="Arial"/>
          <w:sz w:val="20"/>
          <w:szCs w:val="20"/>
          <w:lang w:val="sr-Cyrl-RS"/>
        </w:rPr>
        <w:t xml:space="preserve">како </w:t>
      </w:r>
      <w:r w:rsidR="00C15DA4" w:rsidRPr="1A8E6423">
        <w:rPr>
          <w:rFonts w:ascii="Arial" w:eastAsiaTheme="minorEastAsia" w:hAnsi="Arial" w:cs="Arial"/>
          <w:sz w:val="20"/>
          <w:szCs w:val="20"/>
          <w:lang w:val="sr-Cyrl-RS"/>
        </w:rPr>
        <w:t xml:space="preserve">њиховом </w:t>
      </w:r>
      <w:r w:rsidR="00092AB1" w:rsidRPr="1A8E6423">
        <w:rPr>
          <w:rFonts w:ascii="Arial" w:eastAsiaTheme="minorEastAsia" w:hAnsi="Arial" w:cs="Arial"/>
          <w:sz w:val="20"/>
          <w:szCs w:val="20"/>
          <w:lang w:val="sr-Cyrl-RS"/>
        </w:rPr>
        <w:t xml:space="preserve">применом </w:t>
      </w:r>
      <w:r w:rsidR="00AA183D" w:rsidRPr="1A8E6423">
        <w:rPr>
          <w:rFonts w:ascii="Arial" w:eastAsiaTheme="minorEastAsia" w:hAnsi="Arial" w:cs="Arial"/>
          <w:sz w:val="20"/>
          <w:szCs w:val="20"/>
          <w:lang w:val="sr-Cyrl-RS"/>
        </w:rPr>
        <w:t xml:space="preserve">најбоље </w:t>
      </w:r>
      <w:r w:rsidR="00024B28" w:rsidRPr="1A8E6423">
        <w:rPr>
          <w:rFonts w:ascii="Arial" w:eastAsiaTheme="minorEastAsia" w:hAnsi="Arial" w:cs="Arial"/>
          <w:sz w:val="20"/>
          <w:szCs w:val="20"/>
          <w:lang w:val="sr-Cyrl-RS"/>
        </w:rPr>
        <w:t>начинити делотворне механизме који би систему локалне самоуправе дали оне основе и она правила функционисања која би га, по начину управљања, квалификовала као систем којим се (у којем се) добро управља</w:t>
      </w:r>
      <w:r w:rsidR="00EF078D" w:rsidRPr="1A8E6423">
        <w:rPr>
          <w:rFonts w:ascii="Arial" w:eastAsiaTheme="minorEastAsia" w:hAnsi="Arial" w:cs="Arial"/>
          <w:sz w:val="20"/>
          <w:szCs w:val="20"/>
          <w:lang w:val="sr-Cyrl-RS"/>
        </w:rPr>
        <w:t>.</w:t>
      </w:r>
    </w:p>
    <w:p w14:paraId="3CF39F61" w14:textId="6C046C29" w:rsidR="00FE041F" w:rsidRPr="00A021B7" w:rsidRDefault="00FE041F" w:rsidP="003E7BC9">
      <w:pPr>
        <w:contextualSpacing/>
        <w:jc w:val="both"/>
        <w:rPr>
          <w:rFonts w:ascii="Arial" w:eastAsiaTheme="minorEastAsia" w:hAnsi="Arial" w:cs="Arial"/>
          <w:sz w:val="20"/>
          <w:szCs w:val="20"/>
          <w:lang w:val="sr-Cyrl-RS"/>
        </w:rPr>
      </w:pPr>
    </w:p>
    <w:tbl>
      <w:tblPr>
        <w:tblStyle w:val="TableGrid"/>
        <w:tblW w:w="0" w:type="auto"/>
        <w:tblLook w:val="04A0" w:firstRow="1" w:lastRow="0" w:firstColumn="1" w:lastColumn="0" w:noHBand="0" w:noVBand="1"/>
      </w:tblPr>
      <w:tblGrid>
        <w:gridCol w:w="9010"/>
      </w:tblGrid>
      <w:tr w:rsidR="00F24230" w:rsidRPr="00A021B7" w14:paraId="070D4BA3" w14:textId="77777777" w:rsidTr="1A8E6423">
        <w:tc>
          <w:tcPr>
            <w:tcW w:w="9010" w:type="dxa"/>
          </w:tcPr>
          <w:p w14:paraId="06CE0AB8" w14:textId="444FB289" w:rsidR="002C6EC1" w:rsidRPr="00F7390F" w:rsidRDefault="290F85F5" w:rsidP="1A8E6423">
            <w:pPr>
              <w:ind w:firstLine="428"/>
              <w:jc w:val="both"/>
              <w:rPr>
                <w:rFonts w:ascii="Arial" w:hAnsi="Arial" w:cs="Arial"/>
                <w:sz w:val="20"/>
                <w:szCs w:val="20"/>
                <w:lang w:val="sr-Cyrl-RS"/>
              </w:rPr>
            </w:pPr>
            <w:r w:rsidRPr="00A021B7">
              <w:rPr>
                <w:rFonts w:ascii="Arial" w:hAnsi="Arial" w:cs="Arial"/>
                <w:sz w:val="20"/>
                <w:szCs w:val="20"/>
                <w:lang w:val="sr-Cyrl-RS"/>
              </w:rPr>
              <w:t>У контексту праћења добро</w:t>
            </w:r>
            <w:r w:rsidR="0E499E09" w:rsidRPr="00A021B7">
              <w:rPr>
                <w:rFonts w:ascii="Arial" w:hAnsi="Arial" w:cs="Arial"/>
                <w:sz w:val="20"/>
                <w:szCs w:val="20"/>
                <w:lang w:val="sr-Cyrl-RS"/>
              </w:rPr>
              <w:t>г</w:t>
            </w:r>
            <w:r w:rsidRPr="00A021B7">
              <w:rPr>
                <w:rFonts w:ascii="Arial" w:hAnsi="Arial" w:cs="Arial"/>
                <w:sz w:val="20"/>
                <w:szCs w:val="20"/>
                <w:lang w:val="sr-Cyrl-RS"/>
              </w:rPr>
              <w:t xml:space="preserve"> управљања </w:t>
            </w:r>
            <w:r w:rsidR="59639C0C" w:rsidRPr="00A021B7">
              <w:rPr>
                <w:rFonts w:ascii="Arial" w:hAnsi="Arial" w:cs="Arial"/>
                <w:sz w:val="20"/>
                <w:szCs w:val="20"/>
                <w:lang w:val="sr-Cyrl-RS"/>
              </w:rPr>
              <w:t>локалним економским развојем (укључујући и најбољу праксу у областима као што су просторно и урбанистичко планирање, управљањ</w:t>
            </w:r>
            <w:r w:rsidR="00F7390F">
              <w:rPr>
                <w:rFonts w:ascii="Arial" w:hAnsi="Arial" w:cs="Arial"/>
                <w:sz w:val="20"/>
                <w:szCs w:val="20"/>
                <w:lang w:val="sr-Cyrl-RS"/>
              </w:rPr>
              <w:t>е</w:t>
            </w:r>
            <w:r w:rsidR="59639C0C" w:rsidRPr="00A021B7">
              <w:rPr>
                <w:rFonts w:ascii="Arial" w:hAnsi="Arial" w:cs="Arial"/>
                <w:sz w:val="20"/>
                <w:szCs w:val="20"/>
                <w:lang w:val="sr-Cyrl-RS"/>
              </w:rPr>
              <w:t xml:space="preserve"> локалним финансија</w:t>
            </w:r>
            <w:r w:rsidR="00F7390F">
              <w:rPr>
                <w:rFonts w:ascii="Arial" w:hAnsi="Arial" w:cs="Arial"/>
                <w:sz w:val="20"/>
                <w:szCs w:val="20"/>
                <w:lang w:val="sr-Cyrl-RS"/>
              </w:rPr>
              <w:t>ма</w:t>
            </w:r>
            <w:r w:rsidR="59639C0C" w:rsidRPr="00A021B7">
              <w:rPr>
                <w:rFonts w:ascii="Arial" w:hAnsi="Arial" w:cs="Arial"/>
                <w:sz w:val="20"/>
                <w:szCs w:val="20"/>
                <w:lang w:val="sr-Cyrl-RS"/>
              </w:rPr>
              <w:t xml:space="preserve"> и др.)</w:t>
            </w:r>
            <w:r w:rsidRPr="00A021B7">
              <w:rPr>
                <w:rFonts w:ascii="Arial" w:hAnsi="Arial" w:cs="Arial"/>
                <w:sz w:val="20"/>
                <w:szCs w:val="20"/>
                <w:lang w:val="sr-Cyrl-RS"/>
              </w:rPr>
              <w:t>,</w:t>
            </w:r>
            <w:r w:rsidR="59639C0C" w:rsidRPr="00A021B7">
              <w:rPr>
                <w:rFonts w:ascii="Arial" w:hAnsi="Arial" w:cs="Arial"/>
                <w:sz w:val="20"/>
                <w:szCs w:val="20"/>
                <w:lang w:val="sr-Cyrl-RS"/>
              </w:rPr>
              <w:t xml:space="preserve"> треба истаћи</w:t>
            </w:r>
            <w:r w:rsidRPr="00A021B7">
              <w:rPr>
                <w:rFonts w:ascii="Arial" w:hAnsi="Arial" w:cs="Arial"/>
                <w:sz w:val="20"/>
                <w:szCs w:val="20"/>
                <w:lang w:val="sr-Cyrl-RS"/>
              </w:rPr>
              <w:t xml:space="preserve"> </w:t>
            </w:r>
            <w:r w:rsidRPr="1A8E6423">
              <w:rPr>
                <w:rFonts w:ascii="Arial" w:hAnsi="Arial" w:cs="Arial"/>
                <w:b/>
                <w:bCs/>
                <w:i/>
                <w:iCs/>
                <w:sz w:val="20"/>
                <w:szCs w:val="20"/>
                <w:lang w:val="sr-Cyrl-RS"/>
              </w:rPr>
              <w:t>БФЦ СЕЕ</w:t>
            </w:r>
            <w:r w:rsidR="00F7390F" w:rsidRPr="1A8E6423">
              <w:rPr>
                <w:rFonts w:ascii="Arial" w:hAnsi="Arial" w:cs="Arial"/>
                <w:b/>
                <w:bCs/>
                <w:i/>
                <w:iCs/>
                <w:sz w:val="20"/>
                <w:szCs w:val="20"/>
                <w:lang w:val="sr-Cyrl-RS"/>
              </w:rPr>
              <w:t xml:space="preserve"> –</w:t>
            </w:r>
            <w:r w:rsidRPr="1A8E6423">
              <w:rPr>
                <w:rFonts w:ascii="Arial" w:hAnsi="Arial" w:cs="Arial"/>
                <w:b/>
                <w:bCs/>
                <w:i/>
                <w:iCs/>
                <w:sz w:val="20"/>
                <w:szCs w:val="20"/>
                <w:lang w:val="sr-Cyrl-RS"/>
              </w:rPr>
              <w:t xml:space="preserve"> Програм цертификације градова и општина са повољним пословним окружењем у </w:t>
            </w:r>
            <w:r w:rsidR="00F7390F" w:rsidRPr="1A8E6423">
              <w:rPr>
                <w:rFonts w:ascii="Arial" w:hAnsi="Arial" w:cs="Arial"/>
                <w:b/>
                <w:bCs/>
                <w:i/>
                <w:iCs/>
                <w:sz w:val="20"/>
                <w:szCs w:val="20"/>
                <w:lang w:val="sr-Cyrl-RS"/>
              </w:rPr>
              <w:t>Ј</w:t>
            </w:r>
            <w:r w:rsidRPr="1A8E6423">
              <w:rPr>
                <w:rFonts w:ascii="Arial" w:hAnsi="Arial" w:cs="Arial"/>
                <w:b/>
                <w:bCs/>
                <w:i/>
                <w:iCs/>
                <w:sz w:val="20"/>
                <w:szCs w:val="20"/>
                <w:lang w:val="sr-Cyrl-RS"/>
              </w:rPr>
              <w:t>угоисточној Европи</w:t>
            </w:r>
            <w:r w:rsidR="00585095" w:rsidRPr="00A021B7">
              <w:rPr>
                <w:rStyle w:val="FootnoteReference"/>
                <w:rFonts w:ascii="Arial" w:hAnsi="Arial" w:cs="Arial"/>
                <w:sz w:val="20"/>
                <w:szCs w:val="20"/>
                <w:lang w:val="sr-Cyrl-RS"/>
              </w:rPr>
              <w:footnoteReference w:id="113"/>
            </w:r>
            <w:r w:rsidR="00F7390F">
              <w:rPr>
                <w:rFonts w:ascii="Arial" w:hAnsi="Arial" w:cs="Arial"/>
                <w:sz w:val="20"/>
                <w:szCs w:val="20"/>
                <w:lang w:val="sr-Cyrl-RS"/>
              </w:rPr>
              <w:t>.</w:t>
            </w:r>
          </w:p>
          <w:p w14:paraId="297DD896" w14:textId="77777777" w:rsidR="002C6EC1" w:rsidRPr="00A021B7" w:rsidRDefault="002C6EC1" w:rsidP="1A8E6423">
            <w:pPr>
              <w:ind w:firstLine="428"/>
              <w:jc w:val="both"/>
              <w:rPr>
                <w:rFonts w:ascii="Arial" w:hAnsi="Arial" w:cs="Arial"/>
                <w:sz w:val="20"/>
                <w:szCs w:val="20"/>
                <w:lang w:val="sr-Cyrl-RS"/>
              </w:rPr>
            </w:pPr>
          </w:p>
          <w:p w14:paraId="5BEABE9E" w14:textId="56B9E117" w:rsidR="002C6EC1" w:rsidRPr="00A021B7" w:rsidRDefault="290F85F5" w:rsidP="1A8E6423">
            <w:pPr>
              <w:ind w:firstLine="428"/>
              <w:jc w:val="both"/>
              <w:rPr>
                <w:rFonts w:ascii="Arial" w:hAnsi="Arial" w:cs="Arial"/>
                <w:sz w:val="20"/>
                <w:szCs w:val="20"/>
                <w:lang w:val="sr-Cyrl-RS"/>
              </w:rPr>
            </w:pPr>
            <w:r w:rsidRPr="1A8E6423">
              <w:rPr>
                <w:rFonts w:ascii="Arial" w:hAnsi="Arial" w:cs="Arial"/>
                <w:sz w:val="20"/>
                <w:szCs w:val="20"/>
                <w:lang w:val="sr-Cyrl-RS"/>
              </w:rPr>
              <w:t>Цертификација општина са повољним пословним окружењем у Југоисточној Европи (БФЦ СЕЕ) је</w:t>
            </w:r>
            <w:r w:rsidR="00F7390F" w:rsidRPr="1A8E6423">
              <w:rPr>
                <w:rFonts w:ascii="Arial" w:hAnsi="Arial" w:cs="Arial"/>
                <w:sz w:val="20"/>
                <w:szCs w:val="20"/>
                <w:lang w:val="sr-Cyrl-RS"/>
              </w:rPr>
              <w:t>сте</w:t>
            </w:r>
            <w:r w:rsidRPr="1A8E6423">
              <w:rPr>
                <w:rFonts w:ascii="Arial" w:hAnsi="Arial" w:cs="Arial"/>
                <w:sz w:val="20"/>
                <w:szCs w:val="20"/>
                <w:lang w:val="sr-Cyrl-RS"/>
              </w:rPr>
              <w:t xml:space="preserve"> јединствени програм за побољшање и усклађивање услова за пословање који спроводи НАЛЕД, а чији је основ</w:t>
            </w:r>
            <w:r w:rsidR="0E499E09" w:rsidRPr="1A8E6423">
              <w:rPr>
                <w:rFonts w:ascii="Arial" w:hAnsi="Arial" w:cs="Arial"/>
                <w:sz w:val="20"/>
                <w:szCs w:val="20"/>
                <w:lang w:val="sr-Cyrl-RS"/>
              </w:rPr>
              <w:t>н</w:t>
            </w:r>
            <w:r w:rsidRPr="1A8E6423">
              <w:rPr>
                <w:rFonts w:ascii="Arial" w:hAnsi="Arial" w:cs="Arial"/>
                <w:sz w:val="20"/>
                <w:szCs w:val="20"/>
                <w:lang w:val="sr-Cyrl-RS"/>
              </w:rPr>
              <w:t xml:space="preserve">и циљ да подстакне локалне самоуправе да заузму проактиван приступ ка остварењу својих развојних потенцијала и да им пружи методологију како да то постигну. У том смислу, БФЦ СЕЕ програм је заснован на </w:t>
            </w:r>
            <w:r w:rsidR="005D7248" w:rsidRPr="1A8E6423">
              <w:rPr>
                <w:rFonts w:ascii="Arial" w:hAnsi="Arial" w:cs="Arial"/>
                <w:sz w:val="20"/>
                <w:szCs w:val="20"/>
                <w:lang w:val="sr-Cyrl-RS"/>
              </w:rPr>
              <w:t>начел</w:t>
            </w:r>
            <w:r w:rsidRPr="1A8E6423">
              <w:rPr>
                <w:rFonts w:ascii="Arial" w:hAnsi="Arial" w:cs="Arial"/>
                <w:sz w:val="20"/>
                <w:szCs w:val="20"/>
                <w:lang w:val="sr-Cyrl-RS"/>
              </w:rPr>
              <w:t xml:space="preserve">има добре управе и </w:t>
            </w:r>
            <w:r w:rsidRPr="1A8E6423">
              <w:rPr>
                <w:rFonts w:ascii="Arial" w:hAnsi="Arial" w:cs="Arial"/>
                <w:sz w:val="20"/>
                <w:szCs w:val="20"/>
                <w:lang w:val="sr-Cyrl-RS"/>
              </w:rPr>
              <w:lastRenderedPageBreak/>
              <w:t>намењен пре свега оним градовима и општинама који имају одговарајуће капацитете и стратешки су опредељени да унапреде партиципативност, транспарентност, одговорност и ефикасност у раду на подстицању локалног економског развоја.</w:t>
            </w:r>
          </w:p>
          <w:p w14:paraId="579FA237" w14:textId="77777777" w:rsidR="002C6EC1" w:rsidRPr="00A021B7" w:rsidRDefault="002C6EC1" w:rsidP="1A8E6423">
            <w:pPr>
              <w:ind w:firstLine="428"/>
              <w:jc w:val="both"/>
              <w:rPr>
                <w:rFonts w:ascii="Arial" w:hAnsi="Arial" w:cs="Arial"/>
                <w:sz w:val="20"/>
                <w:szCs w:val="20"/>
                <w:lang w:val="sr-Cyrl-RS"/>
              </w:rPr>
            </w:pPr>
          </w:p>
          <w:p w14:paraId="1BE74C28" w14:textId="0651D46D" w:rsidR="002C6EC1" w:rsidRPr="00A021B7" w:rsidRDefault="290F85F5" w:rsidP="1A8E6423">
            <w:pPr>
              <w:ind w:firstLine="428"/>
              <w:jc w:val="both"/>
              <w:rPr>
                <w:rFonts w:ascii="Arial" w:hAnsi="Arial" w:cs="Arial"/>
                <w:sz w:val="20"/>
                <w:szCs w:val="20"/>
                <w:lang w:val="sr-Cyrl-RS"/>
              </w:rPr>
            </w:pPr>
            <w:r w:rsidRPr="1A8E6423">
              <w:rPr>
                <w:rFonts w:ascii="Arial" w:hAnsi="Arial" w:cs="Arial"/>
                <w:sz w:val="20"/>
                <w:szCs w:val="20"/>
                <w:lang w:val="sr-Cyrl-RS"/>
              </w:rPr>
              <w:t xml:space="preserve">Програм </w:t>
            </w:r>
            <w:r w:rsidR="00F7390F" w:rsidRPr="1A8E6423">
              <w:rPr>
                <w:rFonts w:ascii="Arial" w:hAnsi="Arial" w:cs="Arial"/>
                <w:sz w:val="20"/>
                <w:szCs w:val="20"/>
                <w:lang w:val="sr-Cyrl-RS"/>
              </w:rPr>
              <w:t xml:space="preserve">БФЦ СЕЕ </w:t>
            </w:r>
            <w:r w:rsidRPr="1A8E6423">
              <w:rPr>
                <w:rFonts w:ascii="Arial" w:hAnsi="Arial" w:cs="Arial"/>
                <w:sz w:val="20"/>
                <w:szCs w:val="20"/>
                <w:lang w:val="sr-Cyrl-RS"/>
              </w:rPr>
              <w:t>пружа општинама и градовима јасне смернице о томе како да креирају добру пословну климу, направе процену и унапреде квалитет услуга и информација које су неопходне за континуирани развој и раст привреде на локалу. Такође, Програм представља и водич за активности које ће омогућити локалној самоуправи да изгради и унапреди организационе капацитете, планира развој и прати ефекте свог рада, доноси одлуке кроз дијалог са приватним сектором и транспарентним радом допринесе предвидивости и умањењу ризика у пословању.</w:t>
            </w:r>
          </w:p>
          <w:p w14:paraId="13615E92" w14:textId="70739823" w:rsidR="002C6EC1" w:rsidRPr="00A021B7" w:rsidRDefault="700FEED5" w:rsidP="1A8E6423">
            <w:pPr>
              <w:ind w:firstLine="428"/>
              <w:jc w:val="both"/>
              <w:rPr>
                <w:rFonts w:ascii="Arial" w:hAnsi="Arial" w:cs="Arial"/>
                <w:sz w:val="20"/>
                <w:szCs w:val="20"/>
                <w:lang w:val="sr-Cyrl-RS"/>
              </w:rPr>
            </w:pPr>
            <w:r w:rsidRPr="00A021B7">
              <w:rPr>
                <w:rFonts w:ascii="Arial" w:hAnsi="Arial" w:cs="Arial"/>
                <w:sz w:val="20"/>
                <w:szCs w:val="20"/>
                <w:lang w:val="sr-Cyrl-RS"/>
              </w:rPr>
              <w:t>Оквир Програма чине критеријуми</w:t>
            </w:r>
            <w:r w:rsidR="002C6EC1" w:rsidRPr="00A021B7">
              <w:rPr>
                <w:rStyle w:val="FootnoteReference"/>
                <w:rFonts w:ascii="Arial" w:hAnsi="Arial" w:cs="Arial"/>
                <w:sz w:val="20"/>
                <w:szCs w:val="20"/>
                <w:lang w:val="sr-Cyrl-RS"/>
              </w:rPr>
              <w:footnoteReference w:id="114"/>
            </w:r>
            <w:r w:rsidRPr="00A021B7">
              <w:rPr>
                <w:rFonts w:ascii="Arial" w:hAnsi="Arial" w:cs="Arial"/>
                <w:sz w:val="20"/>
                <w:szCs w:val="20"/>
                <w:lang w:val="sr-Cyrl-RS"/>
              </w:rPr>
              <w:t xml:space="preserve"> за цертификацију</w:t>
            </w:r>
            <w:r w:rsidR="00F7390F">
              <w:rPr>
                <w:rFonts w:ascii="Arial" w:hAnsi="Arial" w:cs="Arial"/>
                <w:sz w:val="20"/>
                <w:szCs w:val="20"/>
                <w:lang w:val="sr-Cyrl-RS"/>
              </w:rPr>
              <w:t>,</w:t>
            </w:r>
            <w:r w:rsidRPr="00A021B7">
              <w:rPr>
                <w:rFonts w:ascii="Arial" w:hAnsi="Arial" w:cs="Arial"/>
                <w:sz w:val="20"/>
                <w:szCs w:val="20"/>
                <w:lang w:val="sr-Cyrl-RS"/>
              </w:rPr>
              <w:t xml:space="preserve"> чије испуњавање треба да доведе до унапређене конкурентности локалне привреде и атрактивности општине/града као дестинације за нова улагања, док сам цертификат представља својеврсну гаранцију да ће постојећи привредници, као и потенцијални инвеститори, добити услуге и информације на начин који олакшава пословање.</w:t>
            </w:r>
          </w:p>
          <w:p w14:paraId="1975B7D2" w14:textId="77777777" w:rsidR="002C6EC1" w:rsidRPr="00A021B7" w:rsidRDefault="002C6EC1" w:rsidP="1A8E6423">
            <w:pPr>
              <w:ind w:firstLine="428"/>
              <w:jc w:val="both"/>
              <w:rPr>
                <w:rFonts w:ascii="Arial" w:hAnsi="Arial" w:cs="Arial"/>
                <w:sz w:val="20"/>
                <w:szCs w:val="20"/>
                <w:lang w:val="sr-Cyrl-RS"/>
              </w:rPr>
            </w:pPr>
          </w:p>
          <w:p w14:paraId="5419B048" w14:textId="144775C7" w:rsidR="002C6EC1" w:rsidRPr="00A021B7" w:rsidRDefault="290F85F5" w:rsidP="1A8E6423">
            <w:pPr>
              <w:ind w:firstLine="428"/>
              <w:jc w:val="both"/>
              <w:rPr>
                <w:rFonts w:ascii="Arial" w:hAnsi="Arial" w:cs="Arial"/>
                <w:sz w:val="20"/>
                <w:szCs w:val="20"/>
                <w:lang w:val="sr-Cyrl-RS"/>
              </w:rPr>
            </w:pPr>
            <w:r w:rsidRPr="1A8E6423">
              <w:rPr>
                <w:rFonts w:ascii="Arial" w:hAnsi="Arial" w:cs="Arial"/>
                <w:sz w:val="20"/>
                <w:szCs w:val="20"/>
                <w:lang w:val="sr-Cyrl-RS"/>
              </w:rPr>
              <w:t xml:space="preserve">Од 2007. године </w:t>
            </w:r>
            <w:r w:rsidR="00F7390F" w:rsidRPr="1A8E6423">
              <w:rPr>
                <w:rFonts w:ascii="Arial" w:hAnsi="Arial" w:cs="Arial"/>
                <w:sz w:val="20"/>
                <w:szCs w:val="20"/>
                <w:lang w:val="sr-Cyrl-RS"/>
              </w:rPr>
              <w:t>су</w:t>
            </w:r>
            <w:r w:rsidR="00F7390F" w:rsidRPr="1A8E6423">
              <w:rPr>
                <w:sz w:val="20"/>
                <w:szCs w:val="20"/>
                <w:lang w:val="sr-Cyrl-RS"/>
              </w:rPr>
              <w:t xml:space="preserve"> </w:t>
            </w:r>
            <w:r w:rsidRPr="1A8E6423">
              <w:rPr>
                <w:rFonts w:ascii="Arial" w:hAnsi="Arial" w:cs="Arial"/>
                <w:sz w:val="20"/>
                <w:szCs w:val="20"/>
                <w:lang w:val="sr-Cyrl-RS"/>
              </w:rPr>
              <w:t>64 локалне самоуправе (37%) учествовале у процесу цертификације. Од 60 реализованих процеса (4 су још увек у току), 36 је завршено успешно (60%), односно 36 градова/општина је цертификовано, док је 24 завршено неу</w:t>
            </w:r>
            <w:r w:rsidR="00AB5C59" w:rsidRPr="1A8E6423">
              <w:rPr>
                <w:rFonts w:ascii="Arial" w:hAnsi="Arial" w:cs="Arial"/>
                <w:sz w:val="20"/>
                <w:szCs w:val="20"/>
                <w:lang w:val="sr-Cyrl-RS"/>
              </w:rPr>
              <w:t>с</w:t>
            </w:r>
            <w:r w:rsidRPr="1A8E6423">
              <w:rPr>
                <w:rFonts w:ascii="Arial" w:hAnsi="Arial" w:cs="Arial"/>
                <w:sz w:val="20"/>
                <w:szCs w:val="20"/>
                <w:lang w:val="sr-Cyrl-RS"/>
              </w:rPr>
              <w:t>пешно (40%). У овом тренутку, 7 градова/општина има валидан БФЦ СЕЕ цертификат, а то су: Стара Пазова, Пожаревац, Шабац, Ћуприја, Пећинци, Нови Сад и Лесковац.</w:t>
            </w:r>
          </w:p>
          <w:p w14:paraId="788C8E73" w14:textId="77777777" w:rsidR="002C6EC1" w:rsidRPr="00A021B7" w:rsidRDefault="002C6EC1" w:rsidP="002C6EC1">
            <w:pPr>
              <w:jc w:val="both"/>
              <w:rPr>
                <w:rFonts w:ascii="Arial" w:hAnsi="Arial" w:cs="Arial"/>
                <w:sz w:val="20"/>
                <w:szCs w:val="20"/>
                <w:lang w:val="sr-Cyrl-RS"/>
              </w:rPr>
            </w:pPr>
          </w:p>
          <w:p w14:paraId="4341B8E1" w14:textId="043AA3A0" w:rsidR="002C6EC1" w:rsidRPr="00A021B7" w:rsidRDefault="290F85F5" w:rsidP="00A57E7E">
            <w:pPr>
              <w:pStyle w:val="ListParagraph"/>
              <w:numPr>
                <w:ilvl w:val="0"/>
                <w:numId w:val="22"/>
              </w:numPr>
              <w:jc w:val="both"/>
              <w:rPr>
                <w:rFonts w:ascii="Arial" w:hAnsi="Arial" w:cs="Arial"/>
                <w:sz w:val="20"/>
                <w:szCs w:val="20"/>
                <w:lang w:val="sr-Cyrl-RS"/>
              </w:rPr>
            </w:pPr>
            <w:r w:rsidRPr="1A8E6423">
              <w:rPr>
                <w:rFonts w:ascii="Arial" w:hAnsi="Arial" w:cs="Arial"/>
                <w:sz w:val="20"/>
                <w:szCs w:val="20"/>
                <w:lang w:val="sr-Cyrl-RS"/>
              </w:rPr>
              <w:t>Просечна испуњеност захтева БФЦ СЕЕ стандарда у Србији износи 89,36%</w:t>
            </w:r>
            <w:r w:rsidR="00F7390F" w:rsidRPr="1A8E6423">
              <w:rPr>
                <w:rFonts w:ascii="Arial" w:hAnsi="Arial" w:cs="Arial"/>
                <w:sz w:val="20"/>
                <w:szCs w:val="20"/>
                <w:lang w:val="sr-Cyrl-RS"/>
              </w:rPr>
              <w:t>.</w:t>
            </w:r>
          </w:p>
          <w:p w14:paraId="4B5E672E" w14:textId="58A3DCCF" w:rsidR="002C6EC1" w:rsidRPr="00A021B7" w:rsidRDefault="290F85F5" w:rsidP="00A57E7E">
            <w:pPr>
              <w:pStyle w:val="ListParagraph"/>
              <w:numPr>
                <w:ilvl w:val="0"/>
                <w:numId w:val="22"/>
              </w:numPr>
              <w:jc w:val="both"/>
              <w:rPr>
                <w:rFonts w:ascii="Arial" w:hAnsi="Arial" w:cs="Arial"/>
                <w:sz w:val="20"/>
                <w:szCs w:val="20"/>
                <w:lang w:val="sr-Cyrl-RS"/>
              </w:rPr>
            </w:pPr>
            <w:r w:rsidRPr="1A8E6423">
              <w:rPr>
                <w:rFonts w:ascii="Arial" w:hAnsi="Arial" w:cs="Arial"/>
                <w:sz w:val="20"/>
                <w:szCs w:val="20"/>
                <w:lang w:val="sr-Cyrl-RS"/>
              </w:rPr>
              <w:t>У току процеса цертификације ЈЛС у просеку остварују напредак од 18,21 процентних поена у погледу испуњености захтева стандарда</w:t>
            </w:r>
            <w:r w:rsidR="00F7390F" w:rsidRPr="1A8E6423">
              <w:rPr>
                <w:rFonts w:ascii="Arial" w:hAnsi="Arial" w:cs="Arial"/>
                <w:sz w:val="20"/>
                <w:szCs w:val="20"/>
                <w:lang w:val="sr-Cyrl-RS"/>
              </w:rPr>
              <w:t>.</w:t>
            </w:r>
          </w:p>
          <w:p w14:paraId="0ED4715A" w14:textId="12077C52" w:rsidR="00604CD6" w:rsidRPr="00A021B7" w:rsidRDefault="290F85F5" w:rsidP="00A57E7E">
            <w:pPr>
              <w:pStyle w:val="ListParagraph"/>
              <w:numPr>
                <w:ilvl w:val="0"/>
                <w:numId w:val="22"/>
              </w:numPr>
              <w:jc w:val="both"/>
              <w:rPr>
                <w:rFonts w:ascii="Arial" w:hAnsi="Arial" w:cs="Arial"/>
                <w:sz w:val="20"/>
                <w:szCs w:val="20"/>
                <w:lang w:val="sr-Cyrl-RS"/>
              </w:rPr>
            </w:pPr>
            <w:r w:rsidRPr="1A8E6423">
              <w:rPr>
                <w:rFonts w:ascii="Arial" w:hAnsi="Arial" w:cs="Arial"/>
                <w:sz w:val="20"/>
                <w:szCs w:val="20"/>
                <w:lang w:val="sr-Cyrl-RS"/>
              </w:rPr>
              <w:t>Највећи проценат општине остварују у погледу активности које се реализују у оквиру канцеларија за ЛЕР и важеће стратегије развоја, док су највећи изазови код захтева који се односе на редовно анкетирање привреде</w:t>
            </w:r>
            <w:r w:rsidR="00F7390F" w:rsidRPr="1A8E6423">
              <w:rPr>
                <w:rFonts w:ascii="Arial" w:hAnsi="Arial" w:cs="Arial"/>
                <w:sz w:val="20"/>
                <w:szCs w:val="20"/>
                <w:lang w:val="sr-Cyrl-RS"/>
              </w:rPr>
              <w:t>,</w:t>
            </w:r>
            <w:r w:rsidRPr="1A8E6423">
              <w:rPr>
                <w:rFonts w:ascii="Arial" w:hAnsi="Arial" w:cs="Arial"/>
                <w:sz w:val="20"/>
                <w:szCs w:val="20"/>
                <w:lang w:val="sr-Cyrl-RS"/>
              </w:rPr>
              <w:t xml:space="preserve"> које спроводи тек свака четврта општина/град (24%) и уважавањ</w:t>
            </w:r>
            <w:r w:rsidR="00F7390F" w:rsidRPr="1A8E6423">
              <w:rPr>
                <w:rFonts w:ascii="Arial" w:hAnsi="Arial" w:cs="Arial"/>
                <w:sz w:val="20"/>
                <w:szCs w:val="20"/>
                <w:lang w:val="sr-Cyrl-RS"/>
              </w:rPr>
              <w:t>е</w:t>
            </w:r>
            <w:r w:rsidRPr="1A8E6423">
              <w:rPr>
                <w:rFonts w:ascii="Arial" w:hAnsi="Arial" w:cs="Arial"/>
                <w:sz w:val="20"/>
                <w:szCs w:val="20"/>
                <w:lang w:val="sr-Cyrl-RS"/>
              </w:rPr>
              <w:t xml:space="preserve"> сугестија привредника приликом доношења релевантних одлука на локалном нивоу</w:t>
            </w:r>
            <w:r w:rsidR="00F7390F" w:rsidRPr="1A8E6423">
              <w:rPr>
                <w:rFonts w:ascii="Arial" w:hAnsi="Arial" w:cs="Arial"/>
                <w:sz w:val="20"/>
                <w:szCs w:val="20"/>
                <w:lang w:val="sr-Cyrl-RS"/>
              </w:rPr>
              <w:t>,</w:t>
            </w:r>
            <w:r w:rsidRPr="1A8E6423">
              <w:rPr>
                <w:rFonts w:ascii="Arial" w:hAnsi="Arial" w:cs="Arial"/>
                <w:sz w:val="20"/>
                <w:szCs w:val="20"/>
                <w:lang w:val="sr-Cyrl-RS"/>
              </w:rPr>
              <w:t xml:space="preserve"> који испуњава свака трећа општина/град (32%).</w:t>
            </w:r>
          </w:p>
        </w:tc>
      </w:tr>
    </w:tbl>
    <w:p w14:paraId="3B28A70B" w14:textId="780E0E96" w:rsidR="00C15DA4" w:rsidRPr="00A021B7" w:rsidRDefault="00C15DA4" w:rsidP="36E1526F">
      <w:pPr>
        <w:contextualSpacing/>
        <w:jc w:val="both"/>
        <w:rPr>
          <w:rFonts w:ascii="Arial" w:eastAsiaTheme="minorEastAsia" w:hAnsi="Arial" w:cs="Arial"/>
          <w:sz w:val="20"/>
          <w:szCs w:val="20"/>
          <w:lang w:val="sr-Cyrl-RS"/>
        </w:rPr>
      </w:pPr>
    </w:p>
    <w:p w14:paraId="4E528B99" w14:textId="4FC25734" w:rsidR="007B239B" w:rsidRPr="00A021B7" w:rsidRDefault="007B239B" w:rsidP="36E1526F">
      <w:pPr>
        <w:contextualSpacing/>
        <w:jc w:val="both"/>
        <w:rPr>
          <w:rFonts w:ascii="Arial" w:eastAsiaTheme="minorEastAsia" w:hAnsi="Arial" w:cs="Arial"/>
          <w:sz w:val="20"/>
          <w:szCs w:val="20"/>
          <w:lang w:val="sr-Cyrl-RS"/>
        </w:rPr>
      </w:pPr>
    </w:p>
    <w:p w14:paraId="5D1B22F7" w14:textId="77777777" w:rsidR="008902F3" w:rsidRPr="00A021B7" w:rsidRDefault="007B239B" w:rsidP="004935B9">
      <w:pPr>
        <w:pStyle w:val="Heading2"/>
        <w:rPr>
          <w:lang w:val="sr-Cyrl-RS"/>
        </w:rPr>
      </w:pPr>
      <w:bookmarkStart w:id="96" w:name="_Toc60136081"/>
      <w:r w:rsidRPr="00A021B7">
        <w:rPr>
          <w:lang w:val="sr-Cyrl-RS"/>
        </w:rPr>
        <w:t xml:space="preserve">IV.8. </w:t>
      </w:r>
      <w:r w:rsidR="008902F3" w:rsidRPr="00A021B7">
        <w:rPr>
          <w:lang w:val="sr-Cyrl-RS"/>
        </w:rPr>
        <w:t>Електронска управа у јединицама локалне самоуправе</w:t>
      </w:r>
      <w:bookmarkEnd w:id="96"/>
    </w:p>
    <w:p w14:paraId="45007A0A" w14:textId="77777777" w:rsidR="004F3A1D" w:rsidRPr="00A021B7" w:rsidRDefault="004F3A1D" w:rsidP="004F3A1D">
      <w:pPr>
        <w:jc w:val="both"/>
        <w:rPr>
          <w:rFonts w:ascii="Arial" w:hAnsi="Arial" w:cs="Arial"/>
          <w:lang w:val="sr-Cyrl-RS"/>
        </w:rPr>
      </w:pPr>
    </w:p>
    <w:p w14:paraId="3E56A6E7" w14:textId="687B3181"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t>Значај равномерног увођења електронске управе и јачања дигитализације у ЈЛС препознат је још у првој Стратегији развоја електронске управе у Републици Србији за период 2015</w:t>
      </w:r>
      <w:r w:rsidR="00835CFF">
        <w:rPr>
          <w:rFonts w:ascii="Arial" w:hAnsi="Arial" w:cs="Arial"/>
          <w:sz w:val="20"/>
          <w:szCs w:val="20"/>
          <w:lang w:val="sr-Cyrl-RS"/>
        </w:rPr>
        <w:t>–</w:t>
      </w:r>
      <w:r w:rsidRPr="00A021B7">
        <w:rPr>
          <w:rFonts w:ascii="Arial" w:hAnsi="Arial" w:cs="Arial"/>
          <w:sz w:val="20"/>
          <w:szCs w:val="20"/>
          <w:lang w:val="sr-Cyrl-RS"/>
        </w:rPr>
        <w:t>2018</w:t>
      </w:r>
      <w:r w:rsidR="00835CFF">
        <w:rPr>
          <w:rFonts w:ascii="Arial" w:hAnsi="Arial" w:cs="Arial"/>
          <w:sz w:val="20"/>
          <w:szCs w:val="20"/>
          <w:lang w:val="sr-Cyrl-RS"/>
        </w:rPr>
        <w:t>. године</w:t>
      </w:r>
      <w:r w:rsidRPr="00A021B7">
        <w:rPr>
          <w:rStyle w:val="FootnoteReference"/>
          <w:rFonts w:ascii="Arial" w:hAnsi="Arial" w:cs="Arial"/>
          <w:sz w:val="20"/>
          <w:szCs w:val="20"/>
          <w:lang w:val="sr-Cyrl-RS"/>
        </w:rPr>
        <w:footnoteReference w:id="115"/>
      </w:r>
      <w:r w:rsidR="00835CFF">
        <w:rPr>
          <w:rFonts w:ascii="Arial" w:hAnsi="Arial" w:cs="Arial"/>
          <w:sz w:val="20"/>
          <w:szCs w:val="20"/>
          <w:lang w:val="sr-Cyrl-RS"/>
        </w:rPr>
        <w:t>,</w:t>
      </w:r>
      <w:r w:rsidRPr="00A021B7">
        <w:rPr>
          <w:rFonts w:ascii="Arial" w:hAnsi="Arial" w:cs="Arial"/>
          <w:sz w:val="20"/>
          <w:szCs w:val="20"/>
          <w:lang w:val="sr-Cyrl-RS"/>
        </w:rPr>
        <w:t xml:space="preserve"> која је предлагала да се </w:t>
      </w:r>
      <w:r w:rsidR="00835CFF">
        <w:rPr>
          <w:rFonts w:ascii="Arial" w:hAnsi="Arial" w:cs="Arial"/>
          <w:sz w:val="20"/>
          <w:szCs w:val="20"/>
          <w:lang w:val="sr-Cyrl-RS"/>
        </w:rPr>
        <w:t>с</w:t>
      </w:r>
      <w:r w:rsidR="00835CFF" w:rsidRPr="00A021B7">
        <w:rPr>
          <w:rFonts w:ascii="Arial" w:hAnsi="Arial" w:cs="Arial"/>
          <w:sz w:val="20"/>
          <w:szCs w:val="20"/>
          <w:lang w:val="sr-Cyrl-RS"/>
        </w:rPr>
        <w:t xml:space="preserve"> </w:t>
      </w:r>
      <w:r w:rsidRPr="00A021B7">
        <w:rPr>
          <w:rFonts w:ascii="Arial" w:hAnsi="Arial" w:cs="Arial"/>
          <w:sz w:val="20"/>
          <w:szCs w:val="20"/>
          <w:lang w:val="sr-Cyrl-RS"/>
        </w:rPr>
        <w:t>циљ</w:t>
      </w:r>
      <w:r w:rsidR="00835CFF">
        <w:rPr>
          <w:rFonts w:ascii="Arial" w:hAnsi="Arial" w:cs="Arial"/>
          <w:sz w:val="20"/>
          <w:szCs w:val="20"/>
          <w:lang w:val="sr-Cyrl-RS"/>
        </w:rPr>
        <w:t>ем</w:t>
      </w:r>
      <w:r w:rsidRPr="00A021B7">
        <w:rPr>
          <w:rFonts w:ascii="Arial" w:hAnsi="Arial" w:cs="Arial"/>
          <w:sz w:val="20"/>
          <w:szCs w:val="20"/>
          <w:lang w:val="sr-Cyrl-RS"/>
        </w:rPr>
        <w:t xml:space="preserve"> унапређења децентрализације и деконцентрације послова државне управе, те боље имплементације електронских сервиса и реформских активности у овој области формира посебно тело за координацију е-управе у локалним самоуправама</w:t>
      </w:r>
      <w:r w:rsidRPr="00A021B7">
        <w:rPr>
          <w:rStyle w:val="FootnoteReference"/>
          <w:rFonts w:ascii="Arial" w:hAnsi="Arial" w:cs="Arial"/>
          <w:sz w:val="20"/>
          <w:szCs w:val="20"/>
          <w:lang w:val="sr-Cyrl-RS"/>
        </w:rPr>
        <w:footnoteReference w:id="116"/>
      </w:r>
      <w:r w:rsidRPr="00A021B7">
        <w:rPr>
          <w:rFonts w:ascii="Arial" w:hAnsi="Arial" w:cs="Arial"/>
          <w:sz w:val="20"/>
          <w:szCs w:val="20"/>
          <w:lang w:val="sr-Cyrl-RS"/>
        </w:rPr>
        <w:t xml:space="preserve">. Међутим, ово тело у РС никада није успостављено. </w:t>
      </w:r>
      <w:r w:rsidR="00835CFF">
        <w:rPr>
          <w:rFonts w:ascii="Arial" w:hAnsi="Arial" w:cs="Arial"/>
          <w:sz w:val="20"/>
          <w:szCs w:val="20"/>
          <w:lang w:val="sr-Cyrl-RS"/>
        </w:rPr>
        <w:t>Ради</w:t>
      </w:r>
      <w:r w:rsidRPr="00A021B7">
        <w:rPr>
          <w:rFonts w:ascii="Arial" w:hAnsi="Arial" w:cs="Arial"/>
          <w:sz w:val="20"/>
          <w:szCs w:val="20"/>
          <w:lang w:val="sr-Cyrl-RS"/>
        </w:rPr>
        <w:t xml:space="preserve"> унапређења квалитета живота становника и бржег развоја дигиталне управе кроз интеграцију нових технологија и стандарда, а сходно глобалним трендовима, Стратегија је још предвиђала и прве кораке ка успостављању паметних градова у Републици Србији. Домет у овој области, међутим, био је врло ограничен.</w:t>
      </w:r>
    </w:p>
    <w:p w14:paraId="1D4DBA85" w14:textId="77777777" w:rsidR="004F3A1D" w:rsidRPr="00A021B7" w:rsidRDefault="004F3A1D" w:rsidP="1A8E6423">
      <w:pPr>
        <w:ind w:firstLine="720"/>
        <w:jc w:val="both"/>
        <w:rPr>
          <w:rFonts w:ascii="Arial" w:hAnsi="Arial" w:cs="Arial"/>
          <w:sz w:val="20"/>
          <w:szCs w:val="20"/>
          <w:lang w:val="sr-Cyrl-RS"/>
        </w:rPr>
      </w:pPr>
    </w:p>
    <w:p w14:paraId="49F9488C" w14:textId="5E27CECB"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lastRenderedPageBreak/>
        <w:t>У међувремену</w:t>
      </w:r>
      <w:r w:rsidR="00835CFF">
        <w:rPr>
          <w:rFonts w:ascii="Arial" w:hAnsi="Arial" w:cs="Arial"/>
          <w:sz w:val="20"/>
          <w:szCs w:val="20"/>
          <w:lang w:val="sr-Cyrl-RS"/>
        </w:rPr>
        <w:t>,</w:t>
      </w:r>
      <w:r w:rsidRPr="00A021B7">
        <w:rPr>
          <w:rFonts w:ascii="Arial" w:hAnsi="Arial" w:cs="Arial"/>
          <w:sz w:val="20"/>
          <w:szCs w:val="20"/>
          <w:lang w:val="sr-Cyrl-RS"/>
        </w:rPr>
        <w:t xml:space="preserve"> да би побољшала институционални оквир управљања у овој области</w:t>
      </w:r>
      <w:r w:rsidR="00835CFF">
        <w:rPr>
          <w:rFonts w:ascii="Arial" w:hAnsi="Arial" w:cs="Arial"/>
          <w:sz w:val="20"/>
          <w:szCs w:val="20"/>
          <w:lang w:val="sr-Cyrl-RS"/>
        </w:rPr>
        <w:t>,</w:t>
      </w:r>
      <w:r w:rsidRPr="00A021B7">
        <w:rPr>
          <w:rFonts w:ascii="Arial" w:hAnsi="Arial" w:cs="Arial"/>
          <w:sz w:val="20"/>
          <w:szCs w:val="20"/>
          <w:lang w:val="sr-Cyrl-RS"/>
        </w:rPr>
        <w:t xml:space="preserve"> Влада је оформила Канцеларију за информационе технологије и електронску управу</w:t>
      </w:r>
      <w:r w:rsidRPr="00A021B7">
        <w:rPr>
          <w:rStyle w:val="FootnoteReference"/>
          <w:rFonts w:ascii="Arial" w:hAnsi="Arial" w:cs="Arial"/>
          <w:sz w:val="20"/>
          <w:szCs w:val="20"/>
          <w:lang w:val="sr-Cyrl-RS"/>
        </w:rPr>
        <w:footnoteReference w:id="117"/>
      </w:r>
      <w:r w:rsidR="00835CFF">
        <w:rPr>
          <w:rFonts w:ascii="Arial" w:hAnsi="Arial" w:cs="Arial"/>
          <w:sz w:val="20"/>
          <w:szCs w:val="20"/>
          <w:lang w:val="sr-Cyrl-RS"/>
        </w:rPr>
        <w:t>,</w:t>
      </w:r>
      <w:r w:rsidRPr="00A021B7">
        <w:rPr>
          <w:rFonts w:ascii="Arial" w:hAnsi="Arial" w:cs="Arial"/>
          <w:sz w:val="20"/>
          <w:szCs w:val="20"/>
          <w:lang w:val="sr-Cyrl-RS"/>
        </w:rPr>
        <w:t xml:space="preserve"> која обавља стручне послове који се односе на пројектовање, развој и функционисање система електронске управе и информационих система и инфраструктуре органа државне управе и служби Владе. Канцеларија може пружати стручну помоћ другим државним органима и организацијама, органима територијалне аутономије и локалне самоуправе и јавним службама у обављању послова из своје надлежности за њихове потребе.</w:t>
      </w:r>
    </w:p>
    <w:p w14:paraId="7B610097" w14:textId="77777777" w:rsidR="004F3A1D" w:rsidRPr="00A021B7" w:rsidRDefault="004F3A1D" w:rsidP="1A8E6423">
      <w:pPr>
        <w:ind w:firstLine="720"/>
        <w:jc w:val="both"/>
        <w:rPr>
          <w:rFonts w:ascii="Arial" w:hAnsi="Arial" w:cs="Arial"/>
          <w:sz w:val="20"/>
          <w:szCs w:val="20"/>
          <w:lang w:val="sr-Cyrl-RS"/>
        </w:rPr>
      </w:pPr>
    </w:p>
    <w:p w14:paraId="5360A9F9" w14:textId="6A0AFBF1"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t>Имајући у виду да је питање развоја е-управе на локалном нивоу од пресудне важности како за подизање нивоа задовољства грађана</w:t>
      </w:r>
      <w:r w:rsidR="00835CFF">
        <w:rPr>
          <w:rFonts w:ascii="Arial" w:hAnsi="Arial" w:cs="Arial"/>
          <w:sz w:val="20"/>
          <w:szCs w:val="20"/>
          <w:lang w:val="sr-Cyrl-RS"/>
        </w:rPr>
        <w:t>,</w:t>
      </w:r>
      <w:r w:rsidRPr="00A021B7">
        <w:rPr>
          <w:rFonts w:ascii="Arial" w:hAnsi="Arial" w:cs="Arial"/>
          <w:sz w:val="20"/>
          <w:szCs w:val="20"/>
          <w:lang w:val="sr-Cyrl-RS"/>
        </w:rPr>
        <w:t xml:space="preserve"> тако и за уједначено пружање услуга на територији РС</w:t>
      </w:r>
      <w:r w:rsidR="00835CFF">
        <w:rPr>
          <w:rFonts w:ascii="Arial" w:hAnsi="Arial" w:cs="Arial"/>
          <w:sz w:val="20"/>
          <w:szCs w:val="20"/>
          <w:lang w:val="sr-Cyrl-RS"/>
        </w:rPr>
        <w:t>,</w:t>
      </w:r>
      <w:r w:rsidRPr="00A021B7">
        <w:rPr>
          <w:rFonts w:ascii="Arial" w:hAnsi="Arial" w:cs="Arial"/>
          <w:sz w:val="20"/>
          <w:szCs w:val="20"/>
          <w:lang w:val="sr-Cyrl-RS"/>
        </w:rPr>
        <w:t xml:space="preserve"> последњи стратешки документ усвојен у овој области </w:t>
      </w:r>
      <w:r w:rsidR="00835CFF">
        <w:rPr>
          <w:rFonts w:ascii="Arial" w:hAnsi="Arial" w:cs="Arial"/>
          <w:sz w:val="20"/>
          <w:szCs w:val="20"/>
          <w:lang w:val="sr-Cyrl-RS"/>
        </w:rPr>
        <w:t xml:space="preserve">– </w:t>
      </w:r>
      <w:r w:rsidRPr="00A021B7">
        <w:rPr>
          <w:rFonts w:ascii="Arial" w:hAnsi="Arial" w:cs="Arial"/>
          <w:sz w:val="20"/>
          <w:szCs w:val="20"/>
          <w:lang w:val="sr-Cyrl-RS"/>
        </w:rPr>
        <w:t>Програм развоја електронске управе у Републици Србији за период 2020</w:t>
      </w:r>
      <w:r w:rsidR="00835CFF">
        <w:rPr>
          <w:rFonts w:ascii="Arial" w:hAnsi="Arial" w:cs="Arial"/>
          <w:sz w:val="20"/>
          <w:szCs w:val="20"/>
          <w:lang w:val="sr-Cyrl-RS"/>
        </w:rPr>
        <w:t>–</w:t>
      </w:r>
      <w:r w:rsidRPr="00A021B7">
        <w:rPr>
          <w:rFonts w:ascii="Arial" w:hAnsi="Arial" w:cs="Arial"/>
          <w:sz w:val="20"/>
          <w:szCs w:val="20"/>
          <w:lang w:val="sr-Cyrl-RS"/>
        </w:rPr>
        <w:t>2022. са Акционим планом</w:t>
      </w:r>
      <w:r w:rsidRPr="00A021B7">
        <w:rPr>
          <w:rStyle w:val="FootnoteReference"/>
          <w:rFonts w:ascii="Arial" w:hAnsi="Arial" w:cs="Arial"/>
          <w:sz w:val="20"/>
          <w:szCs w:val="20"/>
          <w:lang w:val="sr-Cyrl-RS"/>
        </w:rPr>
        <w:footnoteReference w:id="118"/>
      </w:r>
      <w:r w:rsidR="00835CFF">
        <w:rPr>
          <w:rFonts w:ascii="Arial" w:hAnsi="Arial" w:cs="Arial"/>
          <w:sz w:val="20"/>
          <w:szCs w:val="20"/>
          <w:lang w:val="sr-Cyrl-RS"/>
        </w:rPr>
        <w:t>,</w:t>
      </w:r>
      <w:r w:rsidRPr="00A021B7">
        <w:rPr>
          <w:rFonts w:ascii="Arial" w:hAnsi="Arial" w:cs="Arial"/>
          <w:sz w:val="20"/>
          <w:szCs w:val="20"/>
          <w:lang w:val="sr-Cyrl-RS"/>
        </w:rPr>
        <w:t xml:space="preserve"> предвидео је низ мера и активности које ће допринети бољем положају ЈЛС у дигиталном окружењу.</w:t>
      </w:r>
      <w:r w:rsidRPr="00A021B7">
        <w:rPr>
          <w:rStyle w:val="FootnoteReference"/>
          <w:rFonts w:ascii="Arial" w:hAnsi="Arial" w:cs="Arial"/>
          <w:sz w:val="20"/>
          <w:szCs w:val="20"/>
          <w:lang w:val="sr-Cyrl-RS"/>
        </w:rPr>
        <w:footnoteReference w:id="119"/>
      </w:r>
      <w:r w:rsidRPr="00A021B7">
        <w:rPr>
          <w:rFonts w:ascii="Arial" w:hAnsi="Arial" w:cs="Arial"/>
          <w:sz w:val="20"/>
          <w:szCs w:val="20"/>
          <w:lang w:val="sr-Cyrl-RS"/>
        </w:rPr>
        <w:t xml:space="preserve"> Програм је предвидео и изградњу ИКТ инфраструктуре која ће утицати не само на боље перформансе целокупног система, него и </w:t>
      </w:r>
      <w:r w:rsidR="00835CFF">
        <w:rPr>
          <w:rFonts w:ascii="Arial" w:hAnsi="Arial" w:cs="Arial"/>
          <w:sz w:val="20"/>
          <w:szCs w:val="20"/>
          <w:lang w:val="sr-Cyrl-RS"/>
        </w:rPr>
        <w:t xml:space="preserve">на </w:t>
      </w:r>
      <w:r w:rsidRPr="00A021B7">
        <w:rPr>
          <w:rFonts w:ascii="Arial" w:hAnsi="Arial" w:cs="Arial"/>
          <w:sz w:val="20"/>
          <w:szCs w:val="20"/>
          <w:lang w:val="sr-Cyrl-RS"/>
        </w:rPr>
        <w:t>ефикасније деловање јединица локалне самоуправе у домену електронског поступања</w:t>
      </w:r>
      <w:r w:rsidRPr="00A021B7">
        <w:rPr>
          <w:rStyle w:val="FootnoteReference"/>
          <w:rFonts w:ascii="Arial" w:hAnsi="Arial" w:cs="Arial"/>
          <w:sz w:val="20"/>
          <w:szCs w:val="20"/>
          <w:lang w:val="sr-Cyrl-RS"/>
        </w:rPr>
        <w:footnoteReference w:id="120"/>
      </w:r>
      <w:r w:rsidRPr="00A021B7">
        <w:rPr>
          <w:rFonts w:ascii="Arial" w:hAnsi="Arial" w:cs="Arial"/>
          <w:sz w:val="20"/>
          <w:szCs w:val="20"/>
          <w:lang w:val="sr-Cyrl-RS"/>
        </w:rPr>
        <w:t>. Важно је напоменути да се током израде Програма развоја е-управе</w:t>
      </w:r>
      <w:r w:rsidR="00835CFF">
        <w:rPr>
          <w:rFonts w:ascii="Arial" w:hAnsi="Arial" w:cs="Arial"/>
          <w:sz w:val="20"/>
          <w:szCs w:val="20"/>
          <w:lang w:val="sr-Cyrl-RS"/>
        </w:rPr>
        <w:t xml:space="preserve"> за период</w:t>
      </w:r>
      <w:r w:rsidRPr="00A021B7">
        <w:rPr>
          <w:rFonts w:ascii="Arial" w:hAnsi="Arial" w:cs="Arial"/>
          <w:sz w:val="20"/>
          <w:szCs w:val="20"/>
          <w:lang w:val="sr-Cyrl-RS"/>
        </w:rPr>
        <w:t xml:space="preserve"> 2020</w:t>
      </w:r>
      <w:r w:rsidR="00835CFF">
        <w:rPr>
          <w:rFonts w:ascii="Arial" w:hAnsi="Arial" w:cs="Arial"/>
          <w:sz w:val="20"/>
          <w:szCs w:val="20"/>
          <w:lang w:val="sr-Cyrl-RS"/>
        </w:rPr>
        <w:t>–</w:t>
      </w:r>
      <w:r w:rsidRPr="00A021B7">
        <w:rPr>
          <w:rFonts w:ascii="Arial" w:hAnsi="Arial" w:cs="Arial"/>
          <w:sz w:val="20"/>
          <w:szCs w:val="20"/>
          <w:lang w:val="sr-Cyrl-RS"/>
        </w:rPr>
        <w:t>2022. поново јавила дилема</w:t>
      </w:r>
      <w:r w:rsidR="00835CFF">
        <w:rPr>
          <w:rFonts w:ascii="Arial" w:hAnsi="Arial" w:cs="Arial"/>
          <w:sz w:val="20"/>
          <w:szCs w:val="20"/>
          <w:lang w:val="sr-Cyrl-RS"/>
        </w:rPr>
        <w:t xml:space="preserve"> у погледу</w:t>
      </w:r>
      <w:r w:rsidRPr="00A021B7">
        <w:rPr>
          <w:rFonts w:ascii="Arial" w:hAnsi="Arial" w:cs="Arial"/>
          <w:sz w:val="20"/>
          <w:szCs w:val="20"/>
          <w:lang w:val="sr-Cyrl-RS"/>
        </w:rPr>
        <w:t xml:space="preserve"> „успостављања посебног координационог тела за електронску управу на нивоу локалних самоуправа</w:t>
      </w:r>
      <w:r w:rsidR="00835CFF">
        <w:rPr>
          <w:rFonts w:ascii="Arial" w:hAnsi="Arial" w:cs="Arial"/>
          <w:sz w:val="20"/>
          <w:szCs w:val="20"/>
        </w:rPr>
        <w:t>”</w:t>
      </w:r>
      <w:r w:rsidRPr="00A021B7">
        <w:rPr>
          <w:rStyle w:val="FootnoteReference"/>
          <w:rFonts w:ascii="Arial" w:hAnsi="Arial" w:cs="Arial"/>
          <w:sz w:val="20"/>
          <w:szCs w:val="20"/>
          <w:lang w:val="sr-Cyrl-RS"/>
        </w:rPr>
        <w:footnoteReference w:id="121"/>
      </w:r>
      <w:r w:rsidRPr="00A021B7">
        <w:rPr>
          <w:rFonts w:ascii="Arial" w:hAnsi="Arial" w:cs="Arial"/>
          <w:sz w:val="20"/>
          <w:szCs w:val="20"/>
          <w:lang w:val="sr-Cyrl-RS"/>
        </w:rPr>
        <w:t xml:space="preserve"> и да је сагледавана могућност имплементације ове мере</w:t>
      </w:r>
      <w:r w:rsidR="00835CFF">
        <w:rPr>
          <w:rFonts w:ascii="Arial" w:hAnsi="Arial" w:cs="Arial"/>
          <w:sz w:val="20"/>
          <w:szCs w:val="20"/>
          <w:lang w:val="sr-Cyrl-RS"/>
        </w:rPr>
        <w:t>.</w:t>
      </w:r>
      <w:r w:rsidRPr="00A021B7">
        <w:rPr>
          <w:rFonts w:ascii="Arial" w:hAnsi="Arial" w:cs="Arial"/>
          <w:sz w:val="20"/>
          <w:szCs w:val="20"/>
          <w:lang w:val="sr-Cyrl-RS"/>
        </w:rPr>
        <w:t xml:space="preserve"> </w:t>
      </w:r>
      <w:r w:rsidR="00835CFF">
        <w:rPr>
          <w:rFonts w:ascii="Arial" w:hAnsi="Arial" w:cs="Arial"/>
          <w:sz w:val="20"/>
          <w:szCs w:val="20"/>
          <w:lang w:val="sr-Cyrl-RS"/>
        </w:rPr>
        <w:t>М</w:t>
      </w:r>
      <w:r w:rsidRPr="00A021B7">
        <w:rPr>
          <w:rFonts w:ascii="Arial" w:hAnsi="Arial" w:cs="Arial"/>
          <w:sz w:val="20"/>
          <w:szCs w:val="20"/>
          <w:lang w:val="sr-Cyrl-RS"/>
        </w:rPr>
        <w:t>еђутим</w:t>
      </w:r>
      <w:r w:rsidR="00835CFF">
        <w:rPr>
          <w:rFonts w:ascii="Arial" w:hAnsi="Arial" w:cs="Arial"/>
          <w:sz w:val="20"/>
          <w:szCs w:val="20"/>
          <w:lang w:val="sr-Cyrl-RS"/>
        </w:rPr>
        <w:t>,</w:t>
      </w:r>
      <w:r w:rsidRPr="00A021B7">
        <w:rPr>
          <w:rFonts w:ascii="Arial" w:hAnsi="Arial" w:cs="Arial"/>
          <w:sz w:val="20"/>
          <w:szCs w:val="20"/>
          <w:lang w:val="sr-Cyrl-RS"/>
        </w:rPr>
        <w:t xml:space="preserve"> она је на крају само делимично преузета у нов</w:t>
      </w:r>
      <w:r w:rsidR="00835CFF">
        <w:rPr>
          <w:rFonts w:ascii="Arial" w:hAnsi="Arial" w:cs="Arial"/>
          <w:sz w:val="20"/>
          <w:szCs w:val="20"/>
          <w:lang w:val="sr-Cyrl-RS"/>
        </w:rPr>
        <w:t>ом</w:t>
      </w:r>
      <w:r w:rsidRPr="00A021B7">
        <w:rPr>
          <w:rFonts w:ascii="Arial" w:hAnsi="Arial" w:cs="Arial"/>
          <w:sz w:val="20"/>
          <w:szCs w:val="20"/>
          <w:lang w:val="sr-Cyrl-RS"/>
        </w:rPr>
        <w:t xml:space="preserve"> </w:t>
      </w:r>
      <w:r w:rsidR="00835CFF">
        <w:rPr>
          <w:rFonts w:ascii="Arial" w:hAnsi="Arial" w:cs="Arial"/>
          <w:sz w:val="20"/>
          <w:szCs w:val="20"/>
          <w:lang w:val="sr-Cyrl-RS"/>
        </w:rPr>
        <w:t>п</w:t>
      </w:r>
      <w:r w:rsidRPr="00A021B7">
        <w:rPr>
          <w:rFonts w:ascii="Arial" w:hAnsi="Arial" w:cs="Arial"/>
          <w:sz w:val="20"/>
          <w:szCs w:val="20"/>
          <w:lang w:val="sr-Cyrl-RS"/>
        </w:rPr>
        <w:t>рограм</w:t>
      </w:r>
      <w:r w:rsidR="00835CFF">
        <w:rPr>
          <w:rFonts w:ascii="Arial" w:hAnsi="Arial" w:cs="Arial"/>
          <w:sz w:val="20"/>
          <w:szCs w:val="20"/>
          <w:lang w:val="sr-Cyrl-RS"/>
        </w:rPr>
        <w:t>у</w:t>
      </w:r>
      <w:r w:rsidRPr="00A021B7">
        <w:rPr>
          <w:rFonts w:ascii="Arial" w:hAnsi="Arial" w:cs="Arial"/>
          <w:sz w:val="20"/>
          <w:szCs w:val="20"/>
          <w:lang w:val="sr-Cyrl-RS"/>
        </w:rPr>
        <w:t>. Акциони план за спровођење Програма е-управе предвиђа израду анализе за унапређење капацитета ЈЛС за увођење електронске управе у циљу формирања ИКТ сервисних/координационих центара за подршку успостављању и унапређењу е-управе за групе локалних самоуправа.</w:t>
      </w:r>
    </w:p>
    <w:p w14:paraId="3E659EE2" w14:textId="77777777" w:rsidR="004F3A1D" w:rsidRPr="00A021B7" w:rsidRDefault="004F3A1D" w:rsidP="004F3A1D">
      <w:pPr>
        <w:jc w:val="both"/>
        <w:rPr>
          <w:rFonts w:ascii="Arial" w:hAnsi="Arial" w:cs="Arial"/>
          <w:sz w:val="20"/>
          <w:szCs w:val="20"/>
          <w:lang w:val="sr-Cyrl-RS"/>
        </w:rPr>
      </w:pPr>
    </w:p>
    <w:p w14:paraId="5B8D0D61" w14:textId="448CBBCC"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t>Закон о општем управном поступку темељни је пропис за успостављање јавне управе у РС као истинског сервиса грађана и привреде. Закон је</w:t>
      </w:r>
      <w:r w:rsidR="00E92527">
        <w:rPr>
          <w:rFonts w:ascii="Arial" w:hAnsi="Arial" w:cs="Arial"/>
          <w:sz w:val="20"/>
          <w:szCs w:val="20"/>
          <w:lang w:val="sr-Cyrl-RS"/>
        </w:rPr>
        <w:t>,</w:t>
      </w:r>
      <w:r w:rsidRPr="00A021B7">
        <w:rPr>
          <w:rFonts w:ascii="Arial" w:hAnsi="Arial" w:cs="Arial"/>
          <w:sz w:val="20"/>
          <w:szCs w:val="20"/>
          <w:lang w:val="sr-Cyrl-RS"/>
        </w:rPr>
        <w:t xml:space="preserve"> </w:t>
      </w:r>
      <w:r w:rsidR="00E92527">
        <w:rPr>
          <w:rFonts w:ascii="Arial" w:hAnsi="Arial" w:cs="Arial"/>
          <w:sz w:val="20"/>
          <w:szCs w:val="20"/>
          <w:lang w:val="sr-Cyrl-RS"/>
        </w:rPr>
        <w:t>с</w:t>
      </w:r>
      <w:r w:rsidRPr="00A021B7">
        <w:rPr>
          <w:rFonts w:ascii="Arial" w:hAnsi="Arial" w:cs="Arial"/>
          <w:sz w:val="20"/>
          <w:szCs w:val="20"/>
          <w:lang w:val="sr-Cyrl-RS"/>
        </w:rPr>
        <w:t xml:space="preserve"> циљ</w:t>
      </w:r>
      <w:r w:rsidR="00E92527">
        <w:rPr>
          <w:rFonts w:ascii="Arial" w:hAnsi="Arial" w:cs="Arial"/>
          <w:sz w:val="20"/>
          <w:szCs w:val="20"/>
          <w:lang w:val="sr-Cyrl-RS"/>
        </w:rPr>
        <w:t>ем</w:t>
      </w:r>
      <w:r w:rsidRPr="00A021B7">
        <w:rPr>
          <w:rFonts w:ascii="Arial" w:hAnsi="Arial" w:cs="Arial"/>
          <w:sz w:val="20"/>
          <w:szCs w:val="20"/>
          <w:lang w:val="sr-Cyrl-RS"/>
        </w:rPr>
        <w:t xml:space="preserve"> остваривања пуне економичности и делотворности поступака</w:t>
      </w:r>
      <w:r w:rsidR="00E92527">
        <w:rPr>
          <w:rFonts w:ascii="Arial" w:hAnsi="Arial" w:cs="Arial"/>
          <w:sz w:val="20"/>
          <w:szCs w:val="20"/>
          <w:lang w:val="sr-Cyrl-RS"/>
        </w:rPr>
        <w:t>,</w:t>
      </w:r>
      <w:r w:rsidRPr="00A021B7">
        <w:rPr>
          <w:rFonts w:ascii="Arial" w:hAnsi="Arial" w:cs="Arial"/>
          <w:sz w:val="20"/>
          <w:szCs w:val="20"/>
          <w:lang w:val="sr-Cyrl-RS"/>
        </w:rPr>
        <w:t xml:space="preserve"> предвидео обавезу службеника да врше увид</w:t>
      </w:r>
      <w:r w:rsidR="00E92527">
        <w:rPr>
          <w:rFonts w:ascii="Arial" w:hAnsi="Arial" w:cs="Arial"/>
          <w:sz w:val="20"/>
          <w:szCs w:val="20"/>
          <w:lang w:val="sr-Cyrl-RS"/>
        </w:rPr>
        <w:t xml:space="preserve"> у</w:t>
      </w:r>
      <w:r w:rsidRPr="00A021B7">
        <w:rPr>
          <w:rFonts w:ascii="Arial" w:hAnsi="Arial" w:cs="Arial"/>
          <w:sz w:val="20"/>
          <w:szCs w:val="20"/>
          <w:lang w:val="sr-Cyrl-RS"/>
        </w:rPr>
        <w:t>, прибављају, обрађују, уступају, односно достављају податке о чињеницама о којима се воде службене евиденције. Са друге стране</w:t>
      </w:r>
      <w:r w:rsidR="00E92527">
        <w:rPr>
          <w:rFonts w:ascii="Arial" w:hAnsi="Arial" w:cs="Arial"/>
          <w:sz w:val="20"/>
          <w:szCs w:val="20"/>
          <w:lang w:val="sr-Cyrl-RS"/>
        </w:rPr>
        <w:t>,</w:t>
      </w:r>
      <w:r w:rsidRPr="00A021B7">
        <w:rPr>
          <w:rFonts w:ascii="Arial" w:hAnsi="Arial" w:cs="Arial"/>
          <w:sz w:val="20"/>
          <w:szCs w:val="20"/>
          <w:lang w:val="sr-Cyrl-RS"/>
        </w:rPr>
        <w:t xml:space="preserve"> усвајањем Закона о електронској управи</w:t>
      </w:r>
      <w:r w:rsidR="009063C1" w:rsidRPr="00A021B7">
        <w:rPr>
          <w:rFonts w:ascii="Arial" w:hAnsi="Arial" w:cs="Arial"/>
          <w:sz w:val="20"/>
          <w:szCs w:val="20"/>
          <w:lang w:val="sr-Cyrl-RS"/>
        </w:rPr>
        <w:t xml:space="preserve"> („</w:t>
      </w:r>
      <w:r w:rsidR="009063C1" w:rsidRPr="00A021B7">
        <w:rPr>
          <w:rFonts w:ascii="Arial" w:hAnsi="Arial" w:cs="Arial"/>
          <w:sz w:val="20"/>
          <w:szCs w:val="20"/>
          <w:shd w:val="clear" w:color="auto" w:fill="FFFFFF"/>
          <w:lang w:val="sr-Cyrl-RS"/>
        </w:rPr>
        <w:t xml:space="preserve">Службени гласник </w:t>
      </w:r>
      <w:r w:rsidR="003E461E">
        <w:rPr>
          <w:rFonts w:ascii="Arial" w:hAnsi="Arial" w:cs="Arial"/>
          <w:sz w:val="20"/>
          <w:szCs w:val="20"/>
          <w:shd w:val="clear" w:color="auto" w:fill="FFFFFF"/>
          <w:lang w:val="sr-Cyrl-RS"/>
        </w:rPr>
        <w:t>РС</w:t>
      </w:r>
      <w:r w:rsidR="003E461E">
        <w:rPr>
          <w:rFonts w:ascii="Arial" w:hAnsi="Arial" w:cs="Arial"/>
          <w:sz w:val="20"/>
          <w:szCs w:val="20"/>
          <w:shd w:val="clear" w:color="auto" w:fill="FFFFFF"/>
        </w:rPr>
        <w:t>”</w:t>
      </w:r>
      <w:r w:rsidR="009063C1" w:rsidRPr="00A021B7">
        <w:rPr>
          <w:rFonts w:ascii="Arial" w:hAnsi="Arial" w:cs="Arial"/>
          <w:sz w:val="20"/>
          <w:szCs w:val="20"/>
          <w:shd w:val="clear" w:color="auto" w:fill="FFFFFF"/>
          <w:lang w:val="sr-Cyrl-RS"/>
        </w:rPr>
        <w:t>, број 27/18)</w:t>
      </w:r>
      <w:r w:rsidR="009063C1" w:rsidRPr="00A021B7">
        <w:rPr>
          <w:rFonts w:ascii="Arial" w:hAnsi="Arial" w:cs="Arial"/>
          <w:sz w:val="16"/>
          <w:szCs w:val="16"/>
          <w:shd w:val="clear" w:color="auto" w:fill="FFFFFF"/>
          <w:lang w:val="sr-Cyrl-RS"/>
        </w:rPr>
        <w:t xml:space="preserve"> </w:t>
      </w:r>
      <w:r w:rsidRPr="00A021B7">
        <w:rPr>
          <w:rFonts w:ascii="Arial" w:hAnsi="Arial" w:cs="Arial"/>
          <w:sz w:val="20"/>
          <w:szCs w:val="20"/>
          <w:lang w:val="sr-Cyrl-RS"/>
        </w:rPr>
        <w:t>у априлу 2018. трасиран је пут</w:t>
      </w:r>
      <w:r w:rsidR="00E92527">
        <w:rPr>
          <w:rFonts w:ascii="Arial" w:hAnsi="Arial" w:cs="Arial"/>
          <w:sz w:val="20"/>
          <w:szCs w:val="20"/>
          <w:lang w:val="sr-Cyrl-RS"/>
        </w:rPr>
        <w:t xml:space="preserve"> ка</w:t>
      </w:r>
      <w:r w:rsidRPr="00A021B7">
        <w:rPr>
          <w:rFonts w:ascii="Arial" w:hAnsi="Arial" w:cs="Arial"/>
          <w:sz w:val="20"/>
          <w:szCs w:val="20"/>
          <w:lang w:val="sr-Cyrl-RS"/>
        </w:rPr>
        <w:t xml:space="preserve"> даљој модернизацији „пословања</w:t>
      </w:r>
      <w:r w:rsidR="00E92527">
        <w:rPr>
          <w:rFonts w:ascii="Arial" w:hAnsi="Arial" w:cs="Arial"/>
          <w:sz w:val="20"/>
          <w:szCs w:val="20"/>
        </w:rPr>
        <w:t>”</w:t>
      </w:r>
      <w:r w:rsidRPr="00A021B7">
        <w:rPr>
          <w:rFonts w:ascii="Arial" w:hAnsi="Arial" w:cs="Arial"/>
          <w:sz w:val="20"/>
          <w:szCs w:val="20"/>
          <w:lang w:val="sr-Cyrl-RS"/>
        </w:rPr>
        <w:t xml:space="preserve"> свих органа кроз прописивање обавезног коришћења информационо-комуникационих технологија у раду </w:t>
      </w:r>
      <w:r w:rsidRPr="003E461E">
        <w:rPr>
          <w:rFonts w:ascii="Arial" w:hAnsi="Arial" w:cs="Arial"/>
          <w:sz w:val="20"/>
          <w:szCs w:val="20"/>
          <w:lang w:val="sr-Cyrl-RS"/>
        </w:rPr>
        <w:t>јавне управе, њеном комуницирању са корисницима и у управном поступању. Јасно је и да ЈЛС и запослени у јавним установама и предузећима који у оквиру својих јавних овлашћења спроводе административне пр</w:t>
      </w:r>
      <w:r w:rsidRPr="00250271">
        <w:rPr>
          <w:rFonts w:ascii="Arial" w:hAnsi="Arial" w:cs="Arial"/>
          <w:sz w:val="20"/>
          <w:szCs w:val="20"/>
          <w:lang w:val="sr-Cyrl-RS"/>
        </w:rPr>
        <w:t>оцедуре, електронску управу треба да п</w:t>
      </w:r>
      <w:r w:rsidRPr="00F1052C">
        <w:rPr>
          <w:rFonts w:ascii="Arial" w:hAnsi="Arial" w:cs="Arial"/>
          <w:sz w:val="20"/>
          <w:szCs w:val="20"/>
          <w:lang w:val="sr-Cyrl-RS"/>
        </w:rPr>
        <w:t>римењују у најширем сегменту. Зак</w:t>
      </w:r>
      <w:r w:rsidRPr="00F04B1D">
        <w:rPr>
          <w:rFonts w:ascii="Arial" w:hAnsi="Arial" w:cs="Arial"/>
          <w:sz w:val="20"/>
          <w:szCs w:val="20"/>
          <w:lang w:val="sr-Cyrl-RS"/>
        </w:rPr>
        <w:t>он о електронској управи прописао је и да су ор</w:t>
      </w:r>
      <w:r w:rsidRPr="00356942">
        <w:rPr>
          <w:rFonts w:ascii="Arial" w:hAnsi="Arial" w:cs="Arial"/>
          <w:sz w:val="20"/>
          <w:szCs w:val="20"/>
          <w:lang w:val="sr-Cyrl-RS"/>
        </w:rPr>
        <w:t>гани, самим тим и ЈЛС, дужни да обезбеде услове за успостављање електронске управе</w:t>
      </w:r>
      <w:r w:rsidRPr="00E92527">
        <w:rPr>
          <w:rFonts w:ascii="Arial" w:hAnsi="Arial" w:cs="Arial"/>
          <w:sz w:val="20"/>
          <w:szCs w:val="20"/>
          <w:lang w:val="sr-Cyrl-RS"/>
        </w:rPr>
        <w:t xml:space="preserve"> (одговарајућа опрема и софтверска решења, организација послова и радних задатака, именовање администратора за послове који се објављују електронским путем, обезбеђивање кадрова који имају неопходну стручност, искуство и квалификације за примену административних и управљачких процедура, те адекватна обука у областима отворених података, коришћења информационо-комуникационих технологија, примене стандарда информационе безбедности итд.)</w:t>
      </w:r>
      <w:r w:rsidRPr="00E92527">
        <w:rPr>
          <w:rStyle w:val="FootnoteReference"/>
          <w:rFonts w:ascii="Arial" w:hAnsi="Arial" w:cs="Arial"/>
          <w:sz w:val="20"/>
          <w:szCs w:val="20"/>
          <w:lang w:val="sr-Cyrl-RS"/>
        </w:rPr>
        <w:footnoteReference w:id="122"/>
      </w:r>
      <w:r w:rsidRPr="00E92527">
        <w:rPr>
          <w:rFonts w:ascii="Arial" w:hAnsi="Arial" w:cs="Arial"/>
          <w:sz w:val="20"/>
          <w:szCs w:val="20"/>
          <w:lang w:val="sr-Cyrl-RS"/>
        </w:rPr>
        <w:t xml:space="preserve">. </w:t>
      </w:r>
      <w:r w:rsidRPr="003E461E">
        <w:rPr>
          <w:rFonts w:ascii="Arial" w:hAnsi="Arial" w:cs="Arial"/>
          <w:sz w:val="20"/>
          <w:szCs w:val="20"/>
          <w:lang w:val="sr-Cyrl-RS"/>
        </w:rPr>
        <w:t>Прописана је, дакле, обавеза целокупној јавној управи да омогући електронско управно поступање. У том смислу сви органи били су дужн</w:t>
      </w:r>
      <w:r w:rsidRPr="00250271">
        <w:rPr>
          <w:rFonts w:ascii="Arial" w:hAnsi="Arial" w:cs="Arial"/>
          <w:sz w:val="20"/>
          <w:szCs w:val="20"/>
          <w:lang w:val="sr-Cyrl-RS"/>
        </w:rPr>
        <w:t xml:space="preserve">и да припреме е-обрасце за подношење електронских поднесака и </w:t>
      </w:r>
      <w:r w:rsidRPr="00A021B7">
        <w:rPr>
          <w:rFonts w:ascii="Arial" w:hAnsi="Arial" w:cs="Arial"/>
          <w:sz w:val="20"/>
          <w:szCs w:val="20"/>
          <w:lang w:val="sr-Cyrl-RS"/>
        </w:rPr>
        <w:t xml:space="preserve">да </w:t>
      </w:r>
      <w:r w:rsidRPr="00A021B7">
        <w:rPr>
          <w:rFonts w:ascii="Arial" w:hAnsi="Arial" w:cs="Arial"/>
          <w:sz w:val="20"/>
          <w:szCs w:val="20"/>
          <w:lang w:val="sr-Cyrl-RS"/>
        </w:rPr>
        <w:lastRenderedPageBreak/>
        <w:t xml:space="preserve">омогуће њихов пријем преко </w:t>
      </w:r>
      <w:r w:rsidR="00AB5C59">
        <w:rPr>
          <w:rFonts w:ascii="Arial" w:hAnsi="Arial" w:cs="Arial"/>
          <w:sz w:val="20"/>
          <w:szCs w:val="20"/>
          <w:lang w:val="sr-Cyrl-RS"/>
        </w:rPr>
        <w:t>п</w:t>
      </w:r>
      <w:r w:rsidRPr="00A021B7">
        <w:rPr>
          <w:rFonts w:ascii="Arial" w:hAnsi="Arial" w:cs="Arial"/>
          <w:sz w:val="20"/>
          <w:szCs w:val="20"/>
          <w:lang w:val="sr-Cyrl-RS"/>
        </w:rPr>
        <w:t>ортала еУправа или другог веб портала. Рок за то је</w:t>
      </w:r>
      <w:r w:rsidR="00E92527">
        <w:rPr>
          <w:rFonts w:ascii="Arial" w:hAnsi="Arial" w:cs="Arial"/>
          <w:sz w:val="20"/>
          <w:szCs w:val="20"/>
        </w:rPr>
        <w:t>,</w:t>
      </w:r>
      <w:r w:rsidRPr="00A021B7">
        <w:rPr>
          <w:rFonts w:ascii="Arial" w:hAnsi="Arial" w:cs="Arial"/>
          <w:sz w:val="20"/>
          <w:szCs w:val="20"/>
          <w:lang w:val="sr-Cyrl-RS"/>
        </w:rPr>
        <w:t xml:space="preserve"> сходно члану 53. Закона о е-управи</w:t>
      </w:r>
      <w:r w:rsidR="00E92527">
        <w:rPr>
          <w:rFonts w:ascii="Arial" w:hAnsi="Arial" w:cs="Arial"/>
          <w:sz w:val="20"/>
          <w:szCs w:val="20"/>
        </w:rPr>
        <w:t>,</w:t>
      </w:r>
      <w:r w:rsidRPr="00A021B7">
        <w:rPr>
          <w:rFonts w:ascii="Arial" w:hAnsi="Arial" w:cs="Arial"/>
          <w:sz w:val="20"/>
          <w:szCs w:val="20"/>
          <w:lang w:val="sr-Cyrl-RS"/>
        </w:rPr>
        <w:t xml:space="preserve"> истекао октобра 2019. Достављање решења, обавештења, уверења, закључака у </w:t>
      </w:r>
      <w:r w:rsidR="00AB5C59">
        <w:rPr>
          <w:rFonts w:ascii="Arial" w:hAnsi="Arial" w:cs="Arial"/>
          <w:sz w:val="20"/>
          <w:szCs w:val="20"/>
          <w:lang w:val="sr-Cyrl-RS"/>
        </w:rPr>
        <w:t>ј</w:t>
      </w:r>
      <w:r w:rsidRPr="00A021B7">
        <w:rPr>
          <w:rFonts w:ascii="Arial" w:hAnsi="Arial" w:cs="Arial"/>
          <w:sz w:val="20"/>
          <w:szCs w:val="20"/>
          <w:lang w:val="sr-Cyrl-RS"/>
        </w:rPr>
        <w:t>единствени електронски сандучић корисника електронске управе преко модула еДоставе још једна је обавеза органа и треба да употпуни начин вођења административних поступака у дигиталном окружењу.</w:t>
      </w:r>
    </w:p>
    <w:p w14:paraId="4D4734CE" w14:textId="77777777" w:rsidR="004F3A1D" w:rsidRPr="00A021B7" w:rsidRDefault="004F3A1D" w:rsidP="36E1526F">
      <w:pPr>
        <w:rPr>
          <w:rFonts w:ascii="Arial" w:hAnsi="Arial" w:cs="Arial"/>
          <w:b/>
          <w:bCs/>
          <w:sz w:val="20"/>
          <w:szCs w:val="20"/>
          <w:lang w:val="sr-Cyrl-RS"/>
        </w:rPr>
      </w:pPr>
    </w:p>
    <w:p w14:paraId="3FC19243" w14:textId="77777777" w:rsidR="004F3A1D" w:rsidRPr="00A021B7" w:rsidRDefault="004F3A1D" w:rsidP="36E1526F">
      <w:pPr>
        <w:rPr>
          <w:rFonts w:ascii="Arial" w:hAnsi="Arial" w:cs="Arial"/>
          <w:b/>
          <w:bCs/>
          <w:sz w:val="20"/>
          <w:szCs w:val="20"/>
          <w:lang w:val="sr-Cyrl-RS"/>
        </w:rPr>
      </w:pPr>
      <w:r w:rsidRPr="00A021B7">
        <w:rPr>
          <w:rFonts w:ascii="Arial" w:hAnsi="Arial" w:cs="Arial"/>
          <w:b/>
          <w:bCs/>
          <w:sz w:val="20"/>
          <w:szCs w:val="20"/>
          <w:lang w:val="sr-Cyrl-RS"/>
        </w:rPr>
        <w:t>Стање електронске управе у локалним самоуправама – резултати и изазови</w:t>
      </w:r>
    </w:p>
    <w:p w14:paraId="0014DC80" w14:textId="77777777" w:rsidR="004F3A1D" w:rsidRPr="00A021B7" w:rsidRDefault="004F3A1D" w:rsidP="36E1526F">
      <w:pPr>
        <w:rPr>
          <w:rFonts w:ascii="Arial" w:hAnsi="Arial" w:cs="Arial"/>
          <w:b/>
          <w:bCs/>
          <w:sz w:val="20"/>
          <w:szCs w:val="20"/>
          <w:lang w:val="sr-Cyrl-RS"/>
        </w:rPr>
      </w:pPr>
    </w:p>
    <w:p w14:paraId="3B5BCAE7" w14:textId="0059301E" w:rsidR="004F3A1D" w:rsidRPr="00A021B7" w:rsidRDefault="004F3A1D" w:rsidP="1A8E6423">
      <w:pPr>
        <w:ind w:firstLine="720"/>
        <w:jc w:val="both"/>
        <w:rPr>
          <w:rFonts w:ascii="Arial" w:hAnsi="Arial" w:cs="Arial"/>
          <w:sz w:val="20"/>
          <w:szCs w:val="20"/>
          <w:lang w:val="sr-Cyrl-RS"/>
        </w:rPr>
      </w:pPr>
      <w:r w:rsidRPr="1A8E6423">
        <w:rPr>
          <w:rFonts w:ascii="Arial" w:hAnsi="Arial" w:cs="Arial"/>
          <w:sz w:val="20"/>
          <w:szCs w:val="20"/>
          <w:lang w:val="sr-Cyrl-RS"/>
        </w:rPr>
        <w:t>Приликом процене стања електронске управе у Републици Србији констатовано је да међу органима постоје велике разлике у погледу имплементације електронских сервиса и коришћења ИКТ-а, те да неки органи пружају висок трансакциони ниво услуга е-управе својим корисницима, док други тек почињу са успостављањем електронских сервиса. Основни изазов у овој области јесте да се иницира побољшање статуса и ефикасност рада ЈЛС како би се усмерио уједначен и равномеран развој, те решили стварни и предупредили потенцијални проблеми</w:t>
      </w:r>
      <w:r w:rsidR="00E92527" w:rsidRPr="1A8E6423">
        <w:rPr>
          <w:rFonts w:ascii="Arial" w:hAnsi="Arial" w:cs="Arial"/>
          <w:sz w:val="20"/>
          <w:szCs w:val="20"/>
        </w:rPr>
        <w:t>,</w:t>
      </w:r>
      <w:r w:rsidRPr="1A8E6423">
        <w:rPr>
          <w:rFonts w:ascii="Arial" w:hAnsi="Arial" w:cs="Arial"/>
          <w:sz w:val="20"/>
          <w:szCs w:val="20"/>
          <w:lang w:val="sr-Cyrl-RS"/>
        </w:rPr>
        <w:t xml:space="preserve"> али и појачали капацитети ЈЛС за увођење е-управе.</w:t>
      </w:r>
    </w:p>
    <w:p w14:paraId="4B83E6CC" w14:textId="77777777" w:rsidR="004F3A1D" w:rsidRPr="00A021B7" w:rsidRDefault="004F3A1D" w:rsidP="1A8E6423">
      <w:pPr>
        <w:ind w:firstLine="720"/>
        <w:jc w:val="both"/>
        <w:rPr>
          <w:rFonts w:ascii="Arial" w:hAnsi="Arial" w:cs="Arial"/>
          <w:sz w:val="20"/>
          <w:szCs w:val="20"/>
          <w:lang w:val="sr-Cyrl-RS"/>
        </w:rPr>
      </w:pPr>
    </w:p>
    <w:p w14:paraId="1E39F049" w14:textId="5829998B" w:rsidR="004F3A1D" w:rsidRPr="00A021B7" w:rsidRDefault="004F3A1D" w:rsidP="1A8E6423">
      <w:pPr>
        <w:ind w:firstLine="720"/>
        <w:jc w:val="both"/>
        <w:rPr>
          <w:rFonts w:ascii="Arial" w:hAnsi="Arial" w:cs="Arial"/>
          <w:color w:val="000000" w:themeColor="text1"/>
          <w:sz w:val="20"/>
          <w:szCs w:val="20"/>
          <w:lang w:val="sr-Cyrl-RS"/>
        </w:rPr>
      </w:pPr>
      <w:r w:rsidRPr="00A021B7">
        <w:rPr>
          <w:rFonts w:ascii="Arial" w:hAnsi="Arial" w:cs="Arial"/>
          <w:sz w:val="20"/>
          <w:szCs w:val="20"/>
          <w:lang w:val="sr-Cyrl-RS"/>
        </w:rPr>
        <w:t xml:space="preserve">У пружању електронских услуга грађанима и привреди предњаче ЈЛС које су обезбедиле сертификат у складу са Програмом за </w:t>
      </w:r>
      <w:r w:rsidR="003E461E">
        <w:rPr>
          <w:rFonts w:ascii="Arial" w:hAnsi="Arial" w:cs="Arial"/>
          <w:sz w:val="20"/>
          <w:szCs w:val="20"/>
          <w:lang w:val="sr-Cyrl-RS"/>
        </w:rPr>
        <w:t>ц</w:t>
      </w:r>
      <w:r w:rsidRPr="00A021B7">
        <w:rPr>
          <w:rFonts w:ascii="Arial" w:hAnsi="Arial" w:cs="Arial"/>
          <w:sz w:val="20"/>
          <w:szCs w:val="20"/>
          <w:lang w:val="sr-Cyrl-RS"/>
        </w:rPr>
        <w:t>ертификацију општина са повољним пословним окружењем</w:t>
      </w:r>
      <w:r w:rsidRPr="00A021B7">
        <w:rPr>
          <w:rStyle w:val="FootnoteReference"/>
          <w:rFonts w:ascii="Arial" w:hAnsi="Arial" w:cs="Arial"/>
          <w:sz w:val="20"/>
          <w:szCs w:val="20"/>
          <w:lang w:val="sr-Cyrl-RS"/>
        </w:rPr>
        <w:footnoteReference w:id="123"/>
      </w:r>
      <w:r w:rsidR="003476BE" w:rsidRPr="00A021B7">
        <w:rPr>
          <w:rFonts w:ascii="Arial" w:hAnsi="Arial" w:cs="Arial"/>
          <w:lang w:val="sr-Cyrl-RS"/>
        </w:rPr>
        <w:t>,</w:t>
      </w:r>
      <w:r w:rsidRPr="00A021B7">
        <w:rPr>
          <w:rFonts w:ascii="Arial" w:hAnsi="Arial" w:cs="Arial"/>
          <w:sz w:val="20"/>
          <w:szCs w:val="20"/>
          <w:lang w:val="sr-Cyrl-RS"/>
        </w:rPr>
        <w:t xml:space="preserve"> јер су њихови портали по правилу прегледнији и садрже обрасце и довољне информације за спровођење административних процедура. Међутим, изузев у случају обједињене процедуре за издавање грађевинских дозвола и локалних пореских администрација, нико на локалу није обезбедио електронске услуге трећег нивоа софистицираности</w:t>
      </w:r>
      <w:r w:rsidRPr="00A021B7">
        <w:rPr>
          <w:rStyle w:val="FootnoteReference"/>
          <w:rFonts w:ascii="Arial" w:hAnsi="Arial" w:cs="Arial"/>
          <w:sz w:val="20"/>
          <w:szCs w:val="20"/>
          <w:lang w:val="sr-Cyrl-RS"/>
        </w:rPr>
        <w:footnoteReference w:id="124"/>
      </w:r>
      <w:r w:rsidRPr="00A021B7">
        <w:rPr>
          <w:rFonts w:ascii="Arial" w:hAnsi="Arial" w:cs="Arial"/>
          <w:sz w:val="20"/>
          <w:szCs w:val="20"/>
          <w:lang w:val="sr-Cyrl-RS"/>
        </w:rPr>
        <w:t>. П</w:t>
      </w:r>
      <w:r w:rsidRPr="00A021B7">
        <w:rPr>
          <w:rFonts w:ascii="Arial" w:hAnsi="Arial" w:cs="Arial"/>
          <w:color w:val="000000" w:themeColor="text1"/>
          <w:sz w:val="20"/>
          <w:szCs w:val="20"/>
          <w:lang w:val="sr-Cyrl-RS"/>
        </w:rPr>
        <w:t>оједине локалне самоуправе се суочавају са озбиљним потешкоћама у пружању квалитетних услуга грађанима.</w:t>
      </w:r>
    </w:p>
    <w:p w14:paraId="2FC3E1A2" w14:textId="77777777" w:rsidR="004F3A1D" w:rsidRPr="00A021B7" w:rsidRDefault="004F3A1D" w:rsidP="1A8E6423">
      <w:pPr>
        <w:ind w:firstLine="720"/>
        <w:jc w:val="both"/>
        <w:rPr>
          <w:rFonts w:ascii="Arial" w:hAnsi="Arial" w:cs="Arial"/>
          <w:sz w:val="20"/>
          <w:szCs w:val="20"/>
          <w:lang w:val="sr-Cyrl-RS"/>
        </w:rPr>
      </w:pPr>
    </w:p>
    <w:p w14:paraId="08B3D7C6" w14:textId="5C4C9862" w:rsidR="004F3A1D" w:rsidRPr="00A021B7" w:rsidRDefault="004F3A1D" w:rsidP="1A8E6423">
      <w:pPr>
        <w:ind w:firstLine="720"/>
        <w:jc w:val="both"/>
        <w:rPr>
          <w:rFonts w:ascii="Arial" w:hAnsi="Arial" w:cs="Arial"/>
          <w:sz w:val="20"/>
          <w:szCs w:val="20"/>
          <w:lang w:val="sr-Cyrl-RS"/>
        </w:rPr>
      </w:pPr>
      <w:r w:rsidRPr="1A8E6423">
        <w:rPr>
          <w:rFonts w:ascii="Arial" w:hAnsi="Arial" w:cs="Arial"/>
          <w:sz w:val="20"/>
          <w:szCs w:val="20"/>
          <w:lang w:val="sr-Cyrl-RS"/>
        </w:rPr>
        <w:t>У Републици Србији не постоје изграђени механизми за праћење и оцењивање капацитета ЈЛС, степена развијености пружања електронских услуга како би се добила потпуна слика о напретку појединачних градова и општина у овој области. Делотворан алат за праћење напретка ЈЛС неопходан је и ради идентификације проблема, бољег искоришћавања потенцијала ЈЛС, размене знања и добрих пракси у циљу равномерног локалног развоја. Ипак, иако није рађена исцрпна анализа стања електронске управе која би обухватила све ЈЛС у РС</w:t>
      </w:r>
      <w:r w:rsidR="003E461E" w:rsidRPr="1A8E6423">
        <w:rPr>
          <w:rFonts w:ascii="Arial" w:hAnsi="Arial" w:cs="Arial"/>
          <w:sz w:val="20"/>
          <w:szCs w:val="20"/>
          <w:lang w:val="sr-Cyrl-RS"/>
        </w:rPr>
        <w:t>,</w:t>
      </w:r>
      <w:r w:rsidRPr="1A8E6423">
        <w:rPr>
          <w:rFonts w:ascii="Arial" w:hAnsi="Arial" w:cs="Arial"/>
          <w:sz w:val="20"/>
          <w:szCs w:val="20"/>
          <w:lang w:val="sr-Cyrl-RS"/>
        </w:rPr>
        <w:t xml:space="preserve"> спорадично су вршена поједина истраживања у циљу сагледавања стања е-управе на локалу.</w:t>
      </w:r>
    </w:p>
    <w:p w14:paraId="76698B30" w14:textId="77777777" w:rsidR="004F3A1D" w:rsidRPr="00A021B7" w:rsidRDefault="004F3A1D" w:rsidP="1A8E6423">
      <w:pPr>
        <w:ind w:firstLine="720"/>
        <w:jc w:val="both"/>
        <w:rPr>
          <w:rFonts w:ascii="Arial" w:hAnsi="Arial" w:cs="Arial"/>
          <w:sz w:val="20"/>
          <w:szCs w:val="20"/>
          <w:lang w:val="sr-Cyrl-RS"/>
        </w:rPr>
      </w:pPr>
    </w:p>
    <w:p w14:paraId="4A0D9C7C" w14:textId="54AF57CE"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t>Током рада на изради Програма развоја е-управе у РС за период 2020</w:t>
      </w:r>
      <w:r w:rsidR="003E461E">
        <w:rPr>
          <w:rFonts w:ascii="Arial" w:hAnsi="Arial" w:cs="Arial"/>
          <w:sz w:val="20"/>
          <w:szCs w:val="20"/>
          <w:lang w:val="sr-Cyrl-RS"/>
        </w:rPr>
        <w:t>–</w:t>
      </w:r>
      <w:r w:rsidRPr="00A021B7">
        <w:rPr>
          <w:rFonts w:ascii="Arial" w:hAnsi="Arial" w:cs="Arial"/>
          <w:sz w:val="20"/>
          <w:szCs w:val="20"/>
          <w:lang w:val="sr-Cyrl-RS"/>
        </w:rPr>
        <w:t xml:space="preserve">2022. спроведене су консултације са локалним самоуправама (фокус групу спровео је НАЛЕД), а резултати </w:t>
      </w:r>
      <w:r w:rsidR="003E461E">
        <w:rPr>
          <w:rFonts w:ascii="Arial" w:hAnsi="Arial" w:cs="Arial"/>
          <w:sz w:val="20"/>
          <w:szCs w:val="20"/>
          <w:lang w:val="sr-Cyrl-RS"/>
        </w:rPr>
        <w:t xml:space="preserve">су </w:t>
      </w:r>
      <w:r w:rsidRPr="00A021B7">
        <w:rPr>
          <w:rFonts w:ascii="Arial" w:hAnsi="Arial" w:cs="Arial"/>
          <w:sz w:val="20"/>
          <w:szCs w:val="20"/>
          <w:lang w:val="sr-Cyrl-RS"/>
        </w:rPr>
        <w:t xml:space="preserve">објављени у </w:t>
      </w:r>
      <w:r w:rsidRPr="1A8E6423">
        <w:rPr>
          <w:rFonts w:ascii="Arial" w:hAnsi="Arial" w:cs="Arial"/>
          <w:i/>
          <w:iCs/>
          <w:sz w:val="20"/>
          <w:szCs w:val="20"/>
          <w:lang w:val="sr-Cyrl-RS"/>
        </w:rPr>
        <w:t xml:space="preserve">Анализи стања развоја електронске управе у Републици Србији </w:t>
      </w:r>
      <w:r w:rsidR="003E461E" w:rsidRPr="1A8E6423">
        <w:rPr>
          <w:rFonts w:ascii="Arial" w:hAnsi="Arial" w:cs="Arial"/>
          <w:i/>
          <w:iCs/>
          <w:sz w:val="20"/>
          <w:szCs w:val="20"/>
          <w:lang w:val="sr-Cyrl-RS"/>
        </w:rPr>
        <w:t>–</w:t>
      </w:r>
      <w:r w:rsidRPr="1A8E6423">
        <w:rPr>
          <w:rFonts w:ascii="Arial" w:hAnsi="Arial" w:cs="Arial"/>
          <w:i/>
          <w:iCs/>
          <w:sz w:val="20"/>
          <w:szCs w:val="20"/>
          <w:lang w:val="sr-Cyrl-RS"/>
        </w:rPr>
        <w:t xml:space="preserve"> резултати консултативних процеса</w:t>
      </w:r>
      <w:r w:rsidRPr="00A021B7">
        <w:rPr>
          <w:rStyle w:val="FootnoteReference"/>
          <w:rFonts w:ascii="Arial" w:hAnsi="Arial" w:cs="Arial"/>
          <w:sz w:val="20"/>
          <w:szCs w:val="20"/>
          <w:lang w:val="sr-Cyrl-RS"/>
        </w:rPr>
        <w:footnoteReference w:id="125"/>
      </w:r>
      <w:r w:rsidR="003E461E">
        <w:rPr>
          <w:rFonts w:ascii="Arial" w:hAnsi="Arial" w:cs="Arial"/>
          <w:sz w:val="20"/>
          <w:szCs w:val="20"/>
          <w:lang w:val="sr-Cyrl-RS"/>
        </w:rPr>
        <w:t>.</w:t>
      </w:r>
      <w:r w:rsidRPr="00A021B7">
        <w:rPr>
          <w:rFonts w:ascii="Arial" w:hAnsi="Arial" w:cs="Arial"/>
          <w:sz w:val="20"/>
          <w:szCs w:val="20"/>
          <w:lang w:val="sr-Cyrl-RS"/>
        </w:rPr>
        <w:t xml:space="preserve"> Неки од идентификованих проблема у локалним самоуправама су</w:t>
      </w:r>
      <w:r w:rsidR="003E461E">
        <w:rPr>
          <w:rFonts w:ascii="Arial" w:hAnsi="Arial" w:cs="Arial"/>
          <w:sz w:val="20"/>
          <w:szCs w:val="20"/>
          <w:lang w:val="sr-Cyrl-RS"/>
        </w:rPr>
        <w:t xml:space="preserve"> следећи</w:t>
      </w:r>
      <w:r w:rsidRPr="00A021B7">
        <w:rPr>
          <w:rFonts w:ascii="Arial" w:hAnsi="Arial" w:cs="Arial"/>
          <w:sz w:val="20"/>
          <w:szCs w:val="20"/>
          <w:lang w:val="sr-Cyrl-RS"/>
        </w:rPr>
        <w:t>:</w:t>
      </w:r>
    </w:p>
    <w:p w14:paraId="07391831" w14:textId="77777777" w:rsidR="004F3A1D" w:rsidRPr="00A021B7" w:rsidRDefault="004F3A1D" w:rsidP="004F3A1D">
      <w:pPr>
        <w:jc w:val="both"/>
        <w:rPr>
          <w:rFonts w:ascii="Arial" w:hAnsi="Arial" w:cs="Arial"/>
          <w:sz w:val="20"/>
          <w:szCs w:val="20"/>
          <w:lang w:val="sr-Cyrl-RS"/>
        </w:rPr>
      </w:pPr>
    </w:p>
    <w:p w14:paraId="3461CCCB" w14:textId="466702F7" w:rsidR="004F3A1D" w:rsidRPr="00A021B7" w:rsidRDefault="004F3A1D" w:rsidP="00A57E7E">
      <w:pPr>
        <w:pStyle w:val="ListParagraph"/>
        <w:numPr>
          <w:ilvl w:val="0"/>
          <w:numId w:val="24"/>
        </w:numPr>
        <w:jc w:val="both"/>
        <w:rPr>
          <w:rFonts w:ascii="Arial" w:hAnsi="Arial" w:cs="Arial"/>
          <w:sz w:val="20"/>
          <w:szCs w:val="20"/>
          <w:lang w:val="sr-Cyrl-RS"/>
        </w:rPr>
      </w:pPr>
      <w:r w:rsidRPr="1A8E6423">
        <w:rPr>
          <w:rFonts w:ascii="Arial" w:hAnsi="Arial" w:cs="Arial"/>
          <w:sz w:val="20"/>
          <w:szCs w:val="20"/>
          <w:lang w:val="sr-Cyrl-RS"/>
        </w:rPr>
        <w:t xml:space="preserve">15% до 60% рачунара има </w:t>
      </w:r>
      <w:r w:rsidRPr="1A8E6423">
        <w:rPr>
          <w:rFonts w:ascii="Arial" w:hAnsi="Arial" w:cs="Arial"/>
          <w:i/>
          <w:iCs/>
          <w:sz w:val="20"/>
          <w:szCs w:val="20"/>
          <w:lang w:val="sr-Cyrl-RS"/>
        </w:rPr>
        <w:t>XP</w:t>
      </w:r>
      <w:r w:rsidRPr="1A8E6423">
        <w:rPr>
          <w:rFonts w:ascii="Arial" w:hAnsi="Arial" w:cs="Arial"/>
          <w:sz w:val="20"/>
          <w:szCs w:val="20"/>
          <w:lang w:val="sr-Cyrl-RS"/>
        </w:rPr>
        <w:t xml:space="preserve"> верзију </w:t>
      </w:r>
      <w:r w:rsidRPr="1A8E6423">
        <w:rPr>
          <w:rFonts w:ascii="Arial" w:hAnsi="Arial" w:cs="Arial"/>
          <w:i/>
          <w:iCs/>
          <w:sz w:val="20"/>
          <w:szCs w:val="20"/>
          <w:lang w:val="sr-Cyrl-RS"/>
        </w:rPr>
        <w:t>Windows</w:t>
      </w:r>
      <w:r w:rsidRPr="1A8E6423">
        <w:rPr>
          <w:rFonts w:ascii="Arial" w:hAnsi="Arial" w:cs="Arial"/>
          <w:sz w:val="20"/>
          <w:szCs w:val="20"/>
          <w:lang w:val="sr-Cyrl-RS"/>
        </w:rPr>
        <w:t>-а</w:t>
      </w:r>
      <w:r w:rsidR="003E461E" w:rsidRPr="1A8E6423">
        <w:rPr>
          <w:rFonts w:ascii="Arial" w:hAnsi="Arial" w:cs="Arial"/>
          <w:sz w:val="20"/>
          <w:szCs w:val="20"/>
          <w:lang w:val="sr-Cyrl-RS"/>
        </w:rPr>
        <w:t>,</w:t>
      </w:r>
      <w:r w:rsidRPr="1A8E6423">
        <w:rPr>
          <w:rFonts w:ascii="Arial" w:hAnsi="Arial" w:cs="Arial"/>
          <w:sz w:val="20"/>
          <w:szCs w:val="20"/>
          <w:lang w:val="sr-Cyrl-RS"/>
        </w:rPr>
        <w:t xml:space="preserve"> што онемогућава коришћење бројних база и апликација које се пружају са републичког нивоа;</w:t>
      </w:r>
    </w:p>
    <w:p w14:paraId="26FA5C0B" w14:textId="77777777" w:rsidR="004F3A1D" w:rsidRPr="00A021B7" w:rsidRDefault="004F3A1D" w:rsidP="00A57E7E">
      <w:pPr>
        <w:pStyle w:val="ListParagraph"/>
        <w:numPr>
          <w:ilvl w:val="0"/>
          <w:numId w:val="24"/>
        </w:numPr>
        <w:jc w:val="both"/>
        <w:rPr>
          <w:rFonts w:ascii="Arial" w:hAnsi="Arial" w:cs="Arial"/>
          <w:sz w:val="20"/>
          <w:szCs w:val="20"/>
          <w:lang w:val="sr-Cyrl-RS"/>
        </w:rPr>
      </w:pPr>
      <w:r w:rsidRPr="00A021B7">
        <w:rPr>
          <w:rFonts w:ascii="Arial" w:hAnsi="Arial" w:cs="Arial"/>
          <w:sz w:val="20"/>
          <w:szCs w:val="20"/>
          <w:lang w:val="sr-Cyrl-RS"/>
        </w:rPr>
        <w:t>недостатак средстава за набавку лиценцираних софтвера;</w:t>
      </w:r>
    </w:p>
    <w:p w14:paraId="6DA9D2BB" w14:textId="459A20AF" w:rsidR="004F3A1D" w:rsidRPr="00A021B7" w:rsidRDefault="004F3A1D" w:rsidP="00A57E7E">
      <w:pPr>
        <w:pStyle w:val="ListParagraph"/>
        <w:numPr>
          <w:ilvl w:val="0"/>
          <w:numId w:val="24"/>
        </w:numPr>
        <w:jc w:val="both"/>
        <w:rPr>
          <w:rFonts w:ascii="Arial" w:hAnsi="Arial" w:cs="Arial"/>
          <w:sz w:val="20"/>
          <w:szCs w:val="20"/>
          <w:lang w:val="sr-Cyrl-RS"/>
        </w:rPr>
      </w:pPr>
      <w:r w:rsidRPr="1A8E6423">
        <w:rPr>
          <w:rFonts w:ascii="Arial" w:hAnsi="Arial" w:cs="Arial"/>
          <w:sz w:val="20"/>
          <w:szCs w:val="20"/>
          <w:lang w:val="sr-Cyrl-RS"/>
        </w:rPr>
        <w:t>мањак ИТ кадра и масовни одлазак запослених који пружају услуге грађанима;</w:t>
      </w:r>
    </w:p>
    <w:p w14:paraId="27064DBD" w14:textId="77777777" w:rsidR="004F3A1D" w:rsidRPr="00A021B7" w:rsidRDefault="004F3A1D" w:rsidP="00A57E7E">
      <w:pPr>
        <w:pStyle w:val="ListParagraph"/>
        <w:numPr>
          <w:ilvl w:val="0"/>
          <w:numId w:val="24"/>
        </w:numPr>
        <w:jc w:val="both"/>
        <w:rPr>
          <w:rFonts w:ascii="Arial" w:hAnsi="Arial" w:cs="Arial"/>
          <w:sz w:val="20"/>
          <w:szCs w:val="20"/>
          <w:lang w:val="sr-Cyrl-RS"/>
        </w:rPr>
      </w:pPr>
      <w:r w:rsidRPr="00A021B7">
        <w:rPr>
          <w:rFonts w:ascii="Arial" w:hAnsi="Arial" w:cs="Arial"/>
          <w:sz w:val="20"/>
          <w:szCs w:val="20"/>
          <w:lang w:val="sr-Cyrl-RS"/>
        </w:rPr>
        <w:t>бројне потешкоће у увезивању база података између државних органа (ЈЛС су посебно истакле базе МУП-а и РГЗ-а);</w:t>
      </w:r>
    </w:p>
    <w:p w14:paraId="37E1249A" w14:textId="1C708D3A" w:rsidR="004F3A1D" w:rsidRPr="00A021B7" w:rsidRDefault="004F3A1D" w:rsidP="00A57E7E">
      <w:pPr>
        <w:pStyle w:val="ListParagraph"/>
        <w:numPr>
          <w:ilvl w:val="0"/>
          <w:numId w:val="24"/>
        </w:numPr>
        <w:jc w:val="both"/>
        <w:rPr>
          <w:rFonts w:ascii="Arial" w:hAnsi="Arial" w:cs="Arial"/>
          <w:sz w:val="20"/>
          <w:szCs w:val="20"/>
          <w:lang w:val="sr-Cyrl-RS"/>
        </w:rPr>
      </w:pPr>
      <w:r w:rsidRPr="1A8E6423">
        <w:rPr>
          <w:rFonts w:ascii="Arial" w:hAnsi="Arial" w:cs="Arial"/>
          <w:sz w:val="20"/>
          <w:szCs w:val="20"/>
          <w:lang w:val="sr-Cyrl-RS"/>
        </w:rPr>
        <w:t>проблем добијања одобрења за приступ подацима из евиденција државних органа када су у питању изворни послови локалне самоуправе</w:t>
      </w:r>
      <w:r w:rsidR="003E461E" w:rsidRPr="1A8E6423">
        <w:rPr>
          <w:rFonts w:ascii="Arial" w:hAnsi="Arial" w:cs="Arial"/>
          <w:sz w:val="20"/>
          <w:szCs w:val="20"/>
          <w:lang w:val="sr-Cyrl-RS"/>
        </w:rPr>
        <w:t>.</w:t>
      </w:r>
    </w:p>
    <w:p w14:paraId="5345F2B9" w14:textId="77777777" w:rsidR="004F3A1D" w:rsidRPr="00A021B7" w:rsidRDefault="004F3A1D" w:rsidP="004F3A1D">
      <w:pPr>
        <w:jc w:val="both"/>
        <w:rPr>
          <w:rFonts w:ascii="Arial" w:hAnsi="Arial" w:cs="Arial"/>
          <w:sz w:val="20"/>
          <w:szCs w:val="20"/>
          <w:lang w:val="sr-Cyrl-RS"/>
        </w:rPr>
      </w:pPr>
    </w:p>
    <w:p w14:paraId="3D7D87B0" w14:textId="3DD0A64E" w:rsidR="004F3A1D" w:rsidRPr="00A021B7" w:rsidRDefault="004F3A1D" w:rsidP="1A8E6423">
      <w:pPr>
        <w:ind w:firstLine="720"/>
        <w:jc w:val="both"/>
        <w:rPr>
          <w:rFonts w:ascii="Arial" w:hAnsi="Arial" w:cs="Arial"/>
          <w:sz w:val="20"/>
          <w:szCs w:val="20"/>
          <w:lang w:val="sr-Cyrl-RS" w:eastAsia="sr-Latn-RS"/>
        </w:rPr>
      </w:pPr>
      <w:r w:rsidRPr="1A8E6423">
        <w:rPr>
          <w:rFonts w:ascii="Arial" w:hAnsi="Arial" w:cs="Arial"/>
          <w:sz w:val="20"/>
          <w:szCs w:val="20"/>
          <w:lang w:val="sr-Cyrl-RS"/>
        </w:rPr>
        <w:t xml:space="preserve">Локалне самоуправе махом нису постављале своје процедуре на </w:t>
      </w:r>
      <w:r w:rsidR="003E461E" w:rsidRPr="1A8E6423">
        <w:rPr>
          <w:rFonts w:ascii="Arial" w:hAnsi="Arial" w:cs="Arial"/>
          <w:sz w:val="20"/>
          <w:szCs w:val="20"/>
          <w:lang w:val="sr-Cyrl-RS"/>
        </w:rPr>
        <w:t>п</w:t>
      </w:r>
      <w:r w:rsidRPr="1A8E6423">
        <w:rPr>
          <w:rFonts w:ascii="Arial" w:hAnsi="Arial" w:cs="Arial"/>
          <w:sz w:val="20"/>
          <w:szCs w:val="20"/>
          <w:lang w:val="sr-Cyrl-RS"/>
        </w:rPr>
        <w:t xml:space="preserve">ортал еУправа и не знају како то да ураде, а поједине локалне самоуправе су повукле неке од процедура са </w:t>
      </w:r>
      <w:r w:rsidR="003E461E" w:rsidRPr="1A8E6423">
        <w:rPr>
          <w:rFonts w:ascii="Arial" w:hAnsi="Arial" w:cs="Arial"/>
          <w:sz w:val="20"/>
          <w:szCs w:val="20"/>
          <w:lang w:val="sr-Cyrl-RS"/>
        </w:rPr>
        <w:t>п</w:t>
      </w:r>
      <w:r w:rsidRPr="1A8E6423">
        <w:rPr>
          <w:rFonts w:ascii="Arial" w:hAnsi="Arial" w:cs="Arial"/>
          <w:sz w:val="20"/>
          <w:szCs w:val="20"/>
          <w:lang w:val="sr-Cyrl-RS"/>
        </w:rPr>
        <w:t xml:space="preserve">ортала, јер је службеницима било тешко да прате примљене захтеве. </w:t>
      </w:r>
      <w:r w:rsidR="003E461E" w:rsidRPr="1A8E6423">
        <w:rPr>
          <w:rFonts w:ascii="Arial" w:hAnsi="Arial" w:cs="Arial"/>
          <w:sz w:val="20"/>
          <w:szCs w:val="20"/>
          <w:lang w:val="sr-Cyrl-RS"/>
        </w:rPr>
        <w:t>П</w:t>
      </w:r>
      <w:r w:rsidRPr="1A8E6423">
        <w:rPr>
          <w:rFonts w:ascii="Arial" w:hAnsi="Arial" w:cs="Arial"/>
          <w:sz w:val="20"/>
          <w:szCs w:val="20"/>
          <w:lang w:val="sr-Cyrl-RS"/>
        </w:rPr>
        <w:t xml:space="preserve">ривреда је </w:t>
      </w:r>
      <w:r w:rsidR="003E461E" w:rsidRPr="1A8E6423">
        <w:rPr>
          <w:rFonts w:ascii="Arial" w:hAnsi="Arial" w:cs="Arial"/>
          <w:sz w:val="20"/>
          <w:szCs w:val="20"/>
          <w:lang w:val="sr-Cyrl-RS"/>
        </w:rPr>
        <w:t xml:space="preserve">на консултацијама </w:t>
      </w:r>
      <w:r w:rsidRPr="1A8E6423">
        <w:rPr>
          <w:rFonts w:ascii="Arial" w:hAnsi="Arial" w:cs="Arial"/>
          <w:sz w:val="20"/>
          <w:szCs w:val="20"/>
          <w:lang w:val="sr-Cyrl-RS"/>
        </w:rPr>
        <w:t xml:space="preserve">наводила да је на локалном нивоу много компликованије завршити процедуру, а представници донаторских организација истицали су да би развој е-управе на локалу допринео већем задовољству грађана и привреде. Један од закључака Анализе био је да је потребно додатну пажњу усмерити ка дигитализацији локалних процедура. А у неколико наврата се предлагало </w:t>
      </w:r>
      <w:r w:rsidRPr="1A8E6423">
        <w:rPr>
          <w:rFonts w:ascii="Arial" w:hAnsi="Arial" w:cs="Arial"/>
          <w:sz w:val="20"/>
          <w:szCs w:val="20"/>
          <w:lang w:val="sr-Cyrl-RS"/>
        </w:rPr>
        <w:lastRenderedPageBreak/>
        <w:t xml:space="preserve">увођење </w:t>
      </w:r>
      <w:r w:rsidR="003E461E" w:rsidRPr="1A8E6423">
        <w:rPr>
          <w:rFonts w:ascii="Arial" w:hAnsi="Arial" w:cs="Arial"/>
          <w:sz w:val="20"/>
          <w:szCs w:val="20"/>
          <w:lang w:val="sr-Cyrl-RS"/>
        </w:rPr>
        <w:t>међуопштинске сарадње (</w:t>
      </w:r>
      <w:r w:rsidRPr="1A8E6423">
        <w:rPr>
          <w:rFonts w:ascii="Arial" w:hAnsi="Arial" w:cs="Arial"/>
          <w:sz w:val="20"/>
          <w:szCs w:val="20"/>
          <w:lang w:val="sr-Cyrl-RS"/>
        </w:rPr>
        <w:t>МОС</w:t>
      </w:r>
      <w:r w:rsidR="003E461E" w:rsidRPr="1A8E6423">
        <w:rPr>
          <w:rFonts w:ascii="Arial" w:hAnsi="Arial" w:cs="Arial"/>
          <w:sz w:val="20"/>
          <w:szCs w:val="20"/>
          <w:lang w:val="sr-Cyrl-RS"/>
        </w:rPr>
        <w:t>)</w:t>
      </w:r>
      <w:r w:rsidRPr="1A8E6423">
        <w:rPr>
          <w:rFonts w:ascii="Arial" w:hAnsi="Arial" w:cs="Arial"/>
          <w:sz w:val="20"/>
          <w:szCs w:val="20"/>
          <w:lang w:val="sr-Cyrl-RS"/>
        </w:rPr>
        <w:t xml:space="preserve"> у овој области, заједничко формирање служби, као и успостављање међуопштинске сарадње при дељењу сервера и ИТ стручњака.</w:t>
      </w:r>
    </w:p>
    <w:p w14:paraId="13CB34AC" w14:textId="77777777" w:rsidR="004F3A1D" w:rsidRPr="00A021B7" w:rsidRDefault="004F3A1D" w:rsidP="1A8E6423">
      <w:pPr>
        <w:ind w:firstLine="720"/>
        <w:jc w:val="both"/>
        <w:rPr>
          <w:rFonts w:ascii="Arial" w:hAnsi="Arial" w:cs="Arial"/>
          <w:sz w:val="20"/>
          <w:szCs w:val="20"/>
          <w:lang w:val="sr-Cyrl-RS" w:eastAsia="sr-Latn-RS"/>
        </w:rPr>
      </w:pPr>
    </w:p>
    <w:p w14:paraId="75B053C4" w14:textId="2FB54BCF"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У циљу утврђивања степена спровођења е-управе на локалном нивоу у оквиру </w:t>
      </w:r>
      <w:r w:rsidRPr="1A8E6423">
        <w:rPr>
          <w:rFonts w:ascii="Arial" w:hAnsi="Arial" w:cs="Arial"/>
          <w:i/>
          <w:iCs/>
          <w:sz w:val="20"/>
          <w:szCs w:val="20"/>
          <w:lang w:val="sr-Cyrl-RS"/>
        </w:rPr>
        <w:t>Swiss PRO</w:t>
      </w:r>
      <w:r w:rsidRPr="00A021B7">
        <w:rPr>
          <w:rFonts w:ascii="Arial" w:hAnsi="Arial" w:cs="Arial"/>
          <w:sz w:val="20"/>
          <w:szCs w:val="20"/>
          <w:lang w:val="sr-Cyrl-RS"/>
        </w:rPr>
        <w:t xml:space="preserve">, </w:t>
      </w:r>
      <w:r w:rsidR="00A510F2">
        <w:rPr>
          <w:rFonts w:ascii="Arial" w:hAnsi="Arial" w:cs="Arial"/>
          <w:sz w:val="20"/>
          <w:szCs w:val="20"/>
          <w:lang w:val="sr-Cyrl-RS"/>
        </w:rPr>
        <w:t>п</w:t>
      </w:r>
      <w:r w:rsidRPr="00A021B7">
        <w:rPr>
          <w:rFonts w:ascii="Arial" w:hAnsi="Arial" w:cs="Arial"/>
          <w:sz w:val="20"/>
          <w:szCs w:val="20"/>
          <w:lang w:val="sr-Cyrl-RS"/>
        </w:rPr>
        <w:t>рограма подршке Владе Швајцарске развоју општина кроз унапређење доброг управљања и социјалне укључености</w:t>
      </w:r>
      <w:r w:rsidR="00A510F2">
        <w:rPr>
          <w:rFonts w:ascii="Arial" w:hAnsi="Arial" w:cs="Arial"/>
          <w:sz w:val="20"/>
          <w:szCs w:val="20"/>
          <w:lang w:val="sr-Cyrl-RS"/>
        </w:rPr>
        <w:t>,</w:t>
      </w:r>
      <w:r w:rsidRPr="00A021B7">
        <w:rPr>
          <w:rFonts w:ascii="Arial" w:hAnsi="Arial" w:cs="Arial"/>
          <w:sz w:val="20"/>
          <w:szCs w:val="20"/>
          <w:lang w:val="sr-Cyrl-RS"/>
        </w:rPr>
        <w:t xml:space="preserve"> који спроводи Канцеларија Уједињених нација за пројектне услуге (</w:t>
      </w:r>
      <w:r w:rsidRPr="1A8E6423">
        <w:rPr>
          <w:rFonts w:ascii="Arial" w:hAnsi="Arial" w:cs="Arial"/>
          <w:i/>
          <w:iCs/>
          <w:sz w:val="20"/>
          <w:szCs w:val="20"/>
          <w:lang w:val="sr-Cyrl-RS"/>
        </w:rPr>
        <w:t>UNOPS</w:t>
      </w:r>
      <w:r w:rsidRPr="00A021B7">
        <w:rPr>
          <w:rFonts w:ascii="Arial" w:hAnsi="Arial" w:cs="Arial"/>
          <w:sz w:val="20"/>
          <w:szCs w:val="20"/>
          <w:lang w:val="sr-Cyrl-RS"/>
        </w:rPr>
        <w:t xml:space="preserve">), урађена је </w:t>
      </w:r>
      <w:r w:rsidRPr="1A8E6423">
        <w:rPr>
          <w:rFonts w:ascii="Arial" w:hAnsi="Arial" w:cs="Arial"/>
          <w:i/>
          <w:iCs/>
          <w:sz w:val="20"/>
          <w:szCs w:val="20"/>
          <w:lang w:val="sr-Cyrl-RS"/>
        </w:rPr>
        <w:t>Процена стања електронске управе у јединицама локалне самоуправе</w:t>
      </w:r>
      <w:r w:rsidRPr="00A021B7">
        <w:rPr>
          <w:rFonts w:ascii="Arial" w:hAnsi="Arial" w:cs="Arial"/>
          <w:sz w:val="20"/>
          <w:szCs w:val="20"/>
          <w:lang w:val="sr-Cyrl-RS"/>
        </w:rPr>
        <w:t xml:space="preserve"> (</w:t>
      </w:r>
      <w:r w:rsidRPr="1A8E6423">
        <w:rPr>
          <w:rFonts w:ascii="Arial" w:hAnsi="Arial" w:cs="Arial"/>
          <w:i/>
          <w:iCs/>
          <w:sz w:val="20"/>
          <w:szCs w:val="20"/>
          <w:lang w:val="sr-Cyrl-RS"/>
        </w:rPr>
        <w:t>Swiss PRO</w:t>
      </w:r>
      <w:r w:rsidRPr="00A021B7">
        <w:rPr>
          <w:rFonts w:ascii="Arial" w:hAnsi="Arial" w:cs="Arial"/>
          <w:sz w:val="20"/>
          <w:szCs w:val="20"/>
          <w:lang w:val="sr-Cyrl-RS"/>
        </w:rPr>
        <w:t xml:space="preserve"> индекс развоја е-управе </w:t>
      </w:r>
      <w:r w:rsidR="00A510F2">
        <w:rPr>
          <w:rFonts w:ascii="Arial" w:hAnsi="Arial" w:cs="Arial"/>
          <w:sz w:val="20"/>
          <w:szCs w:val="20"/>
          <w:lang w:val="sr-Cyrl-RS"/>
        </w:rPr>
        <w:t>–</w:t>
      </w:r>
      <w:r w:rsidRPr="00A021B7">
        <w:rPr>
          <w:rFonts w:ascii="Arial" w:hAnsi="Arial" w:cs="Arial"/>
          <w:sz w:val="20"/>
          <w:szCs w:val="20"/>
          <w:lang w:val="sr-Cyrl-RS"/>
        </w:rPr>
        <w:t xml:space="preserve"> </w:t>
      </w:r>
      <w:r w:rsidRPr="1A8E6423">
        <w:rPr>
          <w:rFonts w:ascii="Arial" w:hAnsi="Arial" w:cs="Arial"/>
          <w:i/>
          <w:iCs/>
          <w:sz w:val="20"/>
          <w:szCs w:val="20"/>
          <w:lang w:val="sr-Cyrl-RS"/>
        </w:rPr>
        <w:t>Swiss PRO EGDI 2018</w:t>
      </w:r>
      <w:r w:rsidRPr="00A021B7">
        <w:rPr>
          <w:rFonts w:ascii="Arial" w:hAnsi="Arial" w:cs="Arial"/>
          <w:sz w:val="20"/>
          <w:szCs w:val="20"/>
          <w:lang w:val="sr-Cyrl-RS"/>
        </w:rPr>
        <w:t>)</w:t>
      </w:r>
      <w:r w:rsidRPr="00A021B7">
        <w:rPr>
          <w:rStyle w:val="FootnoteReference"/>
          <w:rFonts w:ascii="Arial" w:hAnsi="Arial" w:cs="Arial"/>
          <w:sz w:val="20"/>
          <w:szCs w:val="20"/>
          <w:lang w:val="sr-Cyrl-RS"/>
        </w:rPr>
        <w:footnoteReference w:id="126"/>
      </w:r>
      <w:r w:rsidRPr="00A021B7">
        <w:rPr>
          <w:rFonts w:ascii="Arial" w:hAnsi="Arial" w:cs="Arial"/>
          <w:sz w:val="20"/>
          <w:szCs w:val="20"/>
          <w:lang w:val="sr-Cyrl-RS"/>
        </w:rPr>
        <w:t>. Овај индекс мерен је у шездесет ЈЛС које су биле обухваћене истраживањем, а индикатори су били: пружање електронских услуга, капацитет и спремност ЈЛС за реализацију е-услуга и информатичку писменост и задовољство корисника услугама е-управе.</w:t>
      </w:r>
    </w:p>
    <w:p w14:paraId="088A89A2" w14:textId="77777777" w:rsidR="004F3A1D" w:rsidRPr="00A021B7" w:rsidRDefault="004F3A1D" w:rsidP="1A8E6423">
      <w:pPr>
        <w:ind w:firstLine="720"/>
        <w:jc w:val="both"/>
        <w:rPr>
          <w:rFonts w:ascii="Arial" w:hAnsi="Arial" w:cs="Arial"/>
          <w:sz w:val="20"/>
          <w:szCs w:val="20"/>
          <w:lang w:val="sr-Cyrl-RS"/>
        </w:rPr>
      </w:pPr>
    </w:p>
    <w:p w14:paraId="45CEB00B" w14:textId="6C1844A2" w:rsidR="004F3A1D" w:rsidRPr="00A021B7" w:rsidRDefault="004F3A1D" w:rsidP="1A8E6423">
      <w:pPr>
        <w:ind w:firstLine="720"/>
        <w:jc w:val="both"/>
        <w:rPr>
          <w:rFonts w:ascii="Arial" w:hAnsi="Arial" w:cs="Arial"/>
          <w:sz w:val="20"/>
          <w:szCs w:val="20"/>
          <w:lang w:val="sr-Cyrl-RS"/>
        </w:rPr>
      </w:pPr>
      <w:r w:rsidRPr="1A8E6423">
        <w:rPr>
          <w:rFonts w:ascii="Arial" w:hAnsi="Arial" w:cs="Arial"/>
          <w:sz w:val="20"/>
          <w:szCs w:val="20"/>
          <w:lang w:val="sr-Cyrl-RS"/>
        </w:rPr>
        <w:t>Према овом истраживању</w:t>
      </w:r>
      <w:r w:rsidR="00517020" w:rsidRPr="1A8E6423">
        <w:rPr>
          <w:rFonts w:ascii="Arial" w:hAnsi="Arial" w:cs="Arial"/>
          <w:sz w:val="20"/>
          <w:szCs w:val="20"/>
          <w:lang w:val="sr-Cyrl-RS"/>
        </w:rPr>
        <w:t>,</w:t>
      </w:r>
      <w:r w:rsidRPr="1A8E6423">
        <w:rPr>
          <w:rFonts w:ascii="Arial" w:hAnsi="Arial" w:cs="Arial"/>
          <w:sz w:val="20"/>
          <w:szCs w:val="20"/>
          <w:lang w:val="sr-Cyrl-RS"/>
        </w:rPr>
        <w:t xml:space="preserve"> лидери међу градов</w:t>
      </w:r>
      <w:r w:rsidR="00517020" w:rsidRPr="1A8E6423">
        <w:rPr>
          <w:rFonts w:ascii="Arial" w:hAnsi="Arial" w:cs="Arial"/>
          <w:sz w:val="20"/>
          <w:szCs w:val="20"/>
          <w:lang w:val="sr-Cyrl-RS"/>
        </w:rPr>
        <w:t>им</w:t>
      </w:r>
      <w:r w:rsidRPr="1A8E6423">
        <w:rPr>
          <w:rFonts w:ascii="Arial" w:hAnsi="Arial" w:cs="Arial"/>
          <w:sz w:val="20"/>
          <w:szCs w:val="20"/>
          <w:lang w:val="sr-Cyrl-RS"/>
        </w:rPr>
        <w:t>а са највећим индексом развоја у области е-управе су Зрењанин, Нови Пазар, Панчево, Шабац и Ниш (претходних година они су значајно инвестирали у израду веб-сајтова, набавку хардвера и софтвера, безбедност података, развили су више е-сервиса и имају обучене ИТ администраторе), док међу општинама предњаче Књажевац, Сремска Митровица, Врњачка Бања и Бечеј.</w:t>
      </w:r>
    </w:p>
    <w:p w14:paraId="25446592" w14:textId="77777777" w:rsidR="004F3A1D" w:rsidRPr="00A021B7" w:rsidRDefault="004F3A1D" w:rsidP="1A8E6423">
      <w:pPr>
        <w:ind w:firstLine="720"/>
        <w:jc w:val="both"/>
        <w:rPr>
          <w:rFonts w:ascii="Arial" w:hAnsi="Arial" w:cs="Arial"/>
          <w:sz w:val="20"/>
          <w:szCs w:val="20"/>
          <w:lang w:val="sr-Cyrl-RS"/>
        </w:rPr>
      </w:pPr>
    </w:p>
    <w:p w14:paraId="4BF96822" w14:textId="51C6CA97" w:rsidR="004F3A1D" w:rsidRPr="00A021B7" w:rsidRDefault="004F3A1D" w:rsidP="1A8E6423">
      <w:pPr>
        <w:ind w:firstLine="720"/>
        <w:rPr>
          <w:rFonts w:ascii="Arial" w:hAnsi="Arial" w:cs="Arial"/>
          <w:sz w:val="20"/>
          <w:szCs w:val="20"/>
          <w:lang w:val="sr-Cyrl-RS"/>
        </w:rPr>
      </w:pPr>
      <w:r w:rsidRPr="1A8E6423">
        <w:rPr>
          <w:rFonts w:ascii="Arial" w:hAnsi="Arial" w:cs="Arial"/>
          <w:sz w:val="20"/>
          <w:szCs w:val="20"/>
          <w:lang w:val="sr-Cyrl-RS"/>
        </w:rPr>
        <w:t>Кључни налази истраживања са аспекта развоја е-управе били су</w:t>
      </w:r>
      <w:r w:rsidR="00517020" w:rsidRPr="1A8E6423">
        <w:rPr>
          <w:rFonts w:ascii="Arial" w:hAnsi="Arial" w:cs="Arial"/>
          <w:sz w:val="20"/>
          <w:szCs w:val="20"/>
          <w:lang w:val="sr-Cyrl-RS"/>
        </w:rPr>
        <w:t xml:space="preserve"> следећи</w:t>
      </w:r>
      <w:r w:rsidRPr="1A8E6423">
        <w:rPr>
          <w:rFonts w:ascii="Arial" w:hAnsi="Arial" w:cs="Arial"/>
          <w:sz w:val="20"/>
          <w:szCs w:val="20"/>
          <w:lang w:val="sr-Cyrl-RS"/>
        </w:rPr>
        <w:t>:</w:t>
      </w:r>
    </w:p>
    <w:p w14:paraId="3A1CAEE1" w14:textId="77777777" w:rsidR="004F3A1D" w:rsidRPr="00A021B7" w:rsidRDefault="004F3A1D" w:rsidP="1A8E6423">
      <w:pPr>
        <w:ind w:firstLine="720"/>
        <w:rPr>
          <w:rFonts w:ascii="Arial" w:hAnsi="Arial" w:cs="Arial"/>
          <w:sz w:val="20"/>
          <w:szCs w:val="20"/>
          <w:lang w:val="sr-Cyrl-RS"/>
        </w:rPr>
      </w:pPr>
    </w:p>
    <w:p w14:paraId="796DAEFF" w14:textId="3CC3D479" w:rsidR="004F3A1D" w:rsidRPr="00A021B7" w:rsidRDefault="004F3A1D" w:rsidP="00A57E7E">
      <w:pPr>
        <w:pStyle w:val="ListParagraph"/>
        <w:numPr>
          <w:ilvl w:val="0"/>
          <w:numId w:val="25"/>
        </w:numPr>
        <w:jc w:val="both"/>
        <w:rPr>
          <w:rFonts w:ascii="Arial" w:hAnsi="Arial" w:cs="Arial"/>
          <w:sz w:val="20"/>
          <w:szCs w:val="20"/>
          <w:lang w:val="sr-Cyrl-RS"/>
        </w:rPr>
      </w:pPr>
      <w:r w:rsidRPr="1A8E6423">
        <w:rPr>
          <w:rFonts w:ascii="Arial" w:hAnsi="Arial" w:cs="Arial"/>
          <w:sz w:val="20"/>
          <w:szCs w:val="20"/>
          <w:lang w:val="sr-Cyrl-RS"/>
        </w:rPr>
        <w:t>скоро половина општина има застареле веб</w:t>
      </w:r>
      <w:r w:rsidR="00517020" w:rsidRPr="1A8E6423">
        <w:rPr>
          <w:rFonts w:ascii="Arial" w:hAnsi="Arial" w:cs="Arial"/>
          <w:sz w:val="20"/>
          <w:szCs w:val="20"/>
          <w:lang w:val="sr-Cyrl-RS"/>
        </w:rPr>
        <w:t>-</w:t>
      </w:r>
      <w:r w:rsidRPr="1A8E6423">
        <w:rPr>
          <w:rFonts w:ascii="Arial" w:hAnsi="Arial" w:cs="Arial"/>
          <w:sz w:val="20"/>
          <w:szCs w:val="20"/>
          <w:lang w:val="sr-Cyrl-RS"/>
        </w:rPr>
        <w:t>презентације које не одговарају стандардима;</w:t>
      </w:r>
    </w:p>
    <w:p w14:paraId="7FDF74DA" w14:textId="5483B310" w:rsidR="004F3A1D" w:rsidRPr="00A021B7" w:rsidRDefault="004F3A1D" w:rsidP="00A57E7E">
      <w:pPr>
        <w:pStyle w:val="ListParagraph"/>
        <w:numPr>
          <w:ilvl w:val="0"/>
          <w:numId w:val="25"/>
        </w:numPr>
        <w:jc w:val="both"/>
        <w:rPr>
          <w:rFonts w:ascii="Arial" w:hAnsi="Arial" w:cs="Arial"/>
          <w:sz w:val="20"/>
          <w:szCs w:val="20"/>
          <w:lang w:val="sr-Cyrl-RS"/>
        </w:rPr>
      </w:pPr>
      <w:r w:rsidRPr="00A021B7">
        <w:rPr>
          <w:rFonts w:ascii="Arial" w:hAnsi="Arial" w:cs="Arial"/>
          <w:sz w:val="20"/>
          <w:szCs w:val="20"/>
          <w:lang w:val="sr-Cyrl-RS"/>
        </w:rPr>
        <w:t>општине не поштују у потпуности прописану структуру и дизајн веб</w:t>
      </w:r>
      <w:r w:rsidR="00517020">
        <w:rPr>
          <w:rFonts w:ascii="Arial" w:hAnsi="Arial" w:cs="Arial"/>
          <w:sz w:val="20"/>
          <w:szCs w:val="20"/>
          <w:lang w:val="sr-Cyrl-RS"/>
        </w:rPr>
        <w:t>-</w:t>
      </w:r>
      <w:r w:rsidRPr="00A021B7">
        <w:rPr>
          <w:rFonts w:ascii="Arial" w:hAnsi="Arial" w:cs="Arial"/>
          <w:sz w:val="20"/>
          <w:szCs w:val="20"/>
          <w:lang w:val="sr-Cyrl-RS"/>
        </w:rPr>
        <w:t>сајтова, а присутна је и неусаглашеност доменских имена, као и налога електронске поште запослених службеника</w:t>
      </w:r>
      <w:r w:rsidRPr="00A021B7">
        <w:rPr>
          <w:rStyle w:val="FootnoteReference"/>
          <w:rFonts w:ascii="Arial" w:hAnsi="Arial" w:cs="Arial"/>
          <w:sz w:val="20"/>
          <w:szCs w:val="20"/>
          <w:lang w:val="sr-Cyrl-RS"/>
        </w:rPr>
        <w:footnoteReference w:id="127"/>
      </w:r>
      <w:r w:rsidRPr="00A021B7">
        <w:rPr>
          <w:rFonts w:ascii="Arial" w:hAnsi="Arial" w:cs="Arial"/>
          <w:sz w:val="20"/>
          <w:szCs w:val="20"/>
          <w:lang w:val="sr-Cyrl-RS"/>
        </w:rPr>
        <w:t>;</w:t>
      </w:r>
    </w:p>
    <w:p w14:paraId="3A92D817" w14:textId="5B7943BA" w:rsidR="004F3A1D" w:rsidRPr="00A021B7" w:rsidRDefault="004F3A1D" w:rsidP="00A57E7E">
      <w:pPr>
        <w:pStyle w:val="ListParagraph"/>
        <w:numPr>
          <w:ilvl w:val="0"/>
          <w:numId w:val="25"/>
        </w:numPr>
        <w:jc w:val="both"/>
        <w:rPr>
          <w:rFonts w:ascii="Arial" w:hAnsi="Arial" w:cs="Arial"/>
          <w:sz w:val="20"/>
          <w:szCs w:val="20"/>
          <w:lang w:val="sr-Cyrl-RS"/>
        </w:rPr>
      </w:pPr>
      <w:r w:rsidRPr="00A021B7">
        <w:rPr>
          <w:rFonts w:ascii="Arial" w:hAnsi="Arial" w:cs="Arial"/>
          <w:sz w:val="20"/>
          <w:szCs w:val="20"/>
          <w:lang w:val="sr-Cyrl-RS"/>
        </w:rPr>
        <w:t>ЈЛС на својим сајтовима нуде углавном електронске услуге које се односе на матичне књиге и уверења о држављанству</w:t>
      </w:r>
      <w:r w:rsidR="00517020">
        <w:rPr>
          <w:rFonts w:ascii="Arial" w:hAnsi="Arial" w:cs="Arial"/>
          <w:sz w:val="20"/>
          <w:szCs w:val="20"/>
          <w:lang w:val="sr-Cyrl-RS"/>
        </w:rPr>
        <w:t>,</w:t>
      </w:r>
      <w:r w:rsidRPr="00A021B7">
        <w:rPr>
          <w:rFonts w:ascii="Arial" w:hAnsi="Arial" w:cs="Arial"/>
          <w:sz w:val="20"/>
          <w:szCs w:val="20"/>
          <w:lang w:val="sr-Cyrl-RS"/>
        </w:rPr>
        <w:t xml:space="preserve"> док су за већину других услуга информације доступне, али се захтеви не могу поднети или обрадити електронски</w:t>
      </w:r>
      <w:r w:rsidRPr="00A021B7">
        <w:rPr>
          <w:rStyle w:val="FootnoteReference"/>
          <w:rFonts w:ascii="Arial" w:hAnsi="Arial" w:cs="Arial"/>
          <w:sz w:val="20"/>
          <w:szCs w:val="20"/>
          <w:lang w:val="sr-Cyrl-RS"/>
        </w:rPr>
        <w:footnoteReference w:id="128"/>
      </w:r>
      <w:r w:rsidRPr="00A021B7">
        <w:rPr>
          <w:rFonts w:ascii="Arial" w:hAnsi="Arial" w:cs="Arial"/>
          <w:sz w:val="20"/>
          <w:szCs w:val="20"/>
          <w:lang w:val="sr-Cyrl-RS"/>
        </w:rPr>
        <w:t>;</w:t>
      </w:r>
    </w:p>
    <w:p w14:paraId="2E78BECD" w14:textId="77777777" w:rsidR="004F3A1D" w:rsidRPr="00A021B7" w:rsidRDefault="004F3A1D" w:rsidP="00A57E7E">
      <w:pPr>
        <w:pStyle w:val="ListParagraph"/>
        <w:numPr>
          <w:ilvl w:val="0"/>
          <w:numId w:val="25"/>
        </w:numPr>
        <w:jc w:val="both"/>
        <w:rPr>
          <w:rFonts w:ascii="Arial" w:hAnsi="Arial" w:cs="Arial"/>
          <w:sz w:val="20"/>
          <w:szCs w:val="20"/>
          <w:lang w:val="sr-Cyrl-RS"/>
        </w:rPr>
      </w:pPr>
      <w:r w:rsidRPr="00A021B7">
        <w:rPr>
          <w:rFonts w:ascii="Arial" w:hAnsi="Arial" w:cs="Arial"/>
          <w:sz w:val="20"/>
          <w:szCs w:val="20"/>
          <w:lang w:val="sr-Cyrl-RS"/>
        </w:rPr>
        <w:t>око две трећине ЈЛС користи географски информациони систем (ГИС), али подаци се могу користити у само 13 ЈЛС;</w:t>
      </w:r>
    </w:p>
    <w:p w14:paraId="693C8D25" w14:textId="77777777" w:rsidR="004F3A1D" w:rsidRPr="00A021B7" w:rsidRDefault="004F3A1D" w:rsidP="00A57E7E">
      <w:pPr>
        <w:pStyle w:val="ListParagraph"/>
        <w:numPr>
          <w:ilvl w:val="0"/>
          <w:numId w:val="25"/>
        </w:numPr>
        <w:jc w:val="both"/>
        <w:rPr>
          <w:rFonts w:ascii="Arial" w:hAnsi="Arial" w:cs="Arial"/>
          <w:sz w:val="20"/>
          <w:szCs w:val="20"/>
          <w:lang w:val="sr-Cyrl-RS"/>
        </w:rPr>
      </w:pPr>
      <w:r w:rsidRPr="00A021B7">
        <w:rPr>
          <w:rFonts w:ascii="Arial" w:hAnsi="Arial" w:cs="Arial"/>
          <w:sz w:val="20"/>
          <w:szCs w:val="20"/>
          <w:lang w:val="sr-Cyrl-RS"/>
        </w:rPr>
        <w:t>готово половина ЈЛС има електронски систем за пријављивање комуналних проблема, међутим, само 13 ових система приказује све пријављене проблеме са њиховим статусом на систематичан и транспарентан начин;</w:t>
      </w:r>
    </w:p>
    <w:p w14:paraId="52FFBA01" w14:textId="17C3B7DE" w:rsidR="004F3A1D" w:rsidRPr="00A021B7" w:rsidRDefault="004F3A1D" w:rsidP="00A57E7E">
      <w:pPr>
        <w:pStyle w:val="ListParagraph"/>
        <w:numPr>
          <w:ilvl w:val="0"/>
          <w:numId w:val="25"/>
        </w:numPr>
        <w:jc w:val="both"/>
        <w:rPr>
          <w:rFonts w:ascii="Arial" w:hAnsi="Arial" w:cs="Arial"/>
          <w:sz w:val="20"/>
          <w:szCs w:val="20"/>
          <w:lang w:val="sr-Cyrl-RS"/>
        </w:rPr>
      </w:pPr>
      <w:r w:rsidRPr="1A8E6423">
        <w:rPr>
          <w:rFonts w:ascii="Arial" w:hAnsi="Arial" w:cs="Arial"/>
          <w:sz w:val="20"/>
          <w:szCs w:val="20"/>
          <w:lang w:val="sr-Cyrl-RS"/>
        </w:rPr>
        <w:t>од 60 истраживањем обухваћеним локалних управа</w:t>
      </w:r>
      <w:r w:rsidR="00517020" w:rsidRPr="1A8E6423">
        <w:rPr>
          <w:rFonts w:ascii="Arial" w:hAnsi="Arial" w:cs="Arial"/>
          <w:sz w:val="20"/>
          <w:szCs w:val="20"/>
          <w:lang w:val="sr-Cyrl-RS"/>
        </w:rPr>
        <w:t>,</w:t>
      </w:r>
      <w:r w:rsidRPr="1A8E6423">
        <w:rPr>
          <w:rFonts w:ascii="Arial" w:hAnsi="Arial" w:cs="Arial"/>
          <w:sz w:val="20"/>
          <w:szCs w:val="20"/>
          <w:lang w:val="sr-Cyrl-RS"/>
        </w:rPr>
        <w:t xml:space="preserve"> само 24 ЈЛС (њих око 40%) поставиле су било какве услуге на </w:t>
      </w:r>
      <w:r w:rsidR="00517020" w:rsidRPr="1A8E6423">
        <w:rPr>
          <w:rFonts w:ascii="Arial" w:hAnsi="Arial" w:cs="Arial"/>
          <w:sz w:val="20"/>
          <w:szCs w:val="20"/>
          <w:lang w:val="sr-Cyrl-RS"/>
        </w:rPr>
        <w:t>п</w:t>
      </w:r>
      <w:r w:rsidRPr="1A8E6423">
        <w:rPr>
          <w:rFonts w:ascii="Arial" w:hAnsi="Arial" w:cs="Arial"/>
          <w:sz w:val="20"/>
          <w:szCs w:val="20"/>
          <w:lang w:val="sr-Cyrl-RS"/>
        </w:rPr>
        <w:t>орталу еУправе, док још мањи број заиста и нуди е-услуге;</w:t>
      </w:r>
    </w:p>
    <w:p w14:paraId="378F91FA" w14:textId="77777777" w:rsidR="004F3A1D" w:rsidRPr="00A021B7" w:rsidRDefault="004F3A1D" w:rsidP="00A57E7E">
      <w:pPr>
        <w:pStyle w:val="ListParagraph"/>
        <w:numPr>
          <w:ilvl w:val="0"/>
          <w:numId w:val="25"/>
        </w:numPr>
        <w:jc w:val="both"/>
        <w:rPr>
          <w:rFonts w:ascii="Arial" w:hAnsi="Arial" w:cs="Arial"/>
          <w:sz w:val="20"/>
          <w:szCs w:val="20"/>
          <w:lang w:val="sr-Cyrl-RS"/>
        </w:rPr>
      </w:pPr>
      <w:r w:rsidRPr="00A021B7">
        <w:rPr>
          <w:rFonts w:ascii="Arial" w:hAnsi="Arial" w:cs="Arial"/>
          <w:sz w:val="20"/>
          <w:szCs w:val="20"/>
          <w:lang w:val="sr-Cyrl-RS"/>
        </w:rPr>
        <w:t>све анкетиране ЈЛС налазе се у некој мери на интероперабилној сервисној магистрали</w:t>
      </w:r>
      <w:r w:rsidRPr="00A021B7">
        <w:rPr>
          <w:rStyle w:val="FootnoteReference"/>
          <w:rFonts w:ascii="Arial" w:hAnsi="Arial" w:cs="Arial"/>
          <w:sz w:val="20"/>
          <w:szCs w:val="20"/>
          <w:lang w:val="sr-Cyrl-RS"/>
        </w:rPr>
        <w:footnoteReference w:id="129"/>
      </w:r>
      <w:r w:rsidRPr="00A021B7">
        <w:rPr>
          <w:rFonts w:ascii="Arial" w:hAnsi="Arial" w:cs="Arial"/>
          <w:sz w:val="20"/>
          <w:szCs w:val="20"/>
          <w:lang w:val="sr-Cyrl-RS"/>
        </w:rPr>
        <w:t>;</w:t>
      </w:r>
    </w:p>
    <w:p w14:paraId="19E006F4" w14:textId="77777777" w:rsidR="004F3A1D" w:rsidRPr="00A021B7" w:rsidRDefault="004F3A1D" w:rsidP="00A57E7E">
      <w:pPr>
        <w:pStyle w:val="ListParagraph"/>
        <w:numPr>
          <w:ilvl w:val="0"/>
          <w:numId w:val="25"/>
        </w:numPr>
        <w:jc w:val="both"/>
        <w:rPr>
          <w:rFonts w:ascii="Arial" w:hAnsi="Arial" w:cs="Arial"/>
          <w:sz w:val="20"/>
          <w:szCs w:val="20"/>
          <w:lang w:val="sr-Cyrl-RS"/>
        </w:rPr>
      </w:pPr>
      <w:r w:rsidRPr="00A021B7">
        <w:rPr>
          <w:rFonts w:ascii="Arial" w:hAnsi="Arial" w:cs="Arial"/>
          <w:sz w:val="20"/>
          <w:szCs w:val="20"/>
          <w:lang w:val="sr-Cyrl-RS"/>
        </w:rPr>
        <w:t>више од 60% ЈЛС нема успостављену електронску писарницу, односно, електронски систем за управљање документима са е-чувањем;</w:t>
      </w:r>
    </w:p>
    <w:p w14:paraId="42777E08" w14:textId="1B72192D" w:rsidR="004F3A1D" w:rsidRPr="00A021B7" w:rsidRDefault="004F3A1D" w:rsidP="00A57E7E">
      <w:pPr>
        <w:pStyle w:val="ListParagraph"/>
        <w:numPr>
          <w:ilvl w:val="0"/>
          <w:numId w:val="25"/>
        </w:numPr>
        <w:jc w:val="both"/>
        <w:rPr>
          <w:rFonts w:ascii="Arial" w:hAnsi="Arial" w:cs="Arial"/>
          <w:sz w:val="20"/>
          <w:szCs w:val="20"/>
          <w:lang w:val="sr-Cyrl-RS"/>
        </w:rPr>
      </w:pPr>
      <w:r w:rsidRPr="1A8E6423">
        <w:rPr>
          <w:rFonts w:ascii="Arial" w:hAnsi="Arial" w:cs="Arial"/>
          <w:sz w:val="20"/>
          <w:szCs w:val="20"/>
          <w:lang w:val="sr-Cyrl-RS"/>
        </w:rPr>
        <w:t>слаба техничка опремљеност је велика препрека увођењу е-управе (мање од једне трећине општина има хардвер адекватног квалитета, више од половине ЈЛС се суочава са озбиљним проблемима застарелих оперативних система, а само седам користи регистровани софтвер;</w:t>
      </w:r>
    </w:p>
    <w:p w14:paraId="7D2AC601" w14:textId="40EE54FD" w:rsidR="004F3A1D" w:rsidRPr="00A021B7" w:rsidRDefault="00517020" w:rsidP="00A57E7E">
      <w:pPr>
        <w:pStyle w:val="ListParagraph"/>
        <w:numPr>
          <w:ilvl w:val="0"/>
          <w:numId w:val="25"/>
        </w:numPr>
        <w:jc w:val="both"/>
        <w:rPr>
          <w:rFonts w:ascii="Arial" w:hAnsi="Arial" w:cs="Arial"/>
          <w:sz w:val="20"/>
          <w:szCs w:val="20"/>
          <w:lang w:val="sr-Cyrl-RS"/>
        </w:rPr>
      </w:pPr>
      <w:r w:rsidRPr="1A8E6423">
        <w:rPr>
          <w:rFonts w:ascii="Arial" w:hAnsi="Arial" w:cs="Arial"/>
          <w:sz w:val="20"/>
          <w:szCs w:val="20"/>
          <w:lang w:val="sr-Cyrl-RS"/>
        </w:rPr>
        <w:t>с</w:t>
      </w:r>
      <w:r w:rsidR="004F3A1D" w:rsidRPr="1A8E6423">
        <w:rPr>
          <w:rFonts w:ascii="Arial" w:hAnsi="Arial" w:cs="Arial"/>
          <w:sz w:val="20"/>
          <w:szCs w:val="20"/>
          <w:lang w:val="sr-Cyrl-RS"/>
        </w:rPr>
        <w:t xml:space="preserve">ве анкетиране ЈЛС се боре са проблемима </w:t>
      </w:r>
      <w:r w:rsidRPr="1A8E6423">
        <w:rPr>
          <w:rFonts w:ascii="Arial" w:hAnsi="Arial" w:cs="Arial"/>
          <w:sz w:val="20"/>
          <w:szCs w:val="20"/>
          <w:lang w:val="sr-Cyrl-RS"/>
        </w:rPr>
        <w:t xml:space="preserve">у погледу </w:t>
      </w:r>
      <w:r w:rsidR="004F3A1D" w:rsidRPr="1A8E6423">
        <w:rPr>
          <w:rFonts w:ascii="Arial" w:hAnsi="Arial" w:cs="Arial"/>
          <w:sz w:val="20"/>
          <w:szCs w:val="20"/>
          <w:lang w:val="sr-Cyrl-RS"/>
        </w:rPr>
        <w:t>капацитета ИТ кадра, многе ангажују спољне сараднике, а мање општине имају једног запосленог или хонорарног програмера који не може да покрије све информатичке потребе (општина Инђија једина има Агенцију за ИТ са осам запослених, а град Ниш Секретаријат за ИТ са више од 30 запослених);</w:t>
      </w:r>
    </w:p>
    <w:p w14:paraId="6CFB110B" w14:textId="0DC012B5" w:rsidR="004F3A1D" w:rsidRPr="00A021B7" w:rsidRDefault="00517020" w:rsidP="00A57E7E">
      <w:pPr>
        <w:pStyle w:val="ListParagraph"/>
        <w:numPr>
          <w:ilvl w:val="0"/>
          <w:numId w:val="25"/>
        </w:numPr>
        <w:jc w:val="both"/>
        <w:rPr>
          <w:rFonts w:ascii="Arial" w:hAnsi="Arial" w:cs="Arial"/>
          <w:sz w:val="20"/>
          <w:szCs w:val="20"/>
          <w:lang w:val="sr-Cyrl-RS"/>
        </w:rPr>
      </w:pPr>
      <w:r w:rsidRPr="1A8E6423">
        <w:rPr>
          <w:rFonts w:ascii="Arial" w:hAnsi="Arial" w:cs="Arial"/>
          <w:sz w:val="20"/>
          <w:szCs w:val="20"/>
          <w:lang w:val="sr-Cyrl-RS"/>
        </w:rPr>
        <w:lastRenderedPageBreak/>
        <w:t>б</w:t>
      </w:r>
      <w:r w:rsidR="004F3A1D" w:rsidRPr="1A8E6423">
        <w:rPr>
          <w:rFonts w:ascii="Arial" w:hAnsi="Arial" w:cs="Arial"/>
          <w:sz w:val="20"/>
          <w:szCs w:val="20"/>
          <w:lang w:val="sr-Cyrl-RS"/>
        </w:rPr>
        <w:t>езбедност мреже, хардвера и софтвера је најмање поштовани стандард (35% ЈЛС није усвојил</w:t>
      </w:r>
      <w:r w:rsidRPr="1A8E6423">
        <w:rPr>
          <w:rFonts w:ascii="Arial" w:hAnsi="Arial" w:cs="Arial"/>
          <w:sz w:val="20"/>
          <w:szCs w:val="20"/>
          <w:lang w:val="sr-Cyrl-RS"/>
        </w:rPr>
        <w:t>о</w:t>
      </w:r>
      <w:r w:rsidR="004F3A1D" w:rsidRPr="1A8E6423">
        <w:rPr>
          <w:rFonts w:ascii="Arial" w:hAnsi="Arial" w:cs="Arial"/>
          <w:sz w:val="20"/>
          <w:szCs w:val="20"/>
          <w:lang w:val="sr-Cyrl-RS"/>
        </w:rPr>
        <w:t xml:space="preserve"> акт о ИТ безбедности у законском року)</w:t>
      </w:r>
      <w:r w:rsidRPr="1A8E6423">
        <w:rPr>
          <w:rFonts w:ascii="Arial" w:hAnsi="Arial" w:cs="Arial"/>
          <w:sz w:val="20"/>
          <w:szCs w:val="20"/>
          <w:lang w:val="sr-Cyrl-RS"/>
        </w:rPr>
        <w:t>.</w:t>
      </w:r>
    </w:p>
    <w:p w14:paraId="76C9B66C" w14:textId="77777777" w:rsidR="004F3A1D" w:rsidRPr="00A021B7" w:rsidRDefault="004F3A1D" w:rsidP="004F3A1D">
      <w:pPr>
        <w:pStyle w:val="ListParagraph"/>
        <w:jc w:val="both"/>
        <w:rPr>
          <w:rFonts w:ascii="Arial" w:hAnsi="Arial" w:cs="Arial"/>
          <w:sz w:val="20"/>
          <w:szCs w:val="20"/>
          <w:lang w:val="sr-Cyrl-RS"/>
        </w:rPr>
      </w:pPr>
    </w:p>
    <w:p w14:paraId="33684EF0" w14:textId="1D799791"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Тренутно на националном </w:t>
      </w:r>
      <w:r w:rsidR="00517020">
        <w:rPr>
          <w:rFonts w:ascii="Arial" w:hAnsi="Arial" w:cs="Arial"/>
          <w:sz w:val="20"/>
          <w:szCs w:val="20"/>
          <w:lang w:val="sr-Cyrl-RS"/>
        </w:rPr>
        <w:t>п</w:t>
      </w:r>
      <w:r w:rsidRPr="00A021B7">
        <w:rPr>
          <w:rFonts w:ascii="Arial" w:hAnsi="Arial" w:cs="Arial"/>
          <w:sz w:val="20"/>
          <w:szCs w:val="20"/>
          <w:lang w:val="sr-Cyrl-RS"/>
        </w:rPr>
        <w:t>орталу еУправ</w:t>
      </w:r>
      <w:r w:rsidR="00517020">
        <w:rPr>
          <w:rFonts w:ascii="Arial" w:hAnsi="Arial" w:cs="Arial"/>
          <w:sz w:val="20"/>
          <w:szCs w:val="20"/>
          <w:lang w:val="sr-Cyrl-RS"/>
        </w:rPr>
        <w:t>а</w:t>
      </w:r>
      <w:r w:rsidRPr="00A021B7">
        <w:rPr>
          <w:rStyle w:val="FootnoteReference"/>
          <w:rFonts w:ascii="Arial" w:hAnsi="Arial" w:cs="Arial"/>
          <w:sz w:val="20"/>
          <w:szCs w:val="20"/>
          <w:lang w:val="sr-Cyrl-RS"/>
        </w:rPr>
        <w:footnoteReference w:id="130"/>
      </w:r>
      <w:r w:rsidRPr="00A021B7">
        <w:rPr>
          <w:rFonts w:ascii="Arial" w:hAnsi="Arial" w:cs="Arial"/>
          <w:sz w:val="20"/>
          <w:szCs w:val="20"/>
          <w:lang w:val="sr-Cyrl-RS"/>
        </w:rPr>
        <w:t>, који је јединствена тачка приступа целокупној електронској управи РС</w:t>
      </w:r>
      <w:r w:rsidR="00517020">
        <w:rPr>
          <w:rFonts w:ascii="Arial" w:hAnsi="Arial" w:cs="Arial"/>
          <w:sz w:val="20"/>
          <w:szCs w:val="20"/>
          <w:lang w:val="sr-Cyrl-RS"/>
        </w:rPr>
        <w:t>,</w:t>
      </w:r>
      <w:r w:rsidRPr="00A021B7">
        <w:rPr>
          <w:rFonts w:ascii="Arial" w:hAnsi="Arial" w:cs="Arial"/>
          <w:sz w:val="20"/>
          <w:szCs w:val="20"/>
          <w:lang w:val="sr-Cyrl-RS"/>
        </w:rPr>
        <w:t xml:space="preserve"> мали број општинских и градских управа има објављене „самосталне</w:t>
      </w:r>
      <w:r w:rsidR="00517020">
        <w:rPr>
          <w:rFonts w:ascii="Arial" w:hAnsi="Arial" w:cs="Arial"/>
          <w:sz w:val="20"/>
          <w:szCs w:val="20"/>
        </w:rPr>
        <w:t>”</w:t>
      </w:r>
      <w:r w:rsidRPr="00A021B7">
        <w:rPr>
          <w:rFonts w:ascii="Arial" w:hAnsi="Arial" w:cs="Arial"/>
          <w:sz w:val="20"/>
          <w:szCs w:val="20"/>
          <w:lang w:val="sr-Cyrl-RS"/>
        </w:rPr>
        <w:t xml:space="preserve"> електронске услуге (ако изузмемо услугу е-вртић и информациони систем локалних пореских администрација). Извод из матичне књиге рођених грађани могу да наруче </w:t>
      </w:r>
      <w:r w:rsidR="00517020">
        <w:rPr>
          <w:rFonts w:ascii="Arial" w:hAnsi="Arial" w:cs="Arial"/>
          <w:sz w:val="20"/>
          <w:szCs w:val="20"/>
          <w:lang w:val="sr-Cyrl-RS"/>
        </w:rPr>
        <w:t>преко</w:t>
      </w:r>
      <w:r w:rsidR="00517020" w:rsidRPr="00A021B7">
        <w:rPr>
          <w:rFonts w:ascii="Arial" w:hAnsi="Arial" w:cs="Arial"/>
          <w:sz w:val="20"/>
          <w:szCs w:val="20"/>
          <w:lang w:val="sr-Cyrl-RS"/>
        </w:rPr>
        <w:t xml:space="preserve"> </w:t>
      </w:r>
      <w:r w:rsidR="00517020">
        <w:rPr>
          <w:rFonts w:ascii="Arial" w:hAnsi="Arial" w:cs="Arial"/>
          <w:sz w:val="20"/>
          <w:szCs w:val="20"/>
          <w:lang w:val="sr-Cyrl-RS"/>
        </w:rPr>
        <w:t>п</w:t>
      </w:r>
      <w:r w:rsidRPr="00A021B7">
        <w:rPr>
          <w:rFonts w:ascii="Arial" w:hAnsi="Arial" w:cs="Arial"/>
          <w:sz w:val="20"/>
          <w:szCs w:val="20"/>
          <w:lang w:val="sr-Cyrl-RS"/>
        </w:rPr>
        <w:t>ортала еУправ</w:t>
      </w:r>
      <w:r w:rsidR="00517020">
        <w:rPr>
          <w:rFonts w:ascii="Arial" w:hAnsi="Arial" w:cs="Arial"/>
          <w:sz w:val="20"/>
          <w:szCs w:val="20"/>
          <w:lang w:val="sr-Cyrl-RS"/>
        </w:rPr>
        <w:t>а</w:t>
      </w:r>
      <w:r w:rsidRPr="00A021B7">
        <w:rPr>
          <w:rFonts w:ascii="Arial" w:hAnsi="Arial" w:cs="Arial"/>
          <w:sz w:val="20"/>
          <w:szCs w:val="20"/>
          <w:lang w:val="sr-Cyrl-RS"/>
        </w:rPr>
        <w:t xml:space="preserve"> посредством електронске услуге три локалне самоуправе: Лознице, Сремске Митровице и Панчева, док град Зрењанин, град Ниш и општина Крупањ имају објављене услуге у вези са јавним конкурсима за </w:t>
      </w:r>
      <w:r w:rsidR="00517020">
        <w:rPr>
          <w:rFonts w:ascii="Arial" w:hAnsi="Arial" w:cs="Arial"/>
          <w:sz w:val="20"/>
          <w:szCs w:val="20"/>
          <w:lang w:val="sr-Cyrl-RS"/>
        </w:rPr>
        <w:t>(</w:t>
      </w:r>
      <w:r w:rsidRPr="00A021B7">
        <w:rPr>
          <w:rFonts w:ascii="Arial" w:hAnsi="Arial" w:cs="Arial"/>
          <w:sz w:val="20"/>
          <w:szCs w:val="20"/>
          <w:lang w:val="sr-Cyrl-RS"/>
        </w:rPr>
        <w:t>су</w:t>
      </w:r>
      <w:r w:rsidR="00517020">
        <w:rPr>
          <w:rFonts w:ascii="Arial" w:hAnsi="Arial" w:cs="Arial"/>
          <w:sz w:val="20"/>
          <w:szCs w:val="20"/>
          <w:lang w:val="sr-Cyrl-RS"/>
        </w:rPr>
        <w:t>)</w:t>
      </w:r>
      <w:r w:rsidRPr="00A021B7">
        <w:rPr>
          <w:rFonts w:ascii="Arial" w:hAnsi="Arial" w:cs="Arial"/>
          <w:sz w:val="20"/>
          <w:szCs w:val="20"/>
          <w:lang w:val="sr-Cyrl-RS"/>
        </w:rPr>
        <w:t xml:space="preserve">финансирање програма и пројеката у областима заштите животне средине, заштите од пожара, удружења особа са инвалидитетом итд. Добар пример пружања електронских услуга на </w:t>
      </w:r>
      <w:r w:rsidR="00517020">
        <w:rPr>
          <w:rFonts w:ascii="Arial" w:hAnsi="Arial" w:cs="Arial"/>
          <w:sz w:val="20"/>
          <w:szCs w:val="20"/>
          <w:lang w:val="sr-Cyrl-RS"/>
        </w:rPr>
        <w:t>п</w:t>
      </w:r>
      <w:r w:rsidRPr="00A021B7">
        <w:rPr>
          <w:rFonts w:ascii="Arial" w:hAnsi="Arial" w:cs="Arial"/>
          <w:sz w:val="20"/>
          <w:szCs w:val="20"/>
          <w:lang w:val="sr-Cyrl-RS"/>
        </w:rPr>
        <w:t>орталу еУправа јесте апликација еВртић</w:t>
      </w:r>
      <w:r w:rsidRPr="00A021B7">
        <w:rPr>
          <w:rStyle w:val="FootnoteReference"/>
          <w:rFonts w:ascii="Arial" w:hAnsi="Arial" w:cs="Arial"/>
          <w:sz w:val="20"/>
          <w:szCs w:val="20"/>
          <w:lang w:val="sr-Cyrl-RS"/>
        </w:rPr>
        <w:footnoteReference w:id="131"/>
      </w:r>
      <w:r w:rsidRPr="00A021B7">
        <w:rPr>
          <w:rFonts w:ascii="Arial" w:hAnsi="Arial" w:cs="Arial"/>
          <w:sz w:val="20"/>
          <w:szCs w:val="20"/>
          <w:lang w:val="sr-Cyrl-RS"/>
        </w:rPr>
        <w:t xml:space="preserve"> и информациони систем локалних пореских администрација</w:t>
      </w:r>
      <w:r w:rsidRPr="00A021B7">
        <w:rPr>
          <w:rStyle w:val="FootnoteReference"/>
          <w:rFonts w:ascii="Arial" w:hAnsi="Arial" w:cs="Arial"/>
          <w:sz w:val="20"/>
          <w:szCs w:val="20"/>
          <w:lang w:val="sr-Cyrl-RS"/>
        </w:rPr>
        <w:footnoteReference w:id="132"/>
      </w:r>
      <w:r w:rsidRPr="00A021B7">
        <w:rPr>
          <w:rFonts w:ascii="Arial" w:hAnsi="Arial" w:cs="Arial"/>
          <w:sz w:val="20"/>
          <w:szCs w:val="20"/>
          <w:lang w:val="sr-Cyrl-RS"/>
        </w:rPr>
        <w:t>.</w:t>
      </w:r>
    </w:p>
    <w:p w14:paraId="43A910D9" w14:textId="77777777" w:rsidR="004F3A1D" w:rsidRPr="00A021B7" w:rsidRDefault="004F3A1D" w:rsidP="1A8E6423">
      <w:pPr>
        <w:ind w:firstLine="720"/>
        <w:jc w:val="both"/>
        <w:rPr>
          <w:rFonts w:ascii="Arial" w:hAnsi="Arial" w:cs="Arial"/>
          <w:sz w:val="20"/>
          <w:szCs w:val="20"/>
          <w:lang w:val="sr-Cyrl-RS"/>
        </w:rPr>
      </w:pPr>
    </w:p>
    <w:p w14:paraId="47F82F7F" w14:textId="673E48B7" w:rsidR="004F3A1D" w:rsidRPr="00A021B7" w:rsidRDefault="004F3A1D"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Ако посматрамо национални портал електронске управе </w:t>
      </w:r>
      <w:r w:rsidR="009E3797">
        <w:rPr>
          <w:rFonts w:ascii="Arial" w:hAnsi="Arial" w:cs="Arial"/>
          <w:sz w:val="20"/>
          <w:szCs w:val="20"/>
          <w:lang w:val="sr-Cyrl-RS"/>
        </w:rPr>
        <w:t>– п</w:t>
      </w:r>
      <w:r w:rsidRPr="00A021B7">
        <w:rPr>
          <w:rFonts w:ascii="Arial" w:hAnsi="Arial" w:cs="Arial"/>
          <w:sz w:val="20"/>
          <w:szCs w:val="20"/>
          <w:lang w:val="sr-Cyrl-RS"/>
        </w:rPr>
        <w:t>ортал еУправа</w:t>
      </w:r>
      <w:r w:rsidR="009E3797">
        <w:rPr>
          <w:rFonts w:ascii="Arial" w:hAnsi="Arial" w:cs="Arial"/>
          <w:sz w:val="20"/>
          <w:szCs w:val="20"/>
          <w:lang w:val="sr-Cyrl-RS"/>
        </w:rPr>
        <w:t>,</w:t>
      </w:r>
      <w:r w:rsidRPr="00A021B7">
        <w:rPr>
          <w:rFonts w:ascii="Arial" w:hAnsi="Arial" w:cs="Arial"/>
          <w:sz w:val="20"/>
          <w:szCs w:val="20"/>
          <w:lang w:val="sr-Cyrl-RS"/>
        </w:rPr>
        <w:t xml:space="preserve"> закључак је да су домети јединица локалне самоуправе у области електронског пружања услуга још увек врло слаби и појединим ЈЛС потребна је већа подршка. У сврху пружања стручне помоћи службеницима при коришћењу апликација покренут је јединствени Контакт центар за јавну управу (G2G)</w:t>
      </w:r>
      <w:r w:rsidRPr="00A021B7">
        <w:rPr>
          <w:rStyle w:val="FootnoteReference"/>
          <w:rFonts w:ascii="Arial" w:hAnsi="Arial" w:cs="Arial"/>
          <w:sz w:val="20"/>
          <w:szCs w:val="20"/>
          <w:lang w:val="sr-Cyrl-RS"/>
        </w:rPr>
        <w:footnoteReference w:id="133"/>
      </w:r>
      <w:r w:rsidRPr="00A021B7">
        <w:rPr>
          <w:rFonts w:ascii="Arial" w:hAnsi="Arial" w:cs="Arial"/>
          <w:sz w:val="20"/>
          <w:szCs w:val="20"/>
          <w:lang w:val="sr-Cyrl-RS"/>
        </w:rPr>
        <w:t>. Тренутно је подршка Контакт центра за јавну управу фокусирана на пружање помоћи запосленим службеницима у областима: еЗуп, еБеба и еЛПА, еИнспектор и Државни стручни испит и испит за матичара, што је ограничавајући фактор и недовољно</w:t>
      </w:r>
      <w:r w:rsidR="009E3797">
        <w:rPr>
          <w:rFonts w:ascii="Arial" w:hAnsi="Arial" w:cs="Arial"/>
          <w:sz w:val="20"/>
          <w:szCs w:val="20"/>
          <w:lang w:val="sr-Cyrl-RS"/>
        </w:rPr>
        <w:t>,</w:t>
      </w:r>
      <w:r w:rsidRPr="00A021B7">
        <w:rPr>
          <w:rFonts w:ascii="Arial" w:hAnsi="Arial" w:cs="Arial"/>
          <w:sz w:val="20"/>
          <w:szCs w:val="20"/>
          <w:lang w:val="sr-Cyrl-RS"/>
        </w:rPr>
        <w:t xml:space="preserve"> ако се има у виду да поједине ЈЛС, нарочито</w:t>
      </w:r>
      <w:r w:rsidR="009E3797">
        <w:rPr>
          <w:rFonts w:ascii="Arial" w:hAnsi="Arial" w:cs="Arial"/>
          <w:sz w:val="20"/>
          <w:szCs w:val="20"/>
          <w:lang w:val="sr-Cyrl-RS"/>
        </w:rPr>
        <w:t xml:space="preserve"> оне</w:t>
      </w:r>
      <w:r w:rsidRPr="00A021B7">
        <w:rPr>
          <w:rFonts w:ascii="Arial" w:hAnsi="Arial" w:cs="Arial"/>
          <w:sz w:val="20"/>
          <w:szCs w:val="20"/>
          <w:lang w:val="sr-Cyrl-RS"/>
        </w:rPr>
        <w:t xml:space="preserve"> неразвијене</w:t>
      </w:r>
      <w:r w:rsidR="009E3797">
        <w:rPr>
          <w:rFonts w:ascii="Arial" w:hAnsi="Arial" w:cs="Arial"/>
          <w:sz w:val="20"/>
          <w:szCs w:val="20"/>
          <w:lang w:val="sr-Cyrl-RS"/>
        </w:rPr>
        <w:t>,</w:t>
      </w:r>
      <w:r w:rsidRPr="00A021B7">
        <w:rPr>
          <w:rFonts w:ascii="Arial" w:hAnsi="Arial" w:cs="Arial"/>
          <w:sz w:val="20"/>
          <w:szCs w:val="20"/>
          <w:lang w:val="sr-Cyrl-RS"/>
        </w:rPr>
        <w:t xml:space="preserve"> захтевају свеобухватнију подршку у увођењу електронске управе.</w:t>
      </w:r>
    </w:p>
    <w:p w14:paraId="1742ECBD" w14:textId="77777777" w:rsidR="004F3A1D" w:rsidRPr="00A021B7" w:rsidRDefault="004F3A1D" w:rsidP="36E1526F">
      <w:pPr>
        <w:jc w:val="center"/>
        <w:rPr>
          <w:rFonts w:ascii="Arial" w:hAnsi="Arial" w:cs="Arial"/>
          <w:b/>
          <w:bCs/>
          <w:sz w:val="20"/>
          <w:szCs w:val="20"/>
          <w:lang w:val="sr-Cyrl-RS"/>
        </w:rPr>
      </w:pPr>
    </w:p>
    <w:tbl>
      <w:tblPr>
        <w:tblStyle w:val="TableGrid"/>
        <w:tblW w:w="0" w:type="auto"/>
        <w:tblLook w:val="04A0" w:firstRow="1" w:lastRow="0" w:firstColumn="1" w:lastColumn="0" w:noHBand="0" w:noVBand="1"/>
      </w:tblPr>
      <w:tblGrid>
        <w:gridCol w:w="9010"/>
      </w:tblGrid>
      <w:tr w:rsidR="004F3A1D" w:rsidRPr="00A021B7" w14:paraId="76ABD3DE" w14:textId="77777777" w:rsidTr="1A8E6423">
        <w:tc>
          <w:tcPr>
            <w:tcW w:w="9016" w:type="dxa"/>
          </w:tcPr>
          <w:p w14:paraId="7D80BAB7" w14:textId="77777777" w:rsidR="004F3A1D" w:rsidRPr="00A021B7" w:rsidRDefault="004F3A1D" w:rsidP="36E1526F">
            <w:pPr>
              <w:rPr>
                <w:rFonts w:ascii="Arial" w:hAnsi="Arial" w:cs="Arial"/>
                <w:b/>
                <w:bCs/>
                <w:sz w:val="20"/>
                <w:szCs w:val="20"/>
                <w:lang w:val="sr-Cyrl-RS"/>
              </w:rPr>
            </w:pPr>
            <w:r w:rsidRPr="00A021B7">
              <w:rPr>
                <w:rFonts w:ascii="Arial" w:hAnsi="Arial" w:cs="Arial"/>
                <w:b/>
                <w:bCs/>
                <w:sz w:val="20"/>
                <w:szCs w:val="20"/>
                <w:lang w:val="sr-Cyrl-RS"/>
              </w:rPr>
              <w:t>Локална самоуправа на Порталу отворених података</w:t>
            </w:r>
          </w:p>
          <w:p w14:paraId="4E87F730" w14:textId="77777777" w:rsidR="004F3A1D" w:rsidRPr="00A021B7" w:rsidRDefault="004F3A1D" w:rsidP="00CB0C2B">
            <w:pPr>
              <w:rPr>
                <w:rFonts w:ascii="Arial" w:hAnsi="Arial" w:cs="Arial"/>
                <w:sz w:val="20"/>
                <w:szCs w:val="20"/>
                <w:lang w:val="sr-Cyrl-RS"/>
              </w:rPr>
            </w:pPr>
          </w:p>
          <w:p w14:paraId="5122DE41" w14:textId="6C9228A8" w:rsidR="004F3A1D" w:rsidRPr="00A021B7" w:rsidRDefault="004F3A1D" w:rsidP="1A8E6423">
            <w:pPr>
              <w:ind w:firstLine="428"/>
              <w:jc w:val="both"/>
              <w:rPr>
                <w:rFonts w:ascii="Arial" w:hAnsi="Arial" w:cs="Arial"/>
                <w:sz w:val="20"/>
                <w:szCs w:val="20"/>
                <w:lang w:val="sr-Cyrl-RS"/>
              </w:rPr>
            </w:pPr>
            <w:r w:rsidRPr="00A021B7">
              <w:rPr>
                <w:rFonts w:ascii="Arial" w:hAnsi="Arial" w:cs="Arial"/>
                <w:sz w:val="20"/>
                <w:szCs w:val="20"/>
                <w:lang w:val="sr-Cyrl-RS"/>
              </w:rPr>
              <w:t>Сходно Закону о електронској управи</w:t>
            </w:r>
            <w:r w:rsidR="009E3797">
              <w:rPr>
                <w:rFonts w:ascii="Arial" w:hAnsi="Arial" w:cs="Arial"/>
                <w:sz w:val="20"/>
                <w:szCs w:val="20"/>
                <w:lang w:val="sr-Cyrl-RS"/>
              </w:rPr>
              <w:t>,</w:t>
            </w:r>
            <w:r w:rsidRPr="00A021B7">
              <w:rPr>
                <w:rFonts w:ascii="Arial" w:hAnsi="Arial" w:cs="Arial"/>
                <w:sz w:val="20"/>
                <w:szCs w:val="20"/>
                <w:lang w:val="sr-Cyrl-RS"/>
              </w:rPr>
              <w:t xml:space="preserve"> општинске и градске управе, као и сви органи, дужни су да објављују на националном Порталу отворених података</w:t>
            </w:r>
            <w:r w:rsidRPr="00A021B7">
              <w:rPr>
                <w:rStyle w:val="FootnoteReference"/>
                <w:rFonts w:ascii="Arial" w:hAnsi="Arial" w:cs="Arial"/>
                <w:sz w:val="20"/>
                <w:szCs w:val="20"/>
                <w:lang w:val="sr-Cyrl-RS"/>
              </w:rPr>
              <w:footnoteReference w:id="134"/>
            </w:r>
            <w:r w:rsidRPr="00A021B7">
              <w:rPr>
                <w:rFonts w:ascii="Arial" w:hAnsi="Arial" w:cs="Arial"/>
                <w:sz w:val="20"/>
                <w:szCs w:val="20"/>
                <w:lang w:val="sr-Cyrl-RS"/>
              </w:rPr>
              <w:t xml:space="preserve"> скупове података из делокруга своје надлежности. Отворени подаци представљају податке које прикупљају органи јавне власти обављајући послове из делокруга </w:t>
            </w:r>
            <w:r w:rsidR="009E3797">
              <w:rPr>
                <w:rFonts w:ascii="Arial" w:hAnsi="Arial" w:cs="Arial"/>
                <w:sz w:val="20"/>
                <w:szCs w:val="20"/>
                <w:lang w:val="sr-Cyrl-RS"/>
              </w:rPr>
              <w:t>свој</w:t>
            </w:r>
            <w:r w:rsidR="009E3797" w:rsidRPr="00A021B7">
              <w:rPr>
                <w:rFonts w:ascii="Arial" w:hAnsi="Arial" w:cs="Arial"/>
                <w:sz w:val="20"/>
                <w:szCs w:val="20"/>
                <w:lang w:val="sr-Cyrl-RS"/>
              </w:rPr>
              <w:t xml:space="preserve">е </w:t>
            </w:r>
            <w:r w:rsidRPr="00A021B7">
              <w:rPr>
                <w:rFonts w:ascii="Arial" w:hAnsi="Arial" w:cs="Arial"/>
                <w:sz w:val="20"/>
                <w:szCs w:val="20"/>
                <w:lang w:val="sr-Cyrl-RS"/>
              </w:rPr>
              <w:t>надлежности. Подаци морају бити пружени јавности у отвореном машински читљивом формату погодном за поновну употребу у комерцијалне и некомерцијалне сврхе. Отворени подаци доприносе не само транспарентности и одговорности органа</w:t>
            </w:r>
            <w:r w:rsidR="009E3797">
              <w:rPr>
                <w:rFonts w:ascii="Arial" w:hAnsi="Arial" w:cs="Arial"/>
                <w:sz w:val="20"/>
                <w:szCs w:val="20"/>
                <w:lang w:val="sr-Cyrl-RS"/>
              </w:rPr>
              <w:t>,</w:t>
            </w:r>
            <w:r w:rsidRPr="00A021B7">
              <w:rPr>
                <w:rFonts w:ascii="Arial" w:hAnsi="Arial" w:cs="Arial"/>
                <w:sz w:val="20"/>
                <w:szCs w:val="20"/>
                <w:lang w:val="sr-Cyrl-RS"/>
              </w:rPr>
              <w:t xml:space="preserve"> него и развоју економије, па и локалне привреде. </w:t>
            </w:r>
            <w:r w:rsidR="009E3797">
              <w:rPr>
                <w:rFonts w:ascii="Arial" w:hAnsi="Arial" w:cs="Arial"/>
                <w:sz w:val="20"/>
                <w:szCs w:val="20"/>
                <w:lang w:val="sr-Cyrl-RS"/>
              </w:rPr>
              <w:t>Огроман је п</w:t>
            </w:r>
            <w:r w:rsidRPr="00A021B7">
              <w:rPr>
                <w:rFonts w:ascii="Arial" w:hAnsi="Arial" w:cs="Arial"/>
                <w:sz w:val="20"/>
                <w:szCs w:val="20"/>
                <w:lang w:val="sr-Cyrl-RS"/>
              </w:rPr>
              <w:t>отенцијал отворених података у развоју апликација, производа и услуга</w:t>
            </w:r>
            <w:r w:rsidRPr="00A021B7">
              <w:rPr>
                <w:rStyle w:val="FootnoteReference"/>
                <w:rFonts w:ascii="Arial" w:hAnsi="Arial" w:cs="Arial"/>
                <w:sz w:val="20"/>
                <w:szCs w:val="20"/>
                <w:lang w:val="sr-Cyrl-RS"/>
              </w:rPr>
              <w:footnoteReference w:id="135"/>
            </w:r>
            <w:r w:rsidRPr="00A021B7">
              <w:rPr>
                <w:rFonts w:ascii="Arial" w:hAnsi="Arial" w:cs="Arial"/>
                <w:sz w:val="20"/>
                <w:szCs w:val="20"/>
                <w:lang w:val="sr-Cyrl-RS"/>
              </w:rPr>
              <w:t>.</w:t>
            </w:r>
          </w:p>
          <w:p w14:paraId="41B53A15" w14:textId="77777777" w:rsidR="004F3A1D" w:rsidRPr="00A021B7" w:rsidRDefault="004F3A1D" w:rsidP="1A8E6423">
            <w:pPr>
              <w:ind w:firstLine="428"/>
              <w:jc w:val="both"/>
              <w:rPr>
                <w:rFonts w:ascii="Arial" w:hAnsi="Arial" w:cs="Arial"/>
                <w:sz w:val="20"/>
                <w:szCs w:val="20"/>
                <w:lang w:val="sr-Cyrl-RS"/>
              </w:rPr>
            </w:pPr>
          </w:p>
          <w:p w14:paraId="608202A1" w14:textId="67FFFD18" w:rsidR="004F3A1D" w:rsidRPr="00A021B7" w:rsidRDefault="004F3A1D" w:rsidP="1A8E6423">
            <w:pPr>
              <w:ind w:firstLine="428"/>
              <w:jc w:val="both"/>
              <w:rPr>
                <w:rFonts w:ascii="Arial" w:hAnsi="Arial" w:cs="Arial"/>
                <w:sz w:val="20"/>
                <w:szCs w:val="20"/>
                <w:lang w:val="sr-Cyrl-RS"/>
              </w:rPr>
            </w:pPr>
            <w:r w:rsidRPr="00A021B7">
              <w:rPr>
                <w:rFonts w:ascii="Arial" w:hAnsi="Arial" w:cs="Arial"/>
                <w:sz w:val="20"/>
                <w:szCs w:val="20"/>
                <w:lang w:val="sr-Cyrl-RS"/>
              </w:rPr>
              <w:t>Већина ЈЛС отвара податке и расположиви документи се могу преузети са њихових веб-сајтова у .pdf и/или .doc формату, али ретко у машински читљивом формату. Ипак, на националном Порталу отворених података расте број сетова података јединица локалних самоуправа</w:t>
            </w:r>
            <w:r w:rsidRPr="00A021B7">
              <w:rPr>
                <w:rStyle w:val="FootnoteReference"/>
                <w:rFonts w:ascii="Arial" w:hAnsi="Arial" w:cs="Arial"/>
                <w:sz w:val="20"/>
                <w:szCs w:val="20"/>
                <w:lang w:val="sr-Cyrl-RS"/>
              </w:rPr>
              <w:footnoteReference w:id="136"/>
            </w:r>
            <w:r w:rsidRPr="00A021B7">
              <w:rPr>
                <w:rFonts w:ascii="Arial" w:hAnsi="Arial" w:cs="Arial"/>
                <w:sz w:val="20"/>
                <w:szCs w:val="20"/>
                <w:lang w:val="sr-Cyrl-RS"/>
              </w:rPr>
              <w:t xml:space="preserve">. Општинске и градске управе препознају значај који отворени подаци могу имати за деловање локалне самоуправе, посебно </w:t>
            </w:r>
            <w:r w:rsidR="009E3797">
              <w:rPr>
                <w:rFonts w:ascii="Arial" w:hAnsi="Arial" w:cs="Arial"/>
                <w:sz w:val="20"/>
                <w:szCs w:val="20"/>
                <w:lang w:val="sr-Cyrl-RS"/>
              </w:rPr>
              <w:t>з</w:t>
            </w:r>
            <w:r w:rsidRPr="00A021B7">
              <w:rPr>
                <w:rFonts w:ascii="Arial" w:hAnsi="Arial" w:cs="Arial"/>
                <w:sz w:val="20"/>
                <w:szCs w:val="20"/>
                <w:lang w:val="sr-Cyrl-RS"/>
              </w:rPr>
              <w:t>а локални економски развој</w:t>
            </w:r>
            <w:r w:rsidR="009E3797">
              <w:rPr>
                <w:rFonts w:ascii="Arial" w:hAnsi="Arial" w:cs="Arial"/>
                <w:sz w:val="20"/>
                <w:szCs w:val="20"/>
                <w:lang w:val="sr-Cyrl-RS"/>
              </w:rPr>
              <w:t>,</w:t>
            </w:r>
            <w:r w:rsidRPr="00A021B7">
              <w:rPr>
                <w:rFonts w:ascii="Arial" w:hAnsi="Arial" w:cs="Arial"/>
                <w:sz w:val="20"/>
                <w:szCs w:val="20"/>
                <w:lang w:val="sr-Cyrl-RS"/>
              </w:rPr>
              <w:t xml:space="preserve"> али </w:t>
            </w:r>
            <w:r w:rsidR="009E3797">
              <w:rPr>
                <w:rFonts w:ascii="Arial" w:hAnsi="Arial" w:cs="Arial"/>
                <w:sz w:val="20"/>
                <w:szCs w:val="20"/>
                <w:lang w:val="sr-Cyrl-RS"/>
              </w:rPr>
              <w:t>су у погледу</w:t>
            </w:r>
            <w:r w:rsidRPr="00A021B7">
              <w:rPr>
                <w:rFonts w:ascii="Arial" w:hAnsi="Arial" w:cs="Arial"/>
                <w:sz w:val="20"/>
                <w:szCs w:val="20"/>
                <w:lang w:val="sr-Cyrl-RS"/>
              </w:rPr>
              <w:t xml:space="preserve"> број</w:t>
            </w:r>
            <w:r w:rsidR="009E3797">
              <w:rPr>
                <w:rFonts w:ascii="Arial" w:hAnsi="Arial" w:cs="Arial"/>
                <w:sz w:val="20"/>
                <w:szCs w:val="20"/>
                <w:lang w:val="sr-Cyrl-RS"/>
              </w:rPr>
              <w:t>а</w:t>
            </w:r>
            <w:r w:rsidRPr="00A021B7">
              <w:rPr>
                <w:rFonts w:ascii="Arial" w:hAnsi="Arial" w:cs="Arial"/>
                <w:sz w:val="20"/>
                <w:szCs w:val="20"/>
                <w:lang w:val="sr-Cyrl-RS"/>
              </w:rPr>
              <w:t xml:space="preserve"> и количин</w:t>
            </w:r>
            <w:r w:rsidR="009E3797">
              <w:rPr>
                <w:rFonts w:ascii="Arial" w:hAnsi="Arial" w:cs="Arial"/>
                <w:sz w:val="20"/>
                <w:szCs w:val="20"/>
                <w:lang w:val="sr-Cyrl-RS"/>
              </w:rPr>
              <w:t>е,</w:t>
            </w:r>
            <w:r w:rsidRPr="00A021B7">
              <w:rPr>
                <w:rFonts w:ascii="Arial" w:hAnsi="Arial" w:cs="Arial"/>
                <w:sz w:val="20"/>
                <w:szCs w:val="20"/>
                <w:lang w:val="sr-Cyrl-RS"/>
              </w:rPr>
              <w:t xml:space="preserve"> отворени пода</w:t>
            </w:r>
            <w:r w:rsidR="009E3797">
              <w:rPr>
                <w:rFonts w:ascii="Arial" w:hAnsi="Arial" w:cs="Arial"/>
                <w:sz w:val="20"/>
                <w:szCs w:val="20"/>
                <w:lang w:val="sr-Cyrl-RS"/>
              </w:rPr>
              <w:t>ци</w:t>
            </w:r>
            <w:r w:rsidRPr="00A021B7">
              <w:rPr>
                <w:rFonts w:ascii="Arial" w:hAnsi="Arial" w:cs="Arial"/>
                <w:sz w:val="20"/>
                <w:szCs w:val="20"/>
                <w:lang w:val="sr-Cyrl-RS"/>
              </w:rPr>
              <w:t xml:space="preserve"> из ЈЛС још увек делимичн</w:t>
            </w:r>
            <w:r w:rsidR="009E3797">
              <w:rPr>
                <w:rFonts w:ascii="Arial" w:hAnsi="Arial" w:cs="Arial"/>
                <w:sz w:val="20"/>
                <w:szCs w:val="20"/>
                <w:lang w:val="sr-Cyrl-RS"/>
              </w:rPr>
              <w:t>и</w:t>
            </w:r>
            <w:r w:rsidRPr="00A021B7">
              <w:rPr>
                <w:rFonts w:ascii="Arial" w:hAnsi="Arial" w:cs="Arial"/>
                <w:sz w:val="20"/>
                <w:szCs w:val="20"/>
                <w:lang w:val="sr-Cyrl-RS"/>
              </w:rPr>
              <w:t>, непотпун</w:t>
            </w:r>
            <w:r w:rsidR="009E3797">
              <w:rPr>
                <w:rFonts w:ascii="Arial" w:hAnsi="Arial" w:cs="Arial"/>
                <w:sz w:val="20"/>
                <w:szCs w:val="20"/>
                <w:lang w:val="sr-Cyrl-RS"/>
              </w:rPr>
              <w:t>и</w:t>
            </w:r>
            <w:r w:rsidRPr="00A021B7">
              <w:rPr>
                <w:rFonts w:ascii="Arial" w:hAnsi="Arial" w:cs="Arial"/>
                <w:sz w:val="20"/>
                <w:szCs w:val="20"/>
                <w:lang w:val="sr-Cyrl-RS"/>
              </w:rPr>
              <w:t xml:space="preserve"> и </w:t>
            </w:r>
            <w:r w:rsidRPr="00A021B7">
              <w:rPr>
                <w:rFonts w:ascii="Arial" w:hAnsi="Arial" w:cs="Arial"/>
                <w:sz w:val="20"/>
                <w:szCs w:val="20"/>
                <w:lang w:val="sr-Cyrl-RS"/>
              </w:rPr>
              <w:lastRenderedPageBreak/>
              <w:t>ограничен</w:t>
            </w:r>
            <w:r w:rsidR="009E3797">
              <w:rPr>
                <w:rFonts w:ascii="Arial" w:hAnsi="Arial" w:cs="Arial"/>
                <w:sz w:val="20"/>
                <w:szCs w:val="20"/>
                <w:lang w:val="sr-Cyrl-RS"/>
              </w:rPr>
              <w:t>и</w:t>
            </w:r>
            <w:r w:rsidRPr="00A021B7">
              <w:rPr>
                <w:rFonts w:ascii="Arial" w:hAnsi="Arial" w:cs="Arial"/>
                <w:sz w:val="20"/>
                <w:szCs w:val="20"/>
                <w:lang w:val="sr-Cyrl-RS"/>
              </w:rPr>
              <w:t>. Ако изузмемо платформу „Отворени буџети</w:t>
            </w:r>
            <w:r w:rsidR="009E3797">
              <w:rPr>
                <w:rFonts w:ascii="Arial" w:hAnsi="Arial" w:cs="Arial"/>
                <w:sz w:val="20"/>
                <w:szCs w:val="20"/>
              </w:rPr>
              <w:t>”</w:t>
            </w:r>
            <w:r w:rsidRPr="00A021B7">
              <w:rPr>
                <w:rStyle w:val="FootnoteReference"/>
                <w:rFonts w:ascii="Arial" w:hAnsi="Arial" w:cs="Arial"/>
                <w:sz w:val="20"/>
                <w:szCs w:val="20"/>
                <w:lang w:val="sr-Cyrl-RS"/>
              </w:rPr>
              <w:footnoteReference w:id="137"/>
            </w:r>
            <w:r w:rsidR="009E3797">
              <w:rPr>
                <w:rFonts w:ascii="Arial" w:hAnsi="Arial" w:cs="Arial"/>
                <w:sz w:val="20"/>
                <w:szCs w:val="20"/>
                <w:lang w:val="sr-Latn-RS"/>
              </w:rPr>
              <w:t>,</w:t>
            </w:r>
            <w:r w:rsidRPr="00A021B7">
              <w:rPr>
                <w:rFonts w:ascii="Arial" w:hAnsi="Arial" w:cs="Arial"/>
                <w:sz w:val="20"/>
                <w:szCs w:val="20"/>
                <w:lang w:val="sr-Cyrl-RS"/>
              </w:rPr>
              <w:t xml:space="preserve"> на којој је доступно више од 90 буџета градова и општина РС, отварање података на нивоу јединица локалних самоуправа је недовољно. Мада је наведено да је 38 општинских и градских управа као организација присутно на Порталу отворених података, неке су се тек само представиле без објављивања података. Лидер у објављивању најразличитијих скупова података на Порталу отворених података је Град Ниш</w:t>
            </w:r>
            <w:r w:rsidR="009E3797">
              <w:rPr>
                <w:rFonts w:ascii="Arial" w:hAnsi="Arial" w:cs="Arial"/>
                <w:sz w:val="20"/>
                <w:szCs w:val="20"/>
                <w:lang w:val="sr-Cyrl-RS"/>
              </w:rPr>
              <w:t>,</w:t>
            </w:r>
            <w:r w:rsidRPr="00A021B7">
              <w:rPr>
                <w:rFonts w:ascii="Arial" w:hAnsi="Arial" w:cs="Arial"/>
                <w:sz w:val="20"/>
                <w:szCs w:val="20"/>
                <w:lang w:val="sr-Cyrl-RS"/>
              </w:rPr>
              <w:t xml:space="preserve"> који је отворио 35 сетова података (то су подаци о градским линијама и стајалиштима, геопросторне информације о паркинг зонама, подаци о квалитету вода, личне карте основних и средњих школа, дневно кретање цена воћа и поврћа на пијацама итд.), а следи га Шабац са 15, Београд са 12 и Сомбор са објављених 11 скупова података. Раније је била приметна пракса да се објављени подаци не ажурирају, али и то се променило. Органи бивају свесни чињенице да није сврха отворених података просто учинити податке доступним, него је једнако важно њихово ажурирање. Локалне самоуправе су информисане о законским обавезама у погледу отварања података, разумеју њихов значај, али се суочавају са проблемима у припреми ажурних машински читљивих табела</w:t>
            </w:r>
            <w:r w:rsidRPr="00A021B7">
              <w:rPr>
                <w:rStyle w:val="FootnoteReference"/>
                <w:rFonts w:ascii="Arial" w:hAnsi="Arial" w:cs="Arial"/>
                <w:sz w:val="20"/>
                <w:szCs w:val="20"/>
                <w:lang w:val="sr-Cyrl-RS"/>
              </w:rPr>
              <w:footnoteReference w:id="138"/>
            </w:r>
            <w:r w:rsidRPr="00A021B7">
              <w:rPr>
                <w:rFonts w:ascii="Arial" w:hAnsi="Arial" w:cs="Arial"/>
                <w:sz w:val="20"/>
                <w:szCs w:val="20"/>
                <w:lang w:val="sr-Cyrl-RS"/>
              </w:rPr>
              <w:t>.</w:t>
            </w:r>
          </w:p>
        </w:tc>
      </w:tr>
    </w:tbl>
    <w:p w14:paraId="38EBF5BE" w14:textId="77777777" w:rsidR="004F3A1D" w:rsidRPr="00A021B7" w:rsidRDefault="004F3A1D" w:rsidP="36E1526F">
      <w:pPr>
        <w:rPr>
          <w:rFonts w:ascii="Arial" w:hAnsi="Arial" w:cs="Arial"/>
          <w:b/>
          <w:bCs/>
          <w:sz w:val="20"/>
          <w:szCs w:val="20"/>
          <w:lang w:val="sr-Cyrl-RS"/>
        </w:rPr>
      </w:pPr>
    </w:p>
    <w:p w14:paraId="4F3F4ADF" w14:textId="77777777" w:rsidR="004F3A1D" w:rsidRPr="00A021B7" w:rsidRDefault="004F3A1D" w:rsidP="004F3A1D">
      <w:pPr>
        <w:jc w:val="both"/>
        <w:rPr>
          <w:rFonts w:ascii="Arial" w:hAnsi="Arial" w:cs="Arial"/>
          <w:sz w:val="20"/>
          <w:szCs w:val="20"/>
          <w:lang w:val="sr-Cyrl-RS"/>
        </w:rPr>
      </w:pPr>
    </w:p>
    <w:p w14:paraId="4A28267A" w14:textId="5089C3DD" w:rsidR="004F3A1D" w:rsidRPr="00A021B7" w:rsidRDefault="004F3A1D" w:rsidP="1A8E6423">
      <w:pPr>
        <w:pStyle w:val="NormalWeb"/>
        <w:shd w:val="clear" w:color="auto" w:fill="FFFFFF" w:themeFill="background1"/>
        <w:spacing w:before="0" w:beforeAutospacing="0" w:after="0" w:afterAutospacing="0"/>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 xml:space="preserve">Искуства </w:t>
      </w:r>
      <w:r w:rsidR="00D62C45" w:rsidRPr="1A8E6423">
        <w:rPr>
          <w:rFonts w:ascii="Arial" w:hAnsi="Arial" w:cs="Arial"/>
          <w:b/>
          <w:bCs/>
          <w:color w:val="000000" w:themeColor="text1"/>
          <w:sz w:val="20"/>
          <w:szCs w:val="20"/>
          <w:lang w:val="sr-Cyrl-RS"/>
        </w:rPr>
        <w:t xml:space="preserve">из </w:t>
      </w:r>
      <w:r w:rsidRPr="1A8E6423">
        <w:rPr>
          <w:rFonts w:ascii="Arial" w:hAnsi="Arial" w:cs="Arial"/>
          <w:b/>
          <w:bCs/>
          <w:color w:val="000000" w:themeColor="text1"/>
          <w:sz w:val="20"/>
          <w:szCs w:val="20"/>
          <w:lang w:val="sr-Cyrl-RS"/>
        </w:rPr>
        <w:t>кризе</w:t>
      </w:r>
      <w:r w:rsidR="00D62C45" w:rsidRPr="1A8E6423">
        <w:rPr>
          <w:rFonts w:ascii="Arial" w:hAnsi="Arial" w:cs="Arial"/>
          <w:b/>
          <w:bCs/>
          <w:color w:val="000000" w:themeColor="text1"/>
          <w:sz w:val="20"/>
          <w:szCs w:val="20"/>
          <w:lang w:val="sr-Cyrl-RS"/>
        </w:rPr>
        <w:t xml:space="preserve"> изазване болешћу </w:t>
      </w:r>
      <w:r w:rsidR="00D62C45" w:rsidRPr="1A8E6423">
        <w:rPr>
          <w:rFonts w:ascii="Arial" w:hAnsi="Arial" w:cs="Arial"/>
          <w:b/>
          <w:bCs/>
          <w:color w:val="000000" w:themeColor="text1"/>
          <w:sz w:val="20"/>
          <w:szCs w:val="20"/>
        </w:rPr>
        <w:t>COVID-19</w:t>
      </w:r>
      <w:r w:rsidRPr="1A8E6423">
        <w:rPr>
          <w:rFonts w:ascii="Arial" w:hAnsi="Arial" w:cs="Arial"/>
          <w:b/>
          <w:bCs/>
          <w:color w:val="000000" w:themeColor="text1"/>
          <w:sz w:val="20"/>
          <w:szCs w:val="20"/>
          <w:lang w:val="sr-Cyrl-RS"/>
        </w:rPr>
        <w:t>: Посебан изазов за локалну самоуправу</w:t>
      </w:r>
    </w:p>
    <w:p w14:paraId="0158EB85" w14:textId="77777777" w:rsidR="004F3A1D" w:rsidRPr="00A021B7" w:rsidRDefault="004F3A1D" w:rsidP="004F3A1D">
      <w:pPr>
        <w:contextualSpacing/>
        <w:rPr>
          <w:rFonts w:ascii="Arial" w:hAnsi="Arial" w:cs="Arial"/>
          <w:color w:val="000000" w:themeColor="text1"/>
          <w:sz w:val="20"/>
          <w:szCs w:val="20"/>
          <w:lang w:val="sr-Cyrl-RS"/>
        </w:rPr>
      </w:pPr>
    </w:p>
    <w:p w14:paraId="4B4FEE96" w14:textId="784EE0D4" w:rsidR="004F3A1D" w:rsidRPr="00A021B7" w:rsidRDefault="004F3A1D" w:rsidP="1A8E6423">
      <w:pPr>
        <w:ind w:firstLine="720"/>
        <w:contextualSpacing/>
        <w:jc w:val="both"/>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 xml:space="preserve">Изузетно важну улогу у борби против пандемије </w:t>
      </w:r>
      <w:r w:rsidR="00D62C45">
        <w:rPr>
          <w:rFonts w:ascii="Arial" w:hAnsi="Arial" w:cs="Arial"/>
          <w:color w:val="000000" w:themeColor="text1"/>
          <w:sz w:val="20"/>
          <w:szCs w:val="20"/>
          <w:lang w:val="sr-Cyrl-RS"/>
        </w:rPr>
        <w:t>болести</w:t>
      </w:r>
      <w:r w:rsidR="00D62C45" w:rsidRPr="00A021B7">
        <w:rPr>
          <w:rFonts w:ascii="Arial" w:hAnsi="Arial" w:cs="Arial"/>
          <w:color w:val="000000" w:themeColor="text1"/>
          <w:sz w:val="20"/>
          <w:szCs w:val="20"/>
          <w:lang w:val="sr-Cyrl-RS"/>
        </w:rPr>
        <w:t xml:space="preserve"> </w:t>
      </w:r>
      <w:r w:rsidRPr="00A021B7">
        <w:rPr>
          <w:rFonts w:ascii="Arial" w:hAnsi="Arial" w:cs="Arial"/>
          <w:color w:val="000000" w:themeColor="text1"/>
          <w:sz w:val="20"/>
          <w:szCs w:val="20"/>
          <w:lang w:val="sr-Cyrl-RS"/>
        </w:rPr>
        <w:t>COVID-19 у Европи одиграли су градови и региони, како доношењем сопствених одлука и организовањем различитих иницијатива и акција, тако и спровођењем политике утврђене на вишим нивоима власти.</w:t>
      </w:r>
      <w:r w:rsidRPr="00A021B7">
        <w:rPr>
          <w:rStyle w:val="FootnoteReference"/>
          <w:rFonts w:ascii="Arial" w:hAnsi="Arial" w:cs="Arial"/>
          <w:color w:val="000000" w:themeColor="text1"/>
          <w:sz w:val="20"/>
          <w:szCs w:val="20"/>
          <w:lang w:val="sr-Cyrl-RS"/>
        </w:rPr>
        <w:footnoteReference w:id="139"/>
      </w:r>
      <w:r w:rsidRPr="00A021B7">
        <w:rPr>
          <w:rFonts w:ascii="Arial" w:hAnsi="Arial" w:cs="Arial"/>
          <w:color w:val="000000" w:themeColor="text1"/>
          <w:sz w:val="20"/>
          <w:szCs w:val="20"/>
          <w:lang w:val="sr-Cyrl-RS"/>
        </w:rPr>
        <w:t xml:space="preserve"> Локалне самоуправе широм света управљале су кризом, развијале су своје шеме социјалне подршке грађанима, са посебном пажњом</w:t>
      </w:r>
      <w:r w:rsidR="00250271">
        <w:rPr>
          <w:rFonts w:ascii="Arial" w:hAnsi="Arial" w:cs="Arial"/>
          <w:color w:val="000000" w:themeColor="text1"/>
          <w:sz w:val="20"/>
          <w:szCs w:val="20"/>
          <w:lang w:val="sr-Cyrl-RS"/>
        </w:rPr>
        <w:t xml:space="preserve"> усмереном</w:t>
      </w:r>
      <w:r w:rsidRPr="00A021B7">
        <w:rPr>
          <w:rFonts w:ascii="Arial" w:hAnsi="Arial" w:cs="Arial"/>
          <w:color w:val="000000" w:themeColor="text1"/>
          <w:sz w:val="20"/>
          <w:szCs w:val="20"/>
          <w:lang w:val="sr-Cyrl-RS"/>
        </w:rPr>
        <w:t xml:space="preserve"> на угрожене групе као што су људи у изолацији, пензионери, сиромашни, а обезбеђивале су и подршку за </w:t>
      </w:r>
      <w:r w:rsidR="00250271">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школовање на мрежи” и биле извориште правовремених и тачних информација о стању на терену. Пандемија </w:t>
      </w:r>
      <w:r w:rsidR="00250271">
        <w:rPr>
          <w:rFonts w:ascii="Arial" w:hAnsi="Arial" w:cs="Arial"/>
          <w:color w:val="000000" w:themeColor="text1"/>
          <w:sz w:val="20"/>
          <w:szCs w:val="20"/>
          <w:lang w:val="sr-Cyrl-RS"/>
        </w:rPr>
        <w:t>болести</w:t>
      </w:r>
      <w:r w:rsidR="00250271" w:rsidRPr="00A021B7">
        <w:rPr>
          <w:rFonts w:ascii="Arial" w:hAnsi="Arial" w:cs="Arial"/>
          <w:color w:val="000000" w:themeColor="text1"/>
          <w:sz w:val="20"/>
          <w:szCs w:val="20"/>
          <w:lang w:val="sr-Cyrl-RS"/>
        </w:rPr>
        <w:t xml:space="preserve"> COVID-19</w:t>
      </w:r>
      <w:r w:rsidRPr="00A021B7">
        <w:rPr>
          <w:rFonts w:ascii="Arial" w:hAnsi="Arial" w:cs="Arial"/>
          <w:color w:val="000000" w:themeColor="text1"/>
          <w:sz w:val="20"/>
          <w:szCs w:val="20"/>
          <w:lang w:val="sr-Cyrl-RS"/>
        </w:rPr>
        <w:t xml:space="preserve"> послужила је и као својеврсни тест развијености јединица локалн</w:t>
      </w:r>
      <w:r w:rsidR="00250271">
        <w:rPr>
          <w:rFonts w:ascii="Arial" w:hAnsi="Arial" w:cs="Arial"/>
          <w:color w:val="000000" w:themeColor="text1"/>
          <w:sz w:val="20"/>
          <w:szCs w:val="20"/>
          <w:lang w:val="sr-Cyrl-RS"/>
        </w:rPr>
        <w:t>е</w:t>
      </w:r>
      <w:r w:rsidRPr="00A021B7">
        <w:rPr>
          <w:rFonts w:ascii="Arial" w:hAnsi="Arial" w:cs="Arial"/>
          <w:color w:val="000000" w:themeColor="text1"/>
          <w:sz w:val="20"/>
          <w:szCs w:val="20"/>
          <w:lang w:val="sr-Cyrl-RS"/>
        </w:rPr>
        <w:t xml:space="preserve"> самоуправ</w:t>
      </w:r>
      <w:r w:rsidR="00250271">
        <w:rPr>
          <w:rFonts w:ascii="Arial" w:hAnsi="Arial" w:cs="Arial"/>
          <w:color w:val="000000" w:themeColor="text1"/>
          <w:sz w:val="20"/>
          <w:szCs w:val="20"/>
          <w:lang w:val="sr-Cyrl-RS"/>
        </w:rPr>
        <w:t>е</w:t>
      </w:r>
      <w:r w:rsidRPr="00A021B7">
        <w:rPr>
          <w:rFonts w:ascii="Arial" w:hAnsi="Arial" w:cs="Arial"/>
          <w:color w:val="000000" w:themeColor="text1"/>
          <w:sz w:val="20"/>
          <w:szCs w:val="20"/>
          <w:lang w:val="sr-Cyrl-RS"/>
        </w:rPr>
        <w:t xml:space="preserve"> у домену пружања услуга корисницима. Криза је показала да у Републици Србији постоје огромне разлике међу локалним самоуправама у погледу ефикасности реаговања на кризне ситуације, обима и квалитета пружања електронских бесконтактних услуга грађанима и привреди, те да је присутна знатна неуједначеност људских, организационих и техничких капацитета за пружање услуга у систему локалне самоуправе у РС.</w:t>
      </w:r>
    </w:p>
    <w:p w14:paraId="5480BCD8" w14:textId="77777777" w:rsidR="004F3A1D" w:rsidRPr="00A021B7" w:rsidRDefault="004F3A1D" w:rsidP="1A8E6423">
      <w:pPr>
        <w:ind w:firstLine="720"/>
        <w:contextualSpacing/>
        <w:jc w:val="both"/>
        <w:rPr>
          <w:rFonts w:ascii="Arial" w:hAnsi="Arial" w:cs="Arial"/>
          <w:color w:val="000000" w:themeColor="text1"/>
          <w:sz w:val="20"/>
          <w:szCs w:val="20"/>
          <w:lang w:val="sr-Cyrl-RS"/>
        </w:rPr>
      </w:pPr>
    </w:p>
    <w:p w14:paraId="69D9934B" w14:textId="61D054AD" w:rsidR="004F3A1D" w:rsidRPr="00A021B7" w:rsidRDefault="004F3A1D" w:rsidP="1A8E6423">
      <w:pPr>
        <w:ind w:firstLine="720"/>
        <w:jc w:val="both"/>
        <w:rPr>
          <w:rFonts w:ascii="Arial" w:hAnsi="Arial" w:cs="Arial"/>
          <w:color w:val="000000"/>
          <w:sz w:val="20"/>
          <w:szCs w:val="20"/>
          <w:lang w:val="sr-Cyrl-RS"/>
        </w:rPr>
      </w:pPr>
      <w:r w:rsidRPr="00A021B7">
        <w:rPr>
          <w:rFonts w:ascii="Arial" w:hAnsi="Arial" w:cs="Arial"/>
          <w:color w:val="000000"/>
          <w:sz w:val="20"/>
          <w:szCs w:val="20"/>
          <w:lang w:val="sr-Cyrl-RS"/>
        </w:rPr>
        <w:t>Истраживање</w:t>
      </w:r>
      <w:r w:rsidR="00250271">
        <w:rPr>
          <w:rFonts w:ascii="Arial" w:hAnsi="Arial" w:cs="Arial"/>
          <w:color w:val="000000"/>
          <w:sz w:val="20"/>
          <w:szCs w:val="20"/>
          <w:lang w:val="sr-Cyrl-RS"/>
        </w:rPr>
        <w:t xml:space="preserve"> </w:t>
      </w:r>
      <w:r w:rsidRPr="00A021B7">
        <w:rPr>
          <w:rFonts w:ascii="Arial" w:hAnsi="Arial" w:cs="Arial"/>
          <w:color w:val="000000" w:themeColor="text1"/>
          <w:sz w:val="20"/>
          <w:szCs w:val="20"/>
          <w:lang w:val="sr-Cyrl-RS"/>
        </w:rPr>
        <w:t>о функционисању система локалне самоуправе у Републици Србији током епидемије</w:t>
      </w:r>
      <w:r w:rsidRPr="00A021B7">
        <w:rPr>
          <w:rFonts w:ascii="Arial" w:hAnsi="Arial" w:cs="Arial"/>
          <w:color w:val="000000"/>
          <w:sz w:val="20"/>
          <w:szCs w:val="20"/>
          <w:lang w:val="sr-Cyrl-RS"/>
        </w:rPr>
        <w:t xml:space="preserve">, </w:t>
      </w:r>
      <w:r w:rsidRPr="00A021B7">
        <w:rPr>
          <w:rFonts w:ascii="Arial" w:hAnsi="Arial" w:cs="Arial"/>
          <w:sz w:val="20"/>
          <w:szCs w:val="20"/>
          <w:lang w:val="sr-Cyrl-RS"/>
        </w:rPr>
        <w:t xml:space="preserve">рађено </w:t>
      </w:r>
      <w:r w:rsidRPr="00A021B7">
        <w:rPr>
          <w:rFonts w:ascii="Arial" w:hAnsi="Arial" w:cs="Arial"/>
          <w:color w:val="161616"/>
          <w:sz w:val="20"/>
          <w:szCs w:val="20"/>
          <w:lang w:val="sr-Cyrl-RS"/>
        </w:rPr>
        <w:t>у оквиру заједничког пројекта Европске уније и Савета Европе „Управљање људским ресурс</w:t>
      </w:r>
      <w:r w:rsidR="00250271">
        <w:rPr>
          <w:rFonts w:ascii="Arial" w:hAnsi="Arial" w:cs="Arial"/>
          <w:color w:val="161616"/>
          <w:sz w:val="20"/>
          <w:szCs w:val="20"/>
          <w:lang w:val="sr-Cyrl-RS"/>
        </w:rPr>
        <w:t>им</w:t>
      </w:r>
      <w:r w:rsidRPr="00A021B7">
        <w:rPr>
          <w:rFonts w:ascii="Arial" w:hAnsi="Arial" w:cs="Arial"/>
          <w:color w:val="161616"/>
          <w:sz w:val="20"/>
          <w:szCs w:val="20"/>
          <w:lang w:val="sr-Cyrl-RS"/>
        </w:rPr>
        <w:t>а у јединицама локалних самоуправа у РС</w:t>
      </w:r>
      <w:r w:rsidR="00250271">
        <w:rPr>
          <w:rFonts w:ascii="Arial" w:hAnsi="Arial" w:cs="Arial"/>
          <w:color w:val="161616"/>
          <w:sz w:val="20"/>
          <w:szCs w:val="20"/>
        </w:rPr>
        <w:t>”</w:t>
      </w:r>
      <w:r w:rsidRPr="00A021B7">
        <w:rPr>
          <w:rStyle w:val="FootnoteReference"/>
          <w:rFonts w:ascii="Arial" w:hAnsi="Arial" w:cs="Arial"/>
          <w:color w:val="161616"/>
          <w:sz w:val="20"/>
          <w:szCs w:val="20"/>
          <w:lang w:val="sr-Cyrl-RS"/>
        </w:rPr>
        <w:footnoteReference w:id="140"/>
      </w:r>
      <w:r w:rsidRPr="00A021B7">
        <w:rPr>
          <w:rFonts w:ascii="Arial" w:hAnsi="Arial" w:cs="Arial"/>
          <w:color w:val="161616"/>
          <w:sz w:val="20"/>
          <w:szCs w:val="20"/>
          <w:lang w:val="sr-Cyrl-RS"/>
        </w:rPr>
        <w:t xml:space="preserve">, </w:t>
      </w:r>
      <w:r w:rsidRPr="00A021B7">
        <w:rPr>
          <w:rFonts w:ascii="Arial" w:hAnsi="Arial" w:cs="Arial"/>
          <w:color w:val="000000" w:themeColor="text1"/>
          <w:sz w:val="20"/>
          <w:szCs w:val="20"/>
          <w:lang w:val="sr-Cyrl-RS"/>
        </w:rPr>
        <w:t>идентификовало је главне проблеме са којима се суочила локална администрација, а службеници су се овако изјаснили</w:t>
      </w:r>
      <w:r w:rsidRPr="00A021B7">
        <w:rPr>
          <w:rFonts w:ascii="Arial" w:hAnsi="Arial" w:cs="Arial"/>
          <w:color w:val="000000"/>
          <w:sz w:val="20"/>
          <w:szCs w:val="20"/>
          <w:lang w:val="sr-Cyrl-RS"/>
        </w:rPr>
        <w:t>:</w:t>
      </w:r>
    </w:p>
    <w:p w14:paraId="5AF48281" w14:textId="77777777" w:rsidR="004F3A1D" w:rsidRPr="00A021B7" w:rsidRDefault="004F3A1D" w:rsidP="004F3A1D">
      <w:pPr>
        <w:jc w:val="both"/>
        <w:rPr>
          <w:rFonts w:ascii="Arial" w:hAnsi="Arial" w:cs="Arial"/>
          <w:color w:val="000000"/>
          <w:sz w:val="20"/>
          <w:szCs w:val="20"/>
          <w:lang w:val="sr-Cyrl-RS"/>
        </w:rPr>
      </w:pPr>
    </w:p>
    <w:p w14:paraId="713F7C08" w14:textId="77777777" w:rsidR="004F3A1D" w:rsidRPr="00A021B7" w:rsidRDefault="004F3A1D" w:rsidP="00A57E7E">
      <w:pPr>
        <w:pStyle w:val="ListParagraph"/>
        <w:numPr>
          <w:ilvl w:val="0"/>
          <w:numId w:val="23"/>
        </w:numPr>
        <w:jc w:val="both"/>
        <w:rPr>
          <w:rFonts w:ascii="Arial" w:hAnsi="Arial" w:cs="Arial"/>
          <w:color w:val="000000"/>
          <w:sz w:val="20"/>
          <w:szCs w:val="20"/>
          <w:lang w:val="sr-Cyrl-RS"/>
        </w:rPr>
      </w:pPr>
      <w:r w:rsidRPr="00A021B7">
        <w:rPr>
          <w:rFonts w:ascii="Arial" w:hAnsi="Arial" w:cs="Arial"/>
          <w:color w:val="000000" w:themeColor="text1"/>
          <w:sz w:val="20"/>
          <w:szCs w:val="20"/>
          <w:lang w:val="sr-Cyrl-RS"/>
        </w:rPr>
        <w:t>20,2% испитаника сматрало је да су то системски проблеми (администрација није била припремљена за ванредно стање и није постојала јасна подела надлежности и задатака);</w:t>
      </w:r>
    </w:p>
    <w:p w14:paraId="2B8631B3" w14:textId="2723B33B" w:rsidR="004F3A1D" w:rsidRPr="00A021B7" w:rsidRDefault="004F3A1D" w:rsidP="00A57E7E">
      <w:pPr>
        <w:pStyle w:val="ListParagraph"/>
        <w:numPr>
          <w:ilvl w:val="0"/>
          <w:numId w:val="23"/>
        </w:numPr>
        <w:jc w:val="both"/>
        <w:rPr>
          <w:rFonts w:ascii="Arial" w:hAnsi="Arial" w:cs="Arial"/>
          <w:color w:val="000000"/>
          <w:sz w:val="20"/>
          <w:szCs w:val="20"/>
          <w:lang w:val="sr-Cyrl-RS"/>
        </w:rPr>
      </w:pPr>
      <w:r w:rsidRPr="1A8E6423">
        <w:rPr>
          <w:rFonts w:ascii="Arial" w:hAnsi="Arial" w:cs="Arial"/>
          <w:color w:val="000000" w:themeColor="text1"/>
          <w:sz w:val="20"/>
          <w:szCs w:val="20"/>
          <w:lang w:val="sr-Cyrl-RS"/>
        </w:rPr>
        <w:t xml:space="preserve">18% испитаника </w:t>
      </w:r>
      <w:r w:rsidR="00250271" w:rsidRPr="1A8E6423">
        <w:rPr>
          <w:rFonts w:ascii="Arial" w:hAnsi="Arial" w:cs="Arial"/>
          <w:color w:val="000000" w:themeColor="text1"/>
          <w:sz w:val="20"/>
          <w:szCs w:val="20"/>
          <w:lang w:val="sr-Cyrl-RS"/>
        </w:rPr>
        <w:t xml:space="preserve">истакло </w:t>
      </w:r>
      <w:r w:rsidRPr="1A8E6423">
        <w:rPr>
          <w:rFonts w:ascii="Arial" w:hAnsi="Arial" w:cs="Arial"/>
          <w:color w:val="000000" w:themeColor="text1"/>
          <w:sz w:val="20"/>
          <w:szCs w:val="20"/>
          <w:lang w:val="sr-Cyrl-RS"/>
        </w:rPr>
        <w:t>је проблем капацитета људских ресурса (мањак запослених, недовољна обученост службеника за рад од куће, скромно знање у области ИКТ-а, немогућност контроле ефикасности рада);</w:t>
      </w:r>
    </w:p>
    <w:p w14:paraId="562D5DFE" w14:textId="5DA76173" w:rsidR="004F3A1D" w:rsidRPr="00A021B7" w:rsidRDefault="004F3A1D" w:rsidP="00A57E7E">
      <w:pPr>
        <w:pStyle w:val="ListParagraph"/>
        <w:numPr>
          <w:ilvl w:val="0"/>
          <w:numId w:val="23"/>
        </w:numPr>
        <w:jc w:val="both"/>
        <w:rPr>
          <w:rFonts w:ascii="Arial" w:hAnsi="Arial" w:cs="Arial"/>
          <w:color w:val="000000"/>
          <w:sz w:val="20"/>
          <w:szCs w:val="20"/>
          <w:lang w:val="sr-Cyrl-RS"/>
        </w:rPr>
      </w:pPr>
      <w:r w:rsidRPr="1A8E6423">
        <w:rPr>
          <w:rFonts w:ascii="Arial" w:hAnsi="Arial" w:cs="Arial"/>
          <w:color w:val="000000" w:themeColor="text1"/>
          <w:sz w:val="20"/>
          <w:szCs w:val="20"/>
          <w:lang w:val="sr-Cyrl-RS"/>
        </w:rPr>
        <w:t>15,7% испитаника је нагласило недостатак информационих система, техничких средстава и ИКТ опреме (компјутери, скенери, недостатак електронског система за управљање документима, е-архива и е-доставе, софтвер</w:t>
      </w:r>
      <w:r w:rsidR="00250271"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за аудио и визуелну комуникацију, екстремно мала брзина интернет конекција у неким срединама, а највећи проблем био је недостатак софтвера за рад са клијентима);</w:t>
      </w:r>
    </w:p>
    <w:p w14:paraId="257BBB6E" w14:textId="77777777" w:rsidR="004F3A1D" w:rsidRPr="00A021B7" w:rsidRDefault="004F3A1D" w:rsidP="00A57E7E">
      <w:pPr>
        <w:pStyle w:val="ListParagraph"/>
        <w:numPr>
          <w:ilvl w:val="0"/>
          <w:numId w:val="23"/>
        </w:numPr>
        <w:jc w:val="both"/>
        <w:rPr>
          <w:rFonts w:ascii="Arial" w:hAnsi="Arial" w:cs="Arial"/>
          <w:color w:val="000000"/>
          <w:sz w:val="20"/>
          <w:szCs w:val="20"/>
          <w:lang w:val="sr-Cyrl-RS"/>
        </w:rPr>
      </w:pPr>
      <w:r w:rsidRPr="00A021B7">
        <w:rPr>
          <w:rFonts w:ascii="Arial" w:hAnsi="Arial" w:cs="Arial"/>
          <w:color w:val="000000" w:themeColor="text1"/>
          <w:sz w:val="20"/>
          <w:szCs w:val="20"/>
          <w:lang w:val="sr-Cyrl-RS"/>
        </w:rPr>
        <w:t>11,2% испитаника апострофирало је проблем комуникације (недостатак адекватне комуникације између институција, лоша комуникација између запослених који раде од куће и оних који раде из канцеларије);</w:t>
      </w:r>
    </w:p>
    <w:p w14:paraId="16D242DB" w14:textId="69F62E6A" w:rsidR="004F3A1D" w:rsidRPr="00A021B7" w:rsidRDefault="004F3A1D" w:rsidP="00A57E7E">
      <w:pPr>
        <w:pStyle w:val="ListParagraph"/>
        <w:numPr>
          <w:ilvl w:val="0"/>
          <w:numId w:val="23"/>
        </w:numPr>
        <w:jc w:val="both"/>
        <w:rPr>
          <w:rFonts w:ascii="Arial" w:hAnsi="Arial" w:cs="Arial"/>
          <w:color w:val="000000"/>
          <w:sz w:val="20"/>
          <w:szCs w:val="20"/>
          <w:lang w:val="sr-Cyrl-RS"/>
        </w:rPr>
      </w:pPr>
      <w:r w:rsidRPr="1A8E6423">
        <w:rPr>
          <w:rFonts w:ascii="Arial" w:hAnsi="Arial" w:cs="Arial"/>
          <w:color w:val="000000" w:themeColor="text1"/>
          <w:sz w:val="20"/>
          <w:szCs w:val="20"/>
          <w:lang w:val="sr-Cyrl-RS"/>
        </w:rPr>
        <w:t>10,1% сматра да је највећи изазов био рад са клијентима и грађанима;</w:t>
      </w:r>
    </w:p>
    <w:p w14:paraId="1B5B8182" w14:textId="7A17FE4C" w:rsidR="004F3A1D" w:rsidRPr="00A021B7" w:rsidRDefault="004F3A1D" w:rsidP="00A57E7E">
      <w:pPr>
        <w:pStyle w:val="ListParagraph"/>
        <w:numPr>
          <w:ilvl w:val="0"/>
          <w:numId w:val="23"/>
        </w:numPr>
        <w:jc w:val="both"/>
        <w:rPr>
          <w:rFonts w:ascii="Arial" w:hAnsi="Arial" w:cs="Arial"/>
          <w:color w:val="000000"/>
          <w:sz w:val="20"/>
          <w:szCs w:val="20"/>
          <w:lang w:val="sr-Cyrl-RS"/>
        </w:rPr>
      </w:pPr>
      <w:r w:rsidRPr="1A8E6423">
        <w:rPr>
          <w:rFonts w:ascii="Arial" w:hAnsi="Arial" w:cs="Arial"/>
          <w:color w:val="000000" w:themeColor="text1"/>
          <w:sz w:val="20"/>
          <w:szCs w:val="20"/>
          <w:lang w:val="sr-Cyrl-RS"/>
        </w:rPr>
        <w:lastRenderedPageBreak/>
        <w:t xml:space="preserve">14,6% сматра да није било </w:t>
      </w:r>
      <w:r w:rsidR="00250271" w:rsidRPr="1A8E6423">
        <w:rPr>
          <w:rFonts w:ascii="Arial" w:hAnsi="Arial" w:cs="Arial"/>
          <w:color w:val="000000" w:themeColor="text1"/>
          <w:sz w:val="20"/>
          <w:szCs w:val="20"/>
          <w:lang w:val="sr-Cyrl-RS"/>
        </w:rPr>
        <w:t xml:space="preserve">нарочитих </w:t>
      </w:r>
      <w:r w:rsidRPr="1A8E6423">
        <w:rPr>
          <w:rFonts w:ascii="Arial" w:hAnsi="Arial" w:cs="Arial"/>
          <w:color w:val="000000" w:themeColor="text1"/>
          <w:sz w:val="20"/>
          <w:szCs w:val="20"/>
          <w:lang w:val="sr-Cyrl-RS"/>
        </w:rPr>
        <w:t>проблема и да се функционисало добро</w:t>
      </w:r>
      <w:r w:rsidR="00250271" w:rsidRPr="1A8E6423">
        <w:rPr>
          <w:rFonts w:ascii="Arial" w:hAnsi="Arial" w:cs="Arial"/>
          <w:color w:val="000000" w:themeColor="text1"/>
          <w:sz w:val="20"/>
          <w:szCs w:val="20"/>
          <w:lang w:val="sr-Cyrl-RS"/>
        </w:rPr>
        <w:t>.</w:t>
      </w:r>
    </w:p>
    <w:p w14:paraId="208429AD" w14:textId="77777777" w:rsidR="004F3A1D" w:rsidRPr="00A021B7" w:rsidRDefault="004F3A1D" w:rsidP="004F3A1D">
      <w:pPr>
        <w:jc w:val="both"/>
        <w:rPr>
          <w:rFonts w:ascii="Arial" w:hAnsi="Arial" w:cs="Arial"/>
          <w:color w:val="000000"/>
          <w:sz w:val="20"/>
          <w:szCs w:val="20"/>
          <w:lang w:val="sr-Cyrl-RS"/>
        </w:rPr>
      </w:pPr>
    </w:p>
    <w:p w14:paraId="093F9656" w14:textId="174E36FC" w:rsidR="004F3A1D" w:rsidRPr="00A021B7" w:rsidRDefault="004F3A1D" w:rsidP="1A8E6423">
      <w:pPr>
        <w:ind w:firstLine="720"/>
        <w:jc w:val="both"/>
        <w:rPr>
          <w:rFonts w:ascii="Arial" w:hAnsi="Arial" w:cs="Arial"/>
          <w:color w:val="000000"/>
          <w:sz w:val="20"/>
          <w:szCs w:val="20"/>
          <w:lang w:val="sr-Cyrl-RS"/>
        </w:rPr>
      </w:pPr>
      <w:r w:rsidRPr="1A8E6423">
        <w:rPr>
          <w:rFonts w:ascii="Arial" w:hAnsi="Arial" w:cs="Arial"/>
          <w:color w:val="000000" w:themeColor="text1"/>
          <w:sz w:val="20"/>
          <w:szCs w:val="20"/>
          <w:lang w:val="sr-Cyrl-RS"/>
        </w:rPr>
        <w:t xml:space="preserve">Учесници истраживања сматрали су да је на нивоу локалне самоуправе најтеже било да се током кризе спроведу организациони задаци и рад са грађанима, потом инспекцијски и надзорни задаци, као и задаци који се тичу социјалне и дечије заштите. Локални службеници су </w:t>
      </w:r>
      <w:r w:rsidR="00250271" w:rsidRPr="1A8E6423">
        <w:rPr>
          <w:rFonts w:ascii="Arial" w:hAnsi="Arial" w:cs="Arial"/>
          <w:color w:val="000000" w:themeColor="text1"/>
          <w:sz w:val="20"/>
          <w:szCs w:val="20"/>
          <w:lang w:val="sr-Cyrl-RS"/>
        </w:rPr>
        <w:t>у</w:t>
      </w:r>
      <w:r w:rsidRPr="1A8E6423">
        <w:rPr>
          <w:rFonts w:ascii="Arial" w:hAnsi="Arial" w:cs="Arial"/>
          <w:color w:val="000000" w:themeColor="text1"/>
          <w:sz w:val="20"/>
          <w:szCs w:val="20"/>
          <w:lang w:val="sr-Cyrl-RS"/>
        </w:rPr>
        <w:t>питани и које су реформе потребне у домену организације и пружања услуга локалне администрације и највише</w:t>
      </w:r>
      <w:r w:rsidR="00250271" w:rsidRPr="1A8E6423">
        <w:rPr>
          <w:rFonts w:ascii="Arial" w:hAnsi="Arial" w:cs="Arial"/>
          <w:color w:val="000000" w:themeColor="text1"/>
          <w:sz w:val="20"/>
          <w:szCs w:val="20"/>
          <w:lang w:val="sr-Cyrl-RS"/>
        </w:rPr>
        <w:t xml:space="preserve"> њих</w:t>
      </w:r>
      <w:r w:rsidRPr="1A8E6423">
        <w:rPr>
          <w:rFonts w:ascii="Arial" w:hAnsi="Arial" w:cs="Arial"/>
          <w:color w:val="000000" w:themeColor="text1"/>
          <w:sz w:val="20"/>
          <w:szCs w:val="20"/>
          <w:lang w:val="sr-Cyrl-RS"/>
        </w:rPr>
        <w:t xml:space="preserve">, чак 75 одсто, сматра да је то оснивање локалног центра за пружање услуга, а потом су као битан чинилац </w:t>
      </w:r>
      <w:r w:rsidR="00250271" w:rsidRPr="1A8E6423">
        <w:rPr>
          <w:rFonts w:ascii="Arial" w:hAnsi="Arial" w:cs="Arial"/>
          <w:color w:val="000000" w:themeColor="text1"/>
          <w:sz w:val="20"/>
          <w:szCs w:val="20"/>
          <w:lang w:val="sr-Cyrl-RS"/>
        </w:rPr>
        <w:t xml:space="preserve">истакли успостављање </w:t>
      </w:r>
      <w:r w:rsidRPr="1A8E6423">
        <w:rPr>
          <w:rFonts w:ascii="Arial" w:hAnsi="Arial" w:cs="Arial"/>
          <w:color w:val="000000" w:themeColor="text1"/>
          <w:sz w:val="20"/>
          <w:szCs w:val="20"/>
          <w:lang w:val="sr-Cyrl-RS"/>
        </w:rPr>
        <w:t>међуопштинске сарадње.</w:t>
      </w:r>
    </w:p>
    <w:p w14:paraId="67771577" w14:textId="77777777" w:rsidR="004F3A1D" w:rsidRPr="00A021B7" w:rsidRDefault="004F3A1D" w:rsidP="1A8E6423">
      <w:pPr>
        <w:ind w:firstLine="720"/>
        <w:jc w:val="both"/>
        <w:rPr>
          <w:rFonts w:ascii="Arial" w:hAnsi="Arial" w:cs="Arial"/>
          <w:color w:val="000000"/>
          <w:sz w:val="20"/>
          <w:szCs w:val="20"/>
          <w:lang w:val="sr-Cyrl-RS"/>
        </w:rPr>
      </w:pPr>
    </w:p>
    <w:p w14:paraId="5E7F6739" w14:textId="61C3ECFA" w:rsidR="004F3A1D" w:rsidRPr="00A021B7" w:rsidRDefault="004F3A1D" w:rsidP="1A8E6423">
      <w:pPr>
        <w:ind w:firstLine="720"/>
        <w:contextualSpacing/>
        <w:jc w:val="both"/>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 xml:space="preserve">У </w:t>
      </w:r>
      <w:r w:rsidR="00250271">
        <w:rPr>
          <w:rFonts w:ascii="Arial" w:hAnsi="Arial" w:cs="Arial"/>
          <w:color w:val="000000" w:themeColor="text1"/>
          <w:sz w:val="20"/>
          <w:szCs w:val="20"/>
          <w:lang w:val="sr-Cyrl-RS"/>
        </w:rPr>
        <w:t>и</w:t>
      </w:r>
      <w:r w:rsidRPr="00A021B7">
        <w:rPr>
          <w:rFonts w:ascii="Arial" w:hAnsi="Arial" w:cs="Arial"/>
          <w:color w:val="000000" w:themeColor="text1"/>
          <w:sz w:val="20"/>
          <w:szCs w:val="20"/>
          <w:lang w:val="sr-Cyrl-RS"/>
        </w:rPr>
        <w:t>звештају Уједињених нација о</w:t>
      </w:r>
      <w:r w:rsidR="00250271">
        <w:rPr>
          <w:rFonts w:ascii="Arial" w:hAnsi="Arial" w:cs="Arial"/>
          <w:color w:val="000000" w:themeColor="text1"/>
          <w:sz w:val="20"/>
          <w:szCs w:val="20"/>
          <w:lang w:val="sr-Cyrl-RS"/>
        </w:rPr>
        <w:t xml:space="preserve"> кризи коју је изазвао</w:t>
      </w:r>
      <w:r w:rsidRPr="00A021B7">
        <w:rPr>
          <w:rFonts w:ascii="Arial" w:hAnsi="Arial" w:cs="Arial"/>
          <w:color w:val="000000" w:themeColor="text1"/>
          <w:sz w:val="20"/>
          <w:szCs w:val="20"/>
          <w:lang w:val="sr-Cyrl-RS"/>
        </w:rPr>
        <w:t xml:space="preserve"> COVID-19 у урбаном свету</w:t>
      </w:r>
      <w:r w:rsidR="00250271">
        <w:rPr>
          <w:rFonts w:ascii="Arial" w:hAnsi="Arial" w:cs="Arial"/>
          <w:color w:val="000000" w:themeColor="text1"/>
          <w:sz w:val="20"/>
          <w:szCs w:val="20"/>
        </w:rPr>
        <w:t>”</w:t>
      </w:r>
      <w:r w:rsidRPr="00A021B7">
        <w:rPr>
          <w:rStyle w:val="FootnoteReference"/>
          <w:rFonts w:ascii="Arial" w:hAnsi="Arial" w:cs="Arial"/>
          <w:color w:val="000000" w:themeColor="text1"/>
          <w:sz w:val="20"/>
          <w:szCs w:val="20"/>
          <w:lang w:val="sr-Cyrl-RS"/>
        </w:rPr>
        <w:footnoteReference w:id="141"/>
      </w:r>
      <w:r w:rsidRPr="00A021B7">
        <w:rPr>
          <w:rFonts w:ascii="Arial" w:hAnsi="Arial" w:cs="Arial"/>
          <w:color w:val="000000" w:themeColor="text1"/>
          <w:sz w:val="20"/>
          <w:szCs w:val="20"/>
          <w:lang w:val="sr-Cyrl-RS"/>
        </w:rPr>
        <w:t xml:space="preserve"> наглашава се да кризу</w:t>
      </w:r>
      <w:r w:rsidR="00250271">
        <w:rPr>
          <w:rFonts w:ascii="Arial" w:hAnsi="Arial" w:cs="Arial"/>
          <w:color w:val="000000" w:themeColor="text1"/>
          <w:sz w:val="20"/>
          <w:szCs w:val="20"/>
          <w:lang w:val="sr-Cyrl-RS"/>
        </w:rPr>
        <w:t xml:space="preserve"> изазвану болешћу </w:t>
      </w:r>
      <w:r w:rsidR="00250271">
        <w:rPr>
          <w:rFonts w:ascii="Arial" w:hAnsi="Arial" w:cs="Arial"/>
          <w:color w:val="000000" w:themeColor="text1"/>
          <w:sz w:val="20"/>
          <w:szCs w:val="20"/>
        </w:rPr>
        <w:t>COVID</w:t>
      </w:r>
      <w:r w:rsidR="00250271">
        <w:rPr>
          <w:rFonts w:ascii="Arial" w:hAnsi="Arial" w:cs="Arial"/>
          <w:color w:val="000000" w:themeColor="text1"/>
          <w:sz w:val="20"/>
          <w:szCs w:val="20"/>
          <w:lang w:val="sr-Latn-RS"/>
        </w:rPr>
        <w:t>-19</w:t>
      </w:r>
      <w:r w:rsidRPr="00A021B7">
        <w:rPr>
          <w:rFonts w:ascii="Arial" w:hAnsi="Arial" w:cs="Arial"/>
          <w:color w:val="000000" w:themeColor="text1"/>
          <w:sz w:val="20"/>
          <w:szCs w:val="20"/>
          <w:lang w:val="sr-Cyrl-RS"/>
        </w:rPr>
        <w:t xml:space="preserve"> треба искористити као прилику за „бољи опоравак</w:t>
      </w:r>
      <w:r w:rsidR="00250271">
        <w:rPr>
          <w:rFonts w:ascii="Arial" w:hAnsi="Arial" w:cs="Arial"/>
          <w:color w:val="000000" w:themeColor="text1"/>
          <w:sz w:val="20"/>
          <w:szCs w:val="20"/>
        </w:rPr>
        <w:t>”</w:t>
      </w:r>
      <w:r w:rsidRPr="00A021B7">
        <w:rPr>
          <w:rFonts w:ascii="Arial" w:hAnsi="Arial" w:cs="Arial"/>
          <w:color w:val="000000" w:themeColor="text1"/>
          <w:sz w:val="20"/>
          <w:szCs w:val="20"/>
          <w:lang w:val="sr-Cyrl-RS"/>
        </w:rPr>
        <w:t xml:space="preserve"> локалне самоуправе и то кроз изградњу одрживих, отпорнијих, инклузивних, зеленијих и здравијих градова. Истакнуто је да локална самоуправа може да буде стуб отпорности, дигиталних трансформација и иновација. Свуда у свету присутна је пракса да градови усвајају планове опоравка који готово као императив садрже бржи развој електронских сервиса и бесконтактних услуга у свим областима надлежности градских управа.</w:t>
      </w:r>
    </w:p>
    <w:p w14:paraId="58A7CC3F" w14:textId="77777777" w:rsidR="004F3A1D" w:rsidRPr="00A021B7" w:rsidRDefault="004F3A1D" w:rsidP="1A8E6423">
      <w:pPr>
        <w:ind w:firstLine="720"/>
        <w:contextualSpacing/>
        <w:jc w:val="both"/>
        <w:rPr>
          <w:rFonts w:ascii="Arial" w:hAnsi="Arial" w:cs="Arial"/>
          <w:color w:val="000000" w:themeColor="text1"/>
          <w:sz w:val="20"/>
          <w:szCs w:val="20"/>
          <w:lang w:val="sr-Cyrl-RS"/>
        </w:rPr>
      </w:pPr>
    </w:p>
    <w:p w14:paraId="38538539" w14:textId="20A2A171" w:rsidR="004F3A1D" w:rsidRPr="00A021B7" w:rsidRDefault="004F3A1D" w:rsidP="1A8E6423">
      <w:pPr>
        <w:ind w:firstLine="720"/>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Пандемија је показала да је добро и ефикасно управљање у корист грађана посебно важно у кризним временима и апострофирала је значај бржег развоја општинских управа у области електронског пружања административних и јавних услуга.</w:t>
      </w:r>
    </w:p>
    <w:p w14:paraId="2BBEF1BF" w14:textId="77777777" w:rsidR="00787271" w:rsidRPr="00A021B7" w:rsidRDefault="00787271" w:rsidP="1A8E6423">
      <w:pPr>
        <w:ind w:firstLine="720"/>
        <w:contextualSpacing/>
        <w:jc w:val="both"/>
        <w:rPr>
          <w:rFonts w:ascii="Arial" w:eastAsiaTheme="minorEastAsia" w:hAnsi="Arial" w:cs="Arial"/>
          <w:sz w:val="20"/>
          <w:szCs w:val="20"/>
          <w:lang w:val="sr-Cyrl-RS"/>
        </w:rPr>
      </w:pPr>
    </w:p>
    <w:p w14:paraId="1142B464" w14:textId="77777777" w:rsidR="00787271" w:rsidRPr="00A021B7" w:rsidRDefault="00787271" w:rsidP="003E7BC9">
      <w:pPr>
        <w:contextualSpacing/>
        <w:jc w:val="both"/>
        <w:rPr>
          <w:rFonts w:ascii="Arial" w:eastAsiaTheme="minorEastAsia" w:hAnsi="Arial" w:cs="Arial"/>
          <w:sz w:val="20"/>
          <w:szCs w:val="20"/>
          <w:lang w:val="sr-Cyrl-RS"/>
        </w:rPr>
      </w:pPr>
    </w:p>
    <w:p w14:paraId="219D34BA" w14:textId="19D5EF1C" w:rsidR="00CE205B" w:rsidRPr="00A021B7" w:rsidRDefault="00992F0F" w:rsidP="004935B9">
      <w:pPr>
        <w:pStyle w:val="Heading2"/>
        <w:rPr>
          <w:lang w:val="sr-Cyrl-RS"/>
        </w:rPr>
      </w:pPr>
      <w:bookmarkStart w:id="97" w:name="_Toc52865785"/>
      <w:bookmarkStart w:id="98" w:name="_Toc52866196"/>
      <w:bookmarkStart w:id="99" w:name="_Toc56508445"/>
      <w:bookmarkStart w:id="100" w:name="_Toc60136082"/>
      <w:r w:rsidRPr="00A021B7">
        <w:rPr>
          <w:lang w:val="sr-Cyrl-RS"/>
        </w:rPr>
        <w:t>I</w:t>
      </w:r>
      <w:r w:rsidR="00D9663F" w:rsidRPr="00A021B7">
        <w:rPr>
          <w:lang w:val="sr-Cyrl-RS"/>
        </w:rPr>
        <w:t>V.</w:t>
      </w:r>
      <w:r w:rsidR="007B239B" w:rsidRPr="00A021B7">
        <w:rPr>
          <w:lang w:val="sr-Cyrl-RS"/>
        </w:rPr>
        <w:t>9</w:t>
      </w:r>
      <w:r w:rsidR="00D9663F" w:rsidRPr="00A021B7">
        <w:rPr>
          <w:lang w:val="sr-Cyrl-RS"/>
        </w:rPr>
        <w:t xml:space="preserve">. </w:t>
      </w:r>
      <w:r w:rsidR="00292BDE" w:rsidRPr="00A021B7">
        <w:rPr>
          <w:lang w:val="sr-Cyrl-RS"/>
        </w:rPr>
        <w:t>Однос републичких и покрајинских органа и органа локалне самоуправе</w:t>
      </w:r>
      <w:bookmarkEnd w:id="97"/>
      <w:bookmarkEnd w:id="98"/>
      <w:bookmarkEnd w:id="99"/>
      <w:bookmarkEnd w:id="100"/>
    </w:p>
    <w:p w14:paraId="26FC9458" w14:textId="77777777" w:rsidR="00AA58FE" w:rsidRPr="00A021B7" w:rsidRDefault="00AA58FE" w:rsidP="003E7BC9">
      <w:pPr>
        <w:jc w:val="both"/>
        <w:rPr>
          <w:rFonts w:ascii="Arial" w:hAnsi="Arial" w:cs="Arial"/>
          <w:b/>
          <w:bCs/>
          <w:sz w:val="20"/>
          <w:szCs w:val="20"/>
          <w:highlight w:val="yellow"/>
          <w:lang w:val="sr-Cyrl-RS"/>
        </w:rPr>
      </w:pPr>
    </w:p>
    <w:p w14:paraId="42D3C677" w14:textId="421FE15D" w:rsidR="0091079F" w:rsidRPr="00A021B7" w:rsidRDefault="00383BF4" w:rsidP="1A8E6423">
      <w:pPr>
        <w:pStyle w:val="NormalWeb"/>
        <w:shd w:val="clear" w:color="auto" w:fill="FFFFFF" w:themeFill="background1"/>
        <w:spacing w:before="0" w:beforeAutospacing="0" w:after="0" w:afterAutospacing="0"/>
        <w:ind w:firstLine="720"/>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Појам односа републичких органа, покрајинских органа и органа ЈЛС у ширем смислу, подразумева два аспекта. Најпре, то је расподела послова између ових нивоа и прецизно дефинисање послова који се кроз децентрализацију, односно деконцентрацију, обављају у оквиру сопственог, односно повереног делокруга. Друго, класично схватање подразумева </w:t>
      </w:r>
      <w:r w:rsidR="00E648FF" w:rsidRPr="1A8E6423">
        <w:rPr>
          <w:rFonts w:ascii="Arial" w:hAnsi="Arial" w:cs="Arial"/>
          <w:color w:val="000000" w:themeColor="text1"/>
          <w:sz w:val="20"/>
          <w:szCs w:val="20"/>
          <w:lang w:val="sr-Cyrl-RS"/>
        </w:rPr>
        <w:t xml:space="preserve">односе </w:t>
      </w:r>
      <w:r w:rsidRPr="1A8E6423">
        <w:rPr>
          <w:rFonts w:ascii="Arial" w:hAnsi="Arial" w:cs="Arial"/>
          <w:color w:val="000000" w:themeColor="text1"/>
          <w:sz w:val="20"/>
          <w:szCs w:val="20"/>
          <w:lang w:val="sr-Cyrl-RS"/>
        </w:rPr>
        <w:t xml:space="preserve">које се између ових органа успостављају и </w:t>
      </w:r>
      <w:r w:rsidR="00E648FF" w:rsidRPr="1A8E6423">
        <w:rPr>
          <w:rFonts w:ascii="Arial" w:hAnsi="Arial" w:cs="Arial"/>
          <w:color w:val="000000" w:themeColor="text1"/>
          <w:sz w:val="20"/>
          <w:szCs w:val="20"/>
          <w:lang w:val="sr-Cyrl-RS"/>
        </w:rPr>
        <w:t xml:space="preserve">остварују </w:t>
      </w:r>
      <w:r w:rsidRPr="1A8E6423">
        <w:rPr>
          <w:rFonts w:ascii="Arial" w:hAnsi="Arial" w:cs="Arial"/>
          <w:color w:val="000000" w:themeColor="text1"/>
          <w:sz w:val="20"/>
          <w:szCs w:val="20"/>
          <w:lang w:val="sr-Cyrl-RS"/>
        </w:rPr>
        <w:t>у вези са веома разноврсним активностима и питањима при обављању послова, како би се обезбедило да се они континуирано, делотворно, ефикасно и економично обављају.</w:t>
      </w:r>
      <w:r w:rsidR="007902FB" w:rsidRPr="1A8E6423">
        <w:rPr>
          <w:rFonts w:ascii="Arial" w:hAnsi="Arial" w:cs="Arial"/>
          <w:color w:val="000000" w:themeColor="text1"/>
          <w:sz w:val="20"/>
          <w:szCs w:val="20"/>
          <w:lang w:val="sr-Cyrl-RS"/>
        </w:rPr>
        <w:t xml:space="preserve"> </w:t>
      </w:r>
      <w:r w:rsidR="00545097" w:rsidRPr="1A8E6423">
        <w:rPr>
          <w:rFonts w:ascii="Arial" w:hAnsi="Arial" w:cs="Arial"/>
          <w:color w:val="000000" w:themeColor="text1"/>
          <w:sz w:val="20"/>
          <w:szCs w:val="20"/>
          <w:lang w:val="sr-Cyrl-RS"/>
        </w:rPr>
        <w:t xml:space="preserve">У ЗЛС је </w:t>
      </w:r>
      <w:r w:rsidR="0091079F" w:rsidRPr="1A8E6423">
        <w:rPr>
          <w:rFonts w:ascii="Arial" w:hAnsi="Arial" w:cs="Arial"/>
          <w:color w:val="000000" w:themeColor="text1"/>
          <w:sz w:val="20"/>
          <w:szCs w:val="20"/>
          <w:lang w:val="sr-Cyrl-RS"/>
        </w:rPr>
        <w:t xml:space="preserve">уређено да органи Републике, територијалне аутономије и локалне самоуправе, ради остваривања својих права и дужности, међусобно сарађују у складу с Уставом, законом и другим прописом. Органи и службе </w:t>
      </w:r>
      <w:r w:rsidR="005B2F26" w:rsidRPr="1A8E6423">
        <w:rPr>
          <w:rFonts w:ascii="Arial" w:hAnsi="Arial" w:cs="Arial"/>
          <w:color w:val="000000" w:themeColor="text1"/>
          <w:sz w:val="20"/>
          <w:szCs w:val="20"/>
          <w:lang w:val="sr-Cyrl-RS"/>
        </w:rPr>
        <w:t xml:space="preserve">ЈЛС </w:t>
      </w:r>
      <w:r w:rsidR="0091079F" w:rsidRPr="1A8E6423">
        <w:rPr>
          <w:rFonts w:ascii="Arial" w:hAnsi="Arial" w:cs="Arial"/>
          <w:color w:val="000000" w:themeColor="text1"/>
          <w:sz w:val="20"/>
          <w:szCs w:val="20"/>
          <w:lang w:val="sr-Cyrl-RS"/>
        </w:rPr>
        <w:t xml:space="preserve">имају могућност да упућују иницијативе вишим нивоима јавне власти за уређивање односа од значаја за локалну самоуправу и за предузимање мера од значаја за решавање питања из оквира права и дужности </w:t>
      </w:r>
      <w:r w:rsidR="005B2F26" w:rsidRPr="1A8E6423">
        <w:rPr>
          <w:rFonts w:ascii="Arial" w:hAnsi="Arial" w:cs="Arial"/>
          <w:color w:val="000000" w:themeColor="text1"/>
          <w:sz w:val="20"/>
          <w:szCs w:val="20"/>
          <w:lang w:val="sr-Cyrl-RS"/>
        </w:rPr>
        <w:t>ЈЛС</w:t>
      </w:r>
      <w:r w:rsidR="0091079F" w:rsidRPr="1A8E6423">
        <w:rPr>
          <w:rFonts w:ascii="Arial" w:hAnsi="Arial" w:cs="Arial"/>
          <w:color w:val="000000" w:themeColor="text1"/>
          <w:sz w:val="20"/>
          <w:szCs w:val="20"/>
          <w:lang w:val="sr-Cyrl-RS"/>
        </w:rPr>
        <w:t xml:space="preserve">. ЈЛС могу да подносе представке и дају предлоге у погледу поступања органа Републике и територијалне аутономије </w:t>
      </w:r>
      <w:r w:rsidR="009F48AF" w:rsidRPr="1A8E6423">
        <w:rPr>
          <w:rFonts w:ascii="Arial" w:hAnsi="Arial" w:cs="Arial"/>
          <w:color w:val="000000" w:themeColor="text1"/>
          <w:sz w:val="20"/>
          <w:szCs w:val="20"/>
          <w:lang w:val="sr-Cyrl-RS"/>
        </w:rPr>
        <w:t xml:space="preserve">и </w:t>
      </w:r>
      <w:r w:rsidR="0091079F" w:rsidRPr="1A8E6423">
        <w:rPr>
          <w:rFonts w:ascii="Arial" w:hAnsi="Arial" w:cs="Arial"/>
          <w:color w:val="000000" w:themeColor="text1"/>
          <w:sz w:val="20"/>
          <w:szCs w:val="20"/>
          <w:lang w:val="sr-Cyrl-RS"/>
        </w:rPr>
        <w:t xml:space="preserve">да траже мишљење надлежног органа Републике и територијалне аутономије у вези са применом прописа од непосредног утицаја </w:t>
      </w:r>
      <w:r w:rsidR="00F1052C" w:rsidRPr="1A8E6423">
        <w:rPr>
          <w:rFonts w:ascii="Arial" w:hAnsi="Arial" w:cs="Arial"/>
          <w:color w:val="000000" w:themeColor="text1"/>
          <w:sz w:val="20"/>
          <w:szCs w:val="20"/>
          <w:lang w:val="sr-Cyrl-RS"/>
        </w:rPr>
        <w:t xml:space="preserve">на </w:t>
      </w:r>
      <w:r w:rsidR="0091079F" w:rsidRPr="1A8E6423">
        <w:rPr>
          <w:rFonts w:ascii="Arial" w:hAnsi="Arial" w:cs="Arial"/>
          <w:color w:val="000000" w:themeColor="text1"/>
          <w:sz w:val="20"/>
          <w:szCs w:val="20"/>
          <w:lang w:val="sr-Cyrl-RS"/>
        </w:rPr>
        <w:t>локалну самоуправу и на њихов рад. ЈЛС имају могућност да учествују, самостално или преко својих асоцијација</w:t>
      </w:r>
      <w:r w:rsidR="00F1052C" w:rsidRPr="1A8E6423">
        <w:rPr>
          <w:rFonts w:ascii="Arial" w:hAnsi="Arial" w:cs="Arial"/>
          <w:color w:val="000000" w:themeColor="text1"/>
          <w:sz w:val="20"/>
          <w:szCs w:val="20"/>
          <w:lang w:val="sr-Cyrl-RS"/>
        </w:rPr>
        <w:t>,</w:t>
      </w:r>
      <w:r w:rsidR="0091079F" w:rsidRPr="1A8E6423">
        <w:rPr>
          <w:rFonts w:ascii="Arial" w:hAnsi="Arial" w:cs="Arial"/>
          <w:color w:val="000000" w:themeColor="text1"/>
          <w:sz w:val="20"/>
          <w:szCs w:val="20"/>
          <w:lang w:val="sr-Cyrl-RS"/>
        </w:rPr>
        <w:t xml:space="preserve"> у припреми закона и других прописа чија је садржина од посебног значаја за остваривање и развој локалне самоуправе. Са друге стране</w:t>
      </w:r>
      <w:r w:rsidR="00421CB3" w:rsidRPr="1A8E6423">
        <w:rPr>
          <w:rFonts w:ascii="Arial" w:hAnsi="Arial" w:cs="Arial"/>
          <w:color w:val="000000" w:themeColor="text1"/>
          <w:sz w:val="20"/>
          <w:szCs w:val="20"/>
          <w:lang w:val="sr-Cyrl-RS"/>
        </w:rPr>
        <w:t>,</w:t>
      </w:r>
      <w:r w:rsidR="0091079F" w:rsidRPr="1A8E6423">
        <w:rPr>
          <w:rFonts w:ascii="Arial" w:hAnsi="Arial" w:cs="Arial"/>
          <w:color w:val="000000" w:themeColor="text1"/>
          <w:sz w:val="20"/>
          <w:szCs w:val="20"/>
          <w:lang w:val="sr-Cyrl-RS"/>
        </w:rPr>
        <w:t xml:space="preserve"> </w:t>
      </w:r>
      <w:r w:rsidR="00F1052C" w:rsidRPr="1A8E6423">
        <w:rPr>
          <w:rFonts w:ascii="Arial" w:hAnsi="Arial" w:cs="Arial"/>
          <w:color w:val="000000" w:themeColor="text1"/>
          <w:sz w:val="20"/>
          <w:szCs w:val="20"/>
          <w:lang w:val="sr-Cyrl-RS"/>
        </w:rPr>
        <w:t>органи</w:t>
      </w:r>
      <w:r w:rsidR="0091079F" w:rsidRPr="1A8E6423">
        <w:rPr>
          <w:rFonts w:ascii="Arial" w:hAnsi="Arial" w:cs="Arial"/>
          <w:color w:val="000000" w:themeColor="text1"/>
          <w:sz w:val="20"/>
          <w:szCs w:val="20"/>
          <w:lang w:val="sr-Cyrl-RS"/>
        </w:rPr>
        <w:t xml:space="preserve"> Републике и територијалне аутономије треба да обавештавају органе и службе ЈЛС o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локалних власти. Органи виших нивоа власти треба и да пружају стручну помоћ ЈЛС у вези са обављањем њених послова. </w:t>
      </w:r>
      <w:r w:rsidR="003306E0" w:rsidRPr="1A8E6423">
        <w:rPr>
          <w:rFonts w:ascii="Arial" w:hAnsi="Arial" w:cs="Arial"/>
          <w:color w:val="000000" w:themeColor="text1"/>
          <w:sz w:val="20"/>
          <w:szCs w:val="20"/>
          <w:lang w:val="sr-Cyrl-RS"/>
        </w:rPr>
        <w:t>В</w:t>
      </w:r>
      <w:r w:rsidR="0091079F" w:rsidRPr="1A8E6423">
        <w:rPr>
          <w:rFonts w:ascii="Arial" w:hAnsi="Arial" w:cs="Arial"/>
          <w:color w:val="000000" w:themeColor="text1"/>
          <w:sz w:val="20"/>
          <w:szCs w:val="20"/>
          <w:lang w:val="sr-Cyrl-RS"/>
        </w:rPr>
        <w:t xml:space="preserve">иши нивои јавне управе имају </w:t>
      </w:r>
      <w:r w:rsidR="003306E0" w:rsidRPr="1A8E6423">
        <w:rPr>
          <w:rFonts w:ascii="Arial" w:hAnsi="Arial" w:cs="Arial"/>
          <w:color w:val="000000" w:themeColor="text1"/>
          <w:sz w:val="20"/>
          <w:szCs w:val="20"/>
          <w:lang w:val="sr-Cyrl-RS"/>
        </w:rPr>
        <w:t xml:space="preserve">и </w:t>
      </w:r>
      <w:r w:rsidR="0091079F" w:rsidRPr="1A8E6423">
        <w:rPr>
          <w:rFonts w:ascii="Arial" w:hAnsi="Arial" w:cs="Arial"/>
          <w:color w:val="000000" w:themeColor="text1"/>
          <w:sz w:val="20"/>
          <w:szCs w:val="20"/>
          <w:lang w:val="sr-Cyrl-RS"/>
        </w:rPr>
        <w:t xml:space="preserve">могућност да траже извештаје, податке и обавештења о обављању послова ЈЛС, као и о другим питањима од интереса за </w:t>
      </w:r>
      <w:r w:rsidR="00073D98" w:rsidRPr="1A8E6423">
        <w:rPr>
          <w:rFonts w:ascii="Arial" w:hAnsi="Arial" w:cs="Arial"/>
          <w:color w:val="000000" w:themeColor="text1"/>
          <w:sz w:val="20"/>
          <w:szCs w:val="20"/>
          <w:lang w:val="sr-Cyrl-RS"/>
        </w:rPr>
        <w:t xml:space="preserve">испуњавање </w:t>
      </w:r>
      <w:r w:rsidR="0091079F" w:rsidRPr="1A8E6423">
        <w:rPr>
          <w:rFonts w:ascii="Arial" w:hAnsi="Arial" w:cs="Arial"/>
          <w:color w:val="000000" w:themeColor="text1"/>
          <w:sz w:val="20"/>
          <w:szCs w:val="20"/>
          <w:lang w:val="sr-Cyrl-RS"/>
        </w:rPr>
        <w:t>њихове улоге у области локалне самоуправе.</w:t>
      </w:r>
    </w:p>
    <w:p w14:paraId="51719C8B" w14:textId="77777777" w:rsidR="00B703A4" w:rsidRPr="00A021B7" w:rsidRDefault="00B703A4" w:rsidP="1A8E6423">
      <w:pPr>
        <w:pStyle w:val="NormalWeb"/>
        <w:shd w:val="clear" w:color="auto" w:fill="FFFFFF" w:themeFill="background1"/>
        <w:spacing w:before="0" w:beforeAutospacing="0" w:after="0" w:afterAutospacing="0"/>
        <w:ind w:firstLine="720"/>
        <w:jc w:val="both"/>
        <w:rPr>
          <w:rFonts w:ascii="Arial" w:hAnsi="Arial" w:cs="Arial"/>
          <w:color w:val="000000" w:themeColor="text1"/>
          <w:sz w:val="20"/>
          <w:szCs w:val="20"/>
          <w:lang w:val="sr-Cyrl-RS"/>
        </w:rPr>
      </w:pPr>
    </w:p>
    <w:p w14:paraId="0E8F6E1F" w14:textId="03F6F24D" w:rsidR="00AB08D1" w:rsidRPr="00A021B7" w:rsidRDefault="708AAC17" w:rsidP="1A8E6423">
      <w:pPr>
        <w:pStyle w:val="NormalWeb"/>
        <w:shd w:val="clear" w:color="auto" w:fill="FFFFFF" w:themeFill="background1"/>
        <w:spacing w:before="0" w:beforeAutospacing="0" w:after="0" w:afterAutospacing="0"/>
        <w:ind w:firstLine="720"/>
        <w:jc w:val="both"/>
        <w:rPr>
          <w:rFonts w:ascii="Arial" w:hAnsi="Arial" w:cs="Arial"/>
          <w:sz w:val="20"/>
          <w:szCs w:val="20"/>
          <w:lang w:val="sr-Cyrl-RS"/>
        </w:rPr>
      </w:pPr>
      <w:r w:rsidRPr="00A021B7">
        <w:rPr>
          <w:rFonts w:ascii="Arial" w:hAnsi="Arial" w:cs="Arial"/>
          <w:color w:val="000000" w:themeColor="text1"/>
          <w:sz w:val="20"/>
          <w:szCs w:val="20"/>
          <w:lang w:val="sr-Cyrl-RS" w:eastAsia="de-CH"/>
        </w:rPr>
        <w:t>ЕПЛС предвиђа да је локална самоуправа право да се</w:t>
      </w:r>
      <w:r w:rsidR="72EB7DD0" w:rsidRPr="00A021B7">
        <w:rPr>
          <w:rFonts w:ascii="Arial" w:hAnsi="Arial" w:cs="Arial"/>
          <w:color w:val="000000" w:themeColor="text1"/>
          <w:sz w:val="20"/>
          <w:szCs w:val="20"/>
          <w:lang w:val="sr-Cyrl-RS" w:eastAsia="de-CH"/>
        </w:rPr>
        <w:t>,</w:t>
      </w:r>
      <w:r w:rsidRPr="00A021B7">
        <w:rPr>
          <w:rFonts w:ascii="Arial" w:hAnsi="Arial" w:cs="Arial"/>
          <w:color w:val="000000" w:themeColor="text1"/>
          <w:sz w:val="20"/>
          <w:szCs w:val="20"/>
          <w:lang w:val="sr-Cyrl-RS" w:eastAsia="de-CH"/>
        </w:rPr>
        <w:t xml:space="preserve"> у оквиру законских ограничења, уређују послов</w:t>
      </w:r>
      <w:r w:rsidR="39B6C16F" w:rsidRPr="00A021B7">
        <w:rPr>
          <w:rFonts w:ascii="Arial" w:hAnsi="Arial" w:cs="Arial"/>
          <w:color w:val="000000" w:themeColor="text1"/>
          <w:sz w:val="20"/>
          <w:szCs w:val="20"/>
          <w:lang w:val="sr-Cyrl-RS" w:eastAsia="de-CH"/>
        </w:rPr>
        <w:t>и</w:t>
      </w:r>
      <w:r w:rsidRPr="00A021B7">
        <w:rPr>
          <w:rFonts w:ascii="Arial" w:hAnsi="Arial" w:cs="Arial"/>
          <w:color w:val="000000" w:themeColor="text1"/>
          <w:sz w:val="20"/>
          <w:szCs w:val="20"/>
          <w:lang w:val="sr-Cyrl-RS" w:eastAsia="de-CH"/>
        </w:rPr>
        <w:t xml:space="preserve"> и управља битним делом јавних послова </w:t>
      </w:r>
      <w:r w:rsidR="6A7E904E" w:rsidRPr="00A021B7">
        <w:rPr>
          <w:rFonts w:ascii="Arial" w:hAnsi="Arial" w:cs="Arial"/>
          <w:color w:val="000000" w:themeColor="text1"/>
          <w:sz w:val="20"/>
          <w:szCs w:val="20"/>
          <w:lang w:val="sr-Cyrl-RS" w:eastAsia="de-CH"/>
        </w:rPr>
        <w:t xml:space="preserve">за које одговарају органи локалне самоуправе </w:t>
      </w:r>
      <w:r w:rsidR="39B6C16F" w:rsidRPr="00A021B7">
        <w:rPr>
          <w:rFonts w:ascii="Arial" w:hAnsi="Arial" w:cs="Arial"/>
          <w:color w:val="000000" w:themeColor="text1"/>
          <w:sz w:val="20"/>
          <w:szCs w:val="20"/>
          <w:lang w:val="sr-Cyrl-RS" w:eastAsia="de-CH"/>
        </w:rPr>
        <w:t>и у интересу грађана</w:t>
      </w:r>
      <w:r w:rsidR="58FA91D5" w:rsidRPr="00A021B7">
        <w:rPr>
          <w:rFonts w:ascii="Arial" w:hAnsi="Arial" w:cs="Arial"/>
          <w:color w:val="000000" w:themeColor="text1"/>
          <w:sz w:val="20"/>
          <w:szCs w:val="20"/>
          <w:lang w:val="sr-Cyrl-RS" w:eastAsia="de-CH"/>
        </w:rPr>
        <w:t xml:space="preserve"> (</w:t>
      </w:r>
      <w:r w:rsidR="72EB7DD0" w:rsidRPr="00A021B7">
        <w:rPr>
          <w:rFonts w:ascii="Arial" w:hAnsi="Arial" w:cs="Arial"/>
          <w:color w:val="000000" w:themeColor="text1"/>
          <w:sz w:val="20"/>
          <w:szCs w:val="20"/>
          <w:lang w:val="sr-Cyrl-RS" w:eastAsia="de-CH"/>
        </w:rPr>
        <w:t>чл</w:t>
      </w:r>
      <w:r w:rsidR="38354646" w:rsidRPr="00A021B7">
        <w:rPr>
          <w:rFonts w:ascii="Arial" w:hAnsi="Arial" w:cs="Arial"/>
          <w:color w:val="000000" w:themeColor="text1"/>
          <w:sz w:val="20"/>
          <w:szCs w:val="20"/>
          <w:lang w:val="sr-Cyrl-RS" w:eastAsia="de-CH"/>
        </w:rPr>
        <w:t>ан</w:t>
      </w:r>
      <w:r w:rsidR="72EB7DD0" w:rsidRPr="00A021B7">
        <w:rPr>
          <w:rFonts w:ascii="Arial" w:hAnsi="Arial" w:cs="Arial"/>
          <w:color w:val="000000" w:themeColor="text1"/>
          <w:sz w:val="20"/>
          <w:szCs w:val="20"/>
          <w:lang w:val="sr-Cyrl-RS" w:eastAsia="de-CH"/>
        </w:rPr>
        <w:t xml:space="preserve"> </w:t>
      </w:r>
      <w:r w:rsidR="58FA91D5" w:rsidRPr="00A021B7">
        <w:rPr>
          <w:rFonts w:ascii="Arial" w:hAnsi="Arial" w:cs="Arial"/>
          <w:color w:val="000000" w:themeColor="text1"/>
          <w:sz w:val="20"/>
          <w:szCs w:val="20"/>
          <w:lang w:val="sr-Cyrl-RS" w:eastAsia="de-CH"/>
        </w:rPr>
        <w:t>3.</w:t>
      </w:r>
      <w:r w:rsidR="38354646" w:rsidRPr="00A021B7">
        <w:rPr>
          <w:rFonts w:ascii="Arial" w:hAnsi="Arial" w:cs="Arial"/>
          <w:color w:val="000000" w:themeColor="text1"/>
          <w:sz w:val="20"/>
          <w:szCs w:val="20"/>
          <w:lang w:val="sr-Cyrl-RS" w:eastAsia="de-CH"/>
        </w:rPr>
        <w:t xml:space="preserve"> став </w:t>
      </w:r>
      <w:r w:rsidR="58FA91D5" w:rsidRPr="00A021B7">
        <w:rPr>
          <w:rFonts w:ascii="Arial" w:hAnsi="Arial" w:cs="Arial"/>
          <w:color w:val="000000" w:themeColor="text1"/>
          <w:sz w:val="20"/>
          <w:szCs w:val="20"/>
          <w:lang w:val="sr-Cyrl-RS" w:eastAsia="de-CH"/>
        </w:rPr>
        <w:t xml:space="preserve">1). То значи да је остваривање локалне самоуправе омеђено </w:t>
      </w:r>
      <w:r w:rsidR="662C9CA7" w:rsidRPr="00A021B7">
        <w:rPr>
          <w:rFonts w:ascii="Arial" w:hAnsi="Arial" w:cs="Arial"/>
          <w:color w:val="000000" w:themeColor="text1"/>
          <w:sz w:val="20"/>
          <w:szCs w:val="20"/>
          <w:lang w:val="sr-Cyrl-RS" w:eastAsia="de-CH"/>
        </w:rPr>
        <w:t xml:space="preserve">законским оквиром и интересом локалне заједнице. </w:t>
      </w:r>
      <w:r w:rsidR="507C9517" w:rsidRPr="00A021B7">
        <w:rPr>
          <w:rFonts w:ascii="Arial" w:hAnsi="Arial" w:cs="Arial"/>
          <w:color w:val="000000" w:themeColor="text1"/>
          <w:sz w:val="20"/>
          <w:szCs w:val="20"/>
          <w:lang w:val="sr-Cyrl-RS"/>
        </w:rPr>
        <w:t xml:space="preserve">Органи Републике и територијалне аутономије врше надзор над законитошћу рада и аката органа </w:t>
      </w:r>
      <w:r w:rsidR="72EB7DD0" w:rsidRPr="00A021B7">
        <w:rPr>
          <w:rFonts w:ascii="Arial" w:hAnsi="Arial" w:cs="Arial"/>
          <w:color w:val="000000" w:themeColor="text1"/>
          <w:sz w:val="20"/>
          <w:szCs w:val="20"/>
          <w:lang w:val="sr-Cyrl-RS"/>
        </w:rPr>
        <w:t>ЈЛС</w:t>
      </w:r>
      <w:r w:rsidR="507C9517" w:rsidRPr="00A021B7">
        <w:rPr>
          <w:rFonts w:ascii="Arial" w:hAnsi="Arial" w:cs="Arial"/>
          <w:color w:val="000000" w:themeColor="text1"/>
          <w:sz w:val="20"/>
          <w:szCs w:val="20"/>
          <w:lang w:val="sr-Cyrl-RS"/>
        </w:rPr>
        <w:t>, у складу с Уставом и законом. Устав Републике Србије утврђује да „право грађана на покрајинску аутономију и локалну самоуправу подлеже само надзору уставности и законитости</w:t>
      </w:r>
      <w:r w:rsidR="503E649E" w:rsidRPr="00A021B7">
        <w:rPr>
          <w:rFonts w:ascii="Arial" w:hAnsi="Arial" w:cs="Arial"/>
          <w:color w:val="000000" w:themeColor="text1"/>
          <w:sz w:val="20"/>
          <w:szCs w:val="20"/>
          <w:lang w:val="sr-Cyrl-RS"/>
        </w:rPr>
        <w:t>”</w:t>
      </w:r>
      <w:r w:rsidR="168024E8" w:rsidRPr="00A021B7">
        <w:rPr>
          <w:rFonts w:ascii="Arial" w:hAnsi="Arial" w:cs="Arial"/>
          <w:color w:val="000000" w:themeColor="text1"/>
          <w:sz w:val="20"/>
          <w:szCs w:val="20"/>
          <w:lang w:val="sr-Cyrl-RS"/>
        </w:rPr>
        <w:t xml:space="preserve"> (чл</w:t>
      </w:r>
      <w:r w:rsidR="00330EFF" w:rsidRPr="00A021B7">
        <w:rPr>
          <w:rFonts w:ascii="Arial" w:hAnsi="Arial" w:cs="Arial"/>
          <w:color w:val="000000" w:themeColor="text1"/>
          <w:sz w:val="20"/>
          <w:szCs w:val="20"/>
          <w:lang w:val="sr-Cyrl-RS"/>
        </w:rPr>
        <w:t>ан</w:t>
      </w:r>
      <w:r w:rsidR="168024E8" w:rsidRPr="00A021B7">
        <w:rPr>
          <w:rFonts w:ascii="Arial" w:hAnsi="Arial" w:cs="Arial"/>
          <w:color w:val="000000" w:themeColor="text1"/>
          <w:sz w:val="20"/>
          <w:szCs w:val="20"/>
          <w:lang w:val="sr-Cyrl-RS"/>
        </w:rPr>
        <w:t xml:space="preserve"> 12</w:t>
      </w:r>
      <w:r w:rsidR="00330EFF" w:rsidRPr="00A021B7">
        <w:rPr>
          <w:rFonts w:ascii="Arial" w:hAnsi="Arial" w:cs="Arial"/>
          <w:color w:val="000000" w:themeColor="text1"/>
          <w:sz w:val="20"/>
          <w:szCs w:val="20"/>
          <w:lang w:val="sr-Cyrl-RS"/>
        </w:rPr>
        <w:t>.</w:t>
      </w:r>
      <w:r w:rsidR="168024E8" w:rsidRPr="00A021B7">
        <w:rPr>
          <w:rFonts w:ascii="Arial" w:hAnsi="Arial" w:cs="Arial"/>
          <w:color w:val="000000" w:themeColor="text1"/>
          <w:sz w:val="20"/>
          <w:szCs w:val="20"/>
          <w:lang w:val="sr-Cyrl-RS"/>
        </w:rPr>
        <w:t xml:space="preserve"> ст</w:t>
      </w:r>
      <w:r w:rsidR="00330EFF" w:rsidRPr="00A021B7">
        <w:rPr>
          <w:rFonts w:ascii="Arial" w:hAnsi="Arial" w:cs="Arial"/>
          <w:color w:val="000000" w:themeColor="text1"/>
          <w:sz w:val="20"/>
          <w:szCs w:val="20"/>
          <w:lang w:val="sr-Cyrl-RS"/>
        </w:rPr>
        <w:t>ав</w:t>
      </w:r>
      <w:r w:rsidR="168024E8" w:rsidRPr="00A021B7">
        <w:rPr>
          <w:rFonts w:ascii="Arial" w:hAnsi="Arial" w:cs="Arial"/>
          <w:color w:val="000000" w:themeColor="text1"/>
          <w:sz w:val="20"/>
          <w:szCs w:val="20"/>
          <w:lang w:val="sr-Cyrl-RS"/>
        </w:rPr>
        <w:t xml:space="preserve"> 2).</w:t>
      </w:r>
      <w:r w:rsidR="507C9517" w:rsidRPr="00A021B7">
        <w:rPr>
          <w:rFonts w:ascii="Arial" w:hAnsi="Arial" w:cs="Arial"/>
          <w:color w:val="000000" w:themeColor="text1"/>
          <w:sz w:val="20"/>
          <w:szCs w:val="20"/>
          <w:lang w:val="sr-Cyrl-RS"/>
        </w:rPr>
        <w:t xml:space="preserve"> </w:t>
      </w:r>
      <w:r w:rsidR="181DBC98" w:rsidRPr="00A021B7">
        <w:rPr>
          <w:rFonts w:ascii="Arial" w:hAnsi="Arial" w:cs="Arial"/>
          <w:color w:val="000000" w:themeColor="text1"/>
          <w:sz w:val="20"/>
          <w:szCs w:val="20"/>
          <w:lang w:val="sr-Cyrl-RS"/>
        </w:rPr>
        <w:t xml:space="preserve">Устав уређује и </w:t>
      </w:r>
      <w:r w:rsidR="1647049D" w:rsidRPr="00A021B7">
        <w:rPr>
          <w:rFonts w:ascii="Arial" w:hAnsi="Arial" w:cs="Arial"/>
          <w:color w:val="000000" w:themeColor="text1"/>
          <w:sz w:val="20"/>
          <w:szCs w:val="20"/>
          <w:lang w:val="sr-Cyrl-RS"/>
        </w:rPr>
        <w:t>посебно важна надзорна овлашћења Владе</w:t>
      </w:r>
      <w:r w:rsidR="507C9517" w:rsidRPr="00A021B7">
        <w:rPr>
          <w:rFonts w:ascii="Arial" w:hAnsi="Arial" w:cs="Arial"/>
          <w:color w:val="000000" w:themeColor="text1"/>
          <w:sz w:val="20"/>
          <w:szCs w:val="20"/>
          <w:lang w:val="sr-Cyrl-RS"/>
        </w:rPr>
        <w:t xml:space="preserve">: (1) дужност да обустави </w:t>
      </w:r>
      <w:r w:rsidR="4CB032FC" w:rsidRPr="00A021B7">
        <w:rPr>
          <w:rFonts w:ascii="Arial" w:hAnsi="Arial" w:cs="Arial"/>
          <w:color w:val="000000" w:themeColor="text1"/>
          <w:sz w:val="20"/>
          <w:szCs w:val="20"/>
          <w:lang w:val="sr-Cyrl-RS"/>
        </w:rPr>
        <w:lastRenderedPageBreak/>
        <w:t xml:space="preserve">извршење општег </w:t>
      </w:r>
      <w:r w:rsidR="507C9517" w:rsidRPr="00A021B7">
        <w:rPr>
          <w:rFonts w:ascii="Arial" w:hAnsi="Arial" w:cs="Arial"/>
          <w:color w:val="000000" w:themeColor="text1"/>
          <w:sz w:val="20"/>
          <w:szCs w:val="20"/>
          <w:lang w:val="sr-Cyrl-RS"/>
        </w:rPr>
        <w:t>акт</w:t>
      </w:r>
      <w:r w:rsidR="4CB032FC" w:rsidRPr="00A021B7">
        <w:rPr>
          <w:rFonts w:ascii="Arial" w:hAnsi="Arial" w:cs="Arial"/>
          <w:color w:val="000000" w:themeColor="text1"/>
          <w:sz w:val="20"/>
          <w:szCs w:val="20"/>
          <w:lang w:val="sr-Cyrl-RS"/>
        </w:rPr>
        <w:t>а</w:t>
      </w:r>
      <w:r w:rsidR="507C9517" w:rsidRPr="00A021B7">
        <w:rPr>
          <w:rFonts w:ascii="Arial" w:hAnsi="Arial" w:cs="Arial"/>
          <w:color w:val="000000" w:themeColor="text1"/>
          <w:sz w:val="20"/>
          <w:szCs w:val="20"/>
          <w:lang w:val="sr-Cyrl-RS"/>
        </w:rPr>
        <w:t xml:space="preserve"> ЈЛС за који сматра да није сагласан Уставу или закону и да у року од пет дана пред Уставним судом покрене поступак за оцењивање његове уставности и законитости и (2) право да распусти скупштину ЈЛС и именује привремени орган који ће обављати послове из надлежности скупштине, водећи рачуна о политичком и националном саставу распуштене скупштине.</w:t>
      </w:r>
      <w:r w:rsidR="0091079F" w:rsidRPr="00A021B7">
        <w:rPr>
          <w:rStyle w:val="FootnoteReference"/>
          <w:rFonts w:ascii="Arial" w:hAnsi="Arial" w:cs="Arial"/>
          <w:color w:val="000000" w:themeColor="text1"/>
          <w:sz w:val="20"/>
          <w:szCs w:val="20"/>
          <w:lang w:val="sr-Cyrl-RS"/>
        </w:rPr>
        <w:footnoteReference w:id="142"/>
      </w:r>
      <w:r w:rsidR="507C9517" w:rsidRPr="00A021B7">
        <w:rPr>
          <w:rFonts w:ascii="Arial" w:hAnsi="Arial" w:cs="Arial"/>
          <w:color w:val="000000" w:themeColor="text1"/>
          <w:sz w:val="20"/>
          <w:szCs w:val="20"/>
          <w:lang w:val="sr-Cyrl-RS"/>
        </w:rPr>
        <w:t xml:space="preserve"> </w:t>
      </w:r>
      <w:r w:rsidR="507C9517" w:rsidRPr="00A021B7">
        <w:rPr>
          <w:rFonts w:ascii="Arial" w:hAnsi="Arial" w:cs="Arial"/>
          <w:sz w:val="20"/>
          <w:szCs w:val="20"/>
          <w:lang w:val="sr-Cyrl-RS"/>
        </w:rPr>
        <w:t xml:space="preserve">Поред Владе, надзор над законитошћу </w:t>
      </w:r>
      <w:r w:rsidR="00073D98">
        <w:rPr>
          <w:rFonts w:ascii="Arial" w:hAnsi="Arial" w:cs="Arial"/>
          <w:sz w:val="20"/>
          <w:szCs w:val="20"/>
          <w:lang w:val="sr-Cyrl-RS"/>
        </w:rPr>
        <w:t>вршења</w:t>
      </w:r>
      <w:r w:rsidR="00073D98" w:rsidRPr="00A021B7">
        <w:rPr>
          <w:rFonts w:ascii="Arial" w:hAnsi="Arial" w:cs="Arial"/>
          <w:sz w:val="20"/>
          <w:szCs w:val="20"/>
          <w:lang w:val="sr-Cyrl-RS"/>
        </w:rPr>
        <w:t xml:space="preserve"> </w:t>
      </w:r>
      <w:r w:rsidR="507C9517" w:rsidRPr="00A021B7">
        <w:rPr>
          <w:rFonts w:ascii="Arial" w:hAnsi="Arial" w:cs="Arial"/>
          <w:sz w:val="20"/>
          <w:szCs w:val="20"/>
          <w:lang w:val="sr-Cyrl-RS"/>
        </w:rPr>
        <w:t>изворних надлежности ЈЛС врше</w:t>
      </w:r>
      <w:r w:rsidR="7E1C8150" w:rsidRPr="00A021B7">
        <w:rPr>
          <w:rFonts w:ascii="Arial" w:hAnsi="Arial" w:cs="Arial"/>
          <w:sz w:val="20"/>
          <w:szCs w:val="20"/>
          <w:lang w:val="sr-Cyrl-RS"/>
        </w:rPr>
        <w:t xml:space="preserve"> </w:t>
      </w:r>
      <w:r w:rsidR="507C9517" w:rsidRPr="00A021B7">
        <w:rPr>
          <w:rFonts w:ascii="Arial" w:hAnsi="Arial" w:cs="Arial"/>
          <w:sz w:val="20"/>
          <w:szCs w:val="20"/>
          <w:lang w:val="sr-Cyrl-RS"/>
        </w:rPr>
        <w:t xml:space="preserve">надлежна министарства и покрајински органи, а он обухвата: (1) покретање поступка за оцену уставности и законитости статута, прописа и другог општег акта ЈЛС пред Уставним судом; (2) указивање скупштини ЈЛС на несагласност општег акта са њеним статутом и, уколико она по томе не поступи, покретање судског поступка пред Управним судом за оцену сагласности акта и за његово обустављање; </w:t>
      </w:r>
      <w:r w:rsidR="18D644BD" w:rsidRPr="00A021B7">
        <w:rPr>
          <w:rFonts w:ascii="Arial" w:hAnsi="Arial" w:cs="Arial"/>
          <w:sz w:val="20"/>
          <w:szCs w:val="20"/>
          <w:lang w:val="sr-Cyrl-RS"/>
        </w:rPr>
        <w:t xml:space="preserve">иако </w:t>
      </w:r>
      <w:r w:rsidR="0855CFCE" w:rsidRPr="00A021B7">
        <w:rPr>
          <w:rFonts w:ascii="Arial" w:hAnsi="Arial" w:cs="Arial"/>
          <w:sz w:val="20"/>
          <w:szCs w:val="20"/>
          <w:lang w:val="sr-Cyrl-RS"/>
        </w:rPr>
        <w:t>се ради о законском решењу, може</w:t>
      </w:r>
      <w:r w:rsidR="00F1052C">
        <w:rPr>
          <w:rFonts w:ascii="Arial" w:hAnsi="Arial" w:cs="Arial"/>
          <w:sz w:val="20"/>
          <w:szCs w:val="20"/>
          <w:lang w:val="sr-Cyrl-RS"/>
        </w:rPr>
        <w:t xml:space="preserve"> се</w:t>
      </w:r>
      <w:r w:rsidR="0855CFCE" w:rsidRPr="00A021B7">
        <w:rPr>
          <w:rFonts w:ascii="Arial" w:hAnsi="Arial" w:cs="Arial"/>
          <w:sz w:val="20"/>
          <w:szCs w:val="20"/>
          <w:lang w:val="sr-Cyrl-RS"/>
        </w:rPr>
        <w:t xml:space="preserve"> поставити питање </w:t>
      </w:r>
      <w:r w:rsidR="6A7E904E" w:rsidRPr="00A021B7">
        <w:rPr>
          <w:rFonts w:ascii="Arial" w:hAnsi="Arial" w:cs="Arial"/>
          <w:sz w:val="20"/>
          <w:szCs w:val="20"/>
          <w:lang w:val="sr-Cyrl-RS"/>
        </w:rPr>
        <w:t xml:space="preserve">његове </w:t>
      </w:r>
      <w:r w:rsidR="0855CFCE" w:rsidRPr="00A021B7">
        <w:rPr>
          <w:rFonts w:ascii="Arial" w:hAnsi="Arial" w:cs="Arial"/>
          <w:sz w:val="20"/>
          <w:szCs w:val="20"/>
          <w:lang w:val="sr-Cyrl-RS"/>
        </w:rPr>
        <w:t xml:space="preserve">оправданости </w:t>
      </w:r>
      <w:r w:rsidR="6A7E904E" w:rsidRPr="00A021B7">
        <w:rPr>
          <w:rFonts w:ascii="Arial" w:hAnsi="Arial" w:cs="Arial"/>
          <w:sz w:val="20"/>
          <w:szCs w:val="20"/>
          <w:lang w:val="sr-Cyrl-RS"/>
        </w:rPr>
        <w:t xml:space="preserve">– наиме, оцена усаглашености општих аката ЈЛС би требало, као и у првом случају, да буде у надлежности Уставног суда, а не у </w:t>
      </w:r>
      <w:r w:rsidR="0855CFCE" w:rsidRPr="00A021B7">
        <w:rPr>
          <w:rFonts w:ascii="Arial" w:hAnsi="Arial" w:cs="Arial"/>
          <w:sz w:val="20"/>
          <w:szCs w:val="20"/>
          <w:lang w:val="sr-Cyrl-RS"/>
        </w:rPr>
        <w:t>надлежности Управног суда</w:t>
      </w:r>
      <w:r w:rsidR="00F1052C">
        <w:rPr>
          <w:rFonts w:ascii="Arial" w:hAnsi="Arial" w:cs="Arial"/>
          <w:sz w:val="20"/>
          <w:szCs w:val="20"/>
          <w:lang w:val="sr-Cyrl-RS"/>
        </w:rPr>
        <w:t>,</w:t>
      </w:r>
      <w:r w:rsidR="0855CFCE" w:rsidRPr="00A021B7">
        <w:rPr>
          <w:rFonts w:ascii="Arial" w:hAnsi="Arial" w:cs="Arial"/>
          <w:sz w:val="20"/>
          <w:szCs w:val="20"/>
          <w:lang w:val="sr-Cyrl-RS"/>
        </w:rPr>
        <w:t xml:space="preserve"> који је надлежан за</w:t>
      </w:r>
      <w:r w:rsidR="6A7E904E" w:rsidRPr="00A021B7">
        <w:rPr>
          <w:rFonts w:ascii="Arial" w:hAnsi="Arial" w:cs="Arial"/>
          <w:sz w:val="20"/>
          <w:szCs w:val="20"/>
          <w:lang w:val="sr-Cyrl-RS"/>
        </w:rPr>
        <w:t xml:space="preserve"> оцену законитости</w:t>
      </w:r>
      <w:r w:rsidR="0855CFCE" w:rsidRPr="00A021B7">
        <w:rPr>
          <w:rFonts w:ascii="Arial" w:hAnsi="Arial" w:cs="Arial"/>
          <w:sz w:val="20"/>
          <w:szCs w:val="20"/>
          <w:lang w:val="sr-Cyrl-RS"/>
        </w:rPr>
        <w:t xml:space="preserve"> појединачн</w:t>
      </w:r>
      <w:r w:rsidR="6A7E904E" w:rsidRPr="00A021B7">
        <w:rPr>
          <w:rFonts w:ascii="Arial" w:hAnsi="Arial" w:cs="Arial"/>
          <w:sz w:val="20"/>
          <w:szCs w:val="20"/>
          <w:lang w:val="sr-Cyrl-RS"/>
        </w:rPr>
        <w:t>их</w:t>
      </w:r>
      <w:r w:rsidR="0855CFCE" w:rsidRPr="00A021B7">
        <w:rPr>
          <w:rFonts w:ascii="Arial" w:hAnsi="Arial" w:cs="Arial"/>
          <w:sz w:val="20"/>
          <w:szCs w:val="20"/>
          <w:lang w:val="sr-Cyrl-RS"/>
        </w:rPr>
        <w:t xml:space="preserve"> ак</w:t>
      </w:r>
      <w:r w:rsidR="6A7E904E" w:rsidRPr="00A021B7">
        <w:rPr>
          <w:rFonts w:ascii="Arial" w:hAnsi="Arial" w:cs="Arial"/>
          <w:sz w:val="20"/>
          <w:szCs w:val="20"/>
          <w:lang w:val="sr-Cyrl-RS"/>
        </w:rPr>
        <w:t>ата</w:t>
      </w:r>
      <w:r w:rsidR="00F1052C">
        <w:rPr>
          <w:rFonts w:ascii="Arial" w:hAnsi="Arial" w:cs="Arial"/>
          <w:sz w:val="20"/>
          <w:szCs w:val="20"/>
          <w:lang w:val="sr-Cyrl-RS"/>
        </w:rPr>
        <w:t>;</w:t>
      </w:r>
      <w:r w:rsidR="0855CFCE" w:rsidRPr="00A021B7">
        <w:rPr>
          <w:rFonts w:ascii="Arial" w:hAnsi="Arial" w:cs="Arial"/>
          <w:sz w:val="20"/>
          <w:szCs w:val="20"/>
          <w:lang w:val="sr-Cyrl-RS"/>
        </w:rPr>
        <w:t xml:space="preserve"> </w:t>
      </w:r>
      <w:r w:rsidR="507C9517" w:rsidRPr="00A021B7">
        <w:rPr>
          <w:rFonts w:ascii="Arial" w:hAnsi="Arial" w:cs="Arial"/>
          <w:sz w:val="20"/>
          <w:szCs w:val="20"/>
          <w:lang w:val="sr-Cyrl-RS"/>
        </w:rPr>
        <w:t>и (3) интервенисање поводом појединачног акта локалног органа или службе против ког није обезбеђена судска заштита.</w:t>
      </w:r>
      <w:r w:rsidR="1B4D42C2" w:rsidRPr="00A021B7">
        <w:rPr>
          <w:rFonts w:ascii="Arial" w:hAnsi="Arial" w:cs="Arial"/>
          <w:sz w:val="20"/>
          <w:szCs w:val="20"/>
          <w:lang w:val="sr-Cyrl-RS"/>
        </w:rPr>
        <w:t xml:space="preserve"> </w:t>
      </w:r>
      <w:r w:rsidR="1768B172" w:rsidRPr="00A021B7">
        <w:rPr>
          <w:rFonts w:ascii="Arial" w:hAnsi="Arial" w:cs="Arial"/>
          <w:sz w:val="20"/>
          <w:szCs w:val="20"/>
          <w:lang w:val="sr-Cyrl-RS"/>
        </w:rPr>
        <w:t>За последње</w:t>
      </w:r>
      <w:r w:rsidR="1B4D42C2" w:rsidRPr="00A021B7">
        <w:rPr>
          <w:rFonts w:ascii="Arial" w:hAnsi="Arial" w:cs="Arial"/>
          <w:sz w:val="20"/>
          <w:szCs w:val="20"/>
          <w:lang w:val="sr-Cyrl-RS"/>
        </w:rPr>
        <w:t xml:space="preserve"> се може ставити напомена да доношењем Закона о управним споровима</w:t>
      </w:r>
      <w:r w:rsidR="4E106707" w:rsidRPr="00A021B7">
        <w:rPr>
          <w:rFonts w:ascii="Arial" w:hAnsi="Arial" w:cs="Arial"/>
          <w:sz w:val="20"/>
          <w:szCs w:val="20"/>
          <w:lang w:val="sr-Cyrl-RS"/>
        </w:rPr>
        <w:t>,</w:t>
      </w:r>
      <w:r w:rsidR="1B4D42C2" w:rsidRPr="00A021B7">
        <w:rPr>
          <w:rFonts w:ascii="Arial" w:hAnsi="Arial" w:cs="Arial"/>
          <w:sz w:val="20"/>
          <w:szCs w:val="20"/>
          <w:lang w:val="sr-Cyrl-RS"/>
        </w:rPr>
        <w:t xml:space="preserve"> у пракси више не постоје појединачни акти органа ЈЛС против којих није обезбеђена судска заштита да би се активирала интервенција наведена под </w:t>
      </w:r>
      <w:r w:rsidR="1C44F6A7" w:rsidRPr="00A021B7">
        <w:rPr>
          <w:rFonts w:ascii="Arial" w:hAnsi="Arial" w:cs="Arial"/>
          <w:sz w:val="20"/>
          <w:szCs w:val="20"/>
          <w:lang w:val="sr-Cyrl-RS"/>
        </w:rPr>
        <w:t>(</w:t>
      </w:r>
      <w:r w:rsidR="1B4D42C2" w:rsidRPr="00A021B7">
        <w:rPr>
          <w:rFonts w:ascii="Arial" w:hAnsi="Arial" w:cs="Arial"/>
          <w:sz w:val="20"/>
          <w:szCs w:val="20"/>
          <w:lang w:val="sr-Cyrl-RS"/>
        </w:rPr>
        <w:t>3).</w:t>
      </w:r>
    </w:p>
    <w:p w14:paraId="2F8044C6" w14:textId="77777777" w:rsidR="00422914" w:rsidRPr="00A021B7" w:rsidRDefault="00422914" w:rsidP="1A8E6423">
      <w:pPr>
        <w:pStyle w:val="NormalWeb"/>
        <w:shd w:val="clear" w:color="auto" w:fill="FFFFFF" w:themeFill="background1"/>
        <w:spacing w:before="0" w:beforeAutospacing="0" w:after="0" w:afterAutospacing="0"/>
        <w:ind w:firstLine="720"/>
        <w:jc w:val="both"/>
        <w:rPr>
          <w:rFonts w:ascii="Arial" w:hAnsi="Arial" w:cs="Arial"/>
          <w:sz w:val="20"/>
          <w:szCs w:val="20"/>
          <w:lang w:val="sr-Cyrl-RS"/>
        </w:rPr>
      </w:pPr>
    </w:p>
    <w:p w14:paraId="66DB2B88" w14:textId="2534F9E6" w:rsidR="00294994" w:rsidRPr="00A021B7" w:rsidRDefault="02318867" w:rsidP="1A8E6423">
      <w:pPr>
        <w:ind w:firstLine="720"/>
        <w:jc w:val="both"/>
        <w:rPr>
          <w:rFonts w:ascii="Arial" w:hAnsi="Arial" w:cs="Arial"/>
          <w:sz w:val="20"/>
          <w:szCs w:val="20"/>
          <w:lang w:val="sr-Cyrl-RS"/>
        </w:rPr>
      </w:pPr>
      <w:r w:rsidRPr="00A021B7">
        <w:rPr>
          <w:rFonts w:ascii="Arial" w:hAnsi="Arial" w:cs="Arial"/>
          <w:sz w:val="20"/>
          <w:szCs w:val="20"/>
          <w:lang w:val="sr-Cyrl-RS"/>
        </w:rPr>
        <w:t>Питање о ширини државног надзора над локалном самоуправом улази у ред оних питања од којих зависи сама њена суштина. Тај надзор треба да буде ограничен, али у исто време и довољно ефикасан да се обезбед</w:t>
      </w:r>
      <w:r w:rsidR="00F1052C">
        <w:rPr>
          <w:rFonts w:ascii="Arial" w:hAnsi="Arial" w:cs="Arial"/>
          <w:sz w:val="20"/>
          <w:szCs w:val="20"/>
          <w:lang w:val="sr-Cyrl-RS"/>
        </w:rPr>
        <w:t>е</w:t>
      </w:r>
      <w:r w:rsidRPr="00A021B7">
        <w:rPr>
          <w:rFonts w:ascii="Arial" w:hAnsi="Arial" w:cs="Arial"/>
          <w:sz w:val="20"/>
          <w:szCs w:val="20"/>
          <w:lang w:val="sr-Cyrl-RS"/>
        </w:rPr>
        <w:t xml:space="preserve"> јединство управног система и интереси </w:t>
      </w:r>
      <w:r w:rsidR="00A9755B">
        <w:rPr>
          <w:rFonts w:ascii="Arial" w:hAnsi="Arial" w:cs="Arial"/>
          <w:sz w:val="20"/>
          <w:szCs w:val="20"/>
          <w:lang w:val="sr-Cyrl-RS"/>
        </w:rPr>
        <w:t xml:space="preserve">у погледу </w:t>
      </w:r>
      <w:r w:rsidRPr="00A021B7">
        <w:rPr>
          <w:rFonts w:ascii="Arial" w:hAnsi="Arial" w:cs="Arial"/>
          <w:sz w:val="20"/>
          <w:szCs w:val="20"/>
          <w:lang w:val="sr-Cyrl-RS"/>
        </w:rPr>
        <w:t>владавине права и заштите људских права.</w:t>
      </w:r>
      <w:r w:rsidR="00AB08D1" w:rsidRPr="00A021B7">
        <w:rPr>
          <w:rStyle w:val="FootnoteReference"/>
          <w:rFonts w:ascii="Arial" w:hAnsi="Arial" w:cs="Arial"/>
          <w:sz w:val="20"/>
          <w:szCs w:val="20"/>
          <w:lang w:val="sr-Cyrl-RS"/>
        </w:rPr>
        <w:footnoteReference w:id="143"/>
      </w:r>
      <w:r w:rsidRPr="00A021B7">
        <w:rPr>
          <w:rFonts w:ascii="Arial" w:hAnsi="Arial" w:cs="Arial"/>
          <w:sz w:val="20"/>
          <w:szCs w:val="20"/>
          <w:lang w:val="sr-Cyrl-RS"/>
        </w:rPr>
        <w:t xml:space="preserve"> Као четири основна </w:t>
      </w:r>
      <w:r w:rsidR="4E2DAB83" w:rsidRPr="00A021B7">
        <w:rPr>
          <w:rFonts w:ascii="Arial" w:hAnsi="Arial" w:cs="Arial"/>
          <w:sz w:val="20"/>
          <w:szCs w:val="20"/>
          <w:lang w:val="sr-Cyrl-RS"/>
        </w:rPr>
        <w:t xml:space="preserve">начела </w:t>
      </w:r>
      <w:r w:rsidR="00F1052C">
        <w:rPr>
          <w:rFonts w:ascii="Arial" w:hAnsi="Arial" w:cs="Arial"/>
          <w:sz w:val="20"/>
          <w:szCs w:val="20"/>
          <w:lang w:val="sr-Cyrl-RS"/>
        </w:rPr>
        <w:t>у вези са</w:t>
      </w:r>
      <w:r w:rsidR="00F1052C" w:rsidRPr="00A021B7">
        <w:rPr>
          <w:rFonts w:ascii="Arial" w:hAnsi="Arial" w:cs="Arial"/>
          <w:sz w:val="20"/>
          <w:szCs w:val="20"/>
          <w:lang w:val="sr-Cyrl-RS"/>
        </w:rPr>
        <w:t xml:space="preserve"> </w:t>
      </w:r>
      <w:r w:rsidRPr="00A021B7">
        <w:rPr>
          <w:rFonts w:ascii="Arial" w:hAnsi="Arial" w:cs="Arial"/>
          <w:sz w:val="20"/>
          <w:szCs w:val="20"/>
          <w:lang w:val="sr-Cyrl-RS"/>
        </w:rPr>
        <w:t>т</w:t>
      </w:r>
      <w:r w:rsidR="00F1052C">
        <w:rPr>
          <w:rFonts w:ascii="Arial" w:hAnsi="Arial" w:cs="Arial"/>
          <w:sz w:val="20"/>
          <w:szCs w:val="20"/>
          <w:lang w:val="sr-Cyrl-RS"/>
        </w:rPr>
        <w:t>и</w:t>
      </w:r>
      <w:r w:rsidRPr="00A021B7">
        <w:rPr>
          <w:rFonts w:ascii="Arial" w:hAnsi="Arial" w:cs="Arial"/>
          <w:sz w:val="20"/>
          <w:szCs w:val="20"/>
          <w:lang w:val="sr-Cyrl-RS"/>
        </w:rPr>
        <w:t>м надзор</w:t>
      </w:r>
      <w:r w:rsidR="00F1052C">
        <w:rPr>
          <w:rFonts w:ascii="Arial" w:hAnsi="Arial" w:cs="Arial"/>
          <w:sz w:val="20"/>
          <w:szCs w:val="20"/>
          <w:lang w:val="sr-Cyrl-RS"/>
        </w:rPr>
        <w:t>ом</w:t>
      </w:r>
      <w:r w:rsidRPr="00A021B7">
        <w:rPr>
          <w:rFonts w:ascii="Arial" w:hAnsi="Arial" w:cs="Arial"/>
          <w:sz w:val="20"/>
          <w:szCs w:val="20"/>
          <w:lang w:val="sr-Cyrl-RS"/>
        </w:rPr>
        <w:t>, у ЕПЛС (</w:t>
      </w:r>
      <w:r w:rsidR="6D9AC7B0" w:rsidRPr="00A021B7">
        <w:rPr>
          <w:rFonts w:ascii="Arial" w:hAnsi="Arial" w:cs="Arial"/>
          <w:sz w:val="20"/>
          <w:szCs w:val="20"/>
          <w:lang w:val="sr-Cyrl-RS"/>
        </w:rPr>
        <w:t>чл</w:t>
      </w:r>
      <w:r w:rsidR="629936B9" w:rsidRPr="00A021B7">
        <w:rPr>
          <w:rFonts w:ascii="Arial" w:hAnsi="Arial" w:cs="Arial"/>
          <w:sz w:val="20"/>
          <w:szCs w:val="20"/>
          <w:lang w:val="sr-Cyrl-RS"/>
        </w:rPr>
        <w:t>ан</w:t>
      </w:r>
      <w:r w:rsidR="6D9AC7B0" w:rsidRPr="00A021B7">
        <w:rPr>
          <w:rFonts w:ascii="Arial" w:hAnsi="Arial" w:cs="Arial"/>
          <w:sz w:val="20"/>
          <w:szCs w:val="20"/>
          <w:lang w:val="sr-Cyrl-RS"/>
        </w:rPr>
        <w:t xml:space="preserve"> </w:t>
      </w:r>
      <w:r w:rsidRPr="00A021B7">
        <w:rPr>
          <w:rFonts w:ascii="Arial" w:hAnsi="Arial" w:cs="Arial"/>
          <w:sz w:val="20"/>
          <w:szCs w:val="20"/>
          <w:lang w:val="sr-Cyrl-RS"/>
        </w:rPr>
        <w:t>8) истичу се</w:t>
      </w:r>
      <w:r w:rsidR="00F1052C">
        <w:rPr>
          <w:rFonts w:ascii="Arial" w:hAnsi="Arial" w:cs="Arial"/>
          <w:sz w:val="20"/>
          <w:szCs w:val="20"/>
          <w:lang w:val="sr-Cyrl-RS"/>
        </w:rPr>
        <w:t xml:space="preserve"> следећа</w:t>
      </w:r>
      <w:r w:rsidRPr="00A021B7">
        <w:rPr>
          <w:rFonts w:ascii="Arial" w:hAnsi="Arial" w:cs="Arial"/>
          <w:sz w:val="20"/>
          <w:szCs w:val="20"/>
          <w:lang w:val="sr-Cyrl-RS"/>
        </w:rPr>
        <w:t xml:space="preserve">: (1) све врсте надзора могу да се обављају искључиво у случајевима и по поступку који </w:t>
      </w:r>
      <w:r w:rsidR="00A9755B">
        <w:rPr>
          <w:rFonts w:ascii="Arial" w:hAnsi="Arial" w:cs="Arial"/>
          <w:sz w:val="20"/>
          <w:szCs w:val="20"/>
          <w:lang w:val="sr-Cyrl-RS"/>
        </w:rPr>
        <w:t>су</w:t>
      </w:r>
      <w:r w:rsidRPr="00A021B7">
        <w:rPr>
          <w:rFonts w:ascii="Arial" w:hAnsi="Arial" w:cs="Arial"/>
          <w:sz w:val="20"/>
          <w:szCs w:val="20"/>
          <w:lang w:val="sr-Cyrl-RS"/>
        </w:rPr>
        <w:t xml:space="preserve"> предвиђен</w:t>
      </w:r>
      <w:r w:rsidR="00A9755B">
        <w:rPr>
          <w:rFonts w:ascii="Arial" w:hAnsi="Arial" w:cs="Arial"/>
          <w:sz w:val="20"/>
          <w:szCs w:val="20"/>
          <w:lang w:val="sr-Cyrl-RS"/>
        </w:rPr>
        <w:t>и</w:t>
      </w:r>
      <w:r w:rsidRPr="00A021B7">
        <w:rPr>
          <w:rFonts w:ascii="Arial" w:hAnsi="Arial" w:cs="Arial"/>
          <w:sz w:val="20"/>
          <w:szCs w:val="20"/>
          <w:lang w:val="sr-Cyrl-RS"/>
        </w:rPr>
        <w:t xml:space="preserve"> уставом и законом; (2) код изворних послова надзор превасходно може </w:t>
      </w:r>
      <w:r w:rsidR="00A9755B">
        <w:rPr>
          <w:rFonts w:ascii="Arial" w:hAnsi="Arial" w:cs="Arial"/>
          <w:sz w:val="20"/>
          <w:szCs w:val="20"/>
          <w:lang w:val="sr-Cyrl-RS"/>
        </w:rPr>
        <w:t xml:space="preserve">као циљ </w:t>
      </w:r>
      <w:r w:rsidRPr="00A021B7">
        <w:rPr>
          <w:rFonts w:ascii="Arial" w:hAnsi="Arial" w:cs="Arial"/>
          <w:sz w:val="20"/>
          <w:szCs w:val="20"/>
          <w:lang w:val="sr-Cyrl-RS"/>
        </w:rPr>
        <w:t>да има обезбеђ</w:t>
      </w:r>
      <w:r w:rsidR="00A9755B">
        <w:rPr>
          <w:rFonts w:ascii="Arial" w:hAnsi="Arial" w:cs="Arial"/>
          <w:sz w:val="20"/>
          <w:szCs w:val="20"/>
          <w:lang w:val="sr-Cyrl-RS"/>
        </w:rPr>
        <w:t>ива</w:t>
      </w:r>
      <w:r w:rsidRPr="00A021B7">
        <w:rPr>
          <w:rFonts w:ascii="Arial" w:hAnsi="Arial" w:cs="Arial"/>
          <w:sz w:val="20"/>
          <w:szCs w:val="20"/>
          <w:lang w:val="sr-Cyrl-RS"/>
        </w:rPr>
        <w:t>ње усаглашености рада локалних власти са законом; (3) код поверених послова надзор треба да буде шири и да обухвата и кориговање нецелисходног рада и (4) интервенција надзорног органа увек треба да буде у сразмери са значајем интереса који се штити у конкретном случају.</w:t>
      </w:r>
      <w:r w:rsidR="00AB08D1" w:rsidRPr="00A021B7">
        <w:rPr>
          <w:rStyle w:val="FootnoteReference"/>
          <w:rFonts w:ascii="Arial" w:hAnsi="Arial" w:cs="Arial"/>
          <w:sz w:val="20"/>
          <w:szCs w:val="20"/>
          <w:lang w:val="sr-Cyrl-RS"/>
        </w:rPr>
        <w:footnoteReference w:id="144"/>
      </w:r>
      <w:r w:rsidRPr="00A021B7">
        <w:rPr>
          <w:rFonts w:ascii="Arial" w:hAnsi="Arial" w:cs="Arial"/>
          <w:sz w:val="20"/>
          <w:szCs w:val="20"/>
          <w:lang w:val="sr-Cyrl-RS"/>
        </w:rPr>
        <w:t xml:space="preserve"> </w:t>
      </w:r>
      <w:r w:rsidR="37A314D5" w:rsidRPr="00A021B7">
        <w:rPr>
          <w:rFonts w:ascii="Arial" w:hAnsi="Arial" w:cs="Arial"/>
          <w:sz w:val="20"/>
          <w:szCs w:val="20"/>
          <w:lang w:val="sr-Cyrl-RS"/>
        </w:rPr>
        <w:t xml:space="preserve">Основни изазов у процесу надзора над радом локалних власти </w:t>
      </w:r>
      <w:r w:rsidR="74C531AB" w:rsidRPr="00A021B7">
        <w:rPr>
          <w:rFonts w:ascii="Arial" w:hAnsi="Arial" w:cs="Arial"/>
          <w:sz w:val="20"/>
          <w:szCs w:val="20"/>
          <w:lang w:val="sr-Cyrl-RS"/>
        </w:rPr>
        <w:t>јесте успостављање</w:t>
      </w:r>
      <w:r w:rsidR="70227703" w:rsidRPr="00A021B7">
        <w:rPr>
          <w:rFonts w:ascii="Arial" w:hAnsi="Arial" w:cs="Arial"/>
          <w:sz w:val="20"/>
          <w:szCs w:val="20"/>
          <w:lang w:val="sr-Cyrl-RS"/>
        </w:rPr>
        <w:t xml:space="preserve"> </w:t>
      </w:r>
      <w:r w:rsidR="74C531AB" w:rsidRPr="00A021B7">
        <w:rPr>
          <w:rFonts w:ascii="Arial" w:hAnsi="Arial" w:cs="Arial"/>
          <w:sz w:val="20"/>
          <w:szCs w:val="20"/>
          <w:lang w:val="sr-Cyrl-RS"/>
        </w:rPr>
        <w:t>система надзора</w:t>
      </w:r>
      <w:r w:rsidR="70227703" w:rsidRPr="00A021B7">
        <w:rPr>
          <w:rFonts w:ascii="Arial" w:hAnsi="Arial" w:cs="Arial"/>
          <w:sz w:val="20"/>
          <w:szCs w:val="20"/>
          <w:lang w:val="sr-Cyrl-RS"/>
        </w:rPr>
        <w:t xml:space="preserve"> који ће омогућит</w:t>
      </w:r>
      <w:r w:rsidR="75CBE1D8" w:rsidRPr="00A021B7">
        <w:rPr>
          <w:rFonts w:ascii="Arial" w:hAnsi="Arial" w:cs="Arial"/>
          <w:sz w:val="20"/>
          <w:szCs w:val="20"/>
          <w:lang w:val="sr-Cyrl-RS"/>
        </w:rPr>
        <w:t>и</w:t>
      </w:r>
      <w:r w:rsidR="00A9755B">
        <w:rPr>
          <w:rFonts w:ascii="Arial" w:hAnsi="Arial" w:cs="Arial"/>
          <w:sz w:val="20"/>
          <w:szCs w:val="20"/>
          <w:lang w:val="sr-Cyrl-RS"/>
        </w:rPr>
        <w:t>,</w:t>
      </w:r>
      <w:r w:rsidR="75CBE1D8" w:rsidRPr="00A021B7">
        <w:rPr>
          <w:rFonts w:ascii="Arial" w:hAnsi="Arial" w:cs="Arial"/>
          <w:sz w:val="20"/>
          <w:szCs w:val="20"/>
          <w:lang w:val="sr-Cyrl-RS"/>
        </w:rPr>
        <w:t xml:space="preserve"> са једне стране</w:t>
      </w:r>
      <w:r w:rsidR="00A9755B">
        <w:rPr>
          <w:rFonts w:ascii="Arial" w:hAnsi="Arial" w:cs="Arial"/>
          <w:sz w:val="20"/>
          <w:szCs w:val="20"/>
          <w:lang w:val="sr-Cyrl-RS"/>
        </w:rPr>
        <w:t>,</w:t>
      </w:r>
      <w:r w:rsidR="564A7AA1" w:rsidRPr="00A021B7">
        <w:rPr>
          <w:rFonts w:ascii="Arial" w:hAnsi="Arial" w:cs="Arial"/>
          <w:sz w:val="20"/>
          <w:szCs w:val="20"/>
          <w:lang w:val="sr-Cyrl-RS"/>
        </w:rPr>
        <w:t xml:space="preserve"> </w:t>
      </w:r>
      <w:r w:rsidR="70227703" w:rsidRPr="00A021B7">
        <w:rPr>
          <w:rFonts w:ascii="Arial" w:hAnsi="Arial" w:cs="Arial"/>
          <w:sz w:val="20"/>
          <w:szCs w:val="20"/>
          <w:lang w:val="sr-Cyrl-RS"/>
        </w:rPr>
        <w:t>з</w:t>
      </w:r>
      <w:r w:rsidR="564A7AA1" w:rsidRPr="00A021B7">
        <w:rPr>
          <w:rFonts w:ascii="Arial" w:hAnsi="Arial" w:cs="Arial"/>
          <w:sz w:val="20"/>
          <w:szCs w:val="20"/>
          <w:lang w:val="sr-Cyrl-RS"/>
        </w:rPr>
        <w:t>аконит рад локалне самоуправе</w:t>
      </w:r>
      <w:r w:rsidR="75CBE1D8" w:rsidRPr="00A021B7">
        <w:rPr>
          <w:rFonts w:ascii="Arial" w:hAnsi="Arial" w:cs="Arial"/>
          <w:sz w:val="20"/>
          <w:szCs w:val="20"/>
          <w:lang w:val="sr-Cyrl-RS"/>
        </w:rPr>
        <w:t xml:space="preserve"> и </w:t>
      </w:r>
      <w:r w:rsidR="564A7AA1" w:rsidRPr="00A021B7">
        <w:rPr>
          <w:rFonts w:ascii="Arial" w:hAnsi="Arial" w:cs="Arial"/>
          <w:sz w:val="20"/>
          <w:szCs w:val="20"/>
          <w:lang w:val="sr-Cyrl-RS"/>
        </w:rPr>
        <w:t xml:space="preserve">заштиту права грађана и остваривање интереса </w:t>
      </w:r>
      <w:r w:rsidR="74C531AB" w:rsidRPr="00A021B7">
        <w:rPr>
          <w:rFonts w:ascii="Arial" w:hAnsi="Arial" w:cs="Arial"/>
          <w:sz w:val="20"/>
          <w:szCs w:val="20"/>
          <w:lang w:val="sr-Cyrl-RS"/>
        </w:rPr>
        <w:t>локалне заједнице</w:t>
      </w:r>
      <w:r w:rsidR="7347512D" w:rsidRPr="00A021B7">
        <w:rPr>
          <w:rFonts w:ascii="Arial" w:hAnsi="Arial" w:cs="Arial"/>
          <w:sz w:val="20"/>
          <w:szCs w:val="20"/>
          <w:lang w:val="sr-Cyrl-RS"/>
        </w:rPr>
        <w:t>,</w:t>
      </w:r>
      <w:r w:rsidR="75CBE1D8" w:rsidRPr="00A021B7">
        <w:rPr>
          <w:rFonts w:ascii="Arial" w:hAnsi="Arial" w:cs="Arial"/>
          <w:sz w:val="20"/>
          <w:szCs w:val="20"/>
          <w:lang w:val="sr-Cyrl-RS"/>
        </w:rPr>
        <w:t xml:space="preserve"> а са друге стране</w:t>
      </w:r>
      <w:r w:rsidR="00A9755B">
        <w:rPr>
          <w:rFonts w:ascii="Arial" w:hAnsi="Arial" w:cs="Arial"/>
          <w:sz w:val="20"/>
          <w:szCs w:val="20"/>
          <w:lang w:val="sr-Cyrl-RS"/>
        </w:rPr>
        <w:t>,</w:t>
      </w:r>
      <w:r w:rsidR="75CBE1D8" w:rsidRPr="00A021B7">
        <w:rPr>
          <w:rFonts w:ascii="Arial" w:hAnsi="Arial" w:cs="Arial"/>
          <w:sz w:val="20"/>
          <w:szCs w:val="20"/>
          <w:lang w:val="sr-Cyrl-RS"/>
        </w:rPr>
        <w:t xml:space="preserve"> </w:t>
      </w:r>
      <w:r w:rsidR="564A7AA1" w:rsidRPr="00A021B7">
        <w:rPr>
          <w:rFonts w:ascii="Arial" w:hAnsi="Arial" w:cs="Arial"/>
          <w:sz w:val="20"/>
          <w:szCs w:val="20"/>
          <w:lang w:val="sr-Cyrl-RS"/>
        </w:rPr>
        <w:t>очување</w:t>
      </w:r>
      <w:r w:rsidR="4AA4669D" w:rsidRPr="00A021B7">
        <w:rPr>
          <w:rFonts w:ascii="Arial" w:hAnsi="Arial" w:cs="Arial"/>
          <w:sz w:val="20"/>
          <w:szCs w:val="20"/>
          <w:lang w:val="sr-Cyrl-RS"/>
        </w:rPr>
        <w:t xml:space="preserve"> потребног степена</w:t>
      </w:r>
      <w:r w:rsidR="70227703" w:rsidRPr="00A021B7">
        <w:rPr>
          <w:rFonts w:ascii="Arial" w:hAnsi="Arial" w:cs="Arial"/>
          <w:sz w:val="20"/>
          <w:szCs w:val="20"/>
          <w:lang w:val="sr-Cyrl-RS"/>
        </w:rPr>
        <w:t xml:space="preserve"> аутономије локалне самоуправе у </w:t>
      </w:r>
      <w:r w:rsidR="6A7E904E" w:rsidRPr="00A021B7">
        <w:rPr>
          <w:rFonts w:ascii="Arial" w:hAnsi="Arial" w:cs="Arial"/>
          <w:sz w:val="20"/>
          <w:szCs w:val="20"/>
          <w:lang w:val="sr-Cyrl-RS"/>
        </w:rPr>
        <w:t xml:space="preserve">утврђивању и </w:t>
      </w:r>
      <w:r w:rsidR="4AA4669D" w:rsidRPr="00A021B7">
        <w:rPr>
          <w:rFonts w:ascii="Arial" w:hAnsi="Arial" w:cs="Arial"/>
          <w:sz w:val="20"/>
          <w:szCs w:val="20"/>
          <w:lang w:val="sr-Cyrl-RS"/>
        </w:rPr>
        <w:t xml:space="preserve">спровођењу </w:t>
      </w:r>
      <w:r w:rsidR="4D776E0E" w:rsidRPr="00A021B7">
        <w:rPr>
          <w:rFonts w:ascii="Arial" w:hAnsi="Arial" w:cs="Arial"/>
          <w:sz w:val="20"/>
          <w:szCs w:val="20"/>
          <w:lang w:val="sr-Cyrl-RS"/>
        </w:rPr>
        <w:t>њених јавних политика и финансијских, административних и организационих мера.</w:t>
      </w:r>
    </w:p>
    <w:p w14:paraId="0121E4D0" w14:textId="77777777" w:rsidR="00F45462" w:rsidRPr="00A021B7" w:rsidRDefault="00F45462" w:rsidP="1A8E6423">
      <w:pPr>
        <w:ind w:firstLine="720"/>
        <w:jc w:val="both"/>
        <w:rPr>
          <w:rFonts w:ascii="Arial" w:hAnsi="Arial" w:cs="Arial"/>
          <w:sz w:val="20"/>
          <w:szCs w:val="20"/>
          <w:lang w:val="sr-Cyrl-RS"/>
        </w:rPr>
      </w:pPr>
    </w:p>
    <w:p w14:paraId="0C53C254" w14:textId="29B35EAD" w:rsidR="00394E5F" w:rsidRPr="00A021B7" w:rsidRDefault="009505F9" w:rsidP="1A8E6423">
      <w:pPr>
        <w:pStyle w:val="NormalWeb"/>
        <w:shd w:val="clear" w:color="auto" w:fill="FFFFFF" w:themeFill="background1"/>
        <w:spacing w:before="0" w:beforeAutospacing="0" w:after="0" w:afterAutospacing="0"/>
        <w:ind w:firstLine="720"/>
        <w:jc w:val="both"/>
        <w:rPr>
          <w:rFonts w:ascii="Arial" w:hAnsi="Arial" w:cs="Arial"/>
          <w:sz w:val="20"/>
          <w:szCs w:val="20"/>
          <w:lang w:val="sr-Cyrl-RS"/>
        </w:rPr>
      </w:pPr>
      <w:r w:rsidRPr="1A8E6423">
        <w:rPr>
          <w:rFonts w:ascii="Arial" w:hAnsi="Arial" w:cs="Arial"/>
          <w:sz w:val="20"/>
          <w:szCs w:val="20"/>
          <w:lang w:val="sr-Cyrl-RS"/>
        </w:rPr>
        <w:t>Н</w:t>
      </w:r>
      <w:r w:rsidR="004055F8" w:rsidRPr="1A8E6423">
        <w:rPr>
          <w:rFonts w:ascii="Arial" w:hAnsi="Arial" w:cs="Arial"/>
          <w:sz w:val="20"/>
          <w:szCs w:val="20"/>
          <w:lang w:val="sr-Cyrl-RS"/>
        </w:rPr>
        <w:t>адзорна овлашћења</w:t>
      </w:r>
      <w:r w:rsidRPr="1A8E6423">
        <w:rPr>
          <w:rFonts w:ascii="Arial" w:hAnsi="Arial" w:cs="Arial"/>
          <w:sz w:val="20"/>
          <w:szCs w:val="20"/>
          <w:lang w:val="sr-Cyrl-RS"/>
        </w:rPr>
        <w:t xml:space="preserve"> </w:t>
      </w:r>
      <w:r w:rsidR="00DF04C5" w:rsidRPr="1A8E6423">
        <w:rPr>
          <w:rFonts w:ascii="Arial" w:hAnsi="Arial" w:cs="Arial"/>
          <w:sz w:val="20"/>
          <w:szCs w:val="20"/>
          <w:lang w:val="sr-Cyrl-RS"/>
        </w:rPr>
        <w:t xml:space="preserve">виших нивоа власти у Републици Србији </w:t>
      </w:r>
      <w:r w:rsidRPr="1A8E6423">
        <w:rPr>
          <w:rFonts w:ascii="Arial" w:hAnsi="Arial" w:cs="Arial"/>
          <w:sz w:val="20"/>
          <w:szCs w:val="20"/>
          <w:lang w:val="sr-Cyrl-RS"/>
        </w:rPr>
        <w:t>у области изворних послова локалне самоуправе</w:t>
      </w:r>
      <w:r w:rsidR="00F50239" w:rsidRPr="1A8E6423">
        <w:rPr>
          <w:rFonts w:ascii="Arial" w:hAnsi="Arial" w:cs="Arial"/>
          <w:sz w:val="20"/>
          <w:szCs w:val="20"/>
          <w:lang w:val="sr-Cyrl-RS"/>
        </w:rPr>
        <w:t xml:space="preserve"> прате смернице ЕПЛС и заснивају се на </w:t>
      </w:r>
      <w:r w:rsidR="00BB3A7F" w:rsidRPr="1A8E6423">
        <w:rPr>
          <w:rFonts w:ascii="Arial" w:hAnsi="Arial" w:cs="Arial"/>
          <w:sz w:val="20"/>
          <w:szCs w:val="20"/>
          <w:lang w:val="sr-Cyrl-RS"/>
        </w:rPr>
        <w:t>надзору над уставношћу и законитошћу рада локалне самоуправе</w:t>
      </w:r>
      <w:r w:rsidR="004B6E2B" w:rsidRPr="1A8E6423">
        <w:rPr>
          <w:rFonts w:ascii="Arial" w:hAnsi="Arial" w:cs="Arial"/>
          <w:sz w:val="20"/>
          <w:szCs w:val="20"/>
          <w:lang w:val="sr-Cyrl-RS"/>
        </w:rPr>
        <w:t>,</w:t>
      </w:r>
      <w:r w:rsidR="00BB3A7F" w:rsidRPr="1A8E6423">
        <w:rPr>
          <w:rFonts w:ascii="Arial" w:hAnsi="Arial" w:cs="Arial"/>
          <w:sz w:val="20"/>
          <w:szCs w:val="20"/>
          <w:lang w:val="sr-Cyrl-RS"/>
        </w:rPr>
        <w:t xml:space="preserve"> а не н</w:t>
      </w:r>
      <w:r w:rsidR="009313F3" w:rsidRPr="1A8E6423">
        <w:rPr>
          <w:rFonts w:ascii="Arial" w:hAnsi="Arial" w:cs="Arial"/>
          <w:sz w:val="20"/>
          <w:szCs w:val="20"/>
          <w:lang w:val="sr-Cyrl-RS"/>
        </w:rPr>
        <w:t xml:space="preserve">а контроли </w:t>
      </w:r>
      <w:r w:rsidR="009B7CCA" w:rsidRPr="1A8E6423">
        <w:rPr>
          <w:rFonts w:ascii="Arial" w:hAnsi="Arial" w:cs="Arial"/>
          <w:sz w:val="20"/>
          <w:szCs w:val="20"/>
          <w:lang w:val="sr-Cyrl-RS"/>
        </w:rPr>
        <w:t xml:space="preserve">њихове </w:t>
      </w:r>
      <w:r w:rsidR="009313F3" w:rsidRPr="1A8E6423">
        <w:rPr>
          <w:rFonts w:ascii="Arial" w:hAnsi="Arial" w:cs="Arial"/>
          <w:sz w:val="20"/>
          <w:szCs w:val="20"/>
          <w:lang w:val="sr-Cyrl-RS"/>
        </w:rPr>
        <w:t>сврсисходности.</w:t>
      </w:r>
      <w:r w:rsidR="00090C49" w:rsidRPr="1A8E6423">
        <w:rPr>
          <w:rFonts w:ascii="Arial" w:hAnsi="Arial" w:cs="Arial"/>
          <w:sz w:val="20"/>
          <w:szCs w:val="20"/>
          <w:lang w:val="sr-Cyrl-RS"/>
        </w:rPr>
        <w:t xml:space="preserve"> </w:t>
      </w:r>
      <w:r w:rsidR="009B7CCA" w:rsidRPr="1A8E6423">
        <w:rPr>
          <w:rFonts w:ascii="Arial" w:hAnsi="Arial" w:cs="Arial"/>
          <w:sz w:val="20"/>
          <w:szCs w:val="20"/>
          <w:lang w:val="sr-Cyrl-RS"/>
        </w:rPr>
        <w:t xml:space="preserve">Осим у </w:t>
      </w:r>
      <w:r w:rsidR="003451C4" w:rsidRPr="1A8E6423">
        <w:rPr>
          <w:rFonts w:ascii="Arial" w:hAnsi="Arial" w:cs="Arial"/>
          <w:sz w:val="20"/>
          <w:szCs w:val="20"/>
          <w:lang w:val="sr-Cyrl-RS"/>
        </w:rPr>
        <w:t xml:space="preserve">неким </w:t>
      </w:r>
      <w:r w:rsidR="009B7CCA" w:rsidRPr="1A8E6423">
        <w:rPr>
          <w:rFonts w:ascii="Arial" w:hAnsi="Arial" w:cs="Arial"/>
          <w:sz w:val="20"/>
          <w:szCs w:val="20"/>
          <w:lang w:val="sr-Cyrl-RS"/>
        </w:rPr>
        <w:t>случајев</w:t>
      </w:r>
      <w:r w:rsidR="003451C4" w:rsidRPr="1A8E6423">
        <w:rPr>
          <w:rFonts w:ascii="Arial" w:hAnsi="Arial" w:cs="Arial"/>
          <w:sz w:val="20"/>
          <w:szCs w:val="20"/>
          <w:lang w:val="sr-Cyrl-RS"/>
        </w:rPr>
        <w:t>им</w:t>
      </w:r>
      <w:r w:rsidR="009B7CCA" w:rsidRPr="1A8E6423">
        <w:rPr>
          <w:rFonts w:ascii="Arial" w:hAnsi="Arial" w:cs="Arial"/>
          <w:sz w:val="20"/>
          <w:szCs w:val="20"/>
          <w:lang w:val="sr-Cyrl-RS"/>
        </w:rPr>
        <w:t>а</w:t>
      </w:r>
      <w:r w:rsidR="003451C4" w:rsidRPr="1A8E6423">
        <w:rPr>
          <w:rFonts w:ascii="Arial" w:hAnsi="Arial" w:cs="Arial"/>
          <w:sz w:val="20"/>
          <w:szCs w:val="20"/>
          <w:lang w:val="sr-Cyrl-RS"/>
        </w:rPr>
        <w:t>,</w:t>
      </w:r>
      <w:r w:rsidR="009B7CCA" w:rsidRPr="1A8E6423">
        <w:rPr>
          <w:rFonts w:ascii="Arial" w:hAnsi="Arial" w:cs="Arial"/>
          <w:sz w:val="20"/>
          <w:szCs w:val="20"/>
          <w:lang w:val="sr-Cyrl-RS"/>
        </w:rPr>
        <w:t xml:space="preserve"> </w:t>
      </w:r>
      <w:r w:rsidR="003B68E7" w:rsidRPr="1A8E6423">
        <w:rPr>
          <w:rFonts w:ascii="Arial" w:hAnsi="Arial" w:cs="Arial"/>
          <w:sz w:val="20"/>
          <w:szCs w:val="20"/>
          <w:lang w:val="sr-Cyrl-RS"/>
        </w:rPr>
        <w:t xml:space="preserve">ова надзорна овлашћења су </w:t>
      </w:r>
      <w:r w:rsidR="004055F8" w:rsidRPr="1A8E6423">
        <w:rPr>
          <w:rFonts w:ascii="Arial" w:hAnsi="Arial" w:cs="Arial"/>
          <w:sz w:val="20"/>
          <w:szCs w:val="20"/>
          <w:lang w:val="sr-Cyrl-RS"/>
        </w:rPr>
        <w:t>конципирана искључиво као облици накнадног надзора</w:t>
      </w:r>
      <w:r w:rsidR="005C24D2" w:rsidRPr="1A8E6423">
        <w:rPr>
          <w:rFonts w:ascii="Arial" w:hAnsi="Arial" w:cs="Arial"/>
          <w:sz w:val="20"/>
          <w:szCs w:val="20"/>
          <w:lang w:val="sr-Cyrl-RS"/>
        </w:rPr>
        <w:t>. З</w:t>
      </w:r>
      <w:r w:rsidR="004055F8" w:rsidRPr="1A8E6423">
        <w:rPr>
          <w:rFonts w:ascii="Arial" w:hAnsi="Arial" w:cs="Arial"/>
          <w:sz w:val="20"/>
          <w:szCs w:val="20"/>
          <w:lang w:val="sr-Cyrl-RS"/>
        </w:rPr>
        <w:t>а</w:t>
      </w:r>
      <w:r w:rsidR="005C24D2" w:rsidRPr="1A8E6423">
        <w:rPr>
          <w:rFonts w:ascii="Arial" w:hAnsi="Arial" w:cs="Arial"/>
          <w:sz w:val="20"/>
          <w:szCs w:val="20"/>
          <w:lang w:val="sr-Cyrl-RS"/>
        </w:rPr>
        <w:t>то је за</w:t>
      </w:r>
      <w:r w:rsidR="004055F8" w:rsidRPr="1A8E6423">
        <w:rPr>
          <w:rFonts w:ascii="Arial" w:hAnsi="Arial" w:cs="Arial"/>
          <w:sz w:val="20"/>
          <w:szCs w:val="20"/>
          <w:lang w:val="sr-Cyrl-RS"/>
        </w:rPr>
        <w:t xml:space="preserve"> њихову </w:t>
      </w:r>
      <w:r w:rsidR="70D20E56" w:rsidRPr="1A8E6423">
        <w:rPr>
          <w:rFonts w:ascii="Arial" w:hAnsi="Arial" w:cs="Arial"/>
          <w:sz w:val="20"/>
          <w:szCs w:val="20"/>
          <w:lang w:val="sr-Cyrl-RS"/>
        </w:rPr>
        <w:t>делотворност</w:t>
      </w:r>
      <w:r w:rsidR="004055F8" w:rsidRPr="1A8E6423">
        <w:rPr>
          <w:rFonts w:ascii="Arial" w:hAnsi="Arial" w:cs="Arial"/>
          <w:sz w:val="20"/>
          <w:szCs w:val="20"/>
          <w:lang w:val="sr-Cyrl-RS"/>
        </w:rPr>
        <w:t xml:space="preserve"> од пресудног значаја одговорно деловање надлежних министарстава и покрајинских органа и њихов благовремени увид у донете опште акте и рад органа ЈЛС. </w:t>
      </w:r>
      <w:r w:rsidR="00B04C10" w:rsidRPr="1A8E6423">
        <w:rPr>
          <w:rFonts w:ascii="Arial" w:hAnsi="Arial" w:cs="Arial"/>
          <w:sz w:val="20"/>
          <w:szCs w:val="20"/>
          <w:lang w:val="sr-Cyrl-RS"/>
        </w:rPr>
        <w:t xml:space="preserve">С друге стране, </w:t>
      </w:r>
      <w:r w:rsidR="00994AF8" w:rsidRPr="1A8E6423">
        <w:rPr>
          <w:rFonts w:ascii="Arial" w:hAnsi="Arial" w:cs="Arial"/>
          <w:sz w:val="20"/>
          <w:szCs w:val="20"/>
          <w:lang w:val="sr-Cyrl-RS"/>
        </w:rPr>
        <w:t xml:space="preserve">у </w:t>
      </w:r>
      <w:r w:rsidR="003E64AD" w:rsidRPr="1A8E6423">
        <w:rPr>
          <w:rFonts w:ascii="Arial" w:hAnsi="Arial" w:cs="Arial"/>
          <w:sz w:val="20"/>
          <w:szCs w:val="20"/>
          <w:lang w:val="sr-Cyrl-RS"/>
        </w:rPr>
        <w:t>односу на сопствене послове, код поверених послова су знатно наглашенија надзорна овлашћења државних органа</w:t>
      </w:r>
      <w:r w:rsidR="00090C49" w:rsidRPr="1A8E6423">
        <w:rPr>
          <w:rFonts w:ascii="Arial" w:hAnsi="Arial" w:cs="Arial"/>
          <w:sz w:val="20"/>
          <w:szCs w:val="20"/>
          <w:lang w:val="sr-Cyrl-RS"/>
        </w:rPr>
        <w:t>, што је такође у складу са ЕПЛС</w:t>
      </w:r>
      <w:r w:rsidR="00F04B1D" w:rsidRPr="1A8E6423">
        <w:rPr>
          <w:rFonts w:ascii="Arial" w:hAnsi="Arial" w:cs="Arial"/>
          <w:sz w:val="20"/>
          <w:szCs w:val="20"/>
          <w:lang w:val="sr-Cyrl-RS"/>
        </w:rPr>
        <w:t>,</w:t>
      </w:r>
      <w:r w:rsidR="00090C49" w:rsidRPr="1A8E6423">
        <w:rPr>
          <w:rFonts w:ascii="Arial" w:hAnsi="Arial" w:cs="Arial"/>
          <w:sz w:val="20"/>
          <w:szCs w:val="20"/>
          <w:lang w:val="sr-Cyrl-RS"/>
        </w:rPr>
        <w:t xml:space="preserve"> која предвиђа да виши нивои власти могу надзирати</w:t>
      </w:r>
      <w:r w:rsidR="00C562C0" w:rsidRPr="1A8E6423">
        <w:rPr>
          <w:rFonts w:ascii="Arial" w:hAnsi="Arial" w:cs="Arial"/>
          <w:sz w:val="20"/>
          <w:szCs w:val="20"/>
          <w:lang w:val="sr-Cyrl-RS"/>
        </w:rPr>
        <w:t xml:space="preserve"> и</w:t>
      </w:r>
      <w:r w:rsidR="00090C49" w:rsidRPr="1A8E6423">
        <w:rPr>
          <w:rFonts w:ascii="Arial" w:hAnsi="Arial" w:cs="Arial"/>
          <w:sz w:val="20"/>
          <w:szCs w:val="20"/>
          <w:lang w:val="sr-Cyrl-RS"/>
        </w:rPr>
        <w:t xml:space="preserve"> целисходност обављања поверених послова</w:t>
      </w:r>
      <w:r w:rsidR="00736466" w:rsidRPr="1A8E6423">
        <w:rPr>
          <w:rFonts w:ascii="Arial" w:hAnsi="Arial" w:cs="Arial"/>
          <w:sz w:val="20"/>
          <w:szCs w:val="20"/>
          <w:lang w:val="sr-Cyrl-RS"/>
        </w:rPr>
        <w:t xml:space="preserve">. </w:t>
      </w:r>
      <w:r w:rsidR="003E64AD" w:rsidRPr="1A8E6423">
        <w:rPr>
          <w:rFonts w:ascii="Arial" w:hAnsi="Arial" w:cs="Arial"/>
          <w:sz w:val="20"/>
          <w:szCs w:val="20"/>
          <w:lang w:val="sr-Cyrl-RS"/>
        </w:rPr>
        <w:t>Влада и органи државне управе задржавају и после поверавања послова државне управе одговорност за њихово извршавање</w:t>
      </w:r>
      <w:r w:rsidR="005801C9" w:rsidRPr="1A8E6423">
        <w:rPr>
          <w:rFonts w:ascii="Arial" w:hAnsi="Arial" w:cs="Arial"/>
          <w:sz w:val="20"/>
          <w:szCs w:val="20"/>
          <w:lang w:val="sr-Cyrl-RS"/>
        </w:rPr>
        <w:t>,</w:t>
      </w:r>
      <w:r w:rsidR="000E0086" w:rsidRPr="1A8E6423">
        <w:rPr>
          <w:rFonts w:ascii="Arial" w:hAnsi="Arial" w:cs="Arial"/>
          <w:sz w:val="20"/>
          <w:szCs w:val="20"/>
          <w:lang w:val="sr-Cyrl-RS"/>
        </w:rPr>
        <w:t xml:space="preserve"> а</w:t>
      </w:r>
      <w:r w:rsidR="003E64AD" w:rsidRPr="1A8E6423">
        <w:rPr>
          <w:rFonts w:ascii="Arial" w:hAnsi="Arial" w:cs="Arial"/>
          <w:sz w:val="20"/>
          <w:szCs w:val="20"/>
          <w:lang w:val="sr-Cyrl-RS"/>
        </w:rPr>
        <w:t xml:space="preserve"> средства за њихово вршење обезбеђују се у буџету Републике Србије. Стога су предвиђена бројна општа и посебна овлашћења у вези са вршењем надзора над обављањем ових послова</w:t>
      </w:r>
      <w:r w:rsidR="00736466" w:rsidRPr="1A8E6423">
        <w:rPr>
          <w:rFonts w:ascii="Arial" w:hAnsi="Arial" w:cs="Arial"/>
          <w:sz w:val="20"/>
          <w:szCs w:val="20"/>
          <w:lang w:val="sr-Cyrl-RS"/>
        </w:rPr>
        <w:t xml:space="preserve"> и </w:t>
      </w:r>
      <w:r w:rsidR="00B04C10" w:rsidRPr="1A8E6423">
        <w:rPr>
          <w:rFonts w:ascii="Arial" w:hAnsi="Arial" w:cs="Arial"/>
          <w:sz w:val="20"/>
          <w:szCs w:val="20"/>
          <w:lang w:val="sr-Cyrl-RS"/>
        </w:rPr>
        <w:t xml:space="preserve">низ облика претходног и накнадног надзора, односно </w:t>
      </w:r>
      <w:r w:rsidR="00B04C10" w:rsidRPr="1A8E6423">
        <w:rPr>
          <w:rFonts w:ascii="Arial" w:hAnsi="Arial" w:cs="Arial"/>
          <w:sz w:val="20"/>
          <w:szCs w:val="20"/>
          <w:lang w:val="sr-Cyrl-RS"/>
        </w:rPr>
        <w:lastRenderedPageBreak/>
        <w:t>прав</w:t>
      </w:r>
      <w:r w:rsidR="00F1719F" w:rsidRPr="1A8E6423">
        <w:rPr>
          <w:rFonts w:ascii="Arial" w:hAnsi="Arial" w:cs="Arial"/>
          <w:sz w:val="20"/>
          <w:szCs w:val="20"/>
          <w:lang w:val="sr-Cyrl-RS"/>
        </w:rPr>
        <w:t>о</w:t>
      </w:r>
      <w:r w:rsidR="00B04C10" w:rsidRPr="1A8E6423">
        <w:rPr>
          <w:rFonts w:ascii="Arial" w:hAnsi="Arial" w:cs="Arial"/>
          <w:sz w:val="20"/>
          <w:szCs w:val="20"/>
          <w:lang w:val="sr-Cyrl-RS"/>
        </w:rPr>
        <w:t xml:space="preserve"> органа државне управе да користе сва општа и посебна овлашћења која имају у надзору над радом других ималаца јавних овлашћења. </w:t>
      </w:r>
      <w:r w:rsidR="00F1719F" w:rsidRPr="1A8E6423">
        <w:rPr>
          <w:rFonts w:ascii="Arial" w:hAnsi="Arial" w:cs="Arial"/>
          <w:sz w:val="20"/>
          <w:szCs w:val="20"/>
          <w:lang w:val="sr-Cyrl-RS"/>
        </w:rPr>
        <w:t>О</w:t>
      </w:r>
      <w:r w:rsidR="00B04C10" w:rsidRPr="1A8E6423">
        <w:rPr>
          <w:rFonts w:ascii="Arial" w:hAnsi="Arial" w:cs="Arial"/>
          <w:sz w:val="20"/>
          <w:szCs w:val="20"/>
          <w:lang w:val="sr-Cyrl-RS"/>
        </w:rPr>
        <w:t>ргани државне управе могу</w:t>
      </w:r>
      <w:r w:rsidR="00F1719F" w:rsidRPr="1A8E6423">
        <w:rPr>
          <w:rFonts w:ascii="Arial" w:hAnsi="Arial" w:cs="Arial"/>
          <w:sz w:val="20"/>
          <w:szCs w:val="20"/>
          <w:lang w:val="sr-Cyrl-RS"/>
        </w:rPr>
        <w:t xml:space="preserve"> и</w:t>
      </w:r>
      <w:r w:rsidR="00B04C10" w:rsidRPr="1A8E6423">
        <w:rPr>
          <w:rFonts w:ascii="Arial" w:hAnsi="Arial" w:cs="Arial"/>
          <w:sz w:val="20"/>
          <w:szCs w:val="20"/>
          <w:lang w:val="sr-Cyrl-RS"/>
        </w:rPr>
        <w:t xml:space="preserve"> да надзиру законитост и целисходност рада, да издају инструкције, одређују мере за отклањање уочених неправилности, покрећу поступке за утврђивање одговорности, пре</w:t>
      </w:r>
      <w:r w:rsidR="00923886" w:rsidRPr="1A8E6423">
        <w:rPr>
          <w:rFonts w:ascii="Arial" w:hAnsi="Arial" w:cs="Arial"/>
          <w:sz w:val="20"/>
          <w:szCs w:val="20"/>
          <w:lang w:val="sr-Cyrl-RS"/>
        </w:rPr>
        <w:t>у</w:t>
      </w:r>
      <w:r w:rsidR="00B04C10" w:rsidRPr="1A8E6423">
        <w:rPr>
          <w:rFonts w:ascii="Arial" w:hAnsi="Arial" w:cs="Arial"/>
          <w:sz w:val="20"/>
          <w:szCs w:val="20"/>
          <w:lang w:val="sr-Cyrl-RS"/>
        </w:rPr>
        <w:t xml:space="preserve">зимају поверене послове, врше претходну контролу прописа и предлажу Влади поништавање или укидање спорног прописа, односно његово обустављање. </w:t>
      </w:r>
      <w:r w:rsidR="00C562C0" w:rsidRPr="1A8E6423">
        <w:rPr>
          <w:rFonts w:ascii="Arial" w:hAnsi="Arial" w:cs="Arial"/>
          <w:sz w:val="20"/>
          <w:szCs w:val="20"/>
          <w:lang w:val="sr-Cyrl-RS"/>
        </w:rPr>
        <w:t xml:space="preserve">Поред наведеног, Законом о државној управи </w:t>
      </w:r>
      <w:r w:rsidR="00B71577" w:rsidRPr="1A8E6423">
        <w:rPr>
          <w:rFonts w:ascii="Arial" w:hAnsi="Arial" w:cs="Arial"/>
          <w:sz w:val="20"/>
          <w:szCs w:val="20"/>
          <w:lang w:val="sr-Cyrl-RS"/>
        </w:rPr>
        <w:t>(чл</w:t>
      </w:r>
      <w:r w:rsidR="00E103D4" w:rsidRPr="1A8E6423">
        <w:rPr>
          <w:rFonts w:ascii="Arial" w:hAnsi="Arial" w:cs="Arial"/>
          <w:sz w:val="20"/>
          <w:szCs w:val="20"/>
          <w:lang w:val="sr-Cyrl-RS"/>
        </w:rPr>
        <w:t>ан</w:t>
      </w:r>
      <w:r w:rsidR="00B71577" w:rsidRPr="1A8E6423">
        <w:rPr>
          <w:rFonts w:ascii="Arial" w:hAnsi="Arial" w:cs="Arial"/>
          <w:sz w:val="20"/>
          <w:szCs w:val="20"/>
          <w:lang w:val="sr-Cyrl-RS"/>
        </w:rPr>
        <w:t xml:space="preserve"> 56) </w:t>
      </w:r>
      <w:r w:rsidR="00C562C0" w:rsidRPr="1A8E6423">
        <w:rPr>
          <w:rFonts w:ascii="Arial" w:hAnsi="Arial" w:cs="Arial"/>
          <w:sz w:val="20"/>
          <w:szCs w:val="20"/>
          <w:lang w:val="sr-Cyrl-RS"/>
        </w:rPr>
        <w:t>регулисана је и могућност преузимања повереног посла: „</w:t>
      </w:r>
      <w:r w:rsidR="00C562C0" w:rsidRPr="1A8E6423">
        <w:rPr>
          <w:rFonts w:ascii="Arial" w:hAnsi="Arial" w:cs="Arial"/>
          <w:sz w:val="20"/>
          <w:szCs w:val="20"/>
          <w:lang w:val="sr-Cyrl-RS" w:eastAsia="en-US"/>
        </w:rPr>
        <w:t xml:space="preserve">Надзорни орган државне управе дужан је да непосредно изврши поверени посао ако би неизвршење посла могло да изазове штетне последице по живот или здравље људи, животну средину, привреду или имовину веће вредности. </w:t>
      </w:r>
      <w:r w:rsidR="00C562C0" w:rsidRPr="1A8E6423">
        <w:rPr>
          <w:rFonts w:ascii="Arial" w:hAnsi="Arial" w:cs="Arial"/>
          <w:sz w:val="20"/>
          <w:szCs w:val="20"/>
          <w:lang w:val="sr-Cyrl-RS"/>
        </w:rPr>
        <w:t>Ако ималац јавних овлашћења и поред вишеструких упозорења не почне да врши поверени посао или не почне да га врши правилно или благовремено, надзорни орган државне управе преузима извршење посла, најдуже на 120 дана.</w:t>
      </w:r>
      <w:r w:rsidR="0074037A" w:rsidRPr="1A8E6423">
        <w:rPr>
          <w:rFonts w:ascii="Arial" w:hAnsi="Arial" w:cs="Arial"/>
          <w:sz w:val="20"/>
          <w:szCs w:val="20"/>
          <w:lang w:val="sr-Cyrl-RS"/>
        </w:rPr>
        <w:t>”</w:t>
      </w:r>
    </w:p>
    <w:p w14:paraId="7D1CB3FC" w14:textId="77777777" w:rsidR="000133BF" w:rsidRPr="00A021B7" w:rsidRDefault="000133BF" w:rsidP="003E7BC9">
      <w:pPr>
        <w:pStyle w:val="NormalWeb"/>
        <w:shd w:val="clear" w:color="auto" w:fill="FFFFFF" w:themeFill="background1"/>
        <w:spacing w:before="0" w:beforeAutospacing="0" w:after="0" w:afterAutospacing="0"/>
        <w:jc w:val="both"/>
        <w:rPr>
          <w:rFonts w:ascii="Arial" w:hAnsi="Arial" w:cs="Arial"/>
          <w:sz w:val="20"/>
          <w:szCs w:val="20"/>
          <w:lang w:val="sr-Cyrl-RS"/>
        </w:rPr>
      </w:pPr>
    </w:p>
    <w:tbl>
      <w:tblPr>
        <w:tblStyle w:val="TableGrid"/>
        <w:tblW w:w="0" w:type="auto"/>
        <w:tblLook w:val="04A0" w:firstRow="1" w:lastRow="0" w:firstColumn="1" w:lastColumn="0" w:noHBand="0" w:noVBand="1"/>
      </w:tblPr>
      <w:tblGrid>
        <w:gridCol w:w="9010"/>
      </w:tblGrid>
      <w:tr w:rsidR="00400B32" w:rsidRPr="00A021B7" w14:paraId="1B569D65" w14:textId="77777777" w:rsidTr="1A8E6423">
        <w:tc>
          <w:tcPr>
            <w:tcW w:w="9010" w:type="dxa"/>
          </w:tcPr>
          <w:p w14:paraId="0452BDED" w14:textId="7A27ECDB" w:rsidR="00400B32" w:rsidRPr="00A021B7" w:rsidRDefault="00400B32" w:rsidP="003E7BC9">
            <w:pPr>
              <w:jc w:val="both"/>
              <w:rPr>
                <w:rFonts w:ascii="Arial" w:hAnsi="Arial" w:cs="Arial"/>
                <w:b/>
                <w:bCs/>
                <w:sz w:val="20"/>
                <w:szCs w:val="20"/>
                <w:lang w:val="sr-Cyrl-RS"/>
              </w:rPr>
            </w:pPr>
            <w:r w:rsidRPr="00A021B7">
              <w:rPr>
                <w:rFonts w:ascii="Arial" w:hAnsi="Arial" w:cs="Arial"/>
                <w:b/>
                <w:bCs/>
                <w:sz w:val="20"/>
                <w:szCs w:val="20"/>
                <w:lang w:val="sr-Cyrl-RS"/>
              </w:rPr>
              <w:t>Управни окрузи</w:t>
            </w:r>
          </w:p>
          <w:p w14:paraId="190F0360" w14:textId="77777777" w:rsidR="00357A2E" w:rsidRPr="00A021B7" w:rsidRDefault="00357A2E" w:rsidP="003E7BC9">
            <w:pPr>
              <w:jc w:val="both"/>
              <w:rPr>
                <w:rFonts w:ascii="Arial" w:hAnsi="Arial" w:cs="Arial"/>
                <w:b/>
                <w:bCs/>
                <w:sz w:val="20"/>
                <w:szCs w:val="20"/>
                <w:lang w:val="sr-Cyrl-RS"/>
              </w:rPr>
            </w:pPr>
          </w:p>
          <w:p w14:paraId="2376B04F" w14:textId="34DB1537" w:rsidR="00400B32" w:rsidRPr="00A021B7" w:rsidRDefault="290D1104" w:rsidP="1A8E6423">
            <w:pPr>
              <w:pStyle w:val="basic-paragraph"/>
              <w:shd w:val="clear" w:color="auto" w:fill="FFFFFF" w:themeFill="background1"/>
              <w:spacing w:before="0" w:beforeAutospacing="0" w:after="0" w:afterAutospacing="0"/>
              <w:ind w:firstLine="428"/>
              <w:jc w:val="both"/>
              <w:rPr>
                <w:rFonts w:ascii="Arial" w:hAnsi="Arial" w:cs="Arial"/>
                <w:sz w:val="20"/>
                <w:szCs w:val="20"/>
                <w:lang w:val="sr-Cyrl-RS"/>
              </w:rPr>
            </w:pPr>
            <w:r w:rsidRPr="00A021B7">
              <w:rPr>
                <w:rFonts w:ascii="Arial" w:hAnsi="Arial" w:cs="Arial"/>
                <w:sz w:val="20"/>
                <w:szCs w:val="20"/>
                <w:lang w:val="sr-Cyrl-RS"/>
              </w:rPr>
              <w:t>Сарадња републичке и локалне власти и надзор над обављањем поверених послова у великој мери је требало да се заснива и на систему управних округа.</w:t>
            </w:r>
            <w:r w:rsidR="512CDFFD" w:rsidRPr="00A021B7">
              <w:rPr>
                <w:rFonts w:ascii="Arial" w:hAnsi="Arial" w:cs="Arial"/>
                <w:sz w:val="20"/>
                <w:szCs w:val="20"/>
                <w:lang w:val="sr-Cyrl-RS"/>
              </w:rPr>
              <w:t xml:space="preserve"> </w:t>
            </w:r>
            <w:r w:rsidRPr="00A021B7">
              <w:rPr>
                <w:rFonts w:ascii="Arial" w:hAnsi="Arial" w:cs="Arial"/>
                <w:sz w:val="20"/>
                <w:szCs w:val="20"/>
                <w:lang w:val="sr-Cyrl-RS"/>
              </w:rPr>
              <w:t xml:space="preserve">У складу са Законом о државној управи, управни окрузи образовани </w:t>
            </w:r>
            <w:r w:rsidR="0DD42B6D" w:rsidRPr="00A021B7">
              <w:rPr>
                <w:rFonts w:ascii="Arial" w:hAnsi="Arial" w:cs="Arial"/>
                <w:sz w:val="20"/>
                <w:szCs w:val="20"/>
                <w:lang w:val="sr-Cyrl-RS"/>
              </w:rPr>
              <w:t xml:space="preserve">су </w:t>
            </w:r>
            <w:r w:rsidRPr="00A021B7">
              <w:rPr>
                <w:rFonts w:ascii="Arial" w:hAnsi="Arial" w:cs="Arial"/>
                <w:sz w:val="20"/>
                <w:szCs w:val="20"/>
                <w:lang w:val="sr-Cyrl-RS"/>
              </w:rPr>
              <w:t xml:space="preserve">ради вршења послова државне управе изван седишта органа државне управе. </w:t>
            </w:r>
            <w:r w:rsidR="02884A2B" w:rsidRPr="00A021B7">
              <w:rPr>
                <w:rFonts w:ascii="Arial" w:hAnsi="Arial" w:cs="Arial"/>
                <w:color w:val="000000" w:themeColor="text1"/>
                <w:sz w:val="20"/>
                <w:szCs w:val="20"/>
                <w:lang w:val="sr-Cyrl-RS"/>
              </w:rPr>
              <w:t xml:space="preserve">Управни окрузи су први пут основани уредбом из 1992. године. </w:t>
            </w:r>
            <w:r w:rsidR="688C2969" w:rsidRPr="00A021B7">
              <w:rPr>
                <w:rFonts w:ascii="Arial" w:hAnsi="Arial" w:cs="Arial"/>
                <w:color w:val="000000" w:themeColor="text1"/>
                <w:sz w:val="20"/>
                <w:szCs w:val="20"/>
                <w:lang w:val="sr-Cyrl-RS"/>
              </w:rPr>
              <w:t xml:space="preserve">Без мењања укупног броја и структуре </w:t>
            </w:r>
            <w:r w:rsidR="02884A2B" w:rsidRPr="00A021B7">
              <w:rPr>
                <w:rFonts w:ascii="Arial" w:hAnsi="Arial" w:cs="Arial"/>
                <w:color w:val="000000" w:themeColor="text1"/>
                <w:sz w:val="20"/>
                <w:szCs w:val="20"/>
                <w:lang w:val="sr-Cyrl-RS"/>
              </w:rPr>
              <w:t xml:space="preserve">управних округа, Уредбом из 2006. године образовано </w:t>
            </w:r>
            <w:r w:rsidR="5F1B7800" w:rsidRPr="00A021B7">
              <w:rPr>
                <w:rFonts w:ascii="Arial" w:hAnsi="Arial" w:cs="Arial"/>
                <w:color w:val="000000" w:themeColor="text1"/>
                <w:sz w:val="20"/>
                <w:szCs w:val="20"/>
                <w:lang w:val="sr-Cyrl-RS"/>
              </w:rPr>
              <w:t xml:space="preserve">је </w:t>
            </w:r>
            <w:r w:rsidR="02884A2B" w:rsidRPr="00A021B7">
              <w:rPr>
                <w:rFonts w:ascii="Arial" w:hAnsi="Arial" w:cs="Arial"/>
                <w:color w:val="000000" w:themeColor="text1"/>
                <w:sz w:val="20"/>
                <w:szCs w:val="20"/>
                <w:lang w:val="sr-Cyrl-RS"/>
              </w:rPr>
              <w:t>29 управних округа</w:t>
            </w:r>
            <w:r w:rsidR="00F04B1D">
              <w:rPr>
                <w:rFonts w:ascii="Arial" w:hAnsi="Arial" w:cs="Arial"/>
                <w:color w:val="000000" w:themeColor="text1"/>
                <w:sz w:val="20"/>
                <w:szCs w:val="20"/>
                <w:lang w:val="sr-Cyrl-RS"/>
              </w:rPr>
              <w:t>,</w:t>
            </w:r>
            <w:r w:rsidR="02884A2B" w:rsidRPr="00A021B7">
              <w:rPr>
                <w:rFonts w:ascii="Arial" w:hAnsi="Arial" w:cs="Arial"/>
                <w:color w:val="000000" w:themeColor="text1"/>
                <w:sz w:val="20"/>
                <w:szCs w:val="20"/>
                <w:lang w:val="sr-Cyrl-RS"/>
              </w:rPr>
              <w:t xml:space="preserve"> који покривају целу територију Републике Србије, осим </w:t>
            </w:r>
            <w:r w:rsidR="5F1B7800" w:rsidRPr="00A021B7">
              <w:rPr>
                <w:rFonts w:ascii="Arial" w:hAnsi="Arial" w:cs="Arial"/>
                <w:color w:val="000000" w:themeColor="text1"/>
                <w:sz w:val="20"/>
                <w:szCs w:val="20"/>
                <w:lang w:val="sr-Cyrl-RS"/>
              </w:rPr>
              <w:t xml:space="preserve">територије </w:t>
            </w:r>
            <w:r w:rsidR="02884A2B" w:rsidRPr="00A021B7">
              <w:rPr>
                <w:rFonts w:ascii="Arial" w:hAnsi="Arial" w:cs="Arial"/>
                <w:color w:val="000000" w:themeColor="text1"/>
                <w:sz w:val="20"/>
                <w:szCs w:val="20"/>
                <w:lang w:val="sr-Cyrl-RS"/>
              </w:rPr>
              <w:t xml:space="preserve">града Београда. </w:t>
            </w:r>
            <w:r w:rsidRPr="00A021B7">
              <w:rPr>
                <w:rFonts w:ascii="Arial" w:hAnsi="Arial" w:cs="Arial"/>
                <w:sz w:val="20"/>
                <w:szCs w:val="20"/>
                <w:lang w:val="sr-Cyrl-RS"/>
              </w:rPr>
              <w:t>У управном округу могу да се решавају управне ствари у првом степену</w:t>
            </w:r>
            <w:r w:rsidR="4E53C30E" w:rsidRPr="00A021B7">
              <w:rPr>
                <w:rFonts w:ascii="Arial" w:hAnsi="Arial" w:cs="Arial"/>
                <w:sz w:val="20"/>
                <w:szCs w:val="20"/>
                <w:lang w:val="sr-Cyrl-RS"/>
              </w:rPr>
              <w:t>,</w:t>
            </w:r>
            <w:r w:rsidRPr="00A021B7">
              <w:rPr>
                <w:rFonts w:ascii="Arial" w:hAnsi="Arial" w:cs="Arial"/>
                <w:sz w:val="20"/>
                <w:szCs w:val="20"/>
                <w:lang w:val="sr-Cyrl-RS"/>
              </w:rPr>
              <w:t xml:space="preserve"> односно жалбе </w:t>
            </w:r>
            <w:r w:rsidR="3D44D667" w:rsidRPr="00A021B7">
              <w:rPr>
                <w:rFonts w:ascii="Arial" w:hAnsi="Arial" w:cs="Arial"/>
                <w:sz w:val="20"/>
                <w:szCs w:val="20"/>
                <w:lang w:val="sr-Cyrl-RS"/>
              </w:rPr>
              <w:t xml:space="preserve">у случајевима које </w:t>
            </w:r>
            <w:r w:rsidRPr="00A021B7">
              <w:rPr>
                <w:rFonts w:ascii="Arial" w:hAnsi="Arial" w:cs="Arial"/>
                <w:sz w:val="20"/>
                <w:szCs w:val="20"/>
                <w:lang w:val="sr-Cyrl-RS"/>
              </w:rPr>
              <w:t xml:space="preserve">су у првом степену решавали имаоци јавних овлашћења, врши се надзор над </w:t>
            </w:r>
            <w:r w:rsidR="02A6DCBF" w:rsidRPr="00A021B7">
              <w:rPr>
                <w:rFonts w:ascii="Arial" w:hAnsi="Arial" w:cs="Arial"/>
                <w:sz w:val="20"/>
                <w:szCs w:val="20"/>
                <w:lang w:val="sr-Cyrl-RS"/>
              </w:rPr>
              <w:t xml:space="preserve">њиховим </w:t>
            </w:r>
            <w:r w:rsidRPr="00A021B7">
              <w:rPr>
                <w:rFonts w:ascii="Arial" w:hAnsi="Arial" w:cs="Arial"/>
                <w:sz w:val="20"/>
                <w:szCs w:val="20"/>
                <w:lang w:val="sr-Cyrl-RS"/>
              </w:rPr>
              <w:t>радом и инспекцијски надзор. Управни округ води начелник, као функционер кога поставља и разрешава Влад</w:t>
            </w:r>
            <w:r w:rsidR="07330B74" w:rsidRPr="00A021B7">
              <w:rPr>
                <w:rFonts w:ascii="Arial" w:hAnsi="Arial" w:cs="Arial"/>
                <w:sz w:val="20"/>
                <w:szCs w:val="20"/>
                <w:lang w:val="sr-Cyrl-RS"/>
              </w:rPr>
              <w:t>а</w:t>
            </w:r>
            <w:r w:rsidR="0B161E89" w:rsidRPr="00A021B7">
              <w:rPr>
                <w:rFonts w:ascii="Arial" w:hAnsi="Arial" w:cs="Arial"/>
                <w:sz w:val="20"/>
                <w:szCs w:val="20"/>
                <w:lang w:val="sr-Cyrl-RS"/>
              </w:rPr>
              <w:t>, чија је основна улога да усклађује</w:t>
            </w:r>
            <w:r w:rsidR="13E64EC1" w:rsidRPr="00A021B7">
              <w:rPr>
                <w:rFonts w:ascii="Arial" w:hAnsi="Arial" w:cs="Arial"/>
                <w:sz w:val="20"/>
                <w:szCs w:val="20"/>
                <w:lang w:val="sr-Cyrl-RS"/>
              </w:rPr>
              <w:t xml:space="preserve"> и прати рад</w:t>
            </w:r>
            <w:r w:rsidR="7D82E3A3" w:rsidRPr="00A021B7">
              <w:rPr>
                <w:rFonts w:ascii="Arial" w:hAnsi="Arial" w:cs="Arial"/>
                <w:sz w:val="20"/>
                <w:szCs w:val="20"/>
                <w:lang w:val="sr-Cyrl-RS"/>
              </w:rPr>
              <w:t xml:space="preserve"> подручних јединица</w:t>
            </w:r>
            <w:r w:rsidR="13E64EC1" w:rsidRPr="00A021B7">
              <w:rPr>
                <w:rFonts w:ascii="Arial" w:hAnsi="Arial" w:cs="Arial"/>
                <w:sz w:val="20"/>
                <w:szCs w:val="20"/>
                <w:lang w:val="sr-Cyrl-RS"/>
              </w:rPr>
              <w:t xml:space="preserve"> државне управе и сарађује са ЈЛС</w:t>
            </w:r>
            <w:r w:rsidRPr="00A021B7">
              <w:rPr>
                <w:rFonts w:ascii="Arial" w:hAnsi="Arial" w:cs="Arial"/>
                <w:sz w:val="20"/>
                <w:szCs w:val="20"/>
                <w:lang w:val="sr-Cyrl-RS"/>
              </w:rPr>
              <w:t>.</w:t>
            </w:r>
            <w:r w:rsidR="00702F4C" w:rsidRPr="00A021B7">
              <w:rPr>
                <w:rStyle w:val="FootnoteReference"/>
                <w:rFonts w:ascii="Arial" w:hAnsi="Arial" w:cs="Arial"/>
                <w:sz w:val="20"/>
                <w:szCs w:val="20"/>
                <w:lang w:val="sr-Cyrl-RS"/>
              </w:rPr>
              <w:footnoteReference w:id="145"/>
            </w:r>
            <w:r w:rsidRPr="00A021B7">
              <w:rPr>
                <w:rFonts w:ascii="Arial" w:hAnsi="Arial" w:cs="Arial"/>
                <w:sz w:val="20"/>
                <w:szCs w:val="20"/>
                <w:lang w:val="sr-Cyrl-RS"/>
              </w:rPr>
              <w:t xml:space="preserve"> Закон о државној управи предвиђа и постојање </w:t>
            </w:r>
            <w:r w:rsidR="025A6BFB" w:rsidRPr="00A021B7">
              <w:rPr>
                <w:rFonts w:ascii="Arial" w:hAnsi="Arial" w:cs="Arial"/>
                <w:sz w:val="20"/>
                <w:szCs w:val="20"/>
                <w:lang w:val="sr-Cyrl-RS"/>
              </w:rPr>
              <w:t xml:space="preserve">савета </w:t>
            </w:r>
            <w:r w:rsidRPr="00A021B7">
              <w:rPr>
                <w:rFonts w:ascii="Arial" w:hAnsi="Arial" w:cs="Arial"/>
                <w:sz w:val="20"/>
                <w:szCs w:val="20"/>
                <w:lang w:val="sr-Cyrl-RS"/>
              </w:rPr>
              <w:t xml:space="preserve">управног округа. Ово тело треба да усклађује односе окружних подручних јединица органа државне управе и </w:t>
            </w:r>
            <w:r w:rsidR="4F1FEC11" w:rsidRPr="00A021B7">
              <w:rPr>
                <w:rFonts w:ascii="Arial" w:hAnsi="Arial" w:cs="Arial"/>
                <w:sz w:val="20"/>
                <w:szCs w:val="20"/>
                <w:lang w:val="sr-Cyrl-RS"/>
              </w:rPr>
              <w:t xml:space="preserve">ЈЛС </w:t>
            </w:r>
            <w:r w:rsidRPr="00A021B7">
              <w:rPr>
                <w:rFonts w:ascii="Arial" w:hAnsi="Arial" w:cs="Arial"/>
                <w:sz w:val="20"/>
                <w:szCs w:val="20"/>
                <w:lang w:val="sr-Cyrl-RS"/>
              </w:rPr>
              <w:t xml:space="preserve">са подручја управног округа и </w:t>
            </w:r>
            <w:r w:rsidR="0D1C06FB" w:rsidRPr="00A021B7">
              <w:rPr>
                <w:rFonts w:ascii="Arial" w:hAnsi="Arial" w:cs="Arial"/>
                <w:sz w:val="20"/>
                <w:szCs w:val="20"/>
                <w:lang w:val="sr-Cyrl-RS"/>
              </w:rPr>
              <w:t xml:space="preserve">да </w:t>
            </w:r>
            <w:r w:rsidRPr="00A021B7">
              <w:rPr>
                <w:rFonts w:ascii="Arial" w:hAnsi="Arial" w:cs="Arial"/>
                <w:sz w:val="20"/>
                <w:szCs w:val="20"/>
                <w:lang w:val="sr-Cyrl-RS"/>
              </w:rPr>
              <w:t>даје предлоге за побољшање рада управног округа и подручних јединица државне управе. Савет управног округа чине начелник управног округа и председници општина и градоначелници са подручја управног округа.</w:t>
            </w:r>
          </w:p>
        </w:tc>
      </w:tr>
    </w:tbl>
    <w:p w14:paraId="64E0E53C" w14:textId="77777777" w:rsidR="00FF5EDE" w:rsidRPr="00A021B7" w:rsidRDefault="00FF5EDE" w:rsidP="003E7BC9">
      <w:pPr>
        <w:jc w:val="both"/>
        <w:rPr>
          <w:rFonts w:ascii="Arial" w:hAnsi="Arial" w:cs="Arial"/>
          <w:sz w:val="20"/>
          <w:szCs w:val="20"/>
          <w:lang w:val="sr-Cyrl-RS"/>
        </w:rPr>
      </w:pPr>
    </w:p>
    <w:p w14:paraId="22C71BD2" w14:textId="7BAE16AD" w:rsidR="00E71D9D" w:rsidRPr="00A021B7" w:rsidRDefault="00C64B3A"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Управни </w:t>
      </w:r>
      <w:r w:rsidR="00AB6252" w:rsidRPr="1A8E6423">
        <w:rPr>
          <w:rFonts w:ascii="Arial" w:hAnsi="Arial" w:cs="Arial"/>
          <w:sz w:val="20"/>
          <w:szCs w:val="20"/>
          <w:lang w:val="sr-Cyrl-RS"/>
        </w:rPr>
        <w:t>с</w:t>
      </w:r>
      <w:r w:rsidRPr="1A8E6423">
        <w:rPr>
          <w:rFonts w:ascii="Arial" w:hAnsi="Arial" w:cs="Arial"/>
          <w:sz w:val="20"/>
          <w:szCs w:val="20"/>
          <w:lang w:val="sr-Cyrl-RS"/>
        </w:rPr>
        <w:t>и</w:t>
      </w:r>
      <w:r w:rsidR="00AB6252" w:rsidRPr="1A8E6423">
        <w:rPr>
          <w:rFonts w:ascii="Arial" w:hAnsi="Arial" w:cs="Arial"/>
          <w:sz w:val="20"/>
          <w:szCs w:val="20"/>
          <w:lang w:val="sr-Cyrl-RS"/>
        </w:rPr>
        <w:t>стем треба да почива на јединству</w:t>
      </w:r>
      <w:r w:rsidR="00060221">
        <w:rPr>
          <w:rFonts w:ascii="Arial" w:hAnsi="Arial" w:cs="Arial"/>
          <w:sz w:val="20"/>
          <w:szCs w:val="20"/>
          <w:lang w:val="sr-Cyrl-RS"/>
        </w:rPr>
        <w:t xml:space="preserve"> деловања</w:t>
      </w:r>
      <w:r w:rsidR="00AB6252" w:rsidRPr="1A8E6423">
        <w:rPr>
          <w:rFonts w:ascii="Arial" w:hAnsi="Arial" w:cs="Arial"/>
          <w:sz w:val="20"/>
          <w:szCs w:val="20"/>
          <w:lang w:val="sr-Cyrl-RS"/>
        </w:rPr>
        <w:t xml:space="preserve"> и тесној сарадњи државне управе са управом нижих нивоа јавних власти</w:t>
      </w:r>
      <w:r w:rsidR="00012B3D" w:rsidRPr="1A8E6423">
        <w:rPr>
          <w:rFonts w:ascii="Arial" w:hAnsi="Arial" w:cs="Arial"/>
          <w:sz w:val="20"/>
          <w:szCs w:val="20"/>
          <w:lang w:val="sr-Cyrl-RS"/>
        </w:rPr>
        <w:t xml:space="preserve">, </w:t>
      </w:r>
      <w:r w:rsidR="00F460DD" w:rsidRPr="1A8E6423">
        <w:rPr>
          <w:rFonts w:ascii="Arial" w:hAnsi="Arial" w:cs="Arial"/>
          <w:sz w:val="20"/>
          <w:szCs w:val="20"/>
          <w:lang w:val="sr-Cyrl-RS"/>
        </w:rPr>
        <w:t xml:space="preserve">а надзор над применом закона, инспекцијски надзор и финансијски надзор који врше виши органи, треба да буде </w:t>
      </w:r>
      <w:r w:rsidR="0085379E" w:rsidRPr="1A8E6423">
        <w:rPr>
          <w:rFonts w:ascii="Arial" w:hAnsi="Arial" w:cs="Arial"/>
          <w:sz w:val="20"/>
          <w:szCs w:val="20"/>
          <w:lang w:val="sr-Cyrl-RS"/>
        </w:rPr>
        <w:t>ефикасан</w:t>
      </w:r>
      <w:r w:rsidR="00F460DD" w:rsidRPr="1A8E6423">
        <w:rPr>
          <w:rFonts w:ascii="Arial" w:hAnsi="Arial" w:cs="Arial"/>
          <w:sz w:val="20"/>
          <w:szCs w:val="20"/>
          <w:lang w:val="sr-Cyrl-RS"/>
        </w:rPr>
        <w:t xml:space="preserve"> и да у већој мери има превентивни и саветодавни карактер, уз поштовање сврхе надзора, начела сразмерности и законских ограничења надзорне функције. Тиме би се обезбедило да се </w:t>
      </w:r>
      <w:r w:rsidR="00F04B1D" w:rsidRPr="1A8E6423">
        <w:rPr>
          <w:rFonts w:ascii="Arial" w:hAnsi="Arial" w:cs="Arial"/>
          <w:sz w:val="20"/>
          <w:szCs w:val="20"/>
          <w:lang w:val="sr-Cyrl-RS"/>
        </w:rPr>
        <w:t>са</w:t>
      </w:r>
      <w:r w:rsidR="00F460DD" w:rsidRPr="1A8E6423">
        <w:rPr>
          <w:rFonts w:ascii="Arial" w:hAnsi="Arial" w:cs="Arial"/>
          <w:sz w:val="20"/>
          <w:szCs w:val="20"/>
          <w:lang w:val="sr-Cyrl-RS"/>
        </w:rPr>
        <w:t xml:space="preserve"> преношење</w:t>
      </w:r>
      <w:r w:rsidR="00F04B1D" w:rsidRPr="1A8E6423">
        <w:rPr>
          <w:rFonts w:ascii="Arial" w:hAnsi="Arial" w:cs="Arial"/>
          <w:sz w:val="20"/>
          <w:szCs w:val="20"/>
          <w:lang w:val="sr-Cyrl-RS"/>
        </w:rPr>
        <w:t>м</w:t>
      </w:r>
      <w:r w:rsidR="00F460DD" w:rsidRPr="1A8E6423">
        <w:rPr>
          <w:rFonts w:ascii="Arial" w:hAnsi="Arial" w:cs="Arial"/>
          <w:sz w:val="20"/>
          <w:szCs w:val="20"/>
          <w:lang w:val="sr-Cyrl-RS"/>
        </w:rPr>
        <w:t xml:space="preserve"> надлежности повећава </w:t>
      </w:r>
      <w:r w:rsidR="00013DBD" w:rsidRPr="1A8E6423">
        <w:rPr>
          <w:rFonts w:ascii="Arial" w:hAnsi="Arial" w:cs="Arial"/>
          <w:sz w:val="20"/>
          <w:szCs w:val="20"/>
          <w:lang w:val="sr-Cyrl-RS"/>
        </w:rPr>
        <w:t xml:space="preserve">и </w:t>
      </w:r>
      <w:r w:rsidR="00F460DD" w:rsidRPr="1A8E6423">
        <w:rPr>
          <w:rFonts w:ascii="Arial" w:hAnsi="Arial" w:cs="Arial"/>
          <w:sz w:val="20"/>
          <w:szCs w:val="20"/>
          <w:lang w:val="sr-Cyrl-RS"/>
        </w:rPr>
        <w:t>одговорност ЈЛС, уз механизме који би заштитили грађане од необављања или неквалитетног обављања ових послова.</w:t>
      </w:r>
      <w:r w:rsidR="00AF6B53" w:rsidRPr="1A8E6423">
        <w:rPr>
          <w:rFonts w:ascii="Arial" w:hAnsi="Arial" w:cs="Arial"/>
          <w:color w:val="000000" w:themeColor="text1"/>
          <w:sz w:val="20"/>
          <w:szCs w:val="20"/>
          <w:lang w:val="sr-Cyrl-RS" w:eastAsia="de-CH"/>
        </w:rPr>
        <w:t xml:space="preserve"> </w:t>
      </w:r>
      <w:r w:rsidR="00D447E1" w:rsidRPr="1A8E6423">
        <w:rPr>
          <w:rFonts w:ascii="Arial" w:hAnsi="Arial" w:cs="Arial"/>
          <w:color w:val="000000" w:themeColor="text1"/>
          <w:sz w:val="20"/>
          <w:szCs w:val="20"/>
          <w:lang w:val="sr-Cyrl-RS"/>
        </w:rPr>
        <w:t xml:space="preserve">Грађани и правна лица, као и јавни интерес никако не треба да трпе било какве негативне последице тога што </w:t>
      </w:r>
      <w:r w:rsidR="00906106" w:rsidRPr="1A8E6423">
        <w:rPr>
          <w:rFonts w:ascii="Arial" w:hAnsi="Arial" w:cs="Arial"/>
          <w:color w:val="000000" w:themeColor="text1"/>
          <w:sz w:val="20"/>
          <w:szCs w:val="20"/>
          <w:lang w:val="sr-Cyrl-RS"/>
        </w:rPr>
        <w:t xml:space="preserve">неки </w:t>
      </w:r>
      <w:r w:rsidR="00D447E1" w:rsidRPr="1A8E6423">
        <w:rPr>
          <w:rFonts w:ascii="Arial" w:hAnsi="Arial" w:cs="Arial"/>
          <w:color w:val="000000" w:themeColor="text1"/>
          <w:sz w:val="20"/>
          <w:szCs w:val="20"/>
          <w:lang w:val="sr-Cyrl-RS"/>
        </w:rPr>
        <w:t xml:space="preserve">орган ЈЛС неоправдано не врши </w:t>
      </w:r>
      <w:r w:rsidR="00DB34EF" w:rsidRPr="1A8E6423">
        <w:rPr>
          <w:rFonts w:ascii="Arial" w:hAnsi="Arial" w:cs="Arial"/>
          <w:color w:val="000000" w:themeColor="text1"/>
          <w:sz w:val="20"/>
          <w:szCs w:val="20"/>
          <w:lang w:val="sr-Cyrl-RS"/>
        </w:rPr>
        <w:t>неке поверене</w:t>
      </w:r>
      <w:r w:rsidR="00D447E1" w:rsidRPr="1A8E6423">
        <w:rPr>
          <w:rFonts w:ascii="Arial" w:hAnsi="Arial" w:cs="Arial"/>
          <w:color w:val="000000" w:themeColor="text1"/>
          <w:sz w:val="20"/>
          <w:szCs w:val="20"/>
          <w:lang w:val="sr-Cyrl-RS"/>
        </w:rPr>
        <w:t xml:space="preserve"> послове. Слично је и код </w:t>
      </w:r>
      <w:r w:rsidR="000B3E8F" w:rsidRPr="1A8E6423">
        <w:rPr>
          <w:rFonts w:ascii="Arial" w:hAnsi="Arial" w:cs="Arial"/>
          <w:color w:val="000000" w:themeColor="text1"/>
          <w:sz w:val="20"/>
          <w:szCs w:val="20"/>
          <w:lang w:val="sr-Cyrl-RS"/>
        </w:rPr>
        <w:t xml:space="preserve">изворних </w:t>
      </w:r>
      <w:r w:rsidR="00D447E1" w:rsidRPr="1A8E6423">
        <w:rPr>
          <w:rFonts w:ascii="Arial" w:hAnsi="Arial" w:cs="Arial"/>
          <w:color w:val="000000" w:themeColor="text1"/>
          <w:sz w:val="20"/>
          <w:szCs w:val="20"/>
          <w:lang w:val="sr-Cyrl-RS"/>
        </w:rPr>
        <w:t xml:space="preserve">послова, где већи степен самосталности не би смео да угрози </w:t>
      </w:r>
      <w:r w:rsidR="000B3E8F" w:rsidRPr="1A8E6423">
        <w:rPr>
          <w:rFonts w:ascii="Arial" w:hAnsi="Arial" w:cs="Arial"/>
          <w:color w:val="000000" w:themeColor="text1"/>
          <w:sz w:val="20"/>
          <w:szCs w:val="20"/>
          <w:lang w:val="sr-Cyrl-RS"/>
        </w:rPr>
        <w:t xml:space="preserve">начело </w:t>
      </w:r>
      <w:r w:rsidR="00D447E1" w:rsidRPr="1A8E6423">
        <w:rPr>
          <w:rFonts w:ascii="Arial" w:hAnsi="Arial" w:cs="Arial"/>
          <w:color w:val="000000" w:themeColor="text1"/>
          <w:sz w:val="20"/>
          <w:szCs w:val="20"/>
          <w:lang w:val="sr-Cyrl-RS"/>
        </w:rPr>
        <w:t>одговорног вршења релевантног посла.</w:t>
      </w:r>
      <w:r w:rsidR="004263ED" w:rsidRPr="1A8E6423">
        <w:rPr>
          <w:rFonts w:ascii="Arial" w:hAnsi="Arial" w:cs="Arial"/>
          <w:color w:val="000000" w:themeColor="text1"/>
          <w:sz w:val="20"/>
          <w:szCs w:val="20"/>
          <w:lang w:val="sr-Cyrl-RS"/>
        </w:rPr>
        <w:t xml:space="preserve"> </w:t>
      </w:r>
      <w:r w:rsidR="00CC050C" w:rsidRPr="1A8E6423">
        <w:rPr>
          <w:rFonts w:ascii="Arial" w:hAnsi="Arial" w:cs="Arial"/>
          <w:color w:val="000000" w:themeColor="text1"/>
          <w:sz w:val="20"/>
          <w:szCs w:val="20"/>
          <w:lang w:val="sr-Cyrl-RS"/>
        </w:rPr>
        <w:t>Неспорно је да</w:t>
      </w:r>
      <w:r w:rsidR="004263ED" w:rsidRPr="1A8E6423">
        <w:rPr>
          <w:rFonts w:ascii="Arial" w:hAnsi="Arial" w:cs="Arial"/>
          <w:color w:val="000000" w:themeColor="text1"/>
          <w:sz w:val="20"/>
          <w:szCs w:val="20"/>
          <w:lang w:val="sr-Cyrl-RS"/>
        </w:rPr>
        <w:t xml:space="preserve"> </w:t>
      </w:r>
      <w:r w:rsidR="004263ED" w:rsidRPr="1A8E6423">
        <w:rPr>
          <w:rFonts w:ascii="Arial" w:hAnsi="Arial" w:cs="Arial"/>
          <w:color w:val="000000" w:themeColor="text1"/>
          <w:sz w:val="20"/>
          <w:szCs w:val="20"/>
          <w:lang w:val="sr-Cyrl-RS" w:eastAsia="de-CH"/>
        </w:rPr>
        <w:t>органи ЈЛС</w:t>
      </w:r>
      <w:r w:rsidR="000B3E8F" w:rsidRPr="1A8E6423">
        <w:rPr>
          <w:rFonts w:ascii="Arial" w:hAnsi="Arial" w:cs="Arial"/>
          <w:color w:val="000000" w:themeColor="text1"/>
          <w:sz w:val="20"/>
          <w:szCs w:val="20"/>
          <w:lang w:val="sr-Cyrl-RS" w:eastAsia="de-CH"/>
        </w:rPr>
        <w:t>,</w:t>
      </w:r>
      <w:r w:rsidR="004263ED" w:rsidRPr="1A8E6423">
        <w:rPr>
          <w:rFonts w:ascii="Arial" w:hAnsi="Arial" w:cs="Arial"/>
          <w:color w:val="000000" w:themeColor="text1"/>
          <w:sz w:val="20"/>
          <w:szCs w:val="20"/>
          <w:lang w:val="sr-Cyrl-RS" w:eastAsia="de-CH"/>
        </w:rPr>
        <w:t xml:space="preserve"> на основу </w:t>
      </w:r>
      <w:r w:rsidR="00F04B1D" w:rsidRPr="1A8E6423">
        <w:rPr>
          <w:rFonts w:ascii="Arial" w:hAnsi="Arial" w:cs="Arial"/>
          <w:color w:val="000000" w:themeColor="text1"/>
          <w:sz w:val="20"/>
          <w:szCs w:val="20"/>
          <w:lang w:val="sr-Cyrl-RS" w:eastAsia="de-CH"/>
        </w:rPr>
        <w:t>децентрализације</w:t>
      </w:r>
      <w:r w:rsidR="000B3E8F" w:rsidRPr="1A8E6423">
        <w:rPr>
          <w:rFonts w:ascii="Arial" w:hAnsi="Arial" w:cs="Arial"/>
          <w:color w:val="000000" w:themeColor="text1"/>
          <w:sz w:val="20"/>
          <w:szCs w:val="20"/>
          <w:lang w:val="sr-Cyrl-RS" w:eastAsia="de-CH"/>
        </w:rPr>
        <w:t>,</w:t>
      </w:r>
      <w:r w:rsidR="004263ED" w:rsidRPr="1A8E6423">
        <w:rPr>
          <w:rFonts w:ascii="Arial" w:hAnsi="Arial" w:cs="Arial"/>
          <w:color w:val="000000" w:themeColor="text1"/>
          <w:sz w:val="20"/>
          <w:szCs w:val="20"/>
          <w:lang w:val="sr-Cyrl-RS" w:eastAsia="de-CH"/>
        </w:rPr>
        <w:t xml:space="preserve"> због локалних специфичности</w:t>
      </w:r>
      <w:r w:rsidR="0060211E" w:rsidRPr="1A8E6423">
        <w:rPr>
          <w:rFonts w:ascii="Arial" w:hAnsi="Arial" w:cs="Arial"/>
          <w:color w:val="000000" w:themeColor="text1"/>
          <w:sz w:val="20"/>
          <w:szCs w:val="20"/>
          <w:lang w:val="sr-Cyrl-RS" w:eastAsia="de-CH"/>
        </w:rPr>
        <w:t xml:space="preserve"> и</w:t>
      </w:r>
      <w:r w:rsidR="004263ED" w:rsidRPr="1A8E6423">
        <w:rPr>
          <w:rFonts w:ascii="Arial" w:hAnsi="Arial" w:cs="Arial"/>
          <w:color w:val="000000" w:themeColor="text1"/>
          <w:sz w:val="20"/>
          <w:szCs w:val="20"/>
          <w:lang w:val="sr-Cyrl-RS" w:eastAsia="de-CH"/>
        </w:rPr>
        <w:t xml:space="preserve"> приближавања послова </w:t>
      </w:r>
      <w:r w:rsidR="00250BB5" w:rsidRPr="1A8E6423">
        <w:rPr>
          <w:rFonts w:ascii="Arial" w:hAnsi="Arial" w:cs="Arial"/>
          <w:color w:val="000000" w:themeColor="text1"/>
          <w:sz w:val="20"/>
          <w:szCs w:val="20"/>
          <w:lang w:val="sr-Cyrl-RS" w:eastAsia="de-CH"/>
        </w:rPr>
        <w:t>локалним заједницама</w:t>
      </w:r>
      <w:r w:rsidR="000B3E8F" w:rsidRPr="1A8E6423">
        <w:rPr>
          <w:rFonts w:ascii="Arial" w:hAnsi="Arial" w:cs="Arial"/>
          <w:color w:val="000000" w:themeColor="text1"/>
          <w:sz w:val="20"/>
          <w:szCs w:val="20"/>
          <w:lang w:val="sr-Cyrl-RS" w:eastAsia="de-CH"/>
        </w:rPr>
        <w:t>,</w:t>
      </w:r>
      <w:r w:rsidR="0060211E" w:rsidRPr="1A8E6423">
        <w:rPr>
          <w:rFonts w:ascii="Arial" w:hAnsi="Arial" w:cs="Arial"/>
          <w:color w:val="000000" w:themeColor="text1"/>
          <w:sz w:val="20"/>
          <w:szCs w:val="20"/>
          <w:lang w:val="sr-Cyrl-RS" w:eastAsia="de-CH"/>
        </w:rPr>
        <w:t xml:space="preserve"> </w:t>
      </w:r>
      <w:r w:rsidR="00CC050C" w:rsidRPr="1A8E6423">
        <w:rPr>
          <w:rFonts w:ascii="Arial" w:hAnsi="Arial" w:cs="Arial"/>
          <w:color w:val="000000" w:themeColor="text1"/>
          <w:sz w:val="20"/>
          <w:szCs w:val="20"/>
          <w:lang w:val="sr-Cyrl-RS" w:eastAsia="de-CH"/>
        </w:rPr>
        <w:t xml:space="preserve">треба да имају </w:t>
      </w:r>
      <w:r w:rsidR="0060211E" w:rsidRPr="1A8E6423">
        <w:rPr>
          <w:rFonts w:ascii="Arial" w:hAnsi="Arial" w:cs="Arial"/>
          <w:color w:val="000000" w:themeColor="text1"/>
          <w:sz w:val="20"/>
          <w:szCs w:val="20"/>
          <w:lang w:val="sr-Cyrl-RS" w:eastAsia="de-CH"/>
        </w:rPr>
        <w:t xml:space="preserve">одређен степен самосталности у вршењу сопствених послова, </w:t>
      </w:r>
      <w:r w:rsidR="00CC050C" w:rsidRPr="1A8E6423">
        <w:rPr>
          <w:rFonts w:ascii="Arial" w:hAnsi="Arial" w:cs="Arial"/>
          <w:color w:val="000000" w:themeColor="text1"/>
          <w:sz w:val="20"/>
          <w:szCs w:val="20"/>
          <w:lang w:val="sr-Cyrl-RS" w:eastAsia="de-CH"/>
        </w:rPr>
        <w:t xml:space="preserve">али је </w:t>
      </w:r>
      <w:r w:rsidR="0060211E" w:rsidRPr="1A8E6423">
        <w:rPr>
          <w:rFonts w:ascii="Arial" w:hAnsi="Arial" w:cs="Arial"/>
          <w:color w:val="000000" w:themeColor="text1"/>
          <w:sz w:val="20"/>
          <w:szCs w:val="20"/>
          <w:lang w:val="sr-Cyrl-RS" w:eastAsia="de-CH"/>
        </w:rPr>
        <w:t xml:space="preserve">неопходно постићи </w:t>
      </w:r>
      <w:r w:rsidR="00CC050C" w:rsidRPr="1A8E6423">
        <w:rPr>
          <w:rFonts w:ascii="Arial" w:hAnsi="Arial" w:cs="Arial"/>
          <w:color w:val="000000" w:themeColor="text1"/>
          <w:sz w:val="20"/>
          <w:szCs w:val="20"/>
          <w:lang w:val="sr-Cyrl-RS" w:eastAsia="de-CH"/>
        </w:rPr>
        <w:t xml:space="preserve">и </w:t>
      </w:r>
      <w:r w:rsidR="00E44438" w:rsidRPr="1A8E6423">
        <w:rPr>
          <w:rFonts w:ascii="Arial" w:hAnsi="Arial" w:cs="Arial"/>
          <w:color w:val="000000" w:themeColor="text1"/>
          <w:sz w:val="20"/>
          <w:szCs w:val="20"/>
          <w:lang w:val="sr-Cyrl-RS" w:eastAsia="de-CH"/>
        </w:rPr>
        <w:t>функционално јединств</w:t>
      </w:r>
      <w:r w:rsidR="0060211E" w:rsidRPr="1A8E6423">
        <w:rPr>
          <w:rFonts w:ascii="Arial" w:hAnsi="Arial" w:cs="Arial"/>
          <w:color w:val="000000" w:themeColor="text1"/>
          <w:sz w:val="20"/>
          <w:szCs w:val="20"/>
          <w:lang w:val="sr-Cyrl-RS" w:eastAsia="de-CH"/>
        </w:rPr>
        <w:t>о</w:t>
      </w:r>
      <w:r w:rsidR="00E44438" w:rsidRPr="1A8E6423">
        <w:rPr>
          <w:rFonts w:ascii="Arial" w:hAnsi="Arial" w:cs="Arial"/>
          <w:color w:val="000000" w:themeColor="text1"/>
          <w:sz w:val="20"/>
          <w:szCs w:val="20"/>
          <w:lang w:val="sr-Cyrl-RS" w:eastAsia="de-CH"/>
        </w:rPr>
        <w:t xml:space="preserve"> и</w:t>
      </w:r>
      <w:r w:rsidR="0060211E" w:rsidRPr="1A8E6423">
        <w:rPr>
          <w:rFonts w:ascii="Arial" w:hAnsi="Arial" w:cs="Arial"/>
          <w:color w:val="000000" w:themeColor="text1"/>
          <w:sz w:val="20"/>
          <w:szCs w:val="20"/>
          <w:lang w:val="sr-Cyrl-RS" w:eastAsia="de-CH"/>
        </w:rPr>
        <w:t xml:space="preserve"> заједнички</w:t>
      </w:r>
      <w:r w:rsidR="00E44438" w:rsidRPr="1A8E6423">
        <w:rPr>
          <w:rFonts w:ascii="Arial" w:hAnsi="Arial" w:cs="Arial"/>
          <w:color w:val="000000" w:themeColor="text1"/>
          <w:sz w:val="20"/>
          <w:szCs w:val="20"/>
          <w:lang w:val="sr-Cyrl-RS" w:eastAsia="de-CH"/>
        </w:rPr>
        <w:t xml:space="preserve"> стандард</w:t>
      </w:r>
      <w:r w:rsidR="0060211E" w:rsidRPr="1A8E6423">
        <w:rPr>
          <w:rFonts w:ascii="Arial" w:hAnsi="Arial" w:cs="Arial"/>
          <w:color w:val="000000" w:themeColor="text1"/>
          <w:sz w:val="20"/>
          <w:szCs w:val="20"/>
          <w:lang w:val="sr-Cyrl-RS" w:eastAsia="de-CH"/>
        </w:rPr>
        <w:t xml:space="preserve"> </w:t>
      </w:r>
      <w:r w:rsidR="00E44438" w:rsidRPr="1A8E6423">
        <w:rPr>
          <w:rFonts w:ascii="Arial" w:hAnsi="Arial" w:cs="Arial"/>
          <w:color w:val="000000" w:themeColor="text1"/>
          <w:sz w:val="20"/>
          <w:szCs w:val="20"/>
          <w:lang w:val="sr-Cyrl-RS" w:eastAsia="de-CH"/>
        </w:rPr>
        <w:t>квалитета активности којима се врше одређене врсте управних послова и јавних овлашћења, независно од органа или организација који их обављају.</w:t>
      </w:r>
      <w:r w:rsidR="0060211E" w:rsidRPr="1A8E6423">
        <w:rPr>
          <w:rFonts w:ascii="Arial" w:hAnsi="Arial" w:cs="Arial"/>
          <w:color w:val="000000" w:themeColor="text1"/>
          <w:sz w:val="20"/>
          <w:szCs w:val="20"/>
          <w:lang w:val="sr-Cyrl-RS" w:eastAsia="de-CH"/>
        </w:rPr>
        <w:t xml:space="preserve"> </w:t>
      </w:r>
      <w:r w:rsidR="00EC7AFE" w:rsidRPr="1A8E6423">
        <w:rPr>
          <w:rFonts w:ascii="Arial" w:hAnsi="Arial" w:cs="Arial"/>
          <w:color w:val="000000" w:themeColor="text1"/>
          <w:sz w:val="20"/>
          <w:szCs w:val="20"/>
          <w:lang w:val="sr-Cyrl-RS" w:eastAsia="de-CH"/>
        </w:rPr>
        <w:t>Између осталог</w:t>
      </w:r>
      <w:r w:rsidR="000A18E8" w:rsidRPr="1A8E6423">
        <w:rPr>
          <w:rFonts w:ascii="Arial" w:hAnsi="Arial" w:cs="Arial"/>
          <w:color w:val="000000" w:themeColor="text1"/>
          <w:sz w:val="20"/>
          <w:szCs w:val="20"/>
          <w:lang w:val="sr-Cyrl-RS" w:eastAsia="de-CH"/>
        </w:rPr>
        <w:t>,</w:t>
      </w:r>
      <w:r w:rsidR="00EC7AFE" w:rsidRPr="1A8E6423">
        <w:rPr>
          <w:rFonts w:ascii="Arial" w:hAnsi="Arial" w:cs="Arial"/>
          <w:color w:val="000000" w:themeColor="text1"/>
          <w:sz w:val="20"/>
          <w:szCs w:val="20"/>
          <w:lang w:val="sr-Cyrl-RS" w:eastAsia="de-CH"/>
        </w:rPr>
        <w:t xml:space="preserve"> из тих разлога </w:t>
      </w:r>
      <w:r w:rsidR="00EC7AFE" w:rsidRPr="1A8E6423">
        <w:rPr>
          <w:rFonts w:ascii="Arial" w:hAnsi="Arial" w:cs="Arial"/>
          <w:color w:val="000000" w:themeColor="text1"/>
          <w:sz w:val="20"/>
          <w:szCs w:val="20"/>
          <w:lang w:val="sr-Cyrl-RS"/>
        </w:rPr>
        <w:t>у</w:t>
      </w:r>
      <w:r w:rsidR="00C467B1" w:rsidRPr="1A8E6423">
        <w:rPr>
          <w:rFonts w:ascii="Arial" w:hAnsi="Arial" w:cs="Arial"/>
          <w:color w:val="000000" w:themeColor="text1"/>
          <w:sz w:val="20"/>
          <w:szCs w:val="20"/>
          <w:lang w:val="sr-Cyrl-RS"/>
        </w:rPr>
        <w:t xml:space="preserve"> </w:t>
      </w:r>
      <w:r w:rsidR="00F460DD" w:rsidRPr="1A8E6423">
        <w:rPr>
          <w:rFonts w:ascii="Arial" w:hAnsi="Arial" w:cs="Arial"/>
          <w:sz w:val="20"/>
          <w:szCs w:val="20"/>
          <w:lang w:val="sr-Cyrl-RS"/>
        </w:rPr>
        <w:t>децентрализованим и деконцентрисаним областима</w:t>
      </w:r>
      <w:r w:rsidR="00EC7AFE" w:rsidRPr="1A8E6423">
        <w:rPr>
          <w:rFonts w:ascii="Arial" w:hAnsi="Arial" w:cs="Arial"/>
          <w:sz w:val="20"/>
          <w:szCs w:val="20"/>
          <w:lang w:val="sr-Cyrl-RS"/>
        </w:rPr>
        <w:t>,</w:t>
      </w:r>
      <w:r w:rsidR="00F460DD" w:rsidRPr="1A8E6423">
        <w:rPr>
          <w:rFonts w:ascii="Arial" w:hAnsi="Arial" w:cs="Arial"/>
          <w:sz w:val="20"/>
          <w:szCs w:val="20"/>
          <w:lang w:val="sr-Cyrl-RS"/>
        </w:rPr>
        <w:t xml:space="preserve"> </w:t>
      </w:r>
      <w:r w:rsidR="00C467B1" w:rsidRPr="1A8E6423">
        <w:rPr>
          <w:rFonts w:ascii="Arial" w:hAnsi="Arial" w:cs="Arial"/>
          <w:sz w:val="20"/>
          <w:szCs w:val="20"/>
          <w:lang w:val="sr-Cyrl-RS"/>
        </w:rPr>
        <w:t xml:space="preserve">министарства треба да </w:t>
      </w:r>
      <w:r w:rsidR="00F460DD" w:rsidRPr="1A8E6423">
        <w:rPr>
          <w:rFonts w:ascii="Arial" w:hAnsi="Arial" w:cs="Arial"/>
          <w:sz w:val="20"/>
          <w:szCs w:val="20"/>
          <w:lang w:val="sr-Cyrl-RS"/>
        </w:rPr>
        <w:t xml:space="preserve">смањују улогу у оперативном спровођењу јавних послова и </w:t>
      </w:r>
      <w:r w:rsidR="00031490" w:rsidRPr="1A8E6423">
        <w:rPr>
          <w:rFonts w:ascii="Arial" w:hAnsi="Arial" w:cs="Arial"/>
          <w:sz w:val="20"/>
          <w:szCs w:val="20"/>
          <w:lang w:val="sr-Cyrl-RS"/>
        </w:rPr>
        <w:t xml:space="preserve">да се </w:t>
      </w:r>
      <w:r w:rsidR="00681901" w:rsidRPr="1A8E6423">
        <w:rPr>
          <w:rFonts w:ascii="Arial" w:hAnsi="Arial" w:cs="Arial"/>
          <w:sz w:val="20"/>
          <w:szCs w:val="20"/>
          <w:lang w:val="sr-Cyrl-RS"/>
        </w:rPr>
        <w:t xml:space="preserve">усредсређују </w:t>
      </w:r>
      <w:r w:rsidR="00F460DD" w:rsidRPr="1A8E6423">
        <w:rPr>
          <w:rFonts w:ascii="Arial" w:hAnsi="Arial" w:cs="Arial"/>
          <w:sz w:val="20"/>
          <w:szCs w:val="20"/>
          <w:lang w:val="sr-Cyrl-RS"/>
        </w:rPr>
        <w:t>на обликовањ</w:t>
      </w:r>
      <w:r w:rsidR="00F04B1D" w:rsidRPr="1A8E6423">
        <w:rPr>
          <w:rFonts w:ascii="Arial" w:hAnsi="Arial" w:cs="Arial"/>
          <w:sz w:val="20"/>
          <w:szCs w:val="20"/>
          <w:lang w:val="sr-Cyrl-RS"/>
        </w:rPr>
        <w:t>е</w:t>
      </w:r>
      <w:r w:rsidR="00F460DD" w:rsidRPr="1A8E6423">
        <w:rPr>
          <w:rFonts w:ascii="Arial" w:hAnsi="Arial" w:cs="Arial"/>
          <w:sz w:val="20"/>
          <w:szCs w:val="20"/>
          <w:lang w:val="sr-Cyrl-RS"/>
        </w:rPr>
        <w:t xml:space="preserve"> јавне политике,</w:t>
      </w:r>
      <w:r w:rsidR="00EC7AFE" w:rsidRPr="1A8E6423">
        <w:rPr>
          <w:rFonts w:ascii="Arial" w:hAnsi="Arial" w:cs="Arial"/>
          <w:sz w:val="20"/>
          <w:szCs w:val="20"/>
          <w:lang w:val="sr-Cyrl-RS"/>
        </w:rPr>
        <w:t xml:space="preserve"> развојне послове,</w:t>
      </w:r>
      <w:r w:rsidR="00F460DD" w:rsidRPr="1A8E6423">
        <w:rPr>
          <w:rFonts w:ascii="Arial" w:hAnsi="Arial" w:cs="Arial"/>
          <w:sz w:val="20"/>
          <w:szCs w:val="20"/>
          <w:lang w:val="sr-Cyrl-RS"/>
        </w:rPr>
        <w:t xml:space="preserve"> праћење стања, надзор</w:t>
      </w:r>
      <w:r w:rsidR="00EC7AFE" w:rsidRPr="1A8E6423">
        <w:rPr>
          <w:rFonts w:ascii="Arial" w:hAnsi="Arial" w:cs="Arial"/>
          <w:sz w:val="20"/>
          <w:szCs w:val="20"/>
          <w:lang w:val="sr-Cyrl-RS"/>
        </w:rPr>
        <w:t xml:space="preserve"> и подршку нижим нивоима власти</w:t>
      </w:r>
      <w:r w:rsidR="00F460DD" w:rsidRPr="1A8E6423">
        <w:rPr>
          <w:rFonts w:ascii="Arial" w:hAnsi="Arial" w:cs="Arial"/>
          <w:sz w:val="20"/>
          <w:szCs w:val="20"/>
          <w:lang w:val="sr-Cyrl-RS"/>
        </w:rPr>
        <w:t>.</w:t>
      </w:r>
      <w:r w:rsidR="00054B8C" w:rsidRPr="1A8E6423">
        <w:rPr>
          <w:rFonts w:ascii="Arial" w:hAnsi="Arial" w:cs="Arial"/>
          <w:sz w:val="20"/>
          <w:szCs w:val="20"/>
          <w:lang w:val="sr-Cyrl-RS"/>
        </w:rPr>
        <w:t xml:space="preserve"> </w:t>
      </w:r>
      <w:r w:rsidR="00C467B1" w:rsidRPr="1A8E6423">
        <w:rPr>
          <w:rFonts w:ascii="Arial" w:hAnsi="Arial" w:cs="Arial"/>
          <w:sz w:val="20"/>
          <w:szCs w:val="20"/>
          <w:lang w:val="sr-Cyrl-RS"/>
        </w:rPr>
        <w:t xml:space="preserve">У </w:t>
      </w:r>
      <w:r w:rsidR="00054B8C" w:rsidRPr="1A8E6423">
        <w:rPr>
          <w:rFonts w:ascii="Arial" w:hAnsi="Arial" w:cs="Arial"/>
          <w:sz w:val="20"/>
          <w:szCs w:val="20"/>
          <w:lang w:val="sr-Cyrl-RS"/>
        </w:rPr>
        <w:t>постојећем систему локалне самоуправе</w:t>
      </w:r>
      <w:r w:rsidR="00C467B1" w:rsidRPr="1A8E6423">
        <w:rPr>
          <w:rFonts w:ascii="Arial" w:hAnsi="Arial" w:cs="Arial"/>
          <w:sz w:val="20"/>
          <w:szCs w:val="20"/>
          <w:lang w:val="sr-Cyrl-RS"/>
        </w:rPr>
        <w:t xml:space="preserve"> </w:t>
      </w:r>
      <w:r w:rsidR="00DD3C05" w:rsidRPr="1A8E6423">
        <w:rPr>
          <w:rFonts w:ascii="Arial" w:hAnsi="Arial" w:cs="Arial"/>
          <w:sz w:val="20"/>
          <w:szCs w:val="20"/>
          <w:lang w:val="sr-Cyrl-RS"/>
        </w:rPr>
        <w:t xml:space="preserve">то </w:t>
      </w:r>
      <w:r w:rsidR="00C467B1" w:rsidRPr="1A8E6423">
        <w:rPr>
          <w:rFonts w:ascii="Arial" w:hAnsi="Arial" w:cs="Arial"/>
          <w:sz w:val="20"/>
          <w:szCs w:val="20"/>
          <w:lang w:val="sr-Cyrl-RS"/>
        </w:rPr>
        <w:t xml:space="preserve">још увек </w:t>
      </w:r>
      <w:r w:rsidR="00054B8C" w:rsidRPr="1A8E6423">
        <w:rPr>
          <w:rFonts w:ascii="Arial" w:hAnsi="Arial" w:cs="Arial"/>
          <w:sz w:val="20"/>
          <w:szCs w:val="20"/>
          <w:lang w:val="sr-Cyrl-RS"/>
        </w:rPr>
        <w:t>није случај</w:t>
      </w:r>
      <w:r w:rsidR="005C53B3" w:rsidRPr="1A8E6423">
        <w:rPr>
          <w:rFonts w:ascii="Arial" w:hAnsi="Arial" w:cs="Arial"/>
          <w:sz w:val="20"/>
          <w:szCs w:val="20"/>
          <w:lang w:val="sr-Cyrl-RS"/>
        </w:rPr>
        <w:t>,</w:t>
      </w:r>
      <w:r w:rsidR="00C467B1" w:rsidRPr="1A8E6423">
        <w:rPr>
          <w:rFonts w:ascii="Arial" w:hAnsi="Arial" w:cs="Arial"/>
          <w:sz w:val="20"/>
          <w:szCs w:val="20"/>
          <w:lang w:val="sr-Cyrl-RS"/>
        </w:rPr>
        <w:t xml:space="preserve"> јер </w:t>
      </w:r>
      <w:r w:rsidR="00054B8C" w:rsidRPr="1A8E6423">
        <w:rPr>
          <w:rFonts w:ascii="Arial" w:hAnsi="Arial" w:cs="Arial"/>
          <w:sz w:val="20"/>
          <w:szCs w:val="20"/>
          <w:lang w:val="sr-Cyrl-RS"/>
        </w:rPr>
        <w:t xml:space="preserve">национални органи </w:t>
      </w:r>
      <w:r w:rsidR="00351731" w:rsidRPr="1A8E6423">
        <w:rPr>
          <w:rFonts w:ascii="Arial" w:hAnsi="Arial" w:cs="Arial"/>
          <w:sz w:val="20"/>
          <w:szCs w:val="20"/>
          <w:lang w:val="sr-Cyrl-RS"/>
        </w:rPr>
        <w:t xml:space="preserve">и даље, барем у формалном смислу, имају </w:t>
      </w:r>
      <w:r w:rsidR="006A7787" w:rsidRPr="1A8E6423">
        <w:rPr>
          <w:rFonts w:ascii="Arial" w:hAnsi="Arial" w:cs="Arial"/>
          <w:sz w:val="20"/>
          <w:szCs w:val="20"/>
          <w:lang w:val="sr-Cyrl-RS"/>
        </w:rPr>
        <w:t>велики</w:t>
      </w:r>
      <w:r w:rsidR="00351731" w:rsidRPr="1A8E6423">
        <w:rPr>
          <w:rFonts w:ascii="Arial" w:hAnsi="Arial" w:cs="Arial"/>
          <w:sz w:val="20"/>
          <w:szCs w:val="20"/>
          <w:lang w:val="sr-Cyrl-RS"/>
        </w:rPr>
        <w:t xml:space="preserve"> утицај </w:t>
      </w:r>
      <w:r w:rsidR="00DD3C05" w:rsidRPr="1A8E6423">
        <w:rPr>
          <w:rFonts w:ascii="Arial" w:hAnsi="Arial" w:cs="Arial"/>
          <w:sz w:val="20"/>
          <w:szCs w:val="20"/>
          <w:lang w:val="sr-Cyrl-RS"/>
        </w:rPr>
        <w:t>на</w:t>
      </w:r>
      <w:r w:rsidR="006A7787" w:rsidRPr="1A8E6423">
        <w:rPr>
          <w:rFonts w:ascii="Arial" w:hAnsi="Arial" w:cs="Arial"/>
          <w:sz w:val="20"/>
          <w:szCs w:val="20"/>
          <w:lang w:val="sr-Cyrl-RS"/>
        </w:rPr>
        <w:t xml:space="preserve"> оперативни</w:t>
      </w:r>
      <w:r w:rsidR="00DD3C05" w:rsidRPr="1A8E6423">
        <w:rPr>
          <w:rFonts w:ascii="Arial" w:hAnsi="Arial" w:cs="Arial"/>
          <w:sz w:val="20"/>
          <w:szCs w:val="20"/>
          <w:lang w:val="sr-Cyrl-RS"/>
        </w:rPr>
        <w:t xml:space="preserve"> рад и функционисање локалне самоуправе. </w:t>
      </w:r>
      <w:r w:rsidR="007A0B27" w:rsidRPr="1A8E6423">
        <w:rPr>
          <w:rFonts w:ascii="Arial" w:hAnsi="Arial" w:cs="Arial"/>
          <w:sz w:val="20"/>
          <w:szCs w:val="20"/>
          <w:lang w:val="sr-Cyrl-RS"/>
        </w:rPr>
        <w:t>И</w:t>
      </w:r>
      <w:r w:rsidR="005F0A50" w:rsidRPr="1A8E6423">
        <w:rPr>
          <w:rFonts w:ascii="Arial" w:hAnsi="Arial" w:cs="Arial"/>
          <w:sz w:val="20"/>
          <w:szCs w:val="20"/>
          <w:lang w:val="sr-Cyrl-RS"/>
        </w:rPr>
        <w:t xml:space="preserve"> поред тога</w:t>
      </w:r>
      <w:r w:rsidR="007A0B27" w:rsidRPr="1A8E6423">
        <w:rPr>
          <w:rFonts w:ascii="Arial" w:hAnsi="Arial" w:cs="Arial"/>
          <w:sz w:val="20"/>
          <w:szCs w:val="20"/>
          <w:lang w:val="sr-Cyrl-RS"/>
        </w:rPr>
        <w:t>,</w:t>
      </w:r>
      <w:r w:rsidR="00DD3C05" w:rsidRPr="1A8E6423">
        <w:rPr>
          <w:rFonts w:ascii="Arial" w:hAnsi="Arial" w:cs="Arial"/>
          <w:sz w:val="20"/>
          <w:szCs w:val="20"/>
          <w:lang w:val="sr-Cyrl-RS"/>
        </w:rPr>
        <w:t xml:space="preserve"> извршавање закона није </w:t>
      </w:r>
      <w:r w:rsidR="005F0A50" w:rsidRPr="1A8E6423">
        <w:rPr>
          <w:rFonts w:ascii="Arial" w:hAnsi="Arial" w:cs="Arial"/>
          <w:sz w:val="20"/>
          <w:szCs w:val="20"/>
          <w:lang w:val="sr-Cyrl-RS"/>
        </w:rPr>
        <w:t>увек у</w:t>
      </w:r>
      <w:r w:rsidR="00DD3C05" w:rsidRPr="1A8E6423">
        <w:rPr>
          <w:rFonts w:ascii="Arial" w:hAnsi="Arial" w:cs="Arial"/>
          <w:sz w:val="20"/>
          <w:szCs w:val="20"/>
          <w:lang w:val="sr-Cyrl-RS"/>
        </w:rPr>
        <w:t xml:space="preserve"> потребној мери јединствено и адекватно надзирано од стране органа државне управе, нити сагласно легитимним очекивањима грађана и правних лица као странака и другим начелима доброг управљања. </w:t>
      </w:r>
      <w:r w:rsidR="000A18E8" w:rsidRPr="1A8E6423">
        <w:rPr>
          <w:rFonts w:ascii="Arial" w:hAnsi="Arial" w:cs="Arial"/>
          <w:sz w:val="20"/>
          <w:szCs w:val="20"/>
          <w:lang w:val="sr-Cyrl-RS"/>
        </w:rPr>
        <w:t xml:space="preserve">Најчешћи узроци овог стања су у суштинском и оперативном неразликовању између надзора (обично </w:t>
      </w:r>
      <w:r w:rsidR="000A18E8" w:rsidRPr="1A8E6423">
        <w:rPr>
          <w:rFonts w:ascii="Arial" w:hAnsi="Arial" w:cs="Arial"/>
          <w:sz w:val="20"/>
          <w:szCs w:val="20"/>
          <w:lang w:val="sr-Cyrl-RS"/>
        </w:rPr>
        <w:lastRenderedPageBreak/>
        <w:t>инспекцијског) и праћења стања у области.</w:t>
      </w:r>
      <w:r w:rsidR="00EF4347" w:rsidRPr="1A8E6423">
        <w:rPr>
          <w:rFonts w:ascii="Arial" w:hAnsi="Arial" w:cs="Arial"/>
          <w:sz w:val="20"/>
          <w:szCs w:val="20"/>
          <w:lang w:val="sr-Cyrl-RS"/>
        </w:rPr>
        <w:t xml:space="preserve"> Н</w:t>
      </w:r>
      <w:r w:rsidR="00DD3C05" w:rsidRPr="1A8E6423">
        <w:rPr>
          <w:rFonts w:ascii="Arial" w:hAnsi="Arial" w:cs="Arial"/>
          <w:sz w:val="20"/>
          <w:szCs w:val="20"/>
          <w:lang w:val="sr-Cyrl-RS"/>
        </w:rPr>
        <w:t>адлежна министарства н</w:t>
      </w:r>
      <w:r w:rsidR="005F0A50" w:rsidRPr="1A8E6423">
        <w:rPr>
          <w:rFonts w:ascii="Arial" w:hAnsi="Arial" w:cs="Arial"/>
          <w:sz w:val="20"/>
          <w:szCs w:val="20"/>
          <w:lang w:val="sr-Cyrl-RS"/>
        </w:rPr>
        <w:t xml:space="preserve">ајчешће нису </w:t>
      </w:r>
      <w:r w:rsidR="00DD3C05" w:rsidRPr="1A8E6423">
        <w:rPr>
          <w:rFonts w:ascii="Arial" w:hAnsi="Arial" w:cs="Arial"/>
          <w:sz w:val="20"/>
          <w:szCs w:val="20"/>
          <w:lang w:val="sr-Cyrl-RS"/>
        </w:rPr>
        <w:t>спремна да пруже потребне савете и дају тражена мишљења о примени закона, због чега су локални службеници и функционери, и када покажу спремност да предупреде сопствене грешке, често препуштени сами себи. У пракси</w:t>
      </w:r>
      <w:r w:rsidR="00EC69C0" w:rsidRPr="1A8E6423">
        <w:rPr>
          <w:rFonts w:ascii="Arial" w:hAnsi="Arial" w:cs="Arial"/>
          <w:sz w:val="20"/>
          <w:szCs w:val="20"/>
          <w:lang w:val="sr-Cyrl-RS"/>
        </w:rPr>
        <w:t>,</w:t>
      </w:r>
      <w:r w:rsidR="00DD3C05" w:rsidRPr="1A8E6423">
        <w:rPr>
          <w:rFonts w:ascii="Arial" w:hAnsi="Arial" w:cs="Arial"/>
          <w:sz w:val="20"/>
          <w:szCs w:val="20"/>
          <w:lang w:val="sr-Cyrl-RS"/>
        </w:rPr>
        <w:t xml:space="preserve"> греш</w:t>
      </w:r>
      <w:r w:rsidR="00BF2297" w:rsidRPr="1A8E6423">
        <w:rPr>
          <w:rFonts w:ascii="Arial" w:hAnsi="Arial" w:cs="Arial"/>
          <w:sz w:val="20"/>
          <w:szCs w:val="20"/>
          <w:lang w:val="sr-Cyrl-RS"/>
        </w:rPr>
        <w:t>ке се исправљају тек</w:t>
      </w:r>
      <w:r w:rsidR="00DD3C05" w:rsidRPr="1A8E6423">
        <w:rPr>
          <w:rFonts w:ascii="Arial" w:hAnsi="Arial" w:cs="Arial"/>
          <w:sz w:val="20"/>
          <w:szCs w:val="20"/>
          <w:lang w:val="sr-Cyrl-RS"/>
        </w:rPr>
        <w:t xml:space="preserve"> када проблем већ настане</w:t>
      </w:r>
      <w:r w:rsidR="00EC69C0" w:rsidRPr="1A8E6423">
        <w:rPr>
          <w:rFonts w:ascii="Arial" w:hAnsi="Arial" w:cs="Arial"/>
          <w:sz w:val="20"/>
          <w:szCs w:val="20"/>
          <w:lang w:val="sr-Cyrl-RS"/>
        </w:rPr>
        <w:t>,</w:t>
      </w:r>
      <w:r w:rsidR="00DD3C05" w:rsidRPr="1A8E6423">
        <w:rPr>
          <w:rFonts w:ascii="Arial" w:hAnsi="Arial" w:cs="Arial"/>
          <w:sz w:val="20"/>
          <w:szCs w:val="20"/>
          <w:lang w:val="sr-Cyrl-RS"/>
        </w:rPr>
        <w:t xml:space="preserve"> </w:t>
      </w:r>
      <w:r w:rsidR="00BF2297" w:rsidRPr="1A8E6423">
        <w:rPr>
          <w:rFonts w:ascii="Arial" w:hAnsi="Arial" w:cs="Arial"/>
          <w:sz w:val="20"/>
          <w:szCs w:val="20"/>
          <w:lang w:val="sr-Cyrl-RS"/>
        </w:rPr>
        <w:t xml:space="preserve">јер </w:t>
      </w:r>
      <w:r w:rsidR="00DF69A0" w:rsidRPr="1A8E6423">
        <w:rPr>
          <w:rFonts w:ascii="Arial" w:hAnsi="Arial" w:cs="Arial"/>
          <w:sz w:val="20"/>
          <w:szCs w:val="20"/>
          <w:lang w:val="sr-Cyrl-RS"/>
        </w:rPr>
        <w:t>виши нивои власти не остварују своје</w:t>
      </w:r>
      <w:r w:rsidR="00DD3C05" w:rsidRPr="1A8E6423">
        <w:rPr>
          <w:rFonts w:ascii="Arial" w:hAnsi="Arial" w:cs="Arial"/>
          <w:sz w:val="20"/>
          <w:szCs w:val="20"/>
          <w:lang w:val="sr-Cyrl-RS"/>
        </w:rPr>
        <w:t xml:space="preserve"> превентивн</w:t>
      </w:r>
      <w:r w:rsidR="00DF69A0" w:rsidRPr="1A8E6423">
        <w:rPr>
          <w:rFonts w:ascii="Arial" w:hAnsi="Arial" w:cs="Arial"/>
          <w:sz w:val="20"/>
          <w:szCs w:val="20"/>
          <w:lang w:val="sr-Cyrl-RS"/>
        </w:rPr>
        <w:t>е</w:t>
      </w:r>
      <w:r w:rsidR="00DD3C05" w:rsidRPr="1A8E6423">
        <w:rPr>
          <w:rFonts w:ascii="Arial" w:hAnsi="Arial" w:cs="Arial"/>
          <w:sz w:val="20"/>
          <w:szCs w:val="20"/>
          <w:lang w:val="sr-Cyrl-RS"/>
        </w:rPr>
        <w:t xml:space="preserve"> </w:t>
      </w:r>
      <w:r w:rsidR="00F83441" w:rsidRPr="1A8E6423">
        <w:rPr>
          <w:rFonts w:ascii="Arial" w:hAnsi="Arial" w:cs="Arial"/>
          <w:sz w:val="20"/>
          <w:szCs w:val="20"/>
          <w:lang w:val="sr-Cyrl-RS"/>
        </w:rPr>
        <w:t xml:space="preserve">и саветодавне </w:t>
      </w:r>
      <w:r w:rsidR="00DD3C05" w:rsidRPr="1A8E6423">
        <w:rPr>
          <w:rFonts w:ascii="Arial" w:hAnsi="Arial" w:cs="Arial"/>
          <w:sz w:val="20"/>
          <w:szCs w:val="20"/>
          <w:lang w:val="sr-Cyrl-RS"/>
        </w:rPr>
        <w:t>функциј</w:t>
      </w:r>
      <w:r w:rsidR="00DF69A0" w:rsidRPr="1A8E6423">
        <w:rPr>
          <w:rFonts w:ascii="Arial" w:hAnsi="Arial" w:cs="Arial"/>
          <w:sz w:val="20"/>
          <w:szCs w:val="20"/>
          <w:lang w:val="sr-Cyrl-RS"/>
        </w:rPr>
        <w:t>е</w:t>
      </w:r>
      <w:r w:rsidR="00DD3C05" w:rsidRPr="1A8E6423">
        <w:rPr>
          <w:rFonts w:ascii="Arial" w:hAnsi="Arial" w:cs="Arial"/>
          <w:sz w:val="20"/>
          <w:szCs w:val="20"/>
          <w:lang w:val="sr-Cyrl-RS"/>
        </w:rPr>
        <w:t xml:space="preserve">, већ </w:t>
      </w:r>
      <w:r w:rsidR="00F83441" w:rsidRPr="1A8E6423">
        <w:rPr>
          <w:rFonts w:ascii="Arial" w:hAnsi="Arial" w:cs="Arial"/>
          <w:sz w:val="20"/>
          <w:szCs w:val="20"/>
          <w:lang w:val="sr-Cyrl-RS"/>
        </w:rPr>
        <w:t>се ослањају на</w:t>
      </w:r>
      <w:r w:rsidR="00DD3C05" w:rsidRPr="1A8E6423">
        <w:rPr>
          <w:rFonts w:ascii="Arial" w:hAnsi="Arial" w:cs="Arial"/>
          <w:sz w:val="20"/>
          <w:szCs w:val="20"/>
          <w:lang w:val="sr-Cyrl-RS"/>
        </w:rPr>
        <w:t xml:space="preserve"> откривањ</w:t>
      </w:r>
      <w:r w:rsidR="00F83441" w:rsidRPr="1A8E6423">
        <w:rPr>
          <w:rFonts w:ascii="Arial" w:hAnsi="Arial" w:cs="Arial"/>
          <w:sz w:val="20"/>
          <w:szCs w:val="20"/>
          <w:lang w:val="sr-Cyrl-RS"/>
        </w:rPr>
        <w:t>е</w:t>
      </w:r>
      <w:r w:rsidR="00DD3C05" w:rsidRPr="1A8E6423">
        <w:rPr>
          <w:rFonts w:ascii="Arial" w:hAnsi="Arial" w:cs="Arial"/>
          <w:sz w:val="20"/>
          <w:szCs w:val="20"/>
          <w:lang w:val="sr-Cyrl-RS"/>
        </w:rPr>
        <w:t xml:space="preserve"> почињених незаконитости или неправилности и </w:t>
      </w:r>
      <w:r w:rsidR="00F83441" w:rsidRPr="1A8E6423">
        <w:rPr>
          <w:rFonts w:ascii="Arial" w:hAnsi="Arial" w:cs="Arial"/>
          <w:sz w:val="20"/>
          <w:szCs w:val="20"/>
          <w:lang w:val="sr-Cyrl-RS"/>
        </w:rPr>
        <w:t xml:space="preserve">на </w:t>
      </w:r>
      <w:r w:rsidR="00DD3C05" w:rsidRPr="1A8E6423">
        <w:rPr>
          <w:rFonts w:ascii="Arial" w:hAnsi="Arial" w:cs="Arial"/>
          <w:sz w:val="20"/>
          <w:szCs w:val="20"/>
          <w:lang w:val="sr-Cyrl-RS"/>
        </w:rPr>
        <w:t>њихово санкционисањ</w:t>
      </w:r>
      <w:r w:rsidR="00F83441" w:rsidRPr="1A8E6423">
        <w:rPr>
          <w:rFonts w:ascii="Arial" w:hAnsi="Arial" w:cs="Arial"/>
          <w:sz w:val="20"/>
          <w:szCs w:val="20"/>
          <w:lang w:val="sr-Cyrl-RS"/>
        </w:rPr>
        <w:t>е</w:t>
      </w:r>
      <w:r w:rsidR="00DD3C05" w:rsidRPr="1A8E6423">
        <w:rPr>
          <w:rFonts w:ascii="Arial" w:hAnsi="Arial" w:cs="Arial"/>
          <w:sz w:val="20"/>
          <w:szCs w:val="20"/>
          <w:lang w:val="sr-Cyrl-RS"/>
        </w:rPr>
        <w:t xml:space="preserve">. </w:t>
      </w:r>
      <w:r w:rsidR="00AC21DB" w:rsidRPr="1A8E6423">
        <w:rPr>
          <w:rFonts w:ascii="Arial" w:hAnsi="Arial" w:cs="Arial"/>
          <w:sz w:val="20"/>
          <w:szCs w:val="20"/>
          <w:lang w:val="sr-Cyrl-RS"/>
        </w:rPr>
        <w:t>Ни управни окрузи, који би могли бити део превазилажења постојећих проблема</w:t>
      </w:r>
      <w:r w:rsidR="00AF3D6B" w:rsidRPr="1A8E6423">
        <w:rPr>
          <w:rFonts w:ascii="Arial" w:hAnsi="Arial" w:cs="Arial"/>
          <w:sz w:val="20"/>
          <w:szCs w:val="20"/>
          <w:lang w:val="sr-Cyrl-RS"/>
        </w:rPr>
        <w:t>,</w:t>
      </w:r>
      <w:r w:rsidR="00AC21DB" w:rsidRPr="1A8E6423">
        <w:rPr>
          <w:rFonts w:ascii="Arial" w:hAnsi="Arial" w:cs="Arial"/>
          <w:sz w:val="20"/>
          <w:szCs w:val="20"/>
          <w:lang w:val="sr-Cyrl-RS"/>
        </w:rPr>
        <w:t xml:space="preserve"> нису у потребној мери искоришћени. На њих нису </w:t>
      </w:r>
      <w:r w:rsidR="008F535F">
        <w:rPr>
          <w:rFonts w:ascii="Arial" w:hAnsi="Arial" w:cs="Arial"/>
          <w:sz w:val="20"/>
          <w:szCs w:val="20"/>
          <w:lang w:val="sr-Cyrl-RS"/>
        </w:rPr>
        <w:t xml:space="preserve">пренети </w:t>
      </w:r>
      <w:r w:rsidR="00AC21DB" w:rsidRPr="1A8E6423">
        <w:rPr>
          <w:rFonts w:ascii="Arial" w:hAnsi="Arial" w:cs="Arial"/>
          <w:sz w:val="20"/>
          <w:szCs w:val="20"/>
          <w:lang w:val="sr-Cyrl-RS"/>
        </w:rPr>
        <w:t>сви послови органа државне управе који би требало да се тако обављају и приближе грађанима, нити они у постојећем систему могу да надоместе недостатак средњег нивоа власти</w:t>
      </w:r>
      <w:r w:rsidR="00F04B1D" w:rsidRPr="1A8E6423">
        <w:rPr>
          <w:rFonts w:ascii="Arial" w:hAnsi="Arial" w:cs="Arial"/>
          <w:sz w:val="20"/>
          <w:szCs w:val="20"/>
          <w:lang w:val="sr-Cyrl-RS"/>
        </w:rPr>
        <w:t>,</w:t>
      </w:r>
      <w:r w:rsidR="00AC21DB" w:rsidRPr="1A8E6423">
        <w:rPr>
          <w:rFonts w:ascii="Arial" w:hAnsi="Arial" w:cs="Arial"/>
          <w:sz w:val="20"/>
          <w:szCs w:val="20"/>
          <w:lang w:val="sr-Cyrl-RS"/>
        </w:rPr>
        <w:t xml:space="preserve"> који је у Србији постојао све до укидања међуопштинских регионалних заједница 1990. године. Није довољно развијена ни координациона функција управног округа, преко савета који чине председници општина и градоначелници заједно са начелником управног округа. </w:t>
      </w:r>
      <w:r w:rsidR="009C76A5" w:rsidRPr="1A8E6423">
        <w:rPr>
          <w:rFonts w:ascii="Arial" w:hAnsi="Arial" w:cs="Arial"/>
          <w:sz w:val="20"/>
          <w:szCs w:val="20"/>
          <w:lang w:val="sr-Cyrl-RS"/>
        </w:rPr>
        <w:t>Укратко, не постоји систем уређених односа који обезбеђује сарадњу и превентивно деловање, нити се у кругу органа државне управе јасно сагледава сопствена одговорност за извршавање поверених послова које обавља локална самоуправа, а у односима између различитих нивоа власти постоје евидентни недостаци који утичу на функционисање и једних и других.</w:t>
      </w:r>
    </w:p>
    <w:p w14:paraId="4B8305C7" w14:textId="77777777" w:rsidR="00AC21DB" w:rsidRPr="00A021B7" w:rsidRDefault="00AC21DB" w:rsidP="1A8E6423">
      <w:pPr>
        <w:ind w:firstLine="720"/>
        <w:jc w:val="both"/>
        <w:rPr>
          <w:rFonts w:ascii="Arial" w:hAnsi="Arial" w:cs="Arial"/>
          <w:sz w:val="20"/>
          <w:szCs w:val="20"/>
          <w:lang w:val="sr-Cyrl-RS"/>
        </w:rPr>
      </w:pPr>
    </w:p>
    <w:p w14:paraId="7C818FDC" w14:textId="1A26B12E" w:rsidR="003936D4" w:rsidRPr="00A021B7" w:rsidRDefault="005F3AA8" w:rsidP="1A8E6423">
      <w:pPr>
        <w:ind w:firstLine="720"/>
        <w:jc w:val="both"/>
        <w:rPr>
          <w:rFonts w:ascii="Arial" w:hAnsi="Arial" w:cs="Arial"/>
          <w:sz w:val="20"/>
          <w:szCs w:val="20"/>
          <w:lang w:val="sr-Cyrl-RS"/>
        </w:rPr>
      </w:pPr>
      <w:r w:rsidRPr="1A8E6423">
        <w:rPr>
          <w:rFonts w:ascii="Arial" w:hAnsi="Arial" w:cs="Arial"/>
          <w:sz w:val="20"/>
          <w:szCs w:val="20"/>
          <w:lang w:val="sr-Cyrl-RS"/>
        </w:rPr>
        <w:t>За унапређење система подршке и надзора над радом локалних власти</w:t>
      </w:r>
      <w:r w:rsidR="001B0983" w:rsidRPr="1A8E6423">
        <w:rPr>
          <w:rFonts w:ascii="Arial" w:hAnsi="Arial" w:cs="Arial"/>
          <w:sz w:val="20"/>
          <w:szCs w:val="20"/>
          <w:lang w:val="sr-Cyrl-RS"/>
        </w:rPr>
        <w:t xml:space="preserve"> потребно </w:t>
      </w:r>
      <w:r w:rsidR="00AC30BA" w:rsidRPr="1A8E6423">
        <w:rPr>
          <w:rFonts w:ascii="Arial" w:hAnsi="Arial" w:cs="Arial"/>
          <w:sz w:val="20"/>
          <w:szCs w:val="20"/>
          <w:lang w:val="sr-Cyrl-RS"/>
        </w:rPr>
        <w:t xml:space="preserve">је </w:t>
      </w:r>
      <w:r w:rsidR="001B0983" w:rsidRPr="1A8E6423">
        <w:rPr>
          <w:rFonts w:ascii="Arial" w:hAnsi="Arial" w:cs="Arial"/>
          <w:sz w:val="20"/>
          <w:szCs w:val="20"/>
          <w:lang w:val="sr-Cyrl-RS"/>
        </w:rPr>
        <w:t xml:space="preserve">законски доградити овлашћења и одговорности органа државне управе у вршењу надзора над радом ЈЛС, </w:t>
      </w:r>
      <w:r w:rsidR="00F04B1D" w:rsidRPr="1A8E6423">
        <w:rPr>
          <w:rFonts w:ascii="Arial" w:hAnsi="Arial" w:cs="Arial"/>
          <w:sz w:val="20"/>
          <w:szCs w:val="20"/>
          <w:lang w:val="sr-Cyrl-RS"/>
        </w:rPr>
        <w:t xml:space="preserve">с </w:t>
      </w:r>
      <w:r w:rsidR="001B0983" w:rsidRPr="1A8E6423">
        <w:rPr>
          <w:rFonts w:ascii="Arial" w:hAnsi="Arial" w:cs="Arial"/>
          <w:sz w:val="20"/>
          <w:szCs w:val="20"/>
          <w:lang w:val="sr-Cyrl-RS"/>
        </w:rPr>
        <w:t>циљ</w:t>
      </w:r>
      <w:r w:rsidR="00F04B1D" w:rsidRPr="1A8E6423">
        <w:rPr>
          <w:rFonts w:ascii="Arial" w:hAnsi="Arial" w:cs="Arial"/>
          <w:sz w:val="20"/>
          <w:szCs w:val="20"/>
          <w:lang w:val="sr-Cyrl-RS"/>
        </w:rPr>
        <w:t>ем</w:t>
      </w:r>
      <w:r w:rsidR="001B0983" w:rsidRPr="1A8E6423">
        <w:rPr>
          <w:rFonts w:ascii="Arial" w:hAnsi="Arial" w:cs="Arial"/>
          <w:sz w:val="20"/>
          <w:szCs w:val="20"/>
          <w:lang w:val="sr-Cyrl-RS"/>
        </w:rPr>
        <w:t xml:space="preserve"> благовремене и потпуније контроле, редовне контроле законитости општих аката и јачања превентивне и саветодавне функције надзора.</w:t>
      </w:r>
      <w:r w:rsidR="001B0983" w:rsidRPr="1A8E6423">
        <w:rPr>
          <w:rFonts w:ascii="Arial" w:hAnsi="Arial" w:cs="Arial"/>
          <w:color w:val="000000" w:themeColor="text1"/>
          <w:sz w:val="20"/>
          <w:szCs w:val="20"/>
          <w:lang w:val="sr-Cyrl-RS" w:eastAsia="de-CH"/>
        </w:rPr>
        <w:t xml:space="preserve"> </w:t>
      </w:r>
      <w:r w:rsidR="001B0983" w:rsidRPr="1A8E6423">
        <w:rPr>
          <w:rFonts w:ascii="Arial" w:hAnsi="Arial" w:cs="Arial"/>
          <w:sz w:val="20"/>
          <w:szCs w:val="20"/>
          <w:lang w:val="sr-Cyrl-RS"/>
        </w:rPr>
        <w:t xml:space="preserve">Иако и даље морају да постоје механизми класичне контроле и санкционисања, потребно је померити тежиште надзора ка превенцији. Органи државне управе </w:t>
      </w:r>
      <w:r w:rsidR="006932FF" w:rsidRPr="1A8E6423">
        <w:rPr>
          <w:rFonts w:ascii="Arial" w:hAnsi="Arial" w:cs="Arial"/>
          <w:sz w:val="20"/>
          <w:szCs w:val="20"/>
          <w:lang w:val="sr-Cyrl-RS"/>
        </w:rPr>
        <w:t>треба да</w:t>
      </w:r>
      <w:r w:rsidR="001B0983" w:rsidRPr="1A8E6423">
        <w:rPr>
          <w:rFonts w:ascii="Arial" w:hAnsi="Arial" w:cs="Arial"/>
          <w:sz w:val="20"/>
          <w:szCs w:val="20"/>
          <w:lang w:val="sr-Cyrl-RS"/>
        </w:rPr>
        <w:t xml:space="preserve"> доследно примењ</w:t>
      </w:r>
      <w:r w:rsidR="006932FF" w:rsidRPr="1A8E6423">
        <w:rPr>
          <w:rFonts w:ascii="Arial" w:hAnsi="Arial" w:cs="Arial"/>
          <w:sz w:val="20"/>
          <w:szCs w:val="20"/>
          <w:lang w:val="sr-Cyrl-RS"/>
        </w:rPr>
        <w:t>ују</w:t>
      </w:r>
      <w:r w:rsidR="001B0983" w:rsidRPr="1A8E6423">
        <w:rPr>
          <w:rFonts w:ascii="Arial" w:hAnsi="Arial" w:cs="Arial"/>
          <w:sz w:val="20"/>
          <w:szCs w:val="20"/>
          <w:lang w:val="sr-Cyrl-RS"/>
        </w:rPr>
        <w:t xml:space="preserve"> обавезу редовне сарадње са ЈЛС, </w:t>
      </w:r>
      <w:r w:rsidR="006932FF" w:rsidRPr="1A8E6423">
        <w:rPr>
          <w:rFonts w:ascii="Arial" w:hAnsi="Arial" w:cs="Arial"/>
          <w:sz w:val="20"/>
          <w:szCs w:val="20"/>
          <w:lang w:val="sr-Cyrl-RS"/>
        </w:rPr>
        <w:t xml:space="preserve">да </w:t>
      </w:r>
      <w:r w:rsidR="001B0983" w:rsidRPr="1A8E6423">
        <w:rPr>
          <w:rFonts w:ascii="Arial" w:hAnsi="Arial" w:cs="Arial"/>
          <w:sz w:val="20"/>
          <w:szCs w:val="20"/>
          <w:lang w:val="sr-Cyrl-RS"/>
        </w:rPr>
        <w:t>пруж</w:t>
      </w:r>
      <w:r w:rsidR="006932FF" w:rsidRPr="1A8E6423">
        <w:rPr>
          <w:rFonts w:ascii="Arial" w:hAnsi="Arial" w:cs="Arial"/>
          <w:sz w:val="20"/>
          <w:szCs w:val="20"/>
          <w:lang w:val="sr-Cyrl-RS"/>
        </w:rPr>
        <w:t>ају</w:t>
      </w:r>
      <w:r w:rsidR="001B0983" w:rsidRPr="1A8E6423">
        <w:rPr>
          <w:rFonts w:ascii="Arial" w:hAnsi="Arial" w:cs="Arial"/>
          <w:sz w:val="20"/>
          <w:szCs w:val="20"/>
          <w:lang w:val="sr-Cyrl-RS"/>
        </w:rPr>
        <w:t xml:space="preserve"> стручн</w:t>
      </w:r>
      <w:r w:rsidR="006932FF" w:rsidRPr="1A8E6423">
        <w:rPr>
          <w:rFonts w:ascii="Arial" w:hAnsi="Arial" w:cs="Arial"/>
          <w:sz w:val="20"/>
          <w:szCs w:val="20"/>
          <w:lang w:val="sr-Cyrl-RS"/>
        </w:rPr>
        <w:t>у</w:t>
      </w:r>
      <w:r w:rsidR="001B0983" w:rsidRPr="1A8E6423">
        <w:rPr>
          <w:rFonts w:ascii="Arial" w:hAnsi="Arial" w:cs="Arial"/>
          <w:sz w:val="20"/>
          <w:szCs w:val="20"/>
          <w:lang w:val="sr-Cyrl-RS"/>
        </w:rPr>
        <w:t xml:space="preserve"> помоћ</w:t>
      </w:r>
      <w:r w:rsidR="006932FF" w:rsidRPr="1A8E6423">
        <w:rPr>
          <w:rFonts w:ascii="Arial" w:hAnsi="Arial" w:cs="Arial"/>
          <w:sz w:val="20"/>
          <w:szCs w:val="20"/>
          <w:lang w:val="sr-Cyrl-RS"/>
        </w:rPr>
        <w:t xml:space="preserve"> </w:t>
      </w:r>
      <w:r w:rsidR="001B0983" w:rsidRPr="1A8E6423">
        <w:rPr>
          <w:rFonts w:ascii="Arial" w:hAnsi="Arial" w:cs="Arial"/>
          <w:sz w:val="20"/>
          <w:szCs w:val="20"/>
          <w:lang w:val="sr-Cyrl-RS"/>
        </w:rPr>
        <w:t>и превентивн</w:t>
      </w:r>
      <w:r w:rsidR="006932FF" w:rsidRPr="1A8E6423">
        <w:rPr>
          <w:rFonts w:ascii="Arial" w:hAnsi="Arial" w:cs="Arial"/>
          <w:sz w:val="20"/>
          <w:szCs w:val="20"/>
          <w:lang w:val="sr-Cyrl-RS"/>
        </w:rPr>
        <w:t>у</w:t>
      </w:r>
      <w:r w:rsidR="001B0983" w:rsidRPr="1A8E6423">
        <w:rPr>
          <w:rFonts w:ascii="Arial" w:hAnsi="Arial" w:cs="Arial"/>
          <w:sz w:val="20"/>
          <w:szCs w:val="20"/>
          <w:lang w:val="sr-Cyrl-RS"/>
        </w:rPr>
        <w:t xml:space="preserve"> подршк</w:t>
      </w:r>
      <w:r w:rsidR="006932FF" w:rsidRPr="1A8E6423">
        <w:rPr>
          <w:rFonts w:ascii="Arial" w:hAnsi="Arial" w:cs="Arial"/>
          <w:sz w:val="20"/>
          <w:szCs w:val="20"/>
          <w:lang w:val="sr-Cyrl-RS"/>
        </w:rPr>
        <w:t>у</w:t>
      </w:r>
      <w:r w:rsidR="001B0983" w:rsidRPr="1A8E6423">
        <w:rPr>
          <w:rFonts w:ascii="Arial" w:hAnsi="Arial" w:cs="Arial"/>
          <w:sz w:val="20"/>
          <w:szCs w:val="20"/>
          <w:lang w:val="sr-Cyrl-RS"/>
        </w:rPr>
        <w:t>, што до сада није било на потребном нивоу</w:t>
      </w:r>
      <w:r w:rsidR="003753D1" w:rsidRPr="1A8E6423">
        <w:rPr>
          <w:rFonts w:ascii="Arial" w:hAnsi="Arial" w:cs="Arial"/>
          <w:sz w:val="20"/>
          <w:szCs w:val="20"/>
          <w:lang w:val="sr-Cyrl-RS"/>
        </w:rPr>
        <w:t>,</w:t>
      </w:r>
      <w:r w:rsidR="001B0983" w:rsidRPr="1A8E6423">
        <w:rPr>
          <w:rFonts w:ascii="Arial" w:hAnsi="Arial" w:cs="Arial"/>
          <w:sz w:val="20"/>
          <w:szCs w:val="20"/>
          <w:lang w:val="sr-Cyrl-RS"/>
        </w:rPr>
        <w:t xml:space="preserve"> а често је чак </w:t>
      </w:r>
      <w:r w:rsidR="003753D1" w:rsidRPr="1A8E6423">
        <w:rPr>
          <w:rFonts w:ascii="Arial" w:hAnsi="Arial" w:cs="Arial"/>
          <w:sz w:val="20"/>
          <w:szCs w:val="20"/>
          <w:lang w:val="sr-Cyrl-RS"/>
        </w:rPr>
        <w:t xml:space="preserve">и </w:t>
      </w:r>
      <w:r w:rsidR="001B0983" w:rsidRPr="1A8E6423">
        <w:rPr>
          <w:rFonts w:ascii="Arial" w:hAnsi="Arial" w:cs="Arial"/>
          <w:sz w:val="20"/>
          <w:szCs w:val="20"/>
          <w:lang w:val="sr-Cyrl-RS"/>
        </w:rPr>
        <w:t>потпуно изостајало.</w:t>
      </w:r>
    </w:p>
    <w:p w14:paraId="58E4ADE8" w14:textId="77777777" w:rsidR="003E5461" w:rsidRPr="00A021B7" w:rsidRDefault="003E5461" w:rsidP="1A8E6423">
      <w:pPr>
        <w:ind w:firstLine="720"/>
        <w:jc w:val="both"/>
        <w:rPr>
          <w:rFonts w:ascii="Arial" w:hAnsi="Arial" w:cs="Arial"/>
          <w:sz w:val="20"/>
          <w:szCs w:val="20"/>
          <w:lang w:val="sr-Cyrl-RS"/>
        </w:rPr>
      </w:pPr>
    </w:p>
    <w:p w14:paraId="1178F2B2" w14:textId="4B74A351" w:rsidR="005B170E" w:rsidRPr="00A021B7" w:rsidRDefault="6298E6F2" w:rsidP="1A8E6423">
      <w:pPr>
        <w:pBdr>
          <w:top w:val="single" w:sz="4" w:space="1" w:color="auto"/>
          <w:left w:val="single" w:sz="4" w:space="4" w:color="auto"/>
          <w:bottom w:val="single" w:sz="4" w:space="1" w:color="auto"/>
          <w:right w:val="single" w:sz="4" w:space="1" w:color="auto"/>
        </w:pBdr>
        <w:ind w:firstLine="360"/>
        <w:jc w:val="both"/>
        <w:rPr>
          <w:rFonts w:ascii="Arial" w:hAnsi="Arial" w:cs="Arial"/>
          <w:sz w:val="20"/>
          <w:szCs w:val="20"/>
          <w:lang w:val="sr-Cyrl-RS"/>
        </w:rPr>
      </w:pPr>
      <w:r w:rsidRPr="00A021B7">
        <w:rPr>
          <w:rFonts w:ascii="Arial" w:hAnsi="Arial" w:cs="Arial"/>
          <w:sz w:val="20"/>
          <w:szCs w:val="20"/>
          <w:lang w:val="sr-Cyrl-RS"/>
        </w:rPr>
        <w:t>Управни округ може и треба да буде један од кључних механизама за развијање националног система надзора и инспекција, који ће деловати искључиво у циљу остваривања законитости и</w:t>
      </w:r>
      <w:r w:rsidR="512CDFFD" w:rsidRPr="00A021B7">
        <w:rPr>
          <w:rFonts w:ascii="Arial" w:hAnsi="Arial" w:cs="Arial"/>
          <w:sz w:val="20"/>
          <w:szCs w:val="20"/>
          <w:lang w:val="sr-Cyrl-RS"/>
        </w:rPr>
        <w:t xml:space="preserve"> </w:t>
      </w:r>
      <w:r w:rsidRPr="00A021B7">
        <w:rPr>
          <w:rFonts w:ascii="Arial" w:hAnsi="Arial" w:cs="Arial"/>
          <w:sz w:val="20"/>
          <w:szCs w:val="20"/>
          <w:lang w:val="sr-Cyrl-RS"/>
        </w:rPr>
        <w:t xml:space="preserve">производити позитивно усмеравање нижих нивоа власти. </w:t>
      </w:r>
      <w:r w:rsidR="10D8BDDB" w:rsidRPr="00A021B7">
        <w:rPr>
          <w:rFonts w:ascii="Arial" w:hAnsi="Arial" w:cs="Arial"/>
          <w:sz w:val="20"/>
          <w:szCs w:val="20"/>
          <w:lang w:val="sr-Cyrl-RS"/>
        </w:rPr>
        <w:t>Управни окрузи јесу део процеса растерећења републичких органа, повећања ефикасности рада и приближавања грађанима и ужим подручјима. Стога послови инспекцијског надзора, због потребе за непосредним увидом у стање, чине велики део послова на нивоу округа.</w:t>
      </w:r>
      <w:r w:rsidR="004F5B22" w:rsidRPr="00A021B7">
        <w:rPr>
          <w:rStyle w:val="FootnoteReference"/>
          <w:rFonts w:ascii="Arial" w:hAnsi="Arial" w:cs="Arial"/>
          <w:sz w:val="20"/>
          <w:szCs w:val="20"/>
          <w:lang w:val="sr-Cyrl-RS"/>
        </w:rPr>
        <w:footnoteReference w:id="146"/>
      </w:r>
      <w:r w:rsidR="10D8BDDB" w:rsidRPr="00A021B7">
        <w:rPr>
          <w:rFonts w:ascii="Arial" w:hAnsi="Arial" w:cs="Arial"/>
          <w:sz w:val="20"/>
          <w:szCs w:val="20"/>
          <w:lang w:val="sr-Cyrl-RS"/>
        </w:rPr>
        <w:t xml:space="preserve"> </w:t>
      </w:r>
      <w:r w:rsidRPr="00A021B7">
        <w:rPr>
          <w:rFonts w:ascii="Arial" w:hAnsi="Arial" w:cs="Arial"/>
          <w:sz w:val="20"/>
          <w:szCs w:val="20"/>
          <w:lang w:val="sr-Cyrl-RS"/>
        </w:rPr>
        <w:t xml:space="preserve">Квалитетно праћење стања треба да омогући да државни органи на време уоче проблеме и њихове узроке и предузму мере за њихово превазилажење. </w:t>
      </w:r>
      <w:r w:rsidR="45F40043" w:rsidRPr="00A021B7">
        <w:rPr>
          <w:rFonts w:ascii="Arial" w:hAnsi="Arial" w:cs="Arial"/>
          <w:sz w:val="20"/>
          <w:szCs w:val="20"/>
          <w:lang w:val="sr-Cyrl-RS"/>
        </w:rPr>
        <w:t>П</w:t>
      </w:r>
      <w:r w:rsidRPr="00A021B7">
        <w:rPr>
          <w:rFonts w:ascii="Arial" w:hAnsi="Arial" w:cs="Arial"/>
          <w:sz w:val="20"/>
          <w:szCs w:val="20"/>
          <w:lang w:val="sr-Cyrl-RS"/>
        </w:rPr>
        <w:t>редуслов за то јесте интензивно јачање аналитичких способности и других релевантних компетенција запослених у републичким органима, неопходних за учествовање у обликовању јавне политике, праћење стања у области, пружање стручне подршке органима ЈЛС, као и координациј</w:t>
      </w:r>
      <w:r w:rsidR="0002163F">
        <w:rPr>
          <w:rFonts w:ascii="Arial" w:hAnsi="Arial" w:cs="Arial"/>
          <w:sz w:val="20"/>
          <w:szCs w:val="20"/>
          <w:lang w:val="sr-Cyrl-RS"/>
        </w:rPr>
        <w:t>у</w:t>
      </w:r>
      <w:r w:rsidRPr="00A021B7">
        <w:rPr>
          <w:rFonts w:ascii="Arial" w:hAnsi="Arial" w:cs="Arial"/>
          <w:sz w:val="20"/>
          <w:szCs w:val="20"/>
          <w:lang w:val="sr-Cyrl-RS"/>
        </w:rPr>
        <w:t xml:space="preserve"> сарадње са ЈЛС.</w:t>
      </w:r>
    </w:p>
    <w:p w14:paraId="68034F3C" w14:textId="77777777" w:rsidR="005B170E" w:rsidRPr="00A021B7" w:rsidRDefault="005B170E" w:rsidP="003E5461">
      <w:pPr>
        <w:pBdr>
          <w:top w:val="single" w:sz="4" w:space="1" w:color="auto"/>
          <w:left w:val="single" w:sz="4" w:space="4" w:color="auto"/>
          <w:bottom w:val="single" w:sz="4" w:space="1" w:color="auto"/>
          <w:right w:val="single" w:sz="4" w:space="1" w:color="auto"/>
        </w:pBdr>
        <w:jc w:val="both"/>
        <w:rPr>
          <w:rFonts w:ascii="Arial" w:hAnsi="Arial" w:cs="Arial"/>
          <w:sz w:val="20"/>
          <w:szCs w:val="20"/>
          <w:lang w:val="sr-Cyrl-RS"/>
        </w:rPr>
      </w:pPr>
    </w:p>
    <w:p w14:paraId="62038FF4" w14:textId="172A83F9" w:rsidR="000B3215" w:rsidRPr="00A021B7" w:rsidRDefault="00D15A05" w:rsidP="1A8E6423">
      <w:pPr>
        <w:pBdr>
          <w:top w:val="single" w:sz="4" w:space="1" w:color="auto"/>
          <w:left w:val="single" w:sz="4" w:space="4" w:color="auto"/>
          <w:bottom w:val="single" w:sz="4" w:space="1" w:color="auto"/>
          <w:right w:val="single" w:sz="4" w:space="1" w:color="auto"/>
        </w:pBdr>
        <w:ind w:firstLine="360"/>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Постојеће стање </w:t>
      </w:r>
      <w:r w:rsidR="0002163F" w:rsidRPr="1A8E6423">
        <w:rPr>
          <w:rFonts w:ascii="Arial" w:hAnsi="Arial" w:cs="Arial"/>
          <w:color w:val="000000" w:themeColor="text1"/>
          <w:sz w:val="20"/>
          <w:szCs w:val="20"/>
          <w:lang w:val="sr-Cyrl-RS"/>
        </w:rPr>
        <w:t xml:space="preserve">у погледу </w:t>
      </w:r>
      <w:r w:rsidRPr="1A8E6423">
        <w:rPr>
          <w:rFonts w:ascii="Arial" w:hAnsi="Arial" w:cs="Arial"/>
          <w:color w:val="000000" w:themeColor="text1"/>
          <w:sz w:val="20"/>
          <w:szCs w:val="20"/>
          <w:lang w:val="sr-Cyrl-RS"/>
        </w:rPr>
        <w:t>овлашћења подручних јединица (у управним окрузима) кој</w:t>
      </w:r>
      <w:r w:rsidR="0002163F"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 се односе на могућност решавања у управним стварима у првом степену и у другом степену по жалби и вршење управног надзора, јасно указује да ови послови нису организовани у свим подручним јединицама министарстава. Најкомплетнија овлашћења има грађевинск</w:t>
      </w:r>
      <w:r w:rsidR="00651772" w:rsidRPr="1A8E6423">
        <w:rPr>
          <w:rFonts w:ascii="Arial" w:hAnsi="Arial" w:cs="Arial"/>
          <w:color w:val="000000" w:themeColor="text1"/>
          <w:sz w:val="20"/>
          <w:szCs w:val="20"/>
          <w:lang w:val="sr-Cyrl-RS"/>
        </w:rPr>
        <w:t xml:space="preserve">а и </w:t>
      </w:r>
      <w:r w:rsidRPr="1A8E6423">
        <w:rPr>
          <w:rFonts w:ascii="Arial" w:hAnsi="Arial" w:cs="Arial"/>
          <w:color w:val="000000" w:themeColor="text1"/>
          <w:sz w:val="20"/>
          <w:szCs w:val="20"/>
          <w:lang w:val="sr-Cyrl-RS"/>
        </w:rPr>
        <w:t>урбанистичка инспекција</w:t>
      </w:r>
      <w:r w:rsidR="0002163F"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која</w:t>
      </w:r>
      <w:r w:rsidR="0002163F"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осим инспекцијског надзора</w:t>
      </w:r>
      <w:r w:rsidR="0002163F"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обавља и послове управног на</w:t>
      </w:r>
      <w:r w:rsidR="007B414C" w:rsidRPr="1A8E6423">
        <w:rPr>
          <w:rFonts w:ascii="Arial" w:hAnsi="Arial" w:cs="Arial"/>
          <w:color w:val="000000" w:themeColor="text1"/>
          <w:sz w:val="20"/>
          <w:szCs w:val="20"/>
          <w:lang w:val="sr-Cyrl-RS"/>
        </w:rPr>
        <w:t>д</w:t>
      </w:r>
      <w:r w:rsidRPr="1A8E6423">
        <w:rPr>
          <w:rFonts w:ascii="Arial" w:hAnsi="Arial" w:cs="Arial"/>
          <w:color w:val="000000" w:themeColor="text1"/>
          <w:sz w:val="20"/>
          <w:szCs w:val="20"/>
          <w:lang w:val="sr-Cyrl-RS"/>
        </w:rPr>
        <w:t xml:space="preserve">зора – праћења стања у области и </w:t>
      </w:r>
      <w:r w:rsidRPr="1A8E6423">
        <w:rPr>
          <w:rFonts w:ascii="Arial" w:hAnsi="Arial" w:cs="Arial"/>
          <w:sz w:val="20"/>
          <w:szCs w:val="20"/>
          <w:lang w:val="sr-Cyrl-RS"/>
        </w:rPr>
        <w:t>припрем</w:t>
      </w:r>
      <w:r w:rsidR="0002163F" w:rsidRPr="1A8E6423">
        <w:rPr>
          <w:rFonts w:ascii="Arial" w:hAnsi="Arial" w:cs="Arial"/>
          <w:sz w:val="20"/>
          <w:szCs w:val="20"/>
          <w:lang w:val="sr-Cyrl-RS"/>
        </w:rPr>
        <w:t>е</w:t>
      </w:r>
      <w:r w:rsidRPr="1A8E6423">
        <w:rPr>
          <w:rFonts w:ascii="Arial" w:hAnsi="Arial" w:cs="Arial"/>
          <w:sz w:val="20"/>
          <w:szCs w:val="20"/>
          <w:lang w:val="sr-Cyrl-RS"/>
        </w:rPr>
        <w:t xml:space="preserve"> решења у управним стварима у другом степену. Међутим, код осталих министарстава кој</w:t>
      </w:r>
      <w:r w:rsidR="0002163F" w:rsidRPr="1A8E6423">
        <w:rPr>
          <w:rFonts w:ascii="Arial" w:hAnsi="Arial" w:cs="Arial"/>
          <w:sz w:val="20"/>
          <w:szCs w:val="20"/>
          <w:lang w:val="sr-Cyrl-RS"/>
        </w:rPr>
        <w:t>а</w:t>
      </w:r>
      <w:r w:rsidRPr="1A8E6423">
        <w:rPr>
          <w:rFonts w:ascii="Arial" w:hAnsi="Arial" w:cs="Arial"/>
          <w:sz w:val="20"/>
          <w:szCs w:val="20"/>
          <w:lang w:val="sr-Cyrl-RS"/>
        </w:rPr>
        <w:t xml:space="preserve"> имају подручне јединице постоји значајан простор за организовање обављања ових послова на окружном нивоу.</w:t>
      </w:r>
      <w:r w:rsidR="00345469" w:rsidRPr="1A8E6423">
        <w:rPr>
          <w:rFonts w:ascii="Arial" w:hAnsi="Arial" w:cs="Arial"/>
          <w:sz w:val="20"/>
          <w:szCs w:val="20"/>
          <w:lang w:val="sr-Cyrl-RS"/>
        </w:rPr>
        <w:t xml:space="preserve"> </w:t>
      </w:r>
      <w:r w:rsidRPr="1A8E6423">
        <w:rPr>
          <w:rFonts w:ascii="Arial" w:hAnsi="Arial" w:cs="Arial"/>
          <w:color w:val="000000" w:themeColor="text1"/>
          <w:sz w:val="20"/>
          <w:szCs w:val="20"/>
          <w:lang w:val="sr-Cyrl-RS"/>
        </w:rPr>
        <w:t>Под претпоставком употпуњавања кадровске структуре у подручним јединицама и организовања послова праћења стања у области, стекли би се услови за организовање обављања свих послова министарстава у којима се решава у управним стварима у првом степену и у другом степену по жалби, у складу са посебним секторским законима.</w:t>
      </w:r>
    </w:p>
    <w:p w14:paraId="3DB677B4" w14:textId="77777777" w:rsidR="00D15A05" w:rsidRPr="00A021B7" w:rsidRDefault="00D15A05" w:rsidP="003E7BC9">
      <w:pPr>
        <w:jc w:val="both"/>
        <w:rPr>
          <w:rFonts w:ascii="Arial" w:hAnsi="Arial" w:cs="Arial"/>
          <w:sz w:val="20"/>
          <w:szCs w:val="20"/>
          <w:lang w:val="sr-Cyrl-RS"/>
        </w:rPr>
      </w:pPr>
    </w:p>
    <w:p w14:paraId="1C1B1C18" w14:textId="491F31FA" w:rsidR="00D655A1" w:rsidRPr="00A021B7" w:rsidRDefault="0008285C" w:rsidP="1A8E6423">
      <w:pPr>
        <w:ind w:firstLine="720"/>
        <w:jc w:val="both"/>
        <w:rPr>
          <w:rFonts w:ascii="Arial" w:hAnsi="Arial" w:cs="Arial"/>
          <w:sz w:val="20"/>
          <w:szCs w:val="20"/>
          <w:lang w:val="sr-Cyrl-RS"/>
        </w:rPr>
      </w:pPr>
      <w:r w:rsidRPr="1A8E6423">
        <w:rPr>
          <w:rFonts w:ascii="Arial" w:hAnsi="Arial" w:cs="Arial"/>
          <w:sz w:val="20"/>
          <w:szCs w:val="20"/>
          <w:lang w:val="sr-Cyrl-RS"/>
        </w:rPr>
        <w:t>Веома је важно да р</w:t>
      </w:r>
      <w:r w:rsidR="001B0983" w:rsidRPr="1A8E6423">
        <w:rPr>
          <w:rFonts w:ascii="Arial" w:hAnsi="Arial" w:cs="Arial"/>
          <w:sz w:val="20"/>
          <w:szCs w:val="20"/>
          <w:lang w:val="sr-Cyrl-RS"/>
        </w:rPr>
        <w:t xml:space="preserve">епублички органи омогуће органима ЈЛС </w:t>
      </w:r>
      <w:r w:rsidR="00AB6252" w:rsidRPr="1A8E6423">
        <w:rPr>
          <w:rFonts w:ascii="Arial" w:hAnsi="Arial" w:cs="Arial"/>
          <w:sz w:val="20"/>
          <w:szCs w:val="20"/>
          <w:lang w:val="sr-Cyrl-RS"/>
        </w:rPr>
        <w:t xml:space="preserve">благовремене информације за </w:t>
      </w:r>
      <w:r w:rsidR="001B0983" w:rsidRPr="1A8E6423">
        <w:rPr>
          <w:rFonts w:ascii="Arial" w:hAnsi="Arial" w:cs="Arial"/>
          <w:sz w:val="20"/>
          <w:szCs w:val="20"/>
          <w:lang w:val="sr-Cyrl-RS"/>
        </w:rPr>
        <w:t xml:space="preserve">будуће промене прописа </w:t>
      </w:r>
      <w:r w:rsidR="00AB6252" w:rsidRPr="1A8E6423">
        <w:rPr>
          <w:rFonts w:ascii="Arial" w:hAnsi="Arial" w:cs="Arial"/>
          <w:sz w:val="20"/>
          <w:szCs w:val="20"/>
          <w:lang w:val="sr-Cyrl-RS"/>
        </w:rPr>
        <w:t>и р</w:t>
      </w:r>
      <w:r w:rsidR="001B0983" w:rsidRPr="1A8E6423">
        <w:rPr>
          <w:rFonts w:ascii="Arial" w:hAnsi="Arial" w:cs="Arial"/>
          <w:sz w:val="20"/>
          <w:szCs w:val="20"/>
          <w:lang w:val="sr-Cyrl-RS"/>
        </w:rPr>
        <w:t xml:space="preserve">елевантна знања којима органи ЈЛС не располажу, као и да им правовремено дају јасна и образложена мишљења и савете. </w:t>
      </w:r>
      <w:r w:rsidR="004E27A2" w:rsidRPr="1A8E6423">
        <w:rPr>
          <w:rFonts w:ascii="Arial" w:hAnsi="Arial" w:cs="Arial"/>
          <w:sz w:val="20"/>
          <w:szCs w:val="20"/>
          <w:lang w:val="sr-Cyrl-RS"/>
        </w:rPr>
        <w:t>ЕПСЛ предвиђа да</w:t>
      </w:r>
      <w:r w:rsidR="00012B3D" w:rsidRPr="1A8E6423">
        <w:rPr>
          <w:rFonts w:ascii="Arial" w:hAnsi="Arial" w:cs="Arial"/>
          <w:sz w:val="20"/>
          <w:szCs w:val="20"/>
          <w:lang w:val="sr-Cyrl-RS"/>
        </w:rPr>
        <w:t xml:space="preserve"> би органи</w:t>
      </w:r>
      <w:r w:rsidR="004E27A2" w:rsidRPr="1A8E6423">
        <w:rPr>
          <w:rFonts w:ascii="Arial" w:hAnsi="Arial" w:cs="Arial"/>
          <w:sz w:val="20"/>
          <w:szCs w:val="20"/>
          <w:lang w:val="sr-Cyrl-RS"/>
        </w:rPr>
        <w:t xml:space="preserve"> локалн</w:t>
      </w:r>
      <w:r w:rsidR="00012B3D" w:rsidRPr="1A8E6423">
        <w:rPr>
          <w:rFonts w:ascii="Arial" w:hAnsi="Arial" w:cs="Arial"/>
          <w:sz w:val="20"/>
          <w:szCs w:val="20"/>
          <w:lang w:val="sr-Cyrl-RS"/>
        </w:rPr>
        <w:t>е самоуправе требало</w:t>
      </w:r>
      <w:r w:rsidR="004E27A2" w:rsidRPr="1A8E6423">
        <w:rPr>
          <w:rFonts w:ascii="Arial" w:hAnsi="Arial" w:cs="Arial"/>
          <w:sz w:val="20"/>
          <w:szCs w:val="20"/>
          <w:lang w:val="sr-Cyrl-RS"/>
        </w:rPr>
        <w:t xml:space="preserve"> </w:t>
      </w:r>
      <w:r w:rsidR="004E27A2" w:rsidRPr="1A8E6423">
        <w:rPr>
          <w:rFonts w:ascii="Arial" w:hAnsi="Arial" w:cs="Arial"/>
          <w:color w:val="000000" w:themeColor="text1"/>
          <w:sz w:val="20"/>
          <w:szCs w:val="20"/>
          <w:lang w:val="sr-Cyrl-RS" w:eastAsia="de-CH"/>
        </w:rPr>
        <w:t xml:space="preserve">да буду консултовани у право време и на одговарајући начин </w:t>
      </w:r>
      <w:r w:rsidR="004E27A2" w:rsidRPr="1A8E6423">
        <w:rPr>
          <w:rFonts w:ascii="Arial" w:hAnsi="Arial" w:cs="Arial"/>
          <w:color w:val="000000" w:themeColor="text1"/>
          <w:sz w:val="20"/>
          <w:szCs w:val="20"/>
          <w:lang w:val="sr-Cyrl-RS" w:eastAsia="de-CH"/>
        </w:rPr>
        <w:lastRenderedPageBreak/>
        <w:t>приликом планирања и одлучивања о свим питањима која их се директно тичу (</w:t>
      </w:r>
      <w:r w:rsidR="00544D34" w:rsidRPr="1A8E6423">
        <w:rPr>
          <w:rFonts w:ascii="Arial" w:hAnsi="Arial" w:cs="Arial"/>
          <w:color w:val="000000" w:themeColor="text1"/>
          <w:sz w:val="20"/>
          <w:szCs w:val="20"/>
          <w:lang w:val="sr-Cyrl-RS" w:eastAsia="de-CH"/>
        </w:rPr>
        <w:t>чл</w:t>
      </w:r>
      <w:r w:rsidR="004F1235" w:rsidRPr="1A8E6423">
        <w:rPr>
          <w:rFonts w:ascii="Arial" w:hAnsi="Arial" w:cs="Arial"/>
          <w:color w:val="000000" w:themeColor="text1"/>
          <w:sz w:val="20"/>
          <w:szCs w:val="20"/>
          <w:lang w:val="sr-Cyrl-RS" w:eastAsia="de-CH"/>
        </w:rPr>
        <w:t>ан</w:t>
      </w:r>
      <w:r w:rsidR="00544D34" w:rsidRPr="1A8E6423">
        <w:rPr>
          <w:rFonts w:ascii="Arial" w:hAnsi="Arial" w:cs="Arial"/>
          <w:color w:val="000000" w:themeColor="text1"/>
          <w:sz w:val="20"/>
          <w:szCs w:val="20"/>
          <w:lang w:val="sr-Cyrl-RS" w:eastAsia="de-CH"/>
        </w:rPr>
        <w:t xml:space="preserve"> </w:t>
      </w:r>
      <w:r w:rsidR="004E27A2" w:rsidRPr="1A8E6423">
        <w:rPr>
          <w:rFonts w:ascii="Arial" w:hAnsi="Arial" w:cs="Arial"/>
          <w:color w:val="000000" w:themeColor="text1"/>
          <w:sz w:val="20"/>
          <w:szCs w:val="20"/>
          <w:lang w:val="sr-Cyrl-RS" w:eastAsia="de-CH"/>
        </w:rPr>
        <w:t>4.</w:t>
      </w:r>
      <w:r w:rsidR="004F1235" w:rsidRPr="1A8E6423">
        <w:rPr>
          <w:rFonts w:ascii="Arial" w:hAnsi="Arial" w:cs="Arial"/>
          <w:color w:val="000000" w:themeColor="text1"/>
          <w:sz w:val="20"/>
          <w:szCs w:val="20"/>
          <w:lang w:val="sr-Cyrl-RS" w:eastAsia="de-CH"/>
        </w:rPr>
        <w:t xml:space="preserve"> став </w:t>
      </w:r>
      <w:r w:rsidR="004E27A2" w:rsidRPr="1A8E6423">
        <w:rPr>
          <w:rFonts w:ascii="Arial" w:hAnsi="Arial" w:cs="Arial"/>
          <w:color w:val="000000" w:themeColor="text1"/>
          <w:sz w:val="20"/>
          <w:szCs w:val="20"/>
          <w:lang w:val="sr-Cyrl-RS" w:eastAsia="de-CH"/>
        </w:rPr>
        <w:t>6).</w:t>
      </w:r>
      <w:r w:rsidR="00BD11B1" w:rsidRPr="1A8E6423">
        <w:rPr>
          <w:rFonts w:ascii="Arial" w:hAnsi="Arial" w:cs="Arial"/>
          <w:color w:val="000000" w:themeColor="text1"/>
          <w:sz w:val="20"/>
          <w:szCs w:val="20"/>
          <w:lang w:val="sr-Cyrl-RS" w:eastAsia="de-CH"/>
        </w:rPr>
        <w:t xml:space="preserve"> </w:t>
      </w:r>
      <w:r w:rsidR="00BA2164" w:rsidRPr="1A8E6423">
        <w:rPr>
          <w:rFonts w:ascii="Arial" w:hAnsi="Arial" w:cs="Arial"/>
          <w:sz w:val="20"/>
          <w:szCs w:val="20"/>
          <w:lang w:val="sr-Cyrl-RS"/>
        </w:rPr>
        <w:t xml:space="preserve">У последњих неколико година присутан је развој нормативног оквира </w:t>
      </w:r>
      <w:r w:rsidR="00E61FEF" w:rsidRPr="1A8E6423">
        <w:rPr>
          <w:rFonts w:ascii="Arial" w:hAnsi="Arial" w:cs="Arial"/>
          <w:sz w:val="20"/>
          <w:szCs w:val="20"/>
          <w:lang w:val="sr-Cyrl-RS"/>
        </w:rPr>
        <w:t>за консултације у процесима израда политика и прописа (измене Закона о државној управи, усвајање Закона о планском систему)</w:t>
      </w:r>
      <w:r w:rsidR="00A96828" w:rsidRPr="1A8E6423">
        <w:rPr>
          <w:rFonts w:ascii="Arial" w:hAnsi="Arial" w:cs="Arial"/>
          <w:sz w:val="20"/>
          <w:szCs w:val="20"/>
          <w:lang w:val="sr-Cyrl-RS"/>
        </w:rPr>
        <w:t>,</w:t>
      </w:r>
      <w:r w:rsidR="00E61FEF" w:rsidRPr="1A8E6423">
        <w:rPr>
          <w:rFonts w:ascii="Arial" w:hAnsi="Arial" w:cs="Arial"/>
          <w:sz w:val="20"/>
          <w:szCs w:val="20"/>
          <w:lang w:val="sr-Cyrl-RS"/>
        </w:rPr>
        <w:t xml:space="preserve"> а </w:t>
      </w:r>
      <w:r w:rsidR="006C0244" w:rsidRPr="1A8E6423">
        <w:rPr>
          <w:rFonts w:ascii="Arial" w:hAnsi="Arial" w:cs="Arial"/>
          <w:sz w:val="20"/>
          <w:szCs w:val="20"/>
          <w:lang w:val="sr-Cyrl-RS"/>
        </w:rPr>
        <w:t xml:space="preserve">у </w:t>
      </w:r>
      <w:r w:rsidR="00E61FEF" w:rsidRPr="1A8E6423">
        <w:rPr>
          <w:rFonts w:ascii="Arial" w:hAnsi="Arial" w:cs="Arial"/>
          <w:sz w:val="20"/>
          <w:szCs w:val="20"/>
          <w:lang w:val="sr-Cyrl-RS"/>
        </w:rPr>
        <w:t xml:space="preserve">домену локалне самоуправе и </w:t>
      </w:r>
      <w:r w:rsidR="00BA2164" w:rsidRPr="1A8E6423">
        <w:rPr>
          <w:rFonts w:ascii="Arial" w:hAnsi="Arial" w:cs="Arial"/>
          <w:sz w:val="20"/>
          <w:szCs w:val="20"/>
          <w:lang w:val="sr-Cyrl-RS"/>
        </w:rPr>
        <w:t>институциона</w:t>
      </w:r>
      <w:r w:rsidR="00E61FEF" w:rsidRPr="1A8E6423">
        <w:rPr>
          <w:rFonts w:ascii="Arial" w:hAnsi="Arial" w:cs="Arial"/>
          <w:sz w:val="20"/>
          <w:szCs w:val="20"/>
          <w:lang w:val="sr-Cyrl-RS"/>
        </w:rPr>
        <w:t xml:space="preserve">лизација </w:t>
      </w:r>
      <w:r w:rsidR="00BA2164" w:rsidRPr="1A8E6423">
        <w:rPr>
          <w:rFonts w:ascii="Arial" w:hAnsi="Arial" w:cs="Arial"/>
          <w:sz w:val="20"/>
          <w:szCs w:val="20"/>
          <w:lang w:val="sr-Cyrl-RS"/>
        </w:rPr>
        <w:t>дијалога</w:t>
      </w:r>
      <w:r w:rsidR="00E61FEF" w:rsidRPr="1A8E6423">
        <w:rPr>
          <w:rFonts w:ascii="Arial" w:hAnsi="Arial" w:cs="Arial"/>
          <w:sz w:val="20"/>
          <w:szCs w:val="20"/>
          <w:lang w:val="sr-Cyrl-RS"/>
        </w:rPr>
        <w:t xml:space="preserve"> у</w:t>
      </w:r>
      <w:r w:rsidR="00912F92" w:rsidRPr="1A8E6423">
        <w:rPr>
          <w:rFonts w:ascii="Arial" w:hAnsi="Arial" w:cs="Arial"/>
          <w:sz w:val="20"/>
          <w:szCs w:val="20"/>
          <w:lang w:val="sr-Cyrl-RS"/>
        </w:rPr>
        <w:t xml:space="preserve"> важној области као што је локални службенички систем (оснивање Савета за стручно усавршавање </w:t>
      </w:r>
      <w:r w:rsidR="00317EFE" w:rsidRPr="1A8E6423">
        <w:rPr>
          <w:rFonts w:ascii="Arial" w:hAnsi="Arial" w:cs="Arial"/>
          <w:sz w:val="20"/>
          <w:szCs w:val="20"/>
          <w:lang w:val="sr-Cyrl-RS"/>
        </w:rPr>
        <w:t>запослених у ЈЛС</w:t>
      </w:r>
      <w:r w:rsidR="00912F92" w:rsidRPr="1A8E6423">
        <w:rPr>
          <w:rFonts w:ascii="Arial" w:hAnsi="Arial" w:cs="Arial"/>
          <w:sz w:val="20"/>
          <w:szCs w:val="20"/>
          <w:lang w:val="sr-Cyrl-RS"/>
        </w:rPr>
        <w:t xml:space="preserve">, </w:t>
      </w:r>
      <w:r w:rsidR="00AB4DC7" w:rsidRPr="1A8E6423">
        <w:rPr>
          <w:rFonts w:ascii="Arial" w:hAnsi="Arial" w:cs="Arial"/>
          <w:sz w:val="20"/>
          <w:szCs w:val="20"/>
          <w:lang w:val="sr-Cyrl-RS"/>
        </w:rPr>
        <w:t>покретање трипартитног дијалога и закључивањ</w:t>
      </w:r>
      <w:r w:rsidR="00356942" w:rsidRPr="1A8E6423">
        <w:rPr>
          <w:rFonts w:ascii="Arial" w:hAnsi="Arial" w:cs="Arial"/>
          <w:sz w:val="20"/>
          <w:szCs w:val="20"/>
          <w:lang w:val="sr-Cyrl-RS"/>
        </w:rPr>
        <w:t>е</w:t>
      </w:r>
      <w:r w:rsidR="00AB4DC7" w:rsidRPr="1A8E6423">
        <w:rPr>
          <w:rFonts w:ascii="Arial" w:hAnsi="Arial" w:cs="Arial"/>
          <w:sz w:val="20"/>
          <w:szCs w:val="20"/>
          <w:lang w:val="sr-Cyrl-RS"/>
        </w:rPr>
        <w:t xml:space="preserve"> Посебног колективног уговора за запослене у локалној самоуправи).</w:t>
      </w:r>
      <w:r w:rsidR="00317EFE" w:rsidRPr="1A8E6423">
        <w:rPr>
          <w:rFonts w:ascii="Arial" w:hAnsi="Arial" w:cs="Arial"/>
          <w:sz w:val="20"/>
          <w:szCs w:val="20"/>
          <w:lang w:val="sr-Cyrl-RS"/>
        </w:rPr>
        <w:t xml:space="preserve"> И</w:t>
      </w:r>
      <w:r w:rsidR="00720EF1" w:rsidRPr="1A8E6423">
        <w:rPr>
          <w:rFonts w:ascii="Arial" w:hAnsi="Arial" w:cs="Arial"/>
          <w:sz w:val="20"/>
          <w:szCs w:val="20"/>
          <w:lang w:val="sr-Cyrl-RS"/>
        </w:rPr>
        <w:t xml:space="preserve"> поред значајних позитивних промена, </w:t>
      </w:r>
      <w:r w:rsidR="00035105" w:rsidRPr="1A8E6423">
        <w:rPr>
          <w:rFonts w:ascii="Arial" w:hAnsi="Arial" w:cs="Arial"/>
          <w:sz w:val="20"/>
          <w:szCs w:val="20"/>
          <w:lang w:val="sr-Cyrl-RS"/>
        </w:rPr>
        <w:t>о</w:t>
      </w:r>
      <w:r w:rsidR="00C07999" w:rsidRPr="1A8E6423">
        <w:rPr>
          <w:rFonts w:ascii="Arial" w:hAnsi="Arial" w:cs="Arial"/>
          <w:sz w:val="20"/>
          <w:szCs w:val="20"/>
          <w:lang w:val="sr-Cyrl-RS"/>
        </w:rPr>
        <w:t>збиљан</w:t>
      </w:r>
      <w:r w:rsidR="00C47890" w:rsidRPr="1A8E6423">
        <w:rPr>
          <w:rFonts w:ascii="Arial" w:hAnsi="Arial" w:cs="Arial"/>
          <w:sz w:val="20"/>
          <w:szCs w:val="20"/>
          <w:lang w:val="sr-Cyrl-RS"/>
        </w:rPr>
        <w:t xml:space="preserve"> изазов</w:t>
      </w:r>
      <w:r w:rsidR="00C07999" w:rsidRPr="1A8E6423">
        <w:rPr>
          <w:rFonts w:ascii="Arial" w:hAnsi="Arial" w:cs="Arial"/>
          <w:sz w:val="20"/>
          <w:szCs w:val="20"/>
          <w:lang w:val="sr-Cyrl-RS"/>
        </w:rPr>
        <w:t xml:space="preserve"> </w:t>
      </w:r>
      <w:r w:rsidR="00166912" w:rsidRPr="1A8E6423">
        <w:rPr>
          <w:rFonts w:ascii="Arial" w:hAnsi="Arial" w:cs="Arial"/>
          <w:sz w:val="20"/>
          <w:szCs w:val="20"/>
          <w:lang w:val="sr-Cyrl-RS"/>
        </w:rPr>
        <w:t>у претходном периоду</w:t>
      </w:r>
      <w:r w:rsidR="00720EF1" w:rsidRPr="1A8E6423">
        <w:rPr>
          <w:rFonts w:ascii="Arial" w:hAnsi="Arial" w:cs="Arial"/>
          <w:sz w:val="20"/>
          <w:szCs w:val="20"/>
          <w:lang w:val="sr-Cyrl-RS"/>
        </w:rPr>
        <w:t xml:space="preserve"> </w:t>
      </w:r>
      <w:r w:rsidR="00C07999" w:rsidRPr="1A8E6423">
        <w:rPr>
          <w:rFonts w:ascii="Arial" w:hAnsi="Arial" w:cs="Arial"/>
          <w:sz w:val="20"/>
          <w:szCs w:val="20"/>
          <w:lang w:val="sr-Cyrl-RS"/>
        </w:rPr>
        <w:t>представља</w:t>
      </w:r>
      <w:r w:rsidR="00166912" w:rsidRPr="1A8E6423">
        <w:rPr>
          <w:rFonts w:ascii="Arial" w:hAnsi="Arial" w:cs="Arial"/>
          <w:sz w:val="20"/>
          <w:szCs w:val="20"/>
          <w:lang w:val="sr-Cyrl-RS"/>
        </w:rPr>
        <w:t xml:space="preserve">о је </w:t>
      </w:r>
      <w:r w:rsidR="00AF3D4A" w:rsidRPr="1A8E6423">
        <w:rPr>
          <w:rFonts w:ascii="Arial" w:hAnsi="Arial" w:cs="Arial"/>
          <w:sz w:val="20"/>
          <w:szCs w:val="20"/>
          <w:lang w:val="sr-Cyrl-RS"/>
        </w:rPr>
        <w:t xml:space="preserve">недостатак </w:t>
      </w:r>
      <w:r w:rsidR="00623556" w:rsidRPr="1A8E6423">
        <w:rPr>
          <w:rFonts w:ascii="Arial" w:hAnsi="Arial" w:cs="Arial"/>
          <w:sz w:val="20"/>
          <w:szCs w:val="20"/>
          <w:lang w:val="sr-Cyrl-RS"/>
        </w:rPr>
        <w:t xml:space="preserve">обавезности и </w:t>
      </w:r>
      <w:r w:rsidR="0071033F" w:rsidRPr="1A8E6423">
        <w:rPr>
          <w:rFonts w:ascii="Arial" w:hAnsi="Arial" w:cs="Arial"/>
          <w:sz w:val="20"/>
          <w:szCs w:val="20"/>
          <w:lang w:val="sr-Cyrl-RS"/>
        </w:rPr>
        <w:t xml:space="preserve">одрживости </w:t>
      </w:r>
      <w:r w:rsidR="00720EF1" w:rsidRPr="1A8E6423">
        <w:rPr>
          <w:rFonts w:ascii="Arial" w:hAnsi="Arial" w:cs="Arial"/>
          <w:sz w:val="20"/>
          <w:szCs w:val="20"/>
          <w:lang w:val="sr-Cyrl-RS"/>
        </w:rPr>
        <w:t>континуираног</w:t>
      </w:r>
      <w:r w:rsidR="00C07999" w:rsidRPr="1A8E6423">
        <w:rPr>
          <w:rFonts w:ascii="Arial" w:hAnsi="Arial" w:cs="Arial"/>
          <w:sz w:val="20"/>
          <w:szCs w:val="20"/>
          <w:lang w:val="sr-Cyrl-RS"/>
        </w:rPr>
        <w:t xml:space="preserve"> дијалога између различитих нивоа власти </w:t>
      </w:r>
      <w:r w:rsidR="00C07999" w:rsidRPr="1A8E6423">
        <w:rPr>
          <w:rFonts w:ascii="Arial" w:hAnsi="Arial" w:cs="Arial"/>
          <w:color w:val="000000" w:themeColor="text1"/>
          <w:sz w:val="20"/>
          <w:szCs w:val="20"/>
          <w:lang w:val="sr-Cyrl-RS" w:eastAsia="de-CH"/>
        </w:rPr>
        <w:t xml:space="preserve">о </w:t>
      </w:r>
      <w:r w:rsidR="00BC11DF" w:rsidRPr="1A8E6423">
        <w:rPr>
          <w:rFonts w:ascii="Arial" w:hAnsi="Arial" w:cs="Arial"/>
          <w:color w:val="000000" w:themeColor="text1"/>
          <w:sz w:val="20"/>
          <w:szCs w:val="20"/>
          <w:lang w:val="sr-Cyrl-RS" w:eastAsia="de-CH"/>
        </w:rPr>
        <w:t xml:space="preserve">прописима и политикама који се односе на локалну самоуправу, </w:t>
      </w:r>
      <w:r w:rsidR="002351DE" w:rsidRPr="1A8E6423">
        <w:rPr>
          <w:rFonts w:ascii="Arial" w:hAnsi="Arial" w:cs="Arial"/>
          <w:color w:val="000000" w:themeColor="text1"/>
          <w:sz w:val="20"/>
          <w:szCs w:val="20"/>
          <w:lang w:val="sr-Cyrl-RS" w:eastAsia="de-CH"/>
        </w:rPr>
        <w:t xml:space="preserve">о </w:t>
      </w:r>
      <w:r w:rsidR="00BC11DF" w:rsidRPr="1A8E6423">
        <w:rPr>
          <w:rFonts w:ascii="Arial" w:hAnsi="Arial" w:cs="Arial"/>
          <w:color w:val="000000" w:themeColor="text1"/>
          <w:sz w:val="20"/>
          <w:szCs w:val="20"/>
          <w:lang w:val="sr-Cyrl-RS" w:eastAsia="de-CH"/>
        </w:rPr>
        <w:t xml:space="preserve">финансијском </w:t>
      </w:r>
      <w:r w:rsidR="00F84608" w:rsidRPr="1A8E6423">
        <w:rPr>
          <w:rFonts w:ascii="Arial" w:hAnsi="Arial" w:cs="Arial"/>
          <w:color w:val="000000" w:themeColor="text1"/>
          <w:sz w:val="20"/>
          <w:szCs w:val="20"/>
          <w:lang w:val="sr-Cyrl-RS" w:eastAsia="de-CH"/>
        </w:rPr>
        <w:t>оквиру за рад локалне самоуправе или</w:t>
      </w:r>
      <w:r w:rsidR="0003076E" w:rsidRPr="1A8E6423">
        <w:rPr>
          <w:rFonts w:ascii="Arial" w:hAnsi="Arial" w:cs="Arial"/>
          <w:color w:val="000000" w:themeColor="text1"/>
          <w:sz w:val="20"/>
          <w:szCs w:val="20"/>
          <w:lang w:val="sr-Cyrl-RS" w:eastAsia="de-CH"/>
        </w:rPr>
        <w:t xml:space="preserve"> </w:t>
      </w:r>
      <w:r w:rsidR="002351DE" w:rsidRPr="1A8E6423">
        <w:rPr>
          <w:rFonts w:ascii="Arial" w:hAnsi="Arial" w:cs="Arial"/>
          <w:color w:val="000000" w:themeColor="text1"/>
          <w:sz w:val="20"/>
          <w:szCs w:val="20"/>
          <w:lang w:val="sr-Cyrl-RS" w:eastAsia="de-CH"/>
        </w:rPr>
        <w:t xml:space="preserve">о </w:t>
      </w:r>
      <w:r w:rsidR="0003076E" w:rsidRPr="1A8E6423">
        <w:rPr>
          <w:rFonts w:ascii="Arial" w:hAnsi="Arial" w:cs="Arial"/>
          <w:color w:val="000000" w:themeColor="text1"/>
          <w:sz w:val="20"/>
          <w:szCs w:val="20"/>
          <w:lang w:val="sr-Cyrl-RS" w:eastAsia="de-CH"/>
        </w:rPr>
        <w:t>њеном</w:t>
      </w:r>
      <w:r w:rsidR="00C07999" w:rsidRPr="1A8E6423">
        <w:rPr>
          <w:rFonts w:ascii="Arial" w:hAnsi="Arial" w:cs="Arial"/>
          <w:color w:val="000000" w:themeColor="text1"/>
          <w:sz w:val="20"/>
          <w:szCs w:val="20"/>
          <w:lang w:val="sr-Cyrl-RS" w:eastAsia="de-CH"/>
        </w:rPr>
        <w:t xml:space="preserve"> јачању и проширењу.</w:t>
      </w:r>
      <w:r w:rsidR="001B7F72" w:rsidRPr="1A8E6423">
        <w:rPr>
          <w:rFonts w:ascii="Arial" w:hAnsi="Arial" w:cs="Arial"/>
          <w:color w:val="000000" w:themeColor="text1"/>
          <w:sz w:val="20"/>
          <w:szCs w:val="20"/>
          <w:lang w:val="sr-Cyrl-RS" w:eastAsia="de-CH"/>
        </w:rPr>
        <w:t xml:space="preserve"> </w:t>
      </w:r>
      <w:r w:rsidR="001B7F72" w:rsidRPr="1A8E6423">
        <w:rPr>
          <w:rFonts w:ascii="Arial" w:hAnsi="Arial" w:cs="Arial"/>
          <w:sz w:val="20"/>
          <w:szCs w:val="20"/>
          <w:lang w:val="sr-Cyrl-RS"/>
        </w:rPr>
        <w:t xml:space="preserve">Консултовање општинских и градских органа, односно њихове националне асоцијације приликом доношења закона и подзаконских аката који се тичу локалне самоуправе, још увек није на потребном нивоу, спорадично се организује, често има првенствено формални карактер и не утиче суштински на дефинисање националних јавних политика и прописа. </w:t>
      </w:r>
      <w:r w:rsidR="00BE5F53" w:rsidRPr="1A8E6423">
        <w:rPr>
          <w:rFonts w:ascii="Arial" w:hAnsi="Arial" w:cs="Arial"/>
          <w:sz w:val="20"/>
          <w:szCs w:val="20"/>
          <w:lang w:val="sr-Cyrl-RS"/>
        </w:rPr>
        <w:t>Н</w:t>
      </w:r>
      <w:r w:rsidR="000D6786" w:rsidRPr="1A8E6423">
        <w:rPr>
          <w:rFonts w:ascii="Arial" w:hAnsi="Arial" w:cs="Arial"/>
          <w:sz w:val="20"/>
          <w:szCs w:val="20"/>
          <w:lang w:val="sr-Cyrl-RS"/>
        </w:rPr>
        <w:t>и неки успостављени институционални механизми</w:t>
      </w:r>
      <w:r w:rsidR="008537D1" w:rsidRPr="1A8E6423">
        <w:rPr>
          <w:rFonts w:ascii="Arial" w:hAnsi="Arial" w:cs="Arial"/>
          <w:sz w:val="20"/>
          <w:szCs w:val="20"/>
          <w:lang w:val="sr-Cyrl-RS"/>
        </w:rPr>
        <w:t xml:space="preserve"> дијалога</w:t>
      </w:r>
      <w:r w:rsidR="000D6786" w:rsidRPr="1A8E6423">
        <w:rPr>
          <w:rFonts w:ascii="Arial" w:hAnsi="Arial" w:cs="Arial"/>
          <w:sz w:val="20"/>
          <w:szCs w:val="20"/>
          <w:lang w:val="sr-Cyrl-RS"/>
        </w:rPr>
        <w:t xml:space="preserve"> н</w:t>
      </w:r>
      <w:r w:rsidR="008537D1" w:rsidRPr="1A8E6423">
        <w:rPr>
          <w:rFonts w:ascii="Arial" w:hAnsi="Arial" w:cs="Arial"/>
          <w:sz w:val="20"/>
          <w:szCs w:val="20"/>
          <w:lang w:val="sr-Cyrl-RS"/>
        </w:rPr>
        <w:t>е</w:t>
      </w:r>
      <w:r w:rsidR="00BE5F53" w:rsidRPr="1A8E6423">
        <w:rPr>
          <w:rFonts w:ascii="Arial" w:hAnsi="Arial" w:cs="Arial"/>
          <w:sz w:val="20"/>
          <w:szCs w:val="20"/>
          <w:lang w:val="sr-Cyrl-RS"/>
        </w:rPr>
        <w:t xml:space="preserve"> </w:t>
      </w:r>
      <w:r w:rsidR="008537D1" w:rsidRPr="1A8E6423">
        <w:rPr>
          <w:rFonts w:ascii="Arial" w:hAnsi="Arial" w:cs="Arial"/>
          <w:sz w:val="20"/>
          <w:szCs w:val="20"/>
          <w:lang w:val="sr-Cyrl-RS"/>
        </w:rPr>
        <w:t>функционишу у пракси (</w:t>
      </w:r>
      <w:r w:rsidR="00270C41" w:rsidRPr="1A8E6423">
        <w:rPr>
          <w:rFonts w:ascii="Arial" w:hAnsi="Arial" w:cs="Arial"/>
          <w:sz w:val="20"/>
          <w:szCs w:val="20"/>
          <w:lang w:val="sr-Cyrl-RS"/>
        </w:rPr>
        <w:t>Комисија за финансирање локалне самоуправе</w:t>
      </w:r>
      <w:r w:rsidR="008537D1" w:rsidRPr="1A8E6423">
        <w:rPr>
          <w:rFonts w:ascii="Arial" w:hAnsi="Arial" w:cs="Arial"/>
          <w:sz w:val="20"/>
          <w:szCs w:val="20"/>
          <w:lang w:val="sr-Cyrl-RS"/>
        </w:rPr>
        <w:t>)</w:t>
      </w:r>
      <w:r w:rsidR="00270C41" w:rsidRPr="1A8E6423">
        <w:rPr>
          <w:rFonts w:ascii="Arial" w:hAnsi="Arial" w:cs="Arial"/>
          <w:sz w:val="20"/>
          <w:szCs w:val="20"/>
          <w:lang w:val="sr-Cyrl-RS"/>
        </w:rPr>
        <w:t xml:space="preserve">. </w:t>
      </w:r>
      <w:r w:rsidR="008537D1" w:rsidRPr="1A8E6423">
        <w:rPr>
          <w:rFonts w:ascii="Arial" w:hAnsi="Arial" w:cs="Arial"/>
          <w:sz w:val="20"/>
          <w:szCs w:val="20"/>
          <w:lang w:val="sr-Cyrl-RS"/>
        </w:rPr>
        <w:t>Коначно</w:t>
      </w:r>
      <w:r w:rsidR="00B34EDB" w:rsidRPr="1A8E6423">
        <w:rPr>
          <w:rFonts w:ascii="Arial" w:hAnsi="Arial" w:cs="Arial"/>
          <w:sz w:val="20"/>
          <w:szCs w:val="20"/>
          <w:lang w:val="sr-Cyrl-RS"/>
        </w:rPr>
        <w:t xml:space="preserve">, </w:t>
      </w:r>
      <w:r w:rsidR="009D6EA7" w:rsidRPr="1A8E6423">
        <w:rPr>
          <w:rFonts w:ascii="Arial" w:hAnsi="Arial" w:cs="Arial"/>
          <w:sz w:val="20"/>
          <w:szCs w:val="20"/>
          <w:lang w:val="sr-Cyrl-RS"/>
        </w:rPr>
        <w:t xml:space="preserve">уместо </w:t>
      </w:r>
      <w:r w:rsidR="0086444E" w:rsidRPr="1A8E6423">
        <w:rPr>
          <w:rFonts w:ascii="Arial" w:hAnsi="Arial" w:cs="Arial"/>
          <w:sz w:val="20"/>
          <w:szCs w:val="20"/>
          <w:lang w:val="sr-Cyrl-RS"/>
        </w:rPr>
        <w:t>двосмерн</w:t>
      </w:r>
      <w:r w:rsidR="009D6EA7" w:rsidRPr="1A8E6423">
        <w:rPr>
          <w:rFonts w:ascii="Arial" w:hAnsi="Arial" w:cs="Arial"/>
          <w:sz w:val="20"/>
          <w:szCs w:val="20"/>
          <w:lang w:val="sr-Cyrl-RS"/>
        </w:rPr>
        <w:t>ог</w:t>
      </w:r>
      <w:r w:rsidR="0086444E" w:rsidRPr="1A8E6423">
        <w:rPr>
          <w:rFonts w:ascii="Arial" w:hAnsi="Arial" w:cs="Arial"/>
          <w:sz w:val="20"/>
          <w:szCs w:val="20"/>
          <w:lang w:val="sr-Cyrl-RS"/>
        </w:rPr>
        <w:t xml:space="preserve"> дијалог</w:t>
      </w:r>
      <w:r w:rsidR="009D6EA7" w:rsidRPr="1A8E6423">
        <w:rPr>
          <w:rFonts w:ascii="Arial" w:hAnsi="Arial" w:cs="Arial"/>
          <w:sz w:val="20"/>
          <w:szCs w:val="20"/>
          <w:lang w:val="sr-Cyrl-RS"/>
        </w:rPr>
        <w:t>а и</w:t>
      </w:r>
      <w:r w:rsidR="00B34EDB" w:rsidRPr="1A8E6423">
        <w:rPr>
          <w:rFonts w:ascii="Arial" w:hAnsi="Arial" w:cs="Arial"/>
          <w:sz w:val="20"/>
          <w:szCs w:val="20"/>
          <w:lang w:val="sr-Cyrl-RS"/>
        </w:rPr>
        <w:t xml:space="preserve"> </w:t>
      </w:r>
      <w:r w:rsidR="008A2437" w:rsidRPr="1A8E6423">
        <w:rPr>
          <w:rFonts w:ascii="Arial" w:hAnsi="Arial" w:cs="Arial"/>
          <w:sz w:val="20"/>
          <w:szCs w:val="20"/>
          <w:lang w:val="sr-Cyrl-RS"/>
        </w:rPr>
        <w:t>подршк</w:t>
      </w:r>
      <w:r w:rsidR="009D6EA7" w:rsidRPr="1A8E6423">
        <w:rPr>
          <w:rFonts w:ascii="Arial" w:hAnsi="Arial" w:cs="Arial"/>
          <w:sz w:val="20"/>
          <w:szCs w:val="20"/>
          <w:lang w:val="sr-Cyrl-RS"/>
        </w:rPr>
        <w:t>е</w:t>
      </w:r>
      <w:r w:rsidR="0086444E" w:rsidRPr="1A8E6423">
        <w:rPr>
          <w:rFonts w:ascii="Arial" w:hAnsi="Arial" w:cs="Arial"/>
          <w:sz w:val="20"/>
          <w:szCs w:val="20"/>
          <w:lang w:val="sr-Cyrl-RS"/>
        </w:rPr>
        <w:t xml:space="preserve"> </w:t>
      </w:r>
      <w:r w:rsidR="009D6EA7" w:rsidRPr="1A8E6423">
        <w:rPr>
          <w:rFonts w:ascii="Arial" w:hAnsi="Arial" w:cs="Arial"/>
          <w:sz w:val="20"/>
          <w:szCs w:val="20"/>
          <w:lang w:val="sr-Cyrl-RS"/>
        </w:rPr>
        <w:t>различитих нивоа јавне власти</w:t>
      </w:r>
      <w:r w:rsidR="00FF5EDE" w:rsidRPr="1A8E6423">
        <w:rPr>
          <w:rFonts w:ascii="Arial" w:hAnsi="Arial" w:cs="Arial"/>
          <w:sz w:val="20"/>
          <w:szCs w:val="20"/>
          <w:lang w:val="sr-Cyrl-RS"/>
        </w:rPr>
        <w:t>,</w:t>
      </w:r>
      <w:r w:rsidR="0086444E" w:rsidRPr="1A8E6423">
        <w:rPr>
          <w:rFonts w:ascii="Arial" w:hAnsi="Arial" w:cs="Arial"/>
          <w:sz w:val="20"/>
          <w:szCs w:val="20"/>
          <w:lang w:val="sr-Cyrl-RS"/>
        </w:rPr>
        <w:t xml:space="preserve"> </w:t>
      </w:r>
      <w:r w:rsidR="009D6EA7" w:rsidRPr="1A8E6423">
        <w:rPr>
          <w:rFonts w:ascii="Arial" w:hAnsi="Arial" w:cs="Arial"/>
          <w:sz w:val="20"/>
          <w:szCs w:val="20"/>
          <w:lang w:val="sr-Cyrl-RS"/>
        </w:rPr>
        <w:t xml:space="preserve">комуникација се </w:t>
      </w:r>
      <w:r w:rsidR="007D7036" w:rsidRPr="1A8E6423">
        <w:rPr>
          <w:rFonts w:ascii="Arial" w:hAnsi="Arial" w:cs="Arial"/>
          <w:sz w:val="20"/>
          <w:szCs w:val="20"/>
          <w:lang w:val="sr-Cyrl-RS"/>
        </w:rPr>
        <w:t xml:space="preserve">често </w:t>
      </w:r>
      <w:r w:rsidR="009D6EA7" w:rsidRPr="1A8E6423">
        <w:rPr>
          <w:rFonts w:ascii="Arial" w:hAnsi="Arial" w:cs="Arial"/>
          <w:sz w:val="20"/>
          <w:szCs w:val="20"/>
          <w:lang w:val="sr-Cyrl-RS"/>
        </w:rPr>
        <w:t xml:space="preserve">своди на </w:t>
      </w:r>
      <w:r w:rsidR="008A2437" w:rsidRPr="1A8E6423">
        <w:rPr>
          <w:rFonts w:ascii="Arial" w:hAnsi="Arial" w:cs="Arial"/>
          <w:sz w:val="20"/>
          <w:szCs w:val="20"/>
          <w:lang w:val="sr-Cyrl-RS"/>
        </w:rPr>
        <w:t>спорадичну и</w:t>
      </w:r>
      <w:r w:rsidR="002E6C72" w:rsidRPr="1A8E6423">
        <w:rPr>
          <w:rFonts w:ascii="Arial" w:hAnsi="Arial" w:cs="Arial"/>
          <w:sz w:val="20"/>
          <w:szCs w:val="20"/>
          <w:lang w:val="sr-Cyrl-RS"/>
        </w:rPr>
        <w:t xml:space="preserve"> неефикасну контролу и на</w:t>
      </w:r>
      <w:r w:rsidR="008A2437" w:rsidRPr="1A8E6423">
        <w:rPr>
          <w:rFonts w:ascii="Arial" w:hAnsi="Arial" w:cs="Arial"/>
          <w:sz w:val="20"/>
          <w:szCs w:val="20"/>
          <w:lang w:val="sr-Cyrl-RS"/>
        </w:rPr>
        <w:t xml:space="preserve"> некординисано прикупљање различитих </w:t>
      </w:r>
      <w:r w:rsidR="006642FC" w:rsidRPr="1A8E6423">
        <w:rPr>
          <w:rFonts w:ascii="Arial" w:hAnsi="Arial" w:cs="Arial"/>
          <w:sz w:val="20"/>
          <w:szCs w:val="20"/>
          <w:lang w:val="sr-Cyrl-RS"/>
        </w:rPr>
        <w:t>информација и података од ЈЛС.</w:t>
      </w:r>
    </w:p>
    <w:p w14:paraId="5711872E" w14:textId="77777777" w:rsidR="00D655A1" w:rsidRPr="00A021B7" w:rsidRDefault="00D655A1" w:rsidP="1A8E6423">
      <w:pPr>
        <w:ind w:firstLine="720"/>
        <w:jc w:val="both"/>
        <w:rPr>
          <w:rFonts w:ascii="Arial" w:hAnsi="Arial" w:cs="Arial"/>
          <w:sz w:val="20"/>
          <w:szCs w:val="20"/>
          <w:lang w:val="sr-Cyrl-RS"/>
        </w:rPr>
      </w:pPr>
    </w:p>
    <w:p w14:paraId="567BCDF8" w14:textId="7BF0990C" w:rsidR="00DE5ED5" w:rsidRPr="00A021B7" w:rsidRDefault="00C07999" w:rsidP="1A8E6423">
      <w:pPr>
        <w:ind w:firstLine="720"/>
        <w:jc w:val="both"/>
        <w:rPr>
          <w:rFonts w:ascii="Arial" w:hAnsi="Arial" w:cs="Arial"/>
          <w:sz w:val="20"/>
          <w:szCs w:val="20"/>
          <w:lang w:val="sr-Cyrl-RS"/>
        </w:rPr>
      </w:pPr>
      <w:r w:rsidRPr="1A8E6423">
        <w:rPr>
          <w:rFonts w:ascii="Arial" w:hAnsi="Arial" w:cs="Arial"/>
          <w:color w:val="000000" w:themeColor="text1"/>
          <w:sz w:val="20"/>
          <w:szCs w:val="20"/>
          <w:lang w:val="sr-Cyrl-RS" w:eastAsia="de-CH"/>
        </w:rPr>
        <w:t xml:space="preserve">Услед повећања сложености послова и чињенице да се све више одговорности налази на оном нивоу власти који је најближи грађанима, дијалог и мрежа комуникационих односа између свих територијалних власти једне државе постаје веома важно питање у европским земљама. Европски трендови посебно указују на потребу </w:t>
      </w:r>
      <w:r w:rsidR="00356942" w:rsidRPr="1A8E6423">
        <w:rPr>
          <w:rFonts w:ascii="Arial" w:hAnsi="Arial" w:cs="Arial"/>
          <w:color w:val="000000" w:themeColor="text1"/>
          <w:sz w:val="20"/>
          <w:szCs w:val="20"/>
          <w:lang w:val="sr-Cyrl-RS" w:eastAsia="de-CH"/>
        </w:rPr>
        <w:t xml:space="preserve">за </w:t>
      </w:r>
      <w:r w:rsidRPr="1A8E6423">
        <w:rPr>
          <w:rFonts w:ascii="Arial" w:hAnsi="Arial" w:cs="Arial"/>
          <w:color w:val="000000" w:themeColor="text1"/>
          <w:sz w:val="20"/>
          <w:szCs w:val="20"/>
          <w:lang w:val="sr-Cyrl-RS" w:eastAsia="de-CH"/>
        </w:rPr>
        <w:t>пун</w:t>
      </w:r>
      <w:r w:rsidR="00356942" w:rsidRPr="1A8E6423">
        <w:rPr>
          <w:rFonts w:ascii="Arial" w:hAnsi="Arial" w:cs="Arial"/>
          <w:color w:val="000000" w:themeColor="text1"/>
          <w:sz w:val="20"/>
          <w:szCs w:val="20"/>
          <w:lang w:val="sr-Cyrl-RS" w:eastAsia="de-CH"/>
        </w:rPr>
        <w:t>им</w:t>
      </w:r>
      <w:r w:rsidRPr="1A8E6423">
        <w:rPr>
          <w:rFonts w:ascii="Arial" w:hAnsi="Arial" w:cs="Arial"/>
          <w:color w:val="000000" w:themeColor="text1"/>
          <w:sz w:val="20"/>
          <w:szCs w:val="20"/>
          <w:lang w:val="sr-Cyrl-RS" w:eastAsia="de-CH"/>
        </w:rPr>
        <w:t xml:space="preserve"> учешћ</w:t>
      </w:r>
      <w:r w:rsidR="00356942" w:rsidRPr="1A8E6423">
        <w:rPr>
          <w:rFonts w:ascii="Arial" w:hAnsi="Arial" w:cs="Arial"/>
          <w:color w:val="000000" w:themeColor="text1"/>
          <w:sz w:val="20"/>
          <w:szCs w:val="20"/>
          <w:lang w:val="sr-Cyrl-RS" w:eastAsia="de-CH"/>
        </w:rPr>
        <w:t>ем</w:t>
      </w:r>
      <w:r w:rsidRPr="1A8E6423">
        <w:rPr>
          <w:rFonts w:ascii="Arial" w:hAnsi="Arial" w:cs="Arial"/>
          <w:color w:val="000000" w:themeColor="text1"/>
          <w:sz w:val="20"/>
          <w:szCs w:val="20"/>
          <w:lang w:val="sr-Cyrl-RS" w:eastAsia="de-CH"/>
        </w:rPr>
        <w:t xml:space="preserve"> градова и општина у изради</w:t>
      </w:r>
      <w:r w:rsidR="00DA5180" w:rsidRPr="1A8E6423">
        <w:rPr>
          <w:rFonts w:ascii="Arial" w:hAnsi="Arial" w:cs="Arial"/>
          <w:color w:val="000000" w:themeColor="text1"/>
          <w:sz w:val="20"/>
          <w:szCs w:val="20"/>
          <w:lang w:val="sr-Cyrl-RS" w:eastAsia="de-CH"/>
        </w:rPr>
        <w:t xml:space="preserve">, </w:t>
      </w:r>
      <w:r w:rsidRPr="1A8E6423">
        <w:rPr>
          <w:rFonts w:ascii="Arial" w:hAnsi="Arial" w:cs="Arial"/>
          <w:color w:val="000000" w:themeColor="text1"/>
          <w:sz w:val="20"/>
          <w:szCs w:val="20"/>
          <w:lang w:val="sr-Cyrl-RS" w:eastAsia="de-CH"/>
        </w:rPr>
        <w:t xml:space="preserve">доношењу </w:t>
      </w:r>
      <w:r w:rsidR="00DA5180" w:rsidRPr="1A8E6423">
        <w:rPr>
          <w:rFonts w:ascii="Arial" w:hAnsi="Arial" w:cs="Arial"/>
          <w:color w:val="000000" w:themeColor="text1"/>
          <w:sz w:val="20"/>
          <w:szCs w:val="20"/>
          <w:lang w:val="sr-Cyrl-RS" w:eastAsia="de-CH"/>
        </w:rPr>
        <w:t xml:space="preserve">и анализи примене </w:t>
      </w:r>
      <w:r w:rsidRPr="1A8E6423">
        <w:rPr>
          <w:rFonts w:ascii="Arial" w:hAnsi="Arial" w:cs="Arial"/>
          <w:color w:val="000000" w:themeColor="text1"/>
          <w:sz w:val="20"/>
          <w:szCs w:val="20"/>
          <w:lang w:val="sr-Cyrl-RS" w:eastAsia="de-CH"/>
        </w:rPr>
        <w:t>јавних политика и прописа који их се тичу и које треба да примењују. За даљу реформу система локалне самоуправе потребно је интензивирати и унапредити дијалог различитих нивоа власти</w:t>
      </w:r>
      <w:r w:rsidR="00FC37FB" w:rsidRPr="1A8E6423">
        <w:rPr>
          <w:rFonts w:ascii="Arial" w:hAnsi="Arial" w:cs="Arial"/>
          <w:color w:val="000000" w:themeColor="text1"/>
          <w:sz w:val="20"/>
          <w:szCs w:val="20"/>
          <w:lang w:val="sr-Cyrl-RS" w:eastAsia="de-CH"/>
        </w:rPr>
        <w:t>,</w:t>
      </w:r>
      <w:r w:rsidRPr="1A8E6423">
        <w:rPr>
          <w:rFonts w:ascii="Arial" w:hAnsi="Arial" w:cs="Arial"/>
          <w:color w:val="000000" w:themeColor="text1"/>
          <w:sz w:val="20"/>
          <w:szCs w:val="20"/>
          <w:lang w:val="sr-Cyrl-RS" w:eastAsia="de-CH"/>
        </w:rPr>
        <w:t xml:space="preserve"> јер он представља предуслов за обезбеђивање кохерентности у креирању и спровођењу јавне политике.</w:t>
      </w:r>
      <w:r w:rsidR="002B415C" w:rsidRPr="1A8E6423">
        <w:rPr>
          <w:rFonts w:ascii="Arial" w:hAnsi="Arial" w:cs="Arial"/>
          <w:color w:val="000000" w:themeColor="text1"/>
          <w:sz w:val="20"/>
          <w:szCs w:val="20"/>
          <w:lang w:val="sr-Cyrl-RS" w:eastAsia="de-CH"/>
        </w:rPr>
        <w:t xml:space="preserve"> </w:t>
      </w:r>
      <w:r w:rsidR="007C55A1" w:rsidRPr="1A8E6423">
        <w:rPr>
          <w:rFonts w:ascii="Arial" w:hAnsi="Arial" w:cs="Arial"/>
          <w:color w:val="000000" w:themeColor="text1"/>
          <w:sz w:val="20"/>
          <w:szCs w:val="20"/>
          <w:lang w:val="sr-Cyrl-RS" w:eastAsia="de-CH"/>
        </w:rPr>
        <w:t>Посебно је н</w:t>
      </w:r>
      <w:r w:rsidRPr="1A8E6423">
        <w:rPr>
          <w:rFonts w:ascii="Arial" w:hAnsi="Arial" w:cs="Arial"/>
          <w:color w:val="000000" w:themeColor="text1"/>
          <w:sz w:val="20"/>
          <w:szCs w:val="20"/>
          <w:lang w:val="sr-Cyrl-RS" w:eastAsia="de-CH"/>
        </w:rPr>
        <w:t>еопходно институционализовање дијалога</w:t>
      </w:r>
      <w:r w:rsidR="00AF646F" w:rsidRPr="1A8E6423">
        <w:rPr>
          <w:rFonts w:ascii="Arial" w:hAnsi="Arial" w:cs="Arial"/>
          <w:color w:val="000000" w:themeColor="text1"/>
          <w:sz w:val="20"/>
          <w:szCs w:val="20"/>
          <w:lang w:val="sr-Cyrl-RS" w:eastAsia="de-CH"/>
        </w:rPr>
        <w:t xml:space="preserve"> и доследн</w:t>
      </w:r>
      <w:r w:rsidR="0015452E" w:rsidRPr="1A8E6423">
        <w:rPr>
          <w:rFonts w:ascii="Arial" w:hAnsi="Arial" w:cs="Arial"/>
          <w:color w:val="000000" w:themeColor="text1"/>
          <w:sz w:val="20"/>
          <w:szCs w:val="20"/>
          <w:lang w:val="sr-Cyrl-RS" w:eastAsia="de-CH"/>
        </w:rPr>
        <w:t>о спровођење процеса у коме</w:t>
      </w:r>
      <w:r w:rsidR="00AF646F" w:rsidRPr="1A8E6423">
        <w:rPr>
          <w:rFonts w:ascii="Arial" w:hAnsi="Arial" w:cs="Arial"/>
          <w:color w:val="000000" w:themeColor="text1"/>
          <w:sz w:val="20"/>
          <w:szCs w:val="20"/>
          <w:lang w:val="sr-Cyrl-RS" w:eastAsia="de-CH"/>
        </w:rPr>
        <w:t xml:space="preserve"> виши нивои власти консултују и укључују локалне власти и њихову националну асоцијацију у развијање </w:t>
      </w:r>
      <w:r w:rsidR="00AF4A41" w:rsidRPr="1A8E6423">
        <w:rPr>
          <w:rFonts w:ascii="Arial" w:hAnsi="Arial" w:cs="Arial"/>
          <w:color w:val="000000" w:themeColor="text1"/>
          <w:sz w:val="20"/>
          <w:szCs w:val="20"/>
          <w:lang w:val="sr-Cyrl-RS" w:eastAsia="de-CH"/>
        </w:rPr>
        <w:t>јавне политике</w:t>
      </w:r>
      <w:r w:rsidR="00AF646F" w:rsidRPr="1A8E6423">
        <w:rPr>
          <w:rFonts w:ascii="Arial" w:hAnsi="Arial" w:cs="Arial"/>
          <w:color w:val="000000" w:themeColor="text1"/>
          <w:sz w:val="20"/>
          <w:szCs w:val="20"/>
          <w:lang w:val="sr-Cyrl-RS" w:eastAsia="de-CH"/>
        </w:rPr>
        <w:t xml:space="preserve">, прописа и мера које имају утицај на локалну самоуправу. </w:t>
      </w:r>
      <w:r w:rsidR="0015452E" w:rsidRPr="1A8E6423">
        <w:rPr>
          <w:rFonts w:ascii="Arial" w:hAnsi="Arial" w:cs="Arial"/>
          <w:color w:val="000000" w:themeColor="text1"/>
          <w:sz w:val="20"/>
          <w:szCs w:val="20"/>
          <w:lang w:val="sr-Cyrl-RS" w:eastAsia="de-CH"/>
        </w:rPr>
        <w:t>У вези са тим</w:t>
      </w:r>
      <w:r w:rsidR="00AF646F" w:rsidRPr="1A8E6423">
        <w:rPr>
          <w:rFonts w:ascii="Arial" w:hAnsi="Arial" w:cs="Arial"/>
          <w:color w:val="000000" w:themeColor="text1"/>
          <w:sz w:val="20"/>
          <w:szCs w:val="20"/>
          <w:lang w:val="sr-Cyrl-RS" w:eastAsia="de-CH"/>
        </w:rPr>
        <w:t xml:space="preserve"> </w:t>
      </w:r>
      <w:r w:rsidR="00F42389" w:rsidRPr="1A8E6423">
        <w:rPr>
          <w:rFonts w:ascii="Arial" w:hAnsi="Arial" w:cs="Arial"/>
          <w:color w:val="000000" w:themeColor="text1"/>
          <w:sz w:val="20"/>
          <w:szCs w:val="20"/>
          <w:lang w:val="sr-Cyrl-RS" w:eastAsia="de-CH"/>
        </w:rPr>
        <w:t>треба</w:t>
      </w:r>
      <w:r w:rsidR="0015452E" w:rsidRPr="1A8E6423">
        <w:rPr>
          <w:rFonts w:ascii="Arial" w:hAnsi="Arial" w:cs="Arial"/>
          <w:color w:val="000000" w:themeColor="text1"/>
          <w:sz w:val="20"/>
          <w:szCs w:val="20"/>
          <w:lang w:val="sr-Cyrl-RS" w:eastAsia="de-CH"/>
        </w:rPr>
        <w:t xml:space="preserve"> </w:t>
      </w:r>
      <w:r w:rsidR="00B149B8" w:rsidRPr="1A8E6423">
        <w:rPr>
          <w:rFonts w:ascii="Arial" w:hAnsi="Arial" w:cs="Arial"/>
          <w:color w:val="000000" w:themeColor="text1"/>
          <w:sz w:val="20"/>
          <w:szCs w:val="20"/>
          <w:lang w:val="sr-Cyrl-RS" w:eastAsia="de-CH"/>
        </w:rPr>
        <w:t xml:space="preserve">сагледати позитивна искуства појединих европских земаља </w:t>
      </w:r>
      <w:r w:rsidR="007108FB" w:rsidRPr="1A8E6423">
        <w:rPr>
          <w:rFonts w:ascii="Arial" w:hAnsi="Arial" w:cs="Arial"/>
          <w:color w:val="000000" w:themeColor="text1"/>
          <w:sz w:val="20"/>
          <w:szCs w:val="20"/>
          <w:lang w:val="sr-Cyrl-RS" w:eastAsia="de-CH"/>
        </w:rPr>
        <w:t xml:space="preserve">у којима националне асоцијације локалних власти </w:t>
      </w:r>
      <w:r w:rsidR="00166A52" w:rsidRPr="1A8E6423">
        <w:rPr>
          <w:rFonts w:ascii="Arial" w:hAnsi="Arial" w:cs="Arial"/>
          <w:color w:val="000000" w:themeColor="text1"/>
          <w:sz w:val="20"/>
          <w:szCs w:val="20"/>
          <w:lang w:val="sr-Cyrl-RS" w:eastAsia="de-CH"/>
        </w:rPr>
        <w:t xml:space="preserve">имају континуирани </w:t>
      </w:r>
      <w:r w:rsidR="00FF4F43" w:rsidRPr="1A8E6423">
        <w:rPr>
          <w:rFonts w:ascii="Arial" w:hAnsi="Arial" w:cs="Arial"/>
          <w:color w:val="000000" w:themeColor="text1"/>
          <w:sz w:val="20"/>
          <w:szCs w:val="20"/>
          <w:lang w:val="sr-Cyrl-RS" w:eastAsia="de-CH"/>
        </w:rPr>
        <w:t xml:space="preserve">институционализовани </w:t>
      </w:r>
      <w:r w:rsidR="00166A52" w:rsidRPr="1A8E6423">
        <w:rPr>
          <w:rFonts w:ascii="Arial" w:hAnsi="Arial" w:cs="Arial"/>
          <w:color w:val="000000" w:themeColor="text1"/>
          <w:sz w:val="20"/>
          <w:szCs w:val="20"/>
          <w:lang w:val="sr-Cyrl-RS" w:eastAsia="de-CH"/>
        </w:rPr>
        <w:t xml:space="preserve">дијалог са </w:t>
      </w:r>
      <w:r w:rsidR="00AF646F" w:rsidRPr="1A8E6423">
        <w:rPr>
          <w:rFonts w:ascii="Arial" w:hAnsi="Arial" w:cs="Arial"/>
          <w:color w:val="000000" w:themeColor="text1"/>
          <w:sz w:val="20"/>
          <w:szCs w:val="20"/>
          <w:lang w:val="sr-Cyrl-RS" w:eastAsia="de-CH"/>
        </w:rPr>
        <w:t>националним институцијама</w:t>
      </w:r>
      <w:r w:rsidR="00FF4F43" w:rsidRPr="1A8E6423">
        <w:rPr>
          <w:rFonts w:ascii="Arial" w:hAnsi="Arial" w:cs="Arial"/>
          <w:color w:val="000000" w:themeColor="text1"/>
          <w:sz w:val="20"/>
          <w:szCs w:val="20"/>
          <w:lang w:val="sr-Cyrl-RS" w:eastAsia="de-CH"/>
        </w:rPr>
        <w:t xml:space="preserve"> о политикама, прописима или финансијском оквиру за ЛС</w:t>
      </w:r>
      <w:r w:rsidR="00AF646F" w:rsidRPr="1A8E6423">
        <w:rPr>
          <w:rFonts w:ascii="Arial" w:hAnsi="Arial" w:cs="Arial"/>
          <w:color w:val="000000" w:themeColor="text1"/>
          <w:sz w:val="20"/>
          <w:szCs w:val="20"/>
          <w:lang w:val="sr-Cyrl-RS" w:eastAsia="de-CH"/>
        </w:rPr>
        <w:t xml:space="preserve"> (</w:t>
      </w:r>
      <w:r w:rsidR="00AF4A41" w:rsidRPr="1A8E6423">
        <w:rPr>
          <w:rFonts w:ascii="Arial" w:hAnsi="Arial" w:cs="Arial"/>
          <w:color w:val="000000" w:themeColor="text1"/>
          <w:sz w:val="20"/>
          <w:szCs w:val="20"/>
          <w:lang w:val="sr-Cyrl-RS" w:eastAsia="de-CH"/>
        </w:rPr>
        <w:t xml:space="preserve">нпр. </w:t>
      </w:r>
      <w:r w:rsidR="00AF646F" w:rsidRPr="1A8E6423">
        <w:rPr>
          <w:rFonts w:ascii="Arial" w:hAnsi="Arial" w:cs="Arial"/>
          <w:color w:val="000000" w:themeColor="text1"/>
          <w:sz w:val="20"/>
          <w:szCs w:val="20"/>
          <w:lang w:val="sr-Cyrl-RS" w:eastAsia="de-CH"/>
        </w:rPr>
        <w:t>Пољска, Аустрија).</w:t>
      </w:r>
      <w:r w:rsidR="004D5004" w:rsidRPr="1A8E6423">
        <w:rPr>
          <w:rFonts w:ascii="Arial" w:hAnsi="Arial" w:cs="Arial"/>
          <w:color w:val="000000" w:themeColor="text1"/>
          <w:sz w:val="20"/>
          <w:szCs w:val="20"/>
          <w:lang w:val="sr-Cyrl-RS" w:eastAsia="de-CH"/>
        </w:rPr>
        <w:t xml:space="preserve"> </w:t>
      </w:r>
      <w:r w:rsidR="002B415C" w:rsidRPr="1A8E6423">
        <w:rPr>
          <w:rFonts w:ascii="Arial" w:hAnsi="Arial" w:cs="Arial"/>
          <w:color w:val="000000" w:themeColor="text1"/>
          <w:sz w:val="20"/>
          <w:szCs w:val="20"/>
          <w:lang w:val="sr-Cyrl-RS" w:eastAsia="de-CH"/>
        </w:rPr>
        <w:t>Ове промене у систему управљања јавним пословима су веома важне</w:t>
      </w:r>
      <w:r w:rsidR="00F42389" w:rsidRPr="1A8E6423">
        <w:rPr>
          <w:rFonts w:ascii="Arial" w:hAnsi="Arial" w:cs="Arial"/>
          <w:color w:val="000000" w:themeColor="text1"/>
          <w:sz w:val="20"/>
          <w:szCs w:val="20"/>
          <w:lang w:val="sr-Cyrl-RS" w:eastAsia="de-CH"/>
        </w:rPr>
        <w:t>,</w:t>
      </w:r>
      <w:r w:rsidR="002B415C" w:rsidRPr="1A8E6423">
        <w:rPr>
          <w:rFonts w:ascii="Arial" w:hAnsi="Arial" w:cs="Arial"/>
          <w:color w:val="000000" w:themeColor="text1"/>
          <w:sz w:val="20"/>
          <w:szCs w:val="20"/>
          <w:lang w:val="sr-Cyrl-RS" w:eastAsia="de-CH"/>
        </w:rPr>
        <w:t xml:space="preserve"> јер </w:t>
      </w:r>
      <w:r w:rsidR="002B415C" w:rsidRPr="1A8E6423">
        <w:rPr>
          <w:rFonts w:ascii="Arial" w:hAnsi="Arial" w:cs="Arial"/>
          <w:sz w:val="20"/>
          <w:szCs w:val="20"/>
          <w:lang w:val="sr-Cyrl-RS"/>
        </w:rPr>
        <w:t>д</w:t>
      </w:r>
      <w:r w:rsidR="005F1881" w:rsidRPr="1A8E6423">
        <w:rPr>
          <w:rFonts w:ascii="Arial" w:hAnsi="Arial" w:cs="Arial"/>
          <w:sz w:val="20"/>
          <w:szCs w:val="20"/>
          <w:lang w:val="sr-Cyrl-RS"/>
        </w:rPr>
        <w:t>иј</w:t>
      </w:r>
      <w:r w:rsidR="00F42389" w:rsidRPr="1A8E6423">
        <w:rPr>
          <w:rFonts w:ascii="Arial" w:hAnsi="Arial" w:cs="Arial"/>
          <w:sz w:val="20"/>
          <w:szCs w:val="20"/>
          <w:lang w:val="sr-Cyrl-RS"/>
        </w:rPr>
        <w:t>алог различитих нивоа јавне управе</w:t>
      </w:r>
      <w:r w:rsidR="00FF5EDE" w:rsidRPr="1A8E6423">
        <w:rPr>
          <w:rFonts w:ascii="Arial" w:hAnsi="Arial" w:cs="Arial"/>
          <w:sz w:val="20"/>
          <w:szCs w:val="20"/>
          <w:lang w:val="sr-Cyrl-RS"/>
        </w:rPr>
        <w:t xml:space="preserve"> треба </w:t>
      </w:r>
      <w:r w:rsidR="00FF5EDE" w:rsidRPr="1A8E6423">
        <w:rPr>
          <w:rFonts w:ascii="Arial" w:hAnsi="Arial" w:cs="Arial"/>
          <w:color w:val="000000" w:themeColor="text1"/>
          <w:sz w:val="20"/>
          <w:szCs w:val="20"/>
          <w:lang w:val="sr-Cyrl-RS" w:eastAsia="de-CH"/>
        </w:rPr>
        <w:t xml:space="preserve">да </w:t>
      </w:r>
      <w:r w:rsidR="00DE5ED5" w:rsidRPr="1A8E6423">
        <w:rPr>
          <w:rFonts w:ascii="Arial" w:hAnsi="Arial" w:cs="Arial"/>
          <w:color w:val="000000" w:themeColor="text1"/>
          <w:sz w:val="20"/>
          <w:szCs w:val="20"/>
          <w:lang w:val="sr-Cyrl-RS" w:eastAsia="de-CH"/>
        </w:rPr>
        <w:t xml:space="preserve">омогући сталан проток идеја из ЈЛС, где постоји непосредан контакт са грађанима и могућност </w:t>
      </w:r>
      <w:r w:rsidR="00A8397A" w:rsidRPr="1A8E6423">
        <w:rPr>
          <w:rFonts w:ascii="Arial" w:hAnsi="Arial" w:cs="Arial"/>
          <w:color w:val="000000" w:themeColor="text1"/>
          <w:sz w:val="20"/>
          <w:szCs w:val="20"/>
          <w:lang w:val="sr-Cyrl-RS" w:eastAsia="de-CH"/>
        </w:rPr>
        <w:t xml:space="preserve">бољег </w:t>
      </w:r>
      <w:r w:rsidR="00DE5ED5" w:rsidRPr="1A8E6423">
        <w:rPr>
          <w:rFonts w:ascii="Arial" w:hAnsi="Arial" w:cs="Arial"/>
          <w:color w:val="000000" w:themeColor="text1"/>
          <w:sz w:val="20"/>
          <w:szCs w:val="20"/>
          <w:lang w:val="sr-Cyrl-RS" w:eastAsia="de-CH"/>
        </w:rPr>
        <w:t xml:space="preserve">уочавања </w:t>
      </w:r>
      <w:r w:rsidR="00A8397A" w:rsidRPr="1A8E6423">
        <w:rPr>
          <w:rFonts w:ascii="Arial" w:hAnsi="Arial" w:cs="Arial"/>
          <w:color w:val="000000" w:themeColor="text1"/>
          <w:sz w:val="20"/>
          <w:szCs w:val="20"/>
          <w:lang w:val="sr-Cyrl-RS" w:eastAsia="de-CH"/>
        </w:rPr>
        <w:t xml:space="preserve">потребних </w:t>
      </w:r>
      <w:r w:rsidR="00DE5ED5" w:rsidRPr="1A8E6423">
        <w:rPr>
          <w:rFonts w:ascii="Arial" w:hAnsi="Arial" w:cs="Arial"/>
          <w:color w:val="000000" w:themeColor="text1"/>
          <w:sz w:val="20"/>
          <w:szCs w:val="20"/>
          <w:lang w:val="sr-Cyrl-RS" w:eastAsia="de-CH"/>
        </w:rPr>
        <w:t xml:space="preserve">промена </w:t>
      </w:r>
      <w:r w:rsidR="00A43EEE" w:rsidRPr="1A8E6423">
        <w:rPr>
          <w:rFonts w:ascii="Arial" w:hAnsi="Arial" w:cs="Arial"/>
          <w:color w:val="000000" w:themeColor="text1"/>
          <w:sz w:val="20"/>
          <w:szCs w:val="20"/>
          <w:lang w:val="sr-Cyrl-RS" w:eastAsia="de-CH"/>
        </w:rPr>
        <w:t>јавних политика и прописа</w:t>
      </w:r>
      <w:r w:rsidR="00012B3D" w:rsidRPr="1A8E6423">
        <w:rPr>
          <w:rFonts w:ascii="Arial" w:hAnsi="Arial" w:cs="Arial"/>
          <w:color w:val="000000" w:themeColor="text1"/>
          <w:sz w:val="20"/>
          <w:szCs w:val="20"/>
          <w:lang w:val="sr-Cyrl-RS" w:eastAsia="de-CH"/>
        </w:rPr>
        <w:t>, као и пружање стручне помоћи од стране републичких органа у циљу потпуног разумевања јавних политика и прописа од стране органа локалне самоуправе, што је претпоставка њиховог делотворног и ефикасног спровођења и примене.</w:t>
      </w:r>
    </w:p>
    <w:p w14:paraId="66999043" w14:textId="77777777" w:rsidR="00A80011" w:rsidRPr="00A021B7" w:rsidRDefault="00A80011" w:rsidP="1A8E6423">
      <w:pPr>
        <w:ind w:firstLine="720"/>
        <w:jc w:val="both"/>
        <w:rPr>
          <w:rFonts w:ascii="Arial" w:hAnsi="Arial" w:cs="Arial"/>
          <w:b/>
          <w:bCs/>
          <w:sz w:val="20"/>
          <w:szCs w:val="20"/>
          <w:lang w:val="sr-Cyrl-RS"/>
        </w:rPr>
      </w:pPr>
    </w:p>
    <w:p w14:paraId="2C404D22" w14:textId="3423DC3C" w:rsidR="00CE205B" w:rsidRPr="00A021B7" w:rsidRDefault="00D9663F" w:rsidP="004935B9">
      <w:pPr>
        <w:pStyle w:val="Heading2"/>
        <w:rPr>
          <w:lang w:val="sr-Cyrl-RS"/>
        </w:rPr>
      </w:pPr>
      <w:bookmarkStart w:id="101" w:name="_Toc60136083"/>
      <w:bookmarkStart w:id="102" w:name="_Toc52865786"/>
      <w:bookmarkStart w:id="103" w:name="_Toc52866197"/>
      <w:bookmarkStart w:id="104" w:name="_Toc56508446"/>
      <w:r w:rsidRPr="1A8E6423">
        <w:rPr>
          <w:lang w:val="sr-Cyrl-RS"/>
        </w:rPr>
        <w:t>IV.</w:t>
      </w:r>
      <w:r w:rsidR="069F51BB" w:rsidRPr="1A8E6423">
        <w:rPr>
          <w:lang w:val="sr-Cyrl-RS"/>
        </w:rPr>
        <w:t>10</w:t>
      </w:r>
      <w:r w:rsidRPr="1A8E6423">
        <w:rPr>
          <w:lang w:val="sr-Cyrl-RS"/>
        </w:rPr>
        <w:t xml:space="preserve">. </w:t>
      </w:r>
      <w:r w:rsidR="00292BDE" w:rsidRPr="1A8E6423">
        <w:rPr>
          <w:lang w:val="sr-Cyrl-RS"/>
        </w:rPr>
        <w:t>Међуопштинска сарадња у обављању послова локалне самоуправе</w:t>
      </w:r>
      <w:bookmarkEnd w:id="101"/>
      <w:bookmarkEnd w:id="102"/>
      <w:bookmarkEnd w:id="103"/>
      <w:bookmarkEnd w:id="104"/>
    </w:p>
    <w:p w14:paraId="39DBCF51" w14:textId="77777777" w:rsidR="00041A12" w:rsidRPr="00A021B7" w:rsidRDefault="00041A12" w:rsidP="003E7BC9">
      <w:pPr>
        <w:jc w:val="both"/>
        <w:rPr>
          <w:rFonts w:ascii="Arial" w:hAnsi="Arial" w:cs="Arial"/>
          <w:b/>
          <w:bCs/>
          <w:sz w:val="22"/>
          <w:szCs w:val="22"/>
          <w:lang w:val="sr-Cyrl-RS"/>
        </w:rPr>
      </w:pPr>
    </w:p>
    <w:p w14:paraId="40AD3895" w14:textId="5AD03F85" w:rsidR="008368F9" w:rsidRPr="00A021B7" w:rsidRDefault="2B081716"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ЕПЛС </w:t>
      </w:r>
      <w:r w:rsidR="6D42FE61" w:rsidRPr="1A8E6423">
        <w:rPr>
          <w:rFonts w:ascii="Arial" w:hAnsi="Arial" w:cs="Arial"/>
          <w:sz w:val="20"/>
          <w:szCs w:val="20"/>
          <w:lang w:val="sr-Cyrl-RS"/>
        </w:rPr>
        <w:t xml:space="preserve">утврђује право локалних органа власти да сарађују и да буду део асоцијација. Чланом 10. </w:t>
      </w:r>
      <w:r w:rsidR="225D0094" w:rsidRPr="1A8E6423">
        <w:rPr>
          <w:rFonts w:ascii="Arial" w:hAnsi="Arial" w:cs="Arial"/>
          <w:sz w:val="20"/>
          <w:szCs w:val="20"/>
          <w:lang w:val="sr-Cyrl-RS"/>
        </w:rPr>
        <w:t>ЕПЛС</w:t>
      </w:r>
      <w:r w:rsidR="6D42FE61" w:rsidRPr="1A8E6423">
        <w:rPr>
          <w:rFonts w:ascii="Arial" w:hAnsi="Arial" w:cs="Arial"/>
          <w:sz w:val="20"/>
          <w:szCs w:val="20"/>
          <w:lang w:val="sr-Cyrl-RS"/>
        </w:rPr>
        <w:t xml:space="preserve"> прописано је да „локални органи власти имају право да у вршењу својих дужности сарађују и у оквиру закона стварају конзорцијуме са другим локалним органима власти у циљу остварења задатака од заједничког интереса.</w:t>
      </w:r>
      <w:r w:rsidR="503E649E" w:rsidRPr="1A8E6423">
        <w:rPr>
          <w:rFonts w:ascii="Arial" w:hAnsi="Arial" w:cs="Arial"/>
          <w:sz w:val="20"/>
          <w:szCs w:val="20"/>
          <w:lang w:val="sr-Cyrl-RS"/>
        </w:rPr>
        <w:t>”</w:t>
      </w:r>
      <w:r w:rsidR="6D42FE61" w:rsidRPr="1A8E6423">
        <w:rPr>
          <w:rFonts w:ascii="Arial" w:hAnsi="Arial" w:cs="Arial"/>
          <w:sz w:val="20"/>
          <w:szCs w:val="20"/>
          <w:lang w:val="sr-Cyrl-RS"/>
        </w:rPr>
        <w:t xml:space="preserve"> Локалне власти могу да имају и своју асоцијацију, да буду део неке међународне асоцијације или да сарађују са локалним властима у другим државама. </w:t>
      </w:r>
      <w:r w:rsidR="6D42FE61" w:rsidRPr="1A8E6423">
        <w:rPr>
          <w:rFonts w:ascii="Arial" w:hAnsi="Arial" w:cs="Arial"/>
          <w:color w:val="000000" w:themeColor="text1"/>
          <w:sz w:val="20"/>
          <w:szCs w:val="20"/>
          <w:lang w:val="sr-Cyrl-RS"/>
        </w:rPr>
        <w:t xml:space="preserve">Одредбе </w:t>
      </w:r>
      <w:r w:rsidR="0550B620" w:rsidRPr="1A8E6423">
        <w:rPr>
          <w:rFonts w:ascii="Arial" w:hAnsi="Arial" w:cs="Arial"/>
          <w:color w:val="000000" w:themeColor="text1"/>
          <w:sz w:val="20"/>
          <w:szCs w:val="20"/>
          <w:lang w:val="sr-Cyrl-RS"/>
        </w:rPr>
        <w:t xml:space="preserve">ЕПЛС </w:t>
      </w:r>
      <w:r w:rsidR="6D42FE61" w:rsidRPr="1A8E6423">
        <w:rPr>
          <w:rFonts w:ascii="Arial" w:hAnsi="Arial" w:cs="Arial"/>
          <w:color w:val="000000" w:themeColor="text1"/>
          <w:sz w:val="20"/>
          <w:szCs w:val="20"/>
          <w:lang w:val="sr-Cyrl-RS"/>
        </w:rPr>
        <w:t xml:space="preserve">прилично су широке и остављају простор за различите облике и нивое сарадње између локалних власти. </w:t>
      </w:r>
      <w:r w:rsidR="6D42FE61" w:rsidRPr="1A8E6423">
        <w:rPr>
          <w:rFonts w:ascii="Arial" w:hAnsi="Arial" w:cs="Arial"/>
          <w:sz w:val="20"/>
          <w:szCs w:val="20"/>
          <w:lang w:val="sr-Cyrl-RS"/>
        </w:rPr>
        <w:t>Међуопштинска сарадња (МОС) није, међутим, сама себи циљ, него има смисла када постојећа територијална организација није оптимални оквир за обављање одређених јавних послова, као и када удруживање ресурса може водити штедњи и/или унапређењу рада и услуга локалне самоуправе. MОС не изискује постојање посебног закона који ће уредити ову материју, иако у одређеном броју земаља такви закони постоје. Уколико потреба за МОС постоји, није довољно да правни оквир такву сарадњу не спречава, него је потребно и да буде подстицајан.</w:t>
      </w:r>
    </w:p>
    <w:p w14:paraId="50608405" w14:textId="77777777" w:rsidR="008368F9" w:rsidRPr="00A021B7" w:rsidRDefault="008368F9" w:rsidP="1A8E6423">
      <w:pPr>
        <w:ind w:firstLine="720"/>
        <w:jc w:val="both"/>
        <w:rPr>
          <w:rFonts w:ascii="Arial" w:hAnsi="Arial" w:cs="Arial"/>
          <w:sz w:val="20"/>
          <w:szCs w:val="20"/>
          <w:lang w:val="sr-Cyrl-RS"/>
        </w:rPr>
      </w:pPr>
    </w:p>
    <w:p w14:paraId="21B59021" w14:textId="3AD0708D" w:rsidR="008368F9" w:rsidRPr="00A021B7" w:rsidRDefault="6D42FE61" w:rsidP="1A8E64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hAnsi="Arial" w:cs="Arial"/>
          <w:sz w:val="20"/>
          <w:szCs w:val="20"/>
          <w:lang w:val="sr-Cyrl-RS"/>
        </w:rPr>
      </w:pPr>
      <w:r w:rsidRPr="1A8E6423">
        <w:rPr>
          <w:rFonts w:ascii="Arial" w:eastAsiaTheme="minorEastAsia" w:hAnsi="Arial" w:cs="Arial"/>
          <w:sz w:val="20"/>
          <w:szCs w:val="20"/>
          <w:lang w:val="sr-Cyrl-RS"/>
        </w:rPr>
        <w:t>У Србији већ низ година постоје и функционишу поједини облици МОС</w:t>
      </w:r>
      <w:r w:rsidRPr="00A021B7">
        <w:rPr>
          <w:rFonts w:ascii="Arial" w:hAnsi="Arial" w:cs="Arial"/>
          <w:color w:val="000000"/>
          <w:sz w:val="20"/>
          <w:szCs w:val="20"/>
          <w:lang w:val="sr-Cyrl-RS"/>
        </w:rPr>
        <w:t xml:space="preserve">. </w:t>
      </w:r>
      <w:r w:rsidRPr="1A8E6423">
        <w:rPr>
          <w:rFonts w:ascii="Arial" w:eastAsiaTheme="minorEastAsia" w:hAnsi="Arial" w:cs="Arial"/>
          <w:sz w:val="20"/>
          <w:szCs w:val="20"/>
          <w:lang w:val="sr-Cyrl-RS"/>
        </w:rPr>
        <w:t xml:space="preserve">Иако нема </w:t>
      </w:r>
      <w:r w:rsidRPr="00A021B7">
        <w:rPr>
          <w:rFonts w:ascii="Arial" w:hAnsi="Arial" w:cs="Arial"/>
          <w:sz w:val="20"/>
          <w:szCs w:val="20"/>
          <w:lang w:val="sr-Cyrl-RS"/>
        </w:rPr>
        <w:t xml:space="preserve">једног </w:t>
      </w:r>
      <w:r w:rsidRPr="1A8E6423">
        <w:rPr>
          <w:rFonts w:ascii="Arial" w:eastAsiaTheme="minorEastAsia" w:hAnsi="Arial" w:cs="Arial"/>
          <w:sz w:val="20"/>
          <w:szCs w:val="20"/>
          <w:lang w:val="sr-Cyrl-RS"/>
        </w:rPr>
        <w:t>посебног закона који уређује ову област, правни оквир у Србији не спречава</w:t>
      </w:r>
      <w:r w:rsidRPr="00A021B7">
        <w:rPr>
          <w:rFonts w:ascii="Arial" w:hAnsi="Arial" w:cs="Arial"/>
          <w:sz w:val="20"/>
          <w:szCs w:val="20"/>
          <w:lang w:val="sr-Cyrl-RS"/>
        </w:rPr>
        <w:t xml:space="preserve"> </w:t>
      </w:r>
      <w:r w:rsidRPr="1A8E6423">
        <w:rPr>
          <w:rFonts w:ascii="Arial" w:eastAsiaTheme="minorEastAsia" w:hAnsi="Arial" w:cs="Arial"/>
          <w:sz w:val="20"/>
          <w:szCs w:val="20"/>
          <w:lang w:val="sr-Cyrl-RS"/>
        </w:rPr>
        <w:t xml:space="preserve">МОС. </w:t>
      </w:r>
      <w:r w:rsidRPr="00A021B7">
        <w:rPr>
          <w:rFonts w:ascii="Arial" w:hAnsi="Arial" w:cs="Arial"/>
          <w:sz w:val="20"/>
          <w:szCs w:val="20"/>
          <w:lang w:val="sr-Cyrl-RS"/>
        </w:rPr>
        <w:t xml:space="preserve">Она је регулисана или иницирана кроз неколико стратешких докумената и прописа. То су првенствено </w:t>
      </w:r>
      <w:r w:rsidRPr="00A021B7">
        <w:rPr>
          <w:rFonts w:ascii="Arial" w:hAnsi="Arial" w:cs="Arial"/>
          <w:sz w:val="20"/>
          <w:szCs w:val="20"/>
          <w:lang w:val="sr-Cyrl-RS"/>
        </w:rPr>
        <w:lastRenderedPageBreak/>
        <w:t>Национална стратегија одрживог развоја</w:t>
      </w:r>
      <w:r w:rsidR="008368F9" w:rsidRPr="00A021B7">
        <w:rPr>
          <w:rStyle w:val="FootnoteReference"/>
          <w:rFonts w:ascii="Arial" w:hAnsi="Arial" w:cs="Arial"/>
          <w:sz w:val="20"/>
          <w:szCs w:val="20"/>
          <w:lang w:val="sr-Cyrl-RS"/>
        </w:rPr>
        <w:footnoteReference w:id="147"/>
      </w:r>
      <w:r w:rsidR="0005623C">
        <w:rPr>
          <w:rFonts w:ascii="Arial" w:hAnsi="Arial" w:cs="Arial"/>
          <w:sz w:val="20"/>
          <w:szCs w:val="20"/>
          <w:lang w:val="sr-Cyrl-RS"/>
        </w:rPr>
        <w:t>,</w:t>
      </w:r>
      <w:r w:rsidRPr="00A021B7">
        <w:rPr>
          <w:rFonts w:ascii="Arial" w:hAnsi="Arial" w:cs="Arial"/>
          <w:sz w:val="20"/>
          <w:szCs w:val="20"/>
          <w:lang w:val="sr-Cyrl-RS"/>
        </w:rPr>
        <w:t xml:space="preserve"> Стратегија управљања отпадом за период 2010</w:t>
      </w:r>
      <w:r w:rsidR="0005623C">
        <w:rPr>
          <w:rFonts w:ascii="Arial" w:hAnsi="Arial" w:cs="Arial"/>
          <w:sz w:val="20"/>
          <w:szCs w:val="20"/>
          <w:lang w:val="sr-Cyrl-RS"/>
        </w:rPr>
        <w:t>–</w:t>
      </w:r>
      <w:r w:rsidRPr="00A021B7">
        <w:rPr>
          <w:rFonts w:ascii="Arial" w:hAnsi="Arial" w:cs="Arial"/>
          <w:sz w:val="20"/>
          <w:szCs w:val="20"/>
          <w:lang w:val="sr-Cyrl-RS"/>
        </w:rPr>
        <w:t>2019. године</w:t>
      </w:r>
      <w:bookmarkStart w:id="105" w:name="_Hlk38450893"/>
      <w:bookmarkStart w:id="106" w:name="_Hlk38450595"/>
      <w:r w:rsidR="008368F9" w:rsidRPr="00A021B7">
        <w:rPr>
          <w:rStyle w:val="FootnoteReference"/>
          <w:rFonts w:ascii="Arial" w:hAnsi="Arial" w:cs="Arial"/>
          <w:sz w:val="20"/>
          <w:szCs w:val="20"/>
          <w:lang w:val="sr-Cyrl-RS"/>
        </w:rPr>
        <w:footnoteReference w:id="148"/>
      </w:r>
      <w:r w:rsidRPr="00A021B7">
        <w:rPr>
          <w:rFonts w:ascii="Arial" w:hAnsi="Arial" w:cs="Arial"/>
          <w:sz w:val="20"/>
          <w:szCs w:val="20"/>
          <w:lang w:val="sr-Cyrl-RS"/>
        </w:rPr>
        <w:t xml:space="preserve"> </w:t>
      </w:r>
      <w:bookmarkEnd w:id="105"/>
      <w:r w:rsidRPr="00A021B7">
        <w:rPr>
          <w:rFonts w:ascii="Arial" w:hAnsi="Arial" w:cs="Arial"/>
          <w:sz w:val="20"/>
          <w:szCs w:val="20"/>
          <w:lang w:val="sr-Cyrl-RS"/>
        </w:rPr>
        <w:t xml:space="preserve">те </w:t>
      </w:r>
      <w:bookmarkEnd w:id="106"/>
      <w:r w:rsidRPr="00A021B7">
        <w:rPr>
          <w:rFonts w:ascii="Arial" w:hAnsi="Arial" w:cs="Arial"/>
          <w:sz w:val="20"/>
          <w:szCs w:val="20"/>
          <w:lang w:val="sr-Cyrl-RS"/>
        </w:rPr>
        <w:t>Стратегија управљања водама на територији Републике Србије до 2034. године</w:t>
      </w:r>
      <w:r w:rsidR="008368F9" w:rsidRPr="00A021B7">
        <w:rPr>
          <w:rStyle w:val="FootnoteReference"/>
          <w:rFonts w:ascii="Arial" w:hAnsi="Arial" w:cs="Arial"/>
          <w:sz w:val="20"/>
          <w:szCs w:val="20"/>
          <w:lang w:val="sr-Cyrl-RS"/>
        </w:rPr>
        <w:footnoteReference w:id="149"/>
      </w:r>
      <w:r w:rsidR="0005623C">
        <w:rPr>
          <w:rFonts w:ascii="Arial" w:hAnsi="Arial" w:cs="Arial"/>
          <w:sz w:val="20"/>
          <w:szCs w:val="20"/>
          <w:lang w:val="sr-Cyrl-RS"/>
        </w:rPr>
        <w:t>.</w:t>
      </w:r>
      <w:r w:rsidRPr="00A021B7">
        <w:rPr>
          <w:rFonts w:ascii="Arial" w:hAnsi="Arial" w:cs="Arial"/>
          <w:sz w:val="20"/>
          <w:szCs w:val="20"/>
          <w:lang w:val="sr-Cyrl-RS"/>
        </w:rPr>
        <w:t xml:space="preserve"> Основни законски оквир чини више прописа који уређују како системску поставку за МОС, тако и њено спровођење, првенствено у области комуналних делатности, али и другим областима рада локалне самоуправе.</w:t>
      </w:r>
    </w:p>
    <w:p w14:paraId="4D67136F" w14:textId="77777777" w:rsidR="008368F9" w:rsidRPr="00A021B7" w:rsidRDefault="008368F9" w:rsidP="1A8E6423">
      <w:pPr>
        <w:ind w:firstLine="720"/>
        <w:jc w:val="both"/>
        <w:rPr>
          <w:rFonts w:ascii="Arial" w:hAnsi="Arial" w:cs="Arial"/>
          <w:sz w:val="20"/>
          <w:szCs w:val="20"/>
          <w:lang w:val="sr-Cyrl-RS"/>
        </w:rPr>
      </w:pPr>
    </w:p>
    <w:p w14:paraId="0661742D" w14:textId="251360BE" w:rsidR="008368F9" w:rsidRPr="00A021B7" w:rsidRDefault="6D42FE61"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Институционални облици сарадње и удруживања ЈЛС системски су уређени </w:t>
      </w:r>
      <w:r w:rsidR="571D8AB5" w:rsidRPr="1A8E6423">
        <w:rPr>
          <w:rFonts w:ascii="Arial" w:hAnsi="Arial" w:cs="Arial"/>
          <w:sz w:val="20"/>
          <w:szCs w:val="20"/>
          <w:lang w:val="sr-Cyrl-RS"/>
        </w:rPr>
        <w:t xml:space="preserve">у </w:t>
      </w:r>
      <w:r w:rsidRPr="1A8E6423">
        <w:rPr>
          <w:rFonts w:ascii="Arial" w:hAnsi="Arial" w:cs="Arial"/>
          <w:sz w:val="20"/>
          <w:szCs w:val="20"/>
          <w:lang w:val="sr-Cyrl-RS"/>
        </w:rPr>
        <w:t xml:space="preserve">ЗЛС </w:t>
      </w:r>
      <w:r w:rsidR="571D8AB5" w:rsidRPr="1A8E6423">
        <w:rPr>
          <w:rFonts w:ascii="Arial" w:hAnsi="Arial" w:cs="Arial"/>
          <w:sz w:val="20"/>
          <w:szCs w:val="20"/>
          <w:lang w:val="sr-Cyrl-RS"/>
        </w:rPr>
        <w:t>(</w:t>
      </w:r>
      <w:r w:rsidRPr="1A8E6423">
        <w:rPr>
          <w:rFonts w:ascii="Arial" w:hAnsi="Arial" w:cs="Arial"/>
          <w:sz w:val="20"/>
          <w:szCs w:val="20"/>
          <w:lang w:val="sr-Cyrl-RS"/>
        </w:rPr>
        <w:t>чл. 88</w:t>
      </w:r>
      <w:r w:rsidR="0005623C" w:rsidRPr="1A8E6423">
        <w:rPr>
          <w:rFonts w:ascii="Arial" w:hAnsi="Arial" w:cs="Arial"/>
          <w:sz w:val="20"/>
          <w:szCs w:val="20"/>
          <w:lang w:val="sr-Cyrl-RS"/>
        </w:rPr>
        <w:t>–</w:t>
      </w:r>
      <w:r w:rsidRPr="1A8E6423">
        <w:rPr>
          <w:rFonts w:ascii="Arial" w:hAnsi="Arial" w:cs="Arial"/>
          <w:sz w:val="20"/>
          <w:szCs w:val="20"/>
          <w:lang w:val="sr-Cyrl-RS"/>
        </w:rPr>
        <w:t>88д).</w:t>
      </w:r>
      <w:r w:rsidR="00B66D92" w:rsidRPr="1A8E6423">
        <w:rPr>
          <w:rFonts w:ascii="Arial" w:hAnsi="Arial" w:cs="Arial"/>
          <w:sz w:val="20"/>
          <w:szCs w:val="20"/>
          <w:lang w:val="sr-Cyrl-RS"/>
        </w:rPr>
        <w:t xml:space="preserve"> </w:t>
      </w:r>
      <w:r w:rsidRPr="1A8E6423">
        <w:rPr>
          <w:rFonts w:ascii="Arial" w:hAnsi="Arial" w:cs="Arial"/>
          <w:sz w:val="20"/>
          <w:szCs w:val="20"/>
          <w:lang w:val="sr-Cyrl-RS"/>
        </w:rPr>
        <w:t>Изменама и допунама ЗЛС 2018. године обезбеђен је знатно садржајнији правни оквир за успостављање и развој МОС. ЗЛС прописује да ЈЛС, њени органи и службе, као и предузећа, установе и друге организације чији је оснивач, остварују сарадњу и удружују се са другим ЈЛС и њ</w:t>
      </w:r>
      <w:r w:rsidR="0005623C" w:rsidRPr="1A8E6423">
        <w:rPr>
          <w:rFonts w:ascii="Arial" w:hAnsi="Arial" w:cs="Arial"/>
          <w:sz w:val="20"/>
          <w:szCs w:val="20"/>
          <w:lang w:val="sr-Cyrl-RS"/>
        </w:rPr>
        <w:t>ихов</w:t>
      </w:r>
      <w:r w:rsidRPr="1A8E6423">
        <w:rPr>
          <w:rFonts w:ascii="Arial" w:hAnsi="Arial" w:cs="Arial"/>
          <w:sz w:val="20"/>
          <w:szCs w:val="20"/>
          <w:lang w:val="sr-Cyrl-RS"/>
        </w:rPr>
        <w:t>им органима и службама у областима од заједничког интереса и да ради њиховог остваривања могу удруживати средства и образовати заједничке органе, службе, предузећа, установе и организације, у складу са законом и статутом. Овде треба имати у виду да ЗЛС уређује да се послови из области комуналних делатности заједнички обављају у складу са законом који уређује комуналне делатности. ЗЛС прописује обавезну садржин</w:t>
      </w:r>
      <w:r w:rsidR="32DB7B79" w:rsidRPr="1A8E6423">
        <w:rPr>
          <w:rFonts w:ascii="Arial" w:hAnsi="Arial" w:cs="Arial"/>
          <w:sz w:val="20"/>
          <w:szCs w:val="20"/>
          <w:lang w:val="sr-Cyrl-RS"/>
        </w:rPr>
        <w:t>у</w:t>
      </w:r>
      <w:r w:rsidRPr="1A8E6423">
        <w:rPr>
          <w:rFonts w:ascii="Arial" w:hAnsi="Arial" w:cs="Arial"/>
          <w:sz w:val="20"/>
          <w:szCs w:val="20"/>
          <w:lang w:val="sr-Cyrl-RS"/>
        </w:rPr>
        <w:t xml:space="preserve"> споразума о МОС, затим </w:t>
      </w:r>
      <w:r w:rsidR="0005623C" w:rsidRPr="1A8E6423">
        <w:rPr>
          <w:rFonts w:ascii="Arial" w:hAnsi="Arial" w:cs="Arial"/>
          <w:sz w:val="20"/>
          <w:szCs w:val="20"/>
          <w:lang w:val="sr-Cyrl-RS"/>
        </w:rPr>
        <w:t xml:space="preserve">то </w:t>
      </w:r>
      <w:r w:rsidRPr="1A8E6423">
        <w:rPr>
          <w:rFonts w:ascii="Arial" w:hAnsi="Arial" w:cs="Arial"/>
          <w:sz w:val="20"/>
          <w:szCs w:val="20"/>
          <w:lang w:val="sr-Cyrl-RS"/>
        </w:rPr>
        <w:t>да у случају споразумног оснивања заједничког органа, службе, предузећа или друге организације</w:t>
      </w:r>
      <w:r w:rsidR="0005623C" w:rsidRPr="1A8E6423">
        <w:rPr>
          <w:rFonts w:ascii="Arial" w:hAnsi="Arial" w:cs="Arial"/>
          <w:sz w:val="20"/>
          <w:szCs w:val="20"/>
          <w:lang w:val="sr-Cyrl-RS"/>
        </w:rPr>
        <w:t>,</w:t>
      </w:r>
      <w:r w:rsidRPr="1A8E6423">
        <w:rPr>
          <w:rFonts w:ascii="Arial" w:hAnsi="Arial" w:cs="Arial"/>
          <w:sz w:val="20"/>
          <w:szCs w:val="20"/>
          <w:lang w:val="sr-Cyrl-RS"/>
        </w:rPr>
        <w:t xml:space="preserve"> о њиховим руководиоцима одлучују надлежни органи ЈЛС који су оснивачи, као и да запослени своја права, обавезе и одговорности остварују у ЈЛС у којој је седиште заједничког организационог облика. ЗЛС уређује и </w:t>
      </w:r>
      <w:r w:rsidR="0005623C" w:rsidRPr="1A8E6423">
        <w:rPr>
          <w:rFonts w:ascii="Arial" w:hAnsi="Arial" w:cs="Arial"/>
          <w:sz w:val="20"/>
          <w:szCs w:val="20"/>
          <w:lang w:val="sr-Cyrl-RS"/>
        </w:rPr>
        <w:t xml:space="preserve">то </w:t>
      </w:r>
      <w:r w:rsidRPr="1A8E6423">
        <w:rPr>
          <w:rFonts w:ascii="Arial" w:hAnsi="Arial" w:cs="Arial"/>
          <w:sz w:val="20"/>
          <w:szCs w:val="20"/>
          <w:lang w:val="sr-Cyrl-RS"/>
        </w:rPr>
        <w:t>да споразум о сарадњи ЈЛС престаје да важи на захтев једне од ЈЛС који она писаним путем упути другој ЈЛС (уколико је споразум орочен, најкасније шест месеци пре дана којим престаје да важи). ЈЛС која подноси овај захтев о томе обавештава министарство надлежно за локалну самоуправу. Ако је споразуму приступило више ЈЛС, он престаје да важи само у делу који се односи на ЈЛС која је поднела захтев за иступање.</w:t>
      </w:r>
    </w:p>
    <w:p w14:paraId="63B29692" w14:textId="77777777" w:rsidR="008368F9" w:rsidRPr="00A021B7" w:rsidRDefault="008368F9" w:rsidP="1A8E6423">
      <w:pPr>
        <w:ind w:firstLine="720"/>
        <w:jc w:val="both"/>
        <w:rPr>
          <w:rFonts w:ascii="Arial" w:hAnsi="Arial" w:cs="Arial"/>
          <w:sz w:val="20"/>
          <w:szCs w:val="20"/>
          <w:lang w:val="sr-Cyrl-RS"/>
        </w:rPr>
      </w:pPr>
    </w:p>
    <w:p w14:paraId="55475008" w14:textId="68E87826" w:rsidR="00764292" w:rsidRPr="00A021B7" w:rsidRDefault="008368F9" w:rsidP="1A8E6423">
      <w:pPr>
        <w:ind w:firstLine="720"/>
        <w:jc w:val="both"/>
        <w:rPr>
          <w:rFonts w:ascii="Arial" w:hAnsi="Arial" w:cs="Arial"/>
          <w:sz w:val="20"/>
          <w:szCs w:val="20"/>
          <w:lang w:val="sr-Cyrl-RS"/>
        </w:rPr>
      </w:pPr>
      <w:r w:rsidRPr="1A8E6423">
        <w:rPr>
          <w:rFonts w:ascii="Arial" w:hAnsi="Arial" w:cs="Arial"/>
          <w:sz w:val="20"/>
          <w:szCs w:val="20"/>
          <w:lang w:val="sr-Cyrl-RS"/>
        </w:rPr>
        <w:t>У ред најважнијих унапређења правног оквира за МОС улази чињеница да је она сада могућа и у спровођењу послова поверених од вишег нивоа власти. Изменама ЗЛС и Закона о државној управи 2018. године, у постојећем уставном систему први пут је омогућено да локалне власти заједнички спроводе поверене послове. ЗЛС предвиђа да две или више ЈЛС могу министарству надлежном за локалну самоуправу предложити заједничко извршавање одређених поверених послова, у складу са законом којим се уређује државна управа и уредбом Владе којом се уређују ближи услови и начин заједничког извршавања поверених послова. Закон о државној управи (чл</w:t>
      </w:r>
      <w:r w:rsidR="00986C91" w:rsidRPr="1A8E6423">
        <w:rPr>
          <w:rFonts w:ascii="Arial" w:hAnsi="Arial" w:cs="Arial"/>
          <w:sz w:val="20"/>
          <w:szCs w:val="20"/>
          <w:lang w:val="sr-Cyrl-RS"/>
        </w:rPr>
        <w:t>ан</w:t>
      </w:r>
      <w:r w:rsidRPr="1A8E6423">
        <w:rPr>
          <w:rFonts w:ascii="Arial" w:hAnsi="Arial" w:cs="Arial"/>
          <w:sz w:val="20"/>
          <w:szCs w:val="20"/>
          <w:lang w:val="sr-Cyrl-RS"/>
        </w:rPr>
        <w:t xml:space="preserve"> 75) предвиђа да орган државне управе може предложити органима две или више ЈЛС да заједнички обезбеде извршавање одређених поверених послова пошто утврди да нису у могућности да их </w:t>
      </w:r>
      <w:r w:rsidR="0005623C" w:rsidRPr="1A8E6423">
        <w:rPr>
          <w:rFonts w:ascii="Arial" w:hAnsi="Arial" w:cs="Arial"/>
          <w:sz w:val="20"/>
          <w:szCs w:val="20"/>
          <w:lang w:val="sr-Cyrl-RS"/>
        </w:rPr>
        <w:t xml:space="preserve">самостално </w:t>
      </w:r>
      <w:r w:rsidRPr="1A8E6423">
        <w:rPr>
          <w:rFonts w:ascii="Arial" w:hAnsi="Arial" w:cs="Arial"/>
          <w:sz w:val="20"/>
          <w:szCs w:val="20"/>
          <w:lang w:val="sr-Cyrl-RS"/>
        </w:rPr>
        <w:t>ефикасно извршавају. Уколико те ЈЛС прихвате предлог, оне припремају и у МДУЛС достављају споразум о сарадњи којим се уређује заједничко извршавање поверених послова. Након тога, сагласност за заједничко извршавање поверених послова даје Влада, на предлог МДУЛС, уз претходно прибављено мишљење министарства одговорног за извршавање те врсте поверених послова. Услови и начин за овакав вид заједничког извршавања поверених послова треба да буду уређени уредбом Владе.</w:t>
      </w:r>
    </w:p>
    <w:p w14:paraId="2BD61973" w14:textId="77777777" w:rsidR="00764292" w:rsidRPr="00A021B7" w:rsidRDefault="00764292" w:rsidP="1A8E6423">
      <w:pPr>
        <w:ind w:firstLine="720"/>
        <w:jc w:val="both"/>
        <w:rPr>
          <w:rFonts w:ascii="Arial" w:hAnsi="Arial" w:cs="Arial"/>
          <w:sz w:val="20"/>
          <w:szCs w:val="20"/>
          <w:lang w:val="sr-Cyrl-RS"/>
        </w:rPr>
      </w:pPr>
    </w:p>
    <w:tbl>
      <w:tblPr>
        <w:tblStyle w:val="TableGrid"/>
        <w:tblW w:w="0" w:type="auto"/>
        <w:tblLook w:val="04A0" w:firstRow="1" w:lastRow="0" w:firstColumn="1" w:lastColumn="0" w:noHBand="0" w:noVBand="1"/>
      </w:tblPr>
      <w:tblGrid>
        <w:gridCol w:w="9010"/>
      </w:tblGrid>
      <w:tr w:rsidR="008368F9" w:rsidRPr="00A021B7" w14:paraId="4B6D9B65" w14:textId="77777777" w:rsidTr="1A8E6423">
        <w:tc>
          <w:tcPr>
            <w:tcW w:w="9010" w:type="dxa"/>
          </w:tcPr>
          <w:p w14:paraId="4F9B22C0" w14:textId="77777777" w:rsidR="008368F9" w:rsidRPr="00A021B7" w:rsidRDefault="00946C03" w:rsidP="003E7BC9">
            <w:pPr>
              <w:jc w:val="both"/>
              <w:rPr>
                <w:rFonts w:ascii="Arial" w:hAnsi="Arial" w:cs="Arial"/>
                <w:b/>
                <w:bCs/>
                <w:sz w:val="20"/>
                <w:szCs w:val="20"/>
                <w:lang w:val="sr-Cyrl-RS"/>
              </w:rPr>
            </w:pPr>
            <w:r w:rsidRPr="00A021B7">
              <w:rPr>
                <w:rFonts w:ascii="Arial" w:hAnsi="Arial" w:cs="Arial"/>
                <w:b/>
                <w:bCs/>
                <w:sz w:val="20"/>
                <w:szCs w:val="20"/>
                <w:lang w:val="sr-Cyrl-RS"/>
              </w:rPr>
              <w:t>Модели споразума о међуопштинској сарадњи</w:t>
            </w:r>
          </w:p>
          <w:p w14:paraId="0D90EEA7" w14:textId="77777777" w:rsidR="00946C03" w:rsidRPr="00A021B7" w:rsidRDefault="00946C03" w:rsidP="003E7BC9">
            <w:pPr>
              <w:jc w:val="both"/>
              <w:rPr>
                <w:rFonts w:ascii="Arial" w:hAnsi="Arial" w:cs="Arial"/>
                <w:sz w:val="20"/>
                <w:szCs w:val="20"/>
                <w:lang w:val="sr-Cyrl-RS"/>
              </w:rPr>
            </w:pPr>
          </w:p>
          <w:p w14:paraId="0C203A6A" w14:textId="6E269976" w:rsidR="008368F9" w:rsidRPr="00A021B7" w:rsidRDefault="008368F9" w:rsidP="1A8E6423">
            <w:pPr>
              <w:ind w:firstLine="428"/>
              <w:jc w:val="both"/>
              <w:rPr>
                <w:rFonts w:ascii="Arial" w:hAnsi="Arial" w:cs="Arial"/>
                <w:sz w:val="20"/>
                <w:szCs w:val="20"/>
                <w:lang w:val="sr-Cyrl-RS"/>
              </w:rPr>
            </w:pPr>
            <w:r w:rsidRPr="1A8E6423">
              <w:rPr>
                <w:rFonts w:ascii="Arial" w:hAnsi="Arial" w:cs="Arial"/>
                <w:sz w:val="20"/>
                <w:szCs w:val="20"/>
                <w:lang w:val="sr-Cyrl-RS"/>
              </w:rPr>
              <w:t>По доношењу поменутих измена и допуна ЗЛС, СКГО је, у сарадњи са МДУЛС, подржала развој МОС израдом Методолошког упутства за израду споразум</w:t>
            </w:r>
            <w:r w:rsidR="133881B3" w:rsidRPr="1A8E6423">
              <w:rPr>
                <w:rFonts w:ascii="Arial" w:hAnsi="Arial" w:cs="Arial"/>
                <w:sz w:val="20"/>
                <w:szCs w:val="20"/>
                <w:lang w:val="sr-Cyrl-RS"/>
              </w:rPr>
              <w:t>а</w:t>
            </w:r>
            <w:r w:rsidRPr="1A8E6423">
              <w:rPr>
                <w:rFonts w:ascii="Arial" w:hAnsi="Arial" w:cs="Arial"/>
                <w:sz w:val="20"/>
                <w:szCs w:val="20"/>
                <w:lang w:val="sr-Cyrl-RS"/>
              </w:rPr>
              <w:t xml:space="preserve"> о МОС и серије секторских модела споразума о МОС, у 15 области рада локалне самоуправе</w:t>
            </w:r>
            <w:r w:rsidR="0005623C" w:rsidRPr="1A8E6423">
              <w:rPr>
                <w:rFonts w:ascii="Arial" w:hAnsi="Arial" w:cs="Arial"/>
                <w:sz w:val="20"/>
                <w:szCs w:val="20"/>
                <w:lang w:val="sr-Cyrl-RS"/>
              </w:rPr>
              <w:t>, а то су</w:t>
            </w:r>
            <w:r w:rsidRPr="1A8E6423">
              <w:rPr>
                <w:rFonts w:ascii="Arial" w:hAnsi="Arial" w:cs="Arial"/>
                <w:sz w:val="20"/>
                <w:szCs w:val="20"/>
                <w:lang w:val="sr-Cyrl-RS"/>
              </w:rPr>
              <w:t>: правобранилаштво, локални омбудсман, установ</w:t>
            </w:r>
            <w:r w:rsidR="0005623C" w:rsidRPr="1A8E6423">
              <w:rPr>
                <w:rFonts w:ascii="Arial" w:hAnsi="Arial" w:cs="Arial"/>
                <w:sz w:val="20"/>
                <w:szCs w:val="20"/>
                <w:lang w:val="sr-Cyrl-RS"/>
              </w:rPr>
              <w:t>е</w:t>
            </w:r>
            <w:r w:rsidRPr="1A8E6423">
              <w:rPr>
                <w:rFonts w:ascii="Arial" w:hAnsi="Arial" w:cs="Arial"/>
                <w:sz w:val="20"/>
                <w:szCs w:val="20"/>
                <w:lang w:val="sr-Cyrl-RS"/>
              </w:rPr>
              <w:t xml:space="preserve"> културе, енергетски менаџмент, ванредне ситуације, бесплатна правна помоћ, социјална заштита, комунална милиција и седам инспекција (комунална, за путеве, саобраћајна, просветна, спортска, туристичка и буџетска). Зависно од специфичности појединих области, модели су разрађени кроз један од два основна облика МОС (или кроз оба)</w:t>
            </w:r>
            <w:r w:rsidR="0005623C" w:rsidRPr="1A8E6423">
              <w:rPr>
                <w:rFonts w:ascii="Arial" w:hAnsi="Arial" w:cs="Arial"/>
                <w:sz w:val="20"/>
                <w:szCs w:val="20"/>
                <w:lang w:val="sr-Cyrl-RS"/>
              </w:rPr>
              <w:t xml:space="preserve"> </w:t>
            </w:r>
            <w:r w:rsidR="0005623C" w:rsidRPr="1A8E6423">
              <w:rPr>
                <w:rFonts w:ascii="Arial" w:hAnsi="Arial" w:cs="Arial"/>
                <w:sz w:val="20"/>
                <w:szCs w:val="20"/>
                <w:lang w:val="sr-Cyrl-RS"/>
              </w:rPr>
              <w:lastRenderedPageBreak/>
              <w:t>–</w:t>
            </w:r>
            <w:r w:rsidRPr="1A8E6423">
              <w:rPr>
                <w:rFonts w:ascii="Arial" w:hAnsi="Arial" w:cs="Arial"/>
                <w:sz w:val="20"/>
                <w:szCs w:val="20"/>
                <w:lang w:val="sr-Cyrl-RS"/>
              </w:rPr>
              <w:t xml:space="preserve"> (1) уступање послова између ЈЛС и (2) заједничк</w:t>
            </w:r>
            <w:r w:rsidR="0005623C" w:rsidRPr="1A8E6423">
              <w:rPr>
                <w:rFonts w:ascii="Arial" w:hAnsi="Arial" w:cs="Arial"/>
                <w:sz w:val="20"/>
                <w:szCs w:val="20"/>
                <w:lang w:val="sr-Cyrl-RS"/>
              </w:rPr>
              <w:t>е</w:t>
            </w:r>
            <w:r w:rsidRPr="1A8E6423">
              <w:rPr>
                <w:rFonts w:ascii="Arial" w:hAnsi="Arial" w:cs="Arial"/>
                <w:sz w:val="20"/>
                <w:szCs w:val="20"/>
                <w:lang w:val="sr-Cyrl-RS"/>
              </w:rPr>
              <w:t xml:space="preserve"> служб</w:t>
            </w:r>
            <w:r w:rsidR="0005623C" w:rsidRPr="1A8E6423">
              <w:rPr>
                <w:rFonts w:ascii="Arial" w:hAnsi="Arial" w:cs="Arial"/>
                <w:sz w:val="20"/>
                <w:szCs w:val="20"/>
                <w:lang w:val="sr-Cyrl-RS"/>
              </w:rPr>
              <w:t>е</w:t>
            </w:r>
            <w:r w:rsidRPr="1A8E6423">
              <w:rPr>
                <w:rFonts w:ascii="Arial" w:hAnsi="Arial" w:cs="Arial"/>
                <w:sz w:val="20"/>
                <w:szCs w:val="20"/>
                <w:lang w:val="sr-Cyrl-RS"/>
              </w:rPr>
              <w:t>. За други организациони облик СКГО је израдила и модел буџета. СКГО је ове моделе представила и ставила на располагање свом чланству.</w:t>
            </w:r>
          </w:p>
        </w:tc>
      </w:tr>
    </w:tbl>
    <w:p w14:paraId="46EF55F2" w14:textId="77777777" w:rsidR="008368F9" w:rsidRPr="00A021B7" w:rsidRDefault="008368F9" w:rsidP="003E7BC9">
      <w:pPr>
        <w:jc w:val="both"/>
        <w:rPr>
          <w:rFonts w:ascii="Arial" w:hAnsi="Arial" w:cs="Arial"/>
          <w:sz w:val="20"/>
          <w:szCs w:val="20"/>
          <w:lang w:val="sr-Cyrl-RS"/>
        </w:rPr>
      </w:pPr>
    </w:p>
    <w:p w14:paraId="66C1001A" w14:textId="25042DFC" w:rsidR="008368F9" w:rsidRPr="00A021B7" w:rsidRDefault="6D42FE61"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Поред ЗЛС (и поменутих измена Закона о државној управи) који уређује основни оквир за МОС, одређени број секторских закона пружио је мање или више конкретизована нормативна решења, прилагођена одговарајућим областима. Тако на основу Закона </w:t>
      </w:r>
      <w:r w:rsidR="00D0490D" w:rsidRPr="1A8E6423">
        <w:rPr>
          <w:rFonts w:ascii="Arial" w:hAnsi="Arial" w:cs="Arial"/>
          <w:sz w:val="20"/>
          <w:szCs w:val="20"/>
          <w:lang w:val="sr-Cyrl-RS"/>
        </w:rPr>
        <w:t xml:space="preserve">о </w:t>
      </w:r>
      <w:r w:rsidRPr="1A8E6423">
        <w:rPr>
          <w:rFonts w:ascii="Arial" w:hAnsi="Arial" w:cs="Arial"/>
          <w:sz w:val="20"/>
          <w:szCs w:val="20"/>
          <w:lang w:val="sr-Cyrl-RS"/>
        </w:rPr>
        <w:t>комуналним делатностима</w:t>
      </w:r>
      <w:r w:rsidR="00B66D92" w:rsidRPr="1A8E6423">
        <w:rPr>
          <w:lang w:val="sr-Cyrl-RS"/>
        </w:rPr>
        <w:t xml:space="preserve"> </w:t>
      </w:r>
      <w:r w:rsidRPr="1A8E6423">
        <w:rPr>
          <w:rFonts w:ascii="Arial" w:hAnsi="Arial" w:cs="Arial"/>
          <w:sz w:val="20"/>
          <w:szCs w:val="20"/>
          <w:lang w:val="sr-Cyrl-RS"/>
        </w:rPr>
        <w:t>две или више ЈЛС могу споразумом уредити заједничко обављање комуналних делатности. Ако се на основу резултата студије оправданости утврди оправданост заједничког обављања комуналне делатности, скупштина ЈЛС усваја предлог одлуке о начину обављања комуналне делатности и предлог споразума о заједничком обезбеђивању обављања комуналне делатности. Споразум о заједничком обављању комуналне делатности сматра се закљученим када га у истоветном тексту усвоје све скупштине ЈЛС у периоду који не може да буде дужи од три месеца од добијања предлога. Овај закон предвиђа да се споразумом може основати међуопштински савет за комуналну делатност, као заједнички орган, привредно друштво или удружење који предлаже скупштини ЈЛС доношење одређених одлука.</w:t>
      </w:r>
    </w:p>
    <w:p w14:paraId="152DC176" w14:textId="77777777" w:rsidR="008368F9" w:rsidRPr="00A021B7" w:rsidRDefault="008368F9" w:rsidP="1A8E6423">
      <w:pPr>
        <w:ind w:firstLine="720"/>
        <w:jc w:val="both"/>
        <w:rPr>
          <w:rFonts w:ascii="Arial" w:hAnsi="Arial" w:cs="Arial"/>
          <w:sz w:val="20"/>
          <w:szCs w:val="20"/>
          <w:lang w:val="sr-Cyrl-RS"/>
        </w:rPr>
      </w:pPr>
    </w:p>
    <w:p w14:paraId="17638172" w14:textId="7652C914" w:rsidR="008368F9" w:rsidRPr="00A021B7" w:rsidRDefault="6D42FE61" w:rsidP="1A8E6423">
      <w:pPr>
        <w:pStyle w:val="FootnoteText"/>
        <w:ind w:firstLine="720"/>
        <w:jc w:val="both"/>
        <w:rPr>
          <w:rFonts w:ascii="Arial" w:hAnsi="Arial" w:cs="Arial"/>
          <w:lang w:val="sr-Cyrl-RS"/>
        </w:rPr>
      </w:pPr>
      <w:r w:rsidRPr="00A021B7">
        <w:rPr>
          <w:rFonts w:ascii="Arial" w:hAnsi="Arial" w:cs="Arial"/>
          <w:lang w:val="sr-Cyrl-RS"/>
        </w:rPr>
        <w:t>Закон о водама</w:t>
      </w:r>
      <w:r w:rsidR="00B66D92" w:rsidRPr="00A021B7">
        <w:rPr>
          <w:rFonts w:ascii="Arial" w:hAnsi="Arial" w:cs="Arial"/>
          <w:lang w:val="sr-Cyrl-RS"/>
        </w:rPr>
        <w:t xml:space="preserve"> („</w:t>
      </w:r>
      <w:r w:rsidR="00B66D92" w:rsidRPr="1A8E6423">
        <w:rPr>
          <w:rFonts w:ascii="Arial" w:hAnsi="Arial" w:cs="Arial"/>
          <w:lang w:val="sr-Cyrl-RS"/>
        </w:rPr>
        <w:t xml:space="preserve">Службени гласник РС”, бр. 30/10, 93/12, 101/16, 95/18 и 95/18) </w:t>
      </w:r>
      <w:r w:rsidRPr="00A021B7">
        <w:rPr>
          <w:rFonts w:ascii="Arial" w:hAnsi="Arial" w:cs="Arial"/>
          <w:lang w:val="sr-Cyrl-RS"/>
        </w:rPr>
        <w:t>прописује оснивање ЈП за регионалне и вишенаменске хидросистеме. Према чл</w:t>
      </w:r>
      <w:r w:rsidR="47101B3E" w:rsidRPr="00A021B7">
        <w:rPr>
          <w:rFonts w:ascii="Arial" w:hAnsi="Arial" w:cs="Arial"/>
          <w:lang w:val="sr-Cyrl-RS"/>
        </w:rPr>
        <w:t>ану</w:t>
      </w:r>
      <w:r w:rsidRPr="00A021B7">
        <w:rPr>
          <w:rFonts w:ascii="Arial" w:hAnsi="Arial" w:cs="Arial"/>
          <w:lang w:val="sr-Cyrl-RS"/>
        </w:rPr>
        <w:t xml:space="preserve"> 150, послови од општег интереса који се финансирају у складу са њим су, између осталих, и они који се односе на регионалне и вишенаменске хидросистеме у јавној својини (изградња, реконструкција, санација, одржавање и управљање). То су сложени системи за обезбеђ</w:t>
      </w:r>
      <w:r w:rsidR="00D0490D">
        <w:rPr>
          <w:rFonts w:ascii="Arial" w:hAnsi="Arial" w:cs="Arial"/>
          <w:lang w:val="sr-Cyrl-RS"/>
        </w:rPr>
        <w:t>ива</w:t>
      </w:r>
      <w:r w:rsidRPr="00A021B7">
        <w:rPr>
          <w:rFonts w:ascii="Arial" w:hAnsi="Arial" w:cs="Arial"/>
          <w:lang w:val="sr-Cyrl-RS"/>
        </w:rPr>
        <w:t xml:space="preserve">ње потреба у области вода (снабдевање водом, наводњавање, заштита вода, заштита од штетног дејства вода) за две или више ЈЛС. Њима управља и одржава их ЈП које оснива ЈЛС за које се обезбеђују потребе у области вода. </w:t>
      </w:r>
      <w:r w:rsidRPr="00A021B7">
        <w:rPr>
          <w:rFonts w:ascii="Arial" w:hAnsi="Arial" w:cs="Arial"/>
          <w:color w:val="000000"/>
          <w:lang w:val="sr-Cyrl-RS"/>
        </w:rPr>
        <w:t>И Закон о управљању отпадом предвиђа МОС</w:t>
      </w:r>
      <w:r w:rsidR="00B66D92" w:rsidRPr="00A021B7">
        <w:rPr>
          <w:rFonts w:ascii="Arial" w:hAnsi="Arial" w:cs="Arial"/>
          <w:color w:val="000000"/>
          <w:lang w:val="sr-Cyrl-RS"/>
        </w:rPr>
        <w:t xml:space="preserve"> </w:t>
      </w:r>
      <w:r w:rsidR="00B66D92" w:rsidRPr="00A021B7">
        <w:rPr>
          <w:rFonts w:ascii="Arial" w:hAnsi="Arial" w:cs="Arial"/>
          <w:lang w:val="sr-Cyrl-RS"/>
        </w:rPr>
        <w:t>(„Службени гласник РС”, бр. 36/09, 88/10 и 14/16)</w:t>
      </w:r>
      <w:r w:rsidRPr="00A021B7">
        <w:rPr>
          <w:rFonts w:ascii="Arial" w:hAnsi="Arial" w:cs="Arial"/>
          <w:color w:val="000000"/>
          <w:lang w:val="sr-Cyrl-RS"/>
        </w:rPr>
        <w:t xml:space="preserve">, која произлази из начина израде регионалних планова </w:t>
      </w:r>
      <w:r w:rsidR="00D0490D">
        <w:rPr>
          <w:rFonts w:ascii="Arial" w:hAnsi="Arial" w:cs="Arial"/>
          <w:color w:val="000000"/>
          <w:lang w:val="sr-Cyrl-RS"/>
        </w:rPr>
        <w:t xml:space="preserve">за </w:t>
      </w:r>
      <w:r w:rsidRPr="00A021B7">
        <w:rPr>
          <w:rFonts w:ascii="Arial" w:hAnsi="Arial" w:cs="Arial"/>
          <w:color w:val="000000"/>
          <w:lang w:val="sr-Cyrl-RS"/>
        </w:rPr>
        <w:t>управљањ</w:t>
      </w:r>
      <w:r w:rsidR="00D0490D">
        <w:rPr>
          <w:rFonts w:ascii="Arial" w:hAnsi="Arial" w:cs="Arial"/>
          <w:color w:val="000000"/>
          <w:lang w:val="sr-Cyrl-RS"/>
        </w:rPr>
        <w:t>е</w:t>
      </w:r>
      <w:r w:rsidRPr="00A021B7">
        <w:rPr>
          <w:rFonts w:ascii="Arial" w:hAnsi="Arial" w:cs="Arial"/>
          <w:color w:val="000000"/>
          <w:lang w:val="sr-Cyrl-RS"/>
        </w:rPr>
        <w:t xml:space="preserve"> отпадом. Конкретно, скупштине две или више ЈЛС на чијим територијама укупно живи најмање 250.000 становника доносе, по прибављеној сагласности министарства, а за територију аутономне покрајине њеног надлежног органа, регионални план управљања отпадом, којим се дефинишу заједнички циљеви у управљању отпадом. Регионални план може се донети и за територије на којима живи мање од 250.000 становника, по претходно израђеној студији оправданости</w:t>
      </w:r>
      <w:r w:rsidR="00D0490D">
        <w:rPr>
          <w:rFonts w:ascii="Arial" w:hAnsi="Arial" w:cs="Arial"/>
          <w:color w:val="000000"/>
          <w:lang w:val="sr-Cyrl-RS"/>
        </w:rPr>
        <w:t>,</w:t>
      </w:r>
      <w:r w:rsidRPr="00A021B7">
        <w:rPr>
          <w:rFonts w:ascii="Arial" w:hAnsi="Arial" w:cs="Arial"/>
          <w:color w:val="000000"/>
          <w:lang w:val="sr-Cyrl-RS"/>
        </w:rPr>
        <w:t xml:space="preserve"> на коју сагласност даје министарство, односно надлежни орган аутономне покрајине. Сам поступак израде и доношења регионалног плана уређује се споразумом.</w:t>
      </w:r>
      <w:r w:rsidR="008368F9" w:rsidRPr="00A021B7">
        <w:rPr>
          <w:rStyle w:val="FootnoteReference"/>
          <w:rFonts w:ascii="Arial" w:hAnsi="Arial" w:cs="Arial"/>
          <w:color w:val="000000"/>
          <w:lang w:val="sr-Cyrl-RS"/>
        </w:rPr>
        <w:footnoteReference w:id="150"/>
      </w:r>
      <w:r w:rsidRPr="00A021B7">
        <w:rPr>
          <w:rFonts w:ascii="Arial" w:hAnsi="Arial" w:cs="Arial"/>
          <w:color w:val="000000"/>
          <w:lang w:val="sr-Cyrl-RS"/>
        </w:rPr>
        <w:t xml:space="preserve"> Управљање отпадом на територији две или више ЈЛС врши се у складу са регионалним и локалним планом управљања отпадом. Посебно је битно имати у виду да, у случају да ЈЛС не обезбеде и</w:t>
      </w:r>
      <w:r w:rsidR="4370149A" w:rsidRPr="00A021B7">
        <w:rPr>
          <w:rFonts w:ascii="Arial" w:hAnsi="Arial" w:cs="Arial"/>
          <w:color w:val="000000"/>
          <w:lang w:val="sr-Cyrl-RS"/>
        </w:rPr>
        <w:t>ли</w:t>
      </w:r>
      <w:r w:rsidRPr="00A021B7">
        <w:rPr>
          <w:rFonts w:ascii="Arial" w:hAnsi="Arial" w:cs="Arial"/>
          <w:color w:val="000000"/>
          <w:lang w:val="sr-Cyrl-RS"/>
        </w:rPr>
        <w:t xml:space="preserve"> не спроводе </w:t>
      </w:r>
      <w:r w:rsidR="4370149A" w:rsidRPr="00A021B7">
        <w:rPr>
          <w:rFonts w:ascii="Arial" w:hAnsi="Arial" w:cs="Arial"/>
          <w:color w:val="000000"/>
          <w:lang w:val="sr-Cyrl-RS"/>
        </w:rPr>
        <w:t xml:space="preserve">одлуку </w:t>
      </w:r>
      <w:r w:rsidR="4370149A" w:rsidRPr="00A021B7">
        <w:rPr>
          <w:rFonts w:ascii="Arial" w:hAnsi="Arial" w:cs="Arial"/>
          <w:lang w:val="sr-Cyrl-RS"/>
        </w:rPr>
        <w:t>о локацији постројења за управљање отпадом</w:t>
      </w:r>
      <w:r w:rsidRPr="00A021B7">
        <w:rPr>
          <w:rFonts w:ascii="Arial" w:hAnsi="Arial" w:cs="Arial"/>
          <w:color w:val="000000"/>
          <w:lang w:val="sr-Cyrl-RS"/>
        </w:rPr>
        <w:t xml:space="preserve">, Влада може донети одлуку о </w:t>
      </w:r>
      <w:r w:rsidR="4370149A" w:rsidRPr="00A021B7">
        <w:rPr>
          <w:rFonts w:ascii="Arial" w:hAnsi="Arial" w:cs="Arial"/>
          <w:color w:val="000000"/>
          <w:lang w:val="sr-Cyrl-RS"/>
        </w:rPr>
        <w:t>томе</w:t>
      </w:r>
      <w:r w:rsidRPr="00A021B7">
        <w:rPr>
          <w:rFonts w:ascii="Arial" w:hAnsi="Arial" w:cs="Arial"/>
          <w:color w:val="000000"/>
          <w:lang w:val="sr-Cyrl-RS"/>
        </w:rPr>
        <w:t>.</w:t>
      </w:r>
      <w:r w:rsidR="008368F9" w:rsidRPr="00A021B7">
        <w:rPr>
          <w:rStyle w:val="FootnoteReference"/>
          <w:rFonts w:ascii="Arial" w:hAnsi="Arial" w:cs="Arial"/>
          <w:color w:val="000000"/>
          <w:lang w:val="sr-Cyrl-RS"/>
        </w:rPr>
        <w:footnoteReference w:id="151"/>
      </w:r>
    </w:p>
    <w:p w14:paraId="5F69A105" w14:textId="77777777" w:rsidR="008368F9" w:rsidRPr="00A021B7" w:rsidRDefault="008368F9" w:rsidP="1A8E64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hAnsi="Arial" w:cs="Arial"/>
          <w:color w:val="000000"/>
          <w:sz w:val="20"/>
          <w:szCs w:val="20"/>
          <w:lang w:val="sr-Cyrl-RS"/>
        </w:rPr>
      </w:pPr>
    </w:p>
    <w:p w14:paraId="725315E7" w14:textId="7067F6EB" w:rsidR="008368F9" w:rsidRPr="00A021B7" w:rsidRDefault="6D42FE61" w:rsidP="1A8E6423">
      <w:pPr>
        <w:pStyle w:val="basic-paragraph"/>
        <w:shd w:val="clear" w:color="auto" w:fill="FFFFFF" w:themeFill="background1"/>
        <w:spacing w:before="0" w:beforeAutospacing="0" w:after="0" w:afterAutospacing="0"/>
        <w:ind w:firstLine="720"/>
        <w:jc w:val="both"/>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Закон о социјалној заштити</w:t>
      </w:r>
      <w:r w:rsidR="00B66D92" w:rsidRPr="00A021B7">
        <w:rPr>
          <w:rFonts w:ascii="Arial" w:hAnsi="Arial" w:cs="Arial"/>
          <w:color w:val="000000" w:themeColor="text1"/>
          <w:sz w:val="20"/>
          <w:szCs w:val="20"/>
          <w:lang w:val="sr-Cyrl-RS"/>
        </w:rPr>
        <w:t xml:space="preserve"> </w:t>
      </w:r>
      <w:r w:rsidR="00B66D92" w:rsidRPr="00A021B7">
        <w:rPr>
          <w:rFonts w:ascii="Arial" w:hAnsi="Arial" w:cs="Arial"/>
          <w:sz w:val="20"/>
          <w:szCs w:val="20"/>
          <w:lang w:val="sr-Cyrl-RS"/>
        </w:rPr>
        <w:t>(„</w:t>
      </w:r>
      <w:r w:rsidR="00B66D92" w:rsidRPr="00A021B7">
        <w:rPr>
          <w:rFonts w:ascii="Arial" w:hAnsi="Arial" w:cs="Arial"/>
          <w:sz w:val="20"/>
          <w:szCs w:val="20"/>
          <w:shd w:val="clear" w:color="auto" w:fill="FFFFFF"/>
          <w:lang w:val="sr-Cyrl-RS"/>
        </w:rPr>
        <w:t>Службени гласник РС”, број 24/11)</w:t>
      </w:r>
      <w:r w:rsidRPr="00A021B7">
        <w:rPr>
          <w:rFonts w:ascii="Arial" w:hAnsi="Arial" w:cs="Arial"/>
          <w:color w:val="000000" w:themeColor="text1"/>
          <w:sz w:val="20"/>
          <w:szCs w:val="20"/>
          <w:lang w:val="sr-Cyrl-RS"/>
        </w:rPr>
        <w:t xml:space="preserve"> </w:t>
      </w:r>
      <w:r w:rsidRPr="00A021B7">
        <w:rPr>
          <w:rFonts w:ascii="Arial" w:hAnsi="Arial" w:cs="Arial"/>
          <w:color w:val="000000" w:themeColor="text1"/>
          <w:sz w:val="20"/>
          <w:szCs w:val="20"/>
          <w:shd w:val="clear" w:color="auto" w:fill="FFFFFF"/>
          <w:lang w:val="sr-Cyrl-RS"/>
        </w:rPr>
        <w:t xml:space="preserve">уређује могућност оснивања </w:t>
      </w:r>
      <w:r w:rsidRPr="00A021B7">
        <w:rPr>
          <w:rFonts w:ascii="Arial" w:hAnsi="Arial" w:cs="Arial"/>
          <w:color w:val="000000" w:themeColor="text1"/>
          <w:sz w:val="20"/>
          <w:szCs w:val="20"/>
          <w:lang w:val="sr-Cyrl-RS"/>
        </w:rPr>
        <w:t>центра за социјални рад за територију више ЈЛС, о чему одлуку доносе њихови надлежни органи, а међусобна права и обавезе оснивача уређују се уговором. Сарадњу ЈЛС предвиђа и Закон о просветној инспекцији</w:t>
      </w:r>
      <w:r w:rsidR="00B66D92" w:rsidRPr="00A021B7">
        <w:rPr>
          <w:rFonts w:ascii="Arial" w:hAnsi="Arial" w:cs="Arial"/>
          <w:color w:val="000000" w:themeColor="text1"/>
          <w:sz w:val="20"/>
          <w:szCs w:val="20"/>
          <w:lang w:val="sr-Cyrl-RS"/>
        </w:rPr>
        <w:t xml:space="preserve"> </w:t>
      </w:r>
      <w:r w:rsidR="00B66D92" w:rsidRPr="00A021B7">
        <w:rPr>
          <w:rFonts w:ascii="Arial" w:hAnsi="Arial" w:cs="Arial"/>
          <w:sz w:val="20"/>
          <w:szCs w:val="20"/>
          <w:lang w:val="sr-Cyrl-RS"/>
        </w:rPr>
        <w:t>(„</w:t>
      </w:r>
      <w:r w:rsidR="00B66D92" w:rsidRPr="00A021B7">
        <w:rPr>
          <w:rFonts w:ascii="Arial" w:hAnsi="Arial" w:cs="Arial"/>
          <w:sz w:val="20"/>
          <w:szCs w:val="20"/>
          <w:shd w:val="clear" w:color="auto" w:fill="FFFFFF"/>
          <w:lang w:val="sr-Cyrl-RS"/>
        </w:rPr>
        <w:t>Службени гласник РС”, број 27/18),</w:t>
      </w:r>
      <w:r w:rsidR="00B66D92" w:rsidRPr="00A021B7">
        <w:rPr>
          <w:rFonts w:ascii="Arial" w:hAnsi="Arial" w:cs="Arial"/>
          <w:color w:val="000000" w:themeColor="text1"/>
          <w:sz w:val="20"/>
          <w:szCs w:val="20"/>
          <w:lang w:val="sr-Cyrl-RS"/>
        </w:rPr>
        <w:t xml:space="preserve"> </w:t>
      </w:r>
      <w:r w:rsidRPr="00A021B7">
        <w:rPr>
          <w:rFonts w:ascii="Arial" w:hAnsi="Arial" w:cs="Arial"/>
          <w:color w:val="000000" w:themeColor="text1"/>
          <w:sz w:val="20"/>
          <w:szCs w:val="20"/>
          <w:lang w:val="sr-Cyrl-RS"/>
        </w:rPr>
        <w:t xml:space="preserve">који </w:t>
      </w:r>
      <w:r w:rsidRPr="00A021B7">
        <w:rPr>
          <w:rFonts w:ascii="Arial" w:hAnsi="Arial" w:cs="Arial"/>
          <w:color w:val="000000" w:themeColor="text1"/>
          <w:sz w:val="20"/>
          <w:szCs w:val="20"/>
          <w:shd w:val="clear" w:color="auto" w:fill="FFFFFF"/>
          <w:lang w:val="sr-Cyrl-RS"/>
        </w:rPr>
        <w:t xml:space="preserve">прописује да </w:t>
      </w:r>
      <w:r w:rsidRPr="00A021B7">
        <w:rPr>
          <w:rFonts w:ascii="Arial" w:hAnsi="Arial" w:cs="Arial"/>
          <w:color w:val="000000" w:themeColor="text1"/>
          <w:sz w:val="20"/>
          <w:szCs w:val="20"/>
          <w:lang w:val="sr-Cyrl-RS"/>
        </w:rPr>
        <w:t>више општинских управа може организовати заједничку просветну инспекцију (која је поверени посао). Сваки просветни инспектор те заједничке просветне инспекције је месно надлежан за цел</w:t>
      </w:r>
      <w:r w:rsidR="760A25A3" w:rsidRPr="00A021B7">
        <w:rPr>
          <w:rFonts w:ascii="Arial" w:hAnsi="Arial" w:cs="Arial"/>
          <w:color w:val="000000" w:themeColor="text1"/>
          <w:sz w:val="20"/>
          <w:szCs w:val="20"/>
          <w:lang w:val="sr-Cyrl-RS"/>
        </w:rPr>
        <w:t>о</w:t>
      </w:r>
      <w:r w:rsidRPr="00A021B7">
        <w:rPr>
          <w:rFonts w:ascii="Arial" w:hAnsi="Arial" w:cs="Arial"/>
          <w:color w:val="000000" w:themeColor="text1"/>
          <w:sz w:val="20"/>
          <w:szCs w:val="20"/>
          <w:lang w:val="sr-Cyrl-RS"/>
        </w:rPr>
        <w:t xml:space="preserve"> подручје. Коначно, део циљева Закона о регионалном развоју јесте и подстицање међуопштинске, међурегионалне, прекограничне и међународне сарадње у питањима од заједничког интереса. Њиме је прописано (чл</w:t>
      </w:r>
      <w:r w:rsidR="5AB0B33E" w:rsidRPr="00A021B7">
        <w:rPr>
          <w:rFonts w:ascii="Arial" w:hAnsi="Arial" w:cs="Arial"/>
          <w:color w:val="000000" w:themeColor="text1"/>
          <w:sz w:val="20"/>
          <w:szCs w:val="20"/>
          <w:lang w:val="sr-Cyrl-RS"/>
        </w:rPr>
        <w:t>ан</w:t>
      </w:r>
      <w:r w:rsidRPr="00A021B7">
        <w:rPr>
          <w:rFonts w:ascii="Arial" w:hAnsi="Arial" w:cs="Arial"/>
          <w:color w:val="000000" w:themeColor="text1"/>
          <w:sz w:val="20"/>
          <w:szCs w:val="20"/>
          <w:lang w:val="sr-Cyrl-RS"/>
        </w:rPr>
        <w:t xml:space="preserve"> 45) и да се подстицаји опредељују, између осталог, за унапређење тих облика сарадње у питањима од заједничког интереса. Закон предвиђа и формирање Регионалног развојног савета</w:t>
      </w:r>
      <w:r w:rsidR="00D0490D">
        <w:rPr>
          <w:rFonts w:ascii="Arial" w:hAnsi="Arial" w:cs="Arial"/>
          <w:color w:val="000000" w:themeColor="text1"/>
          <w:sz w:val="20"/>
          <w:szCs w:val="20"/>
          <w:lang w:val="sr-Cyrl-RS"/>
        </w:rPr>
        <w:t>,</w:t>
      </w:r>
      <w:r w:rsidRPr="00A021B7">
        <w:rPr>
          <w:rFonts w:ascii="Arial" w:hAnsi="Arial" w:cs="Arial"/>
          <w:color w:val="000000" w:themeColor="text1"/>
          <w:sz w:val="20"/>
          <w:szCs w:val="20"/>
          <w:lang w:val="sr-Cyrl-RS"/>
        </w:rPr>
        <w:t xml:space="preserve"> чији су чланови представници ЈЛС које чине статистички регион, као и представници градских општина, јавног и цивилног сектора, других установа и организација са територије тих ЈЛС и представник Владе. Још важнији облик МОС јесте регионална развојна агенција. Она треба да обавља послове међународне, </w:t>
      </w:r>
      <w:r w:rsidRPr="00A021B7">
        <w:rPr>
          <w:rFonts w:ascii="Arial" w:hAnsi="Arial" w:cs="Arial"/>
          <w:color w:val="000000" w:themeColor="text1"/>
          <w:sz w:val="20"/>
          <w:szCs w:val="20"/>
          <w:lang w:val="sr-Cyrl-RS"/>
        </w:rPr>
        <w:lastRenderedPageBreak/>
        <w:t>прекограничне и међуопштинске сарадње из своје надлежности, кроз које се и отвара могућност за различите облике МОС.</w:t>
      </w:r>
    </w:p>
    <w:p w14:paraId="787C3DFE" w14:textId="77777777" w:rsidR="008368F9" w:rsidRPr="00A021B7" w:rsidRDefault="008368F9" w:rsidP="1A8E6423">
      <w:pPr>
        <w:pStyle w:val="basic-paragraph"/>
        <w:shd w:val="clear" w:color="auto" w:fill="FFFFFF" w:themeFill="background1"/>
        <w:spacing w:before="0" w:beforeAutospacing="0" w:after="0" w:afterAutospacing="0"/>
        <w:ind w:firstLine="720"/>
        <w:jc w:val="both"/>
        <w:rPr>
          <w:rFonts w:ascii="Arial" w:hAnsi="Arial" w:cs="Arial"/>
          <w:color w:val="000000" w:themeColor="text1"/>
          <w:sz w:val="20"/>
          <w:szCs w:val="20"/>
          <w:lang w:val="sr-Cyrl-RS"/>
        </w:rPr>
      </w:pPr>
    </w:p>
    <w:p w14:paraId="51633BDF" w14:textId="7FCC00FB" w:rsidR="008A1568" w:rsidRPr="00A021B7" w:rsidRDefault="00D0490D" w:rsidP="1A8E6423">
      <w:pPr>
        <w:pStyle w:val="basic-paragraph"/>
        <w:shd w:val="clear" w:color="auto" w:fill="FFFFFF" w:themeFill="background1"/>
        <w:spacing w:before="0" w:beforeAutospacing="0" w:after="0" w:afterAutospacing="0"/>
        <w:ind w:firstLine="720"/>
        <w:jc w:val="both"/>
        <w:rPr>
          <w:rFonts w:ascii="Arial" w:hAnsi="Arial" w:cs="Arial"/>
          <w:sz w:val="20"/>
          <w:szCs w:val="20"/>
          <w:lang w:val="sr-Cyrl-RS"/>
        </w:rPr>
      </w:pPr>
      <w:r w:rsidRPr="1A8E6423">
        <w:rPr>
          <w:rFonts w:ascii="Arial" w:hAnsi="Arial" w:cs="Arial"/>
          <w:sz w:val="20"/>
          <w:szCs w:val="20"/>
          <w:lang w:val="sr-Cyrl-RS"/>
        </w:rPr>
        <w:t xml:space="preserve">Циљ </w:t>
      </w:r>
      <w:r w:rsidR="008368F9" w:rsidRPr="1A8E6423">
        <w:rPr>
          <w:rFonts w:ascii="Arial" w:hAnsi="Arial" w:cs="Arial"/>
          <w:sz w:val="20"/>
          <w:szCs w:val="20"/>
          <w:lang w:val="sr-Cyrl-RS"/>
        </w:rPr>
        <w:t>МОС</w:t>
      </w:r>
      <w:r w:rsidRPr="1A8E6423">
        <w:rPr>
          <w:rFonts w:ascii="Arial" w:hAnsi="Arial" w:cs="Arial"/>
          <w:sz w:val="20"/>
          <w:szCs w:val="20"/>
          <w:lang w:val="sr-Cyrl-RS"/>
        </w:rPr>
        <w:t>,</w:t>
      </w:r>
      <w:r w:rsidR="008368F9" w:rsidRPr="1A8E6423">
        <w:rPr>
          <w:rFonts w:ascii="Arial" w:hAnsi="Arial" w:cs="Arial"/>
          <w:sz w:val="20"/>
          <w:szCs w:val="20"/>
          <w:lang w:val="sr-Cyrl-RS"/>
        </w:rPr>
        <w:t xml:space="preserve"> као добровољно</w:t>
      </w:r>
      <w:r w:rsidRPr="1A8E6423">
        <w:rPr>
          <w:rFonts w:ascii="Arial" w:hAnsi="Arial" w:cs="Arial"/>
          <w:sz w:val="20"/>
          <w:szCs w:val="20"/>
          <w:lang w:val="sr-Cyrl-RS"/>
        </w:rPr>
        <w:t>г</w:t>
      </w:r>
      <w:r w:rsidR="008368F9" w:rsidRPr="1A8E6423">
        <w:rPr>
          <w:rFonts w:ascii="Arial" w:hAnsi="Arial" w:cs="Arial"/>
          <w:sz w:val="20"/>
          <w:szCs w:val="20"/>
          <w:lang w:val="sr-Cyrl-RS"/>
        </w:rPr>
        <w:t xml:space="preserve"> удруживањ</w:t>
      </w:r>
      <w:r w:rsidRPr="1A8E6423">
        <w:rPr>
          <w:rFonts w:ascii="Arial" w:hAnsi="Arial" w:cs="Arial"/>
          <w:sz w:val="20"/>
          <w:szCs w:val="20"/>
          <w:lang w:val="sr-Cyrl-RS"/>
        </w:rPr>
        <w:t>а</w:t>
      </w:r>
      <w:r w:rsidR="008368F9" w:rsidRPr="1A8E6423">
        <w:rPr>
          <w:rFonts w:ascii="Arial" w:hAnsi="Arial" w:cs="Arial"/>
          <w:sz w:val="20"/>
          <w:szCs w:val="20"/>
          <w:lang w:val="sr-Cyrl-RS"/>
        </w:rPr>
        <w:t xml:space="preserve"> ресурса (организационих, материјалних и људских) више ЈЛС на заједничком обављању послова </w:t>
      </w:r>
      <w:r w:rsidRPr="1A8E6423">
        <w:rPr>
          <w:rFonts w:ascii="Arial" w:hAnsi="Arial" w:cs="Arial"/>
          <w:sz w:val="20"/>
          <w:szCs w:val="20"/>
          <w:lang w:val="sr-Cyrl-RS"/>
        </w:rPr>
        <w:t>јесте то</w:t>
      </w:r>
      <w:r w:rsidR="008368F9" w:rsidRPr="1A8E6423">
        <w:rPr>
          <w:rFonts w:ascii="Arial" w:hAnsi="Arial" w:cs="Arial"/>
          <w:sz w:val="20"/>
          <w:szCs w:val="20"/>
          <w:lang w:val="sr-Cyrl-RS"/>
        </w:rPr>
        <w:t xml:space="preserve"> да услуге локалне самоуправе буду квалитетније и економичније.</w:t>
      </w:r>
    </w:p>
    <w:p w14:paraId="66FCCAED" w14:textId="7E7EDBA5" w:rsidR="008A1568" w:rsidRPr="00A021B7" w:rsidRDefault="008A1568" w:rsidP="003E7BC9">
      <w:pPr>
        <w:pStyle w:val="basic-paragraph"/>
        <w:shd w:val="clear" w:color="auto" w:fill="FFFFFF"/>
        <w:spacing w:before="0" w:beforeAutospacing="0" w:after="0" w:afterAutospacing="0"/>
        <w:jc w:val="both"/>
        <w:rPr>
          <w:rFonts w:ascii="Arial" w:hAnsi="Arial" w:cs="Arial"/>
          <w:bCs/>
          <w:sz w:val="20"/>
          <w:szCs w:val="20"/>
          <w:lang w:val="sr-Cyrl-RS"/>
        </w:rPr>
      </w:pPr>
    </w:p>
    <w:p w14:paraId="0B01DC0A" w14:textId="1D6FDF1C" w:rsidR="008A1568" w:rsidRPr="00FF0DEE" w:rsidRDefault="008A1568" w:rsidP="1A8E6423">
      <w:pPr>
        <w:pStyle w:val="basic-paragraph"/>
        <w:shd w:val="clear" w:color="auto" w:fill="FFFFFF" w:themeFill="background1"/>
        <w:spacing w:before="0" w:beforeAutospacing="0" w:after="0" w:afterAutospacing="0"/>
        <w:jc w:val="both"/>
        <w:rPr>
          <w:rFonts w:ascii="Arial" w:hAnsi="Arial" w:cs="Arial"/>
          <w:i/>
          <w:iCs/>
          <w:sz w:val="20"/>
          <w:szCs w:val="20"/>
          <w:lang w:val="sr-Cyrl-RS"/>
        </w:rPr>
      </w:pPr>
      <w:r w:rsidRPr="1A8E6423">
        <w:rPr>
          <w:rFonts w:ascii="Arial" w:hAnsi="Arial" w:cs="Arial"/>
          <w:i/>
          <w:iCs/>
          <w:sz w:val="20"/>
          <w:szCs w:val="20"/>
          <w:lang w:val="sr-Cyrl-RS"/>
        </w:rPr>
        <w:t>Табела</w:t>
      </w:r>
      <w:r w:rsidR="00946C03" w:rsidRPr="1A8E6423">
        <w:rPr>
          <w:rFonts w:ascii="Arial" w:hAnsi="Arial" w:cs="Arial"/>
          <w:i/>
          <w:iCs/>
          <w:sz w:val="20"/>
          <w:szCs w:val="20"/>
          <w:lang w:val="sr-Cyrl-RS"/>
        </w:rPr>
        <w:t xml:space="preserve"> </w:t>
      </w:r>
      <w:r w:rsidR="002139C8" w:rsidRPr="1A8E6423">
        <w:rPr>
          <w:rFonts w:ascii="Arial" w:hAnsi="Arial" w:cs="Arial"/>
          <w:i/>
          <w:iCs/>
          <w:sz w:val="20"/>
          <w:szCs w:val="20"/>
          <w:lang w:val="sr-Cyrl-RS"/>
        </w:rPr>
        <w:t>8</w:t>
      </w:r>
      <w:r w:rsidR="00E07C8E" w:rsidRPr="1A8E6423">
        <w:rPr>
          <w:rFonts w:ascii="Arial" w:hAnsi="Arial" w:cs="Arial"/>
          <w:i/>
          <w:iCs/>
          <w:sz w:val="20"/>
          <w:szCs w:val="20"/>
          <w:lang w:val="sr-Cyrl-RS"/>
        </w:rPr>
        <w:t>: Критеријуми и врста сарадње</w:t>
      </w:r>
      <w:r w:rsidR="004B3F76" w:rsidRPr="1A8E6423">
        <w:rPr>
          <w:rFonts w:ascii="Arial" w:hAnsi="Arial" w:cs="Arial"/>
          <w:i/>
          <w:iCs/>
          <w:sz w:val="20"/>
          <w:szCs w:val="20"/>
          <w:lang w:val="sr-Cyrl-RS"/>
        </w:rPr>
        <w:t xml:space="preserve"> локалних власти</w:t>
      </w:r>
      <w:r w:rsidR="00BB7F02" w:rsidRPr="1A8E6423">
        <w:rPr>
          <w:rFonts w:ascii="Arial" w:hAnsi="Arial" w:cs="Arial"/>
          <w:i/>
          <w:iCs/>
          <w:sz w:val="20"/>
          <w:szCs w:val="20"/>
          <w:lang w:val="sr-Cyrl-RS"/>
        </w:rPr>
        <w:t xml:space="preserve"> – европска искуства</w:t>
      </w:r>
    </w:p>
    <w:p w14:paraId="61631B5C" w14:textId="77777777" w:rsidR="008A1568" w:rsidRPr="00A021B7" w:rsidRDefault="008A1568" w:rsidP="003E7BC9">
      <w:pPr>
        <w:pStyle w:val="basic-paragraph"/>
        <w:shd w:val="clear" w:color="auto" w:fill="FFFFFF"/>
        <w:spacing w:before="0" w:beforeAutospacing="0" w:after="0" w:afterAutospacing="0"/>
        <w:jc w:val="both"/>
        <w:rPr>
          <w:rFonts w:ascii="Arial" w:hAnsi="Arial" w:cs="Arial"/>
          <w:bCs/>
          <w:sz w:val="20"/>
          <w:szCs w:val="20"/>
          <w:lang w:val="sr-Cyrl-RS"/>
        </w:rPr>
      </w:pPr>
    </w:p>
    <w:tbl>
      <w:tblPr>
        <w:tblStyle w:val="PlainTable11"/>
        <w:tblW w:w="8995" w:type="dxa"/>
        <w:tblLook w:val="04A0" w:firstRow="1" w:lastRow="0" w:firstColumn="1" w:lastColumn="0" w:noHBand="0" w:noVBand="1"/>
      </w:tblPr>
      <w:tblGrid>
        <w:gridCol w:w="2155"/>
        <w:gridCol w:w="6840"/>
      </w:tblGrid>
      <w:tr w:rsidR="008A1568" w:rsidRPr="00A021B7" w14:paraId="7C970D01" w14:textId="77777777" w:rsidTr="1A8E6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21D8D50" w14:textId="77777777" w:rsidR="008A1568" w:rsidRPr="00A021B7" w:rsidRDefault="008A1568" w:rsidP="003E7BC9">
            <w:pPr>
              <w:jc w:val="both"/>
              <w:rPr>
                <w:rFonts w:ascii="Arial" w:hAnsi="Arial" w:cs="Arial"/>
                <w:sz w:val="20"/>
                <w:szCs w:val="20"/>
                <w:lang w:val="sr-Cyrl-RS"/>
              </w:rPr>
            </w:pPr>
            <w:r w:rsidRPr="00A021B7">
              <w:rPr>
                <w:rFonts w:ascii="Arial" w:hAnsi="Arial" w:cs="Arial"/>
                <w:sz w:val="20"/>
                <w:szCs w:val="20"/>
                <w:lang w:val="sr-Cyrl-RS"/>
              </w:rPr>
              <w:t xml:space="preserve">Критеријум </w:t>
            </w:r>
          </w:p>
        </w:tc>
        <w:tc>
          <w:tcPr>
            <w:tcW w:w="6840" w:type="dxa"/>
          </w:tcPr>
          <w:p w14:paraId="32C2F754" w14:textId="77777777" w:rsidR="008A1568" w:rsidRPr="00A021B7" w:rsidRDefault="008A1568" w:rsidP="003E7BC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Врста сарадње</w:t>
            </w:r>
          </w:p>
        </w:tc>
      </w:tr>
      <w:tr w:rsidR="008A1568" w:rsidRPr="00A021B7" w14:paraId="02E40CF3"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9DAE81B" w14:textId="77777777" w:rsidR="008A1568" w:rsidRPr="00A021B7" w:rsidRDefault="008A1568" w:rsidP="003E7BC9">
            <w:pPr>
              <w:jc w:val="both"/>
              <w:rPr>
                <w:rFonts w:ascii="Arial" w:hAnsi="Arial" w:cs="Arial"/>
                <w:sz w:val="20"/>
                <w:szCs w:val="20"/>
                <w:lang w:val="sr-Cyrl-RS"/>
              </w:rPr>
            </w:pPr>
            <w:r w:rsidRPr="00A021B7">
              <w:rPr>
                <w:rFonts w:ascii="Arial" w:hAnsi="Arial" w:cs="Arial"/>
                <w:sz w:val="20"/>
                <w:szCs w:val="20"/>
                <w:lang w:val="sr-Cyrl-RS"/>
              </w:rPr>
              <w:t>Чврстина основа сарадње</w:t>
            </w:r>
          </w:p>
        </w:tc>
        <w:tc>
          <w:tcPr>
            <w:tcW w:w="6840" w:type="dxa"/>
          </w:tcPr>
          <w:p w14:paraId="6E0740AD" w14:textId="1FFAED95" w:rsidR="008A1568" w:rsidRPr="00A021B7" w:rsidRDefault="008A1568" w:rsidP="00A57E7E">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 xml:space="preserve">Неформална (координација </w:t>
            </w:r>
            <w:r w:rsidR="008F535F">
              <w:rPr>
                <w:rFonts w:ascii="Arial" w:hAnsi="Arial" w:cs="Arial"/>
                <w:sz w:val="20"/>
                <w:szCs w:val="20"/>
                <w:lang w:val="sr-Cyrl-RS"/>
              </w:rPr>
              <w:t xml:space="preserve">деловања </w:t>
            </w:r>
            <w:r w:rsidRPr="00A021B7">
              <w:rPr>
                <w:rFonts w:ascii="Arial" w:hAnsi="Arial" w:cs="Arial"/>
                <w:sz w:val="20"/>
                <w:szCs w:val="20"/>
                <w:lang w:val="sr-Cyrl-RS"/>
              </w:rPr>
              <w:t>више општина)</w:t>
            </w:r>
          </w:p>
          <w:p w14:paraId="27492A21" w14:textId="77777777" w:rsidR="008A1568" w:rsidRPr="00A021B7" w:rsidRDefault="008A1568" w:rsidP="00A57E7E">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Формална (кроз споразуме/уговоре)</w:t>
            </w:r>
          </w:p>
          <w:p w14:paraId="3CE20270" w14:textId="77777777" w:rsidR="008A1568" w:rsidRPr="00A021B7" w:rsidRDefault="008A1568" w:rsidP="00A57E7E">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Заједничке институције – предузећа</w:t>
            </w:r>
          </w:p>
          <w:p w14:paraId="45846358" w14:textId="77777777" w:rsidR="008A1568" w:rsidRPr="00A021B7" w:rsidRDefault="535AC2D7" w:rsidP="00A57E7E">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Интегрисана територијална сарадња</w:t>
            </w:r>
            <w:r w:rsidR="008A1568" w:rsidRPr="00A021B7">
              <w:rPr>
                <w:rStyle w:val="FootnoteReference"/>
                <w:rFonts w:ascii="Arial" w:hAnsi="Arial" w:cs="Arial"/>
                <w:sz w:val="20"/>
                <w:szCs w:val="20"/>
                <w:lang w:val="sr-Cyrl-RS"/>
              </w:rPr>
              <w:footnoteReference w:id="152"/>
            </w:r>
          </w:p>
        </w:tc>
      </w:tr>
      <w:tr w:rsidR="008A1568" w:rsidRPr="00A021B7" w14:paraId="67B64A7E" w14:textId="77777777" w:rsidTr="1A8E6423">
        <w:tc>
          <w:tcPr>
            <w:cnfStyle w:val="001000000000" w:firstRow="0" w:lastRow="0" w:firstColumn="1" w:lastColumn="0" w:oddVBand="0" w:evenVBand="0" w:oddHBand="0" w:evenHBand="0" w:firstRowFirstColumn="0" w:firstRowLastColumn="0" w:lastRowFirstColumn="0" w:lastRowLastColumn="0"/>
            <w:tcW w:w="2155" w:type="dxa"/>
          </w:tcPr>
          <w:p w14:paraId="01D181ED" w14:textId="77777777" w:rsidR="008A1568" w:rsidRPr="00A021B7" w:rsidRDefault="008A1568" w:rsidP="003E7BC9">
            <w:pPr>
              <w:jc w:val="both"/>
              <w:rPr>
                <w:rFonts w:ascii="Arial" w:hAnsi="Arial" w:cs="Arial"/>
                <w:sz w:val="20"/>
                <w:szCs w:val="20"/>
                <w:lang w:val="sr-Cyrl-RS"/>
              </w:rPr>
            </w:pPr>
            <w:r w:rsidRPr="00A021B7">
              <w:rPr>
                <w:rFonts w:ascii="Arial" w:hAnsi="Arial" w:cs="Arial"/>
                <w:sz w:val="20"/>
                <w:szCs w:val="20"/>
                <w:lang w:val="sr-Cyrl-RS"/>
              </w:rPr>
              <w:t>Мотив</w:t>
            </w:r>
          </w:p>
        </w:tc>
        <w:tc>
          <w:tcPr>
            <w:tcW w:w="6840" w:type="dxa"/>
          </w:tcPr>
          <w:p w14:paraId="5D7204B1" w14:textId="77777777" w:rsidR="008A1568" w:rsidRPr="00A021B7" w:rsidRDefault="008A1568" w:rsidP="00A57E7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Економија обима (карактеристично за мање општине)</w:t>
            </w:r>
          </w:p>
          <w:p w14:paraId="7A2ACF7D" w14:textId="77777777" w:rsidR="008A1568" w:rsidRPr="00A021B7" w:rsidRDefault="535AC2D7" w:rsidP="00A57E7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Обухват природног подручја</w:t>
            </w:r>
            <w:r w:rsidR="008A1568" w:rsidRPr="00A021B7">
              <w:rPr>
                <w:rStyle w:val="FootnoteReference"/>
                <w:rFonts w:ascii="Arial" w:hAnsi="Arial" w:cs="Arial"/>
                <w:sz w:val="20"/>
                <w:szCs w:val="20"/>
                <w:lang w:val="sr-Cyrl-RS"/>
              </w:rPr>
              <w:footnoteReference w:id="153"/>
            </w:r>
          </w:p>
          <w:p w14:paraId="5766D4C3" w14:textId="77777777" w:rsidR="008A1568" w:rsidRPr="00A021B7" w:rsidRDefault="00094679" w:rsidP="00A57E7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З</w:t>
            </w:r>
            <w:r w:rsidR="008A1568" w:rsidRPr="00A021B7">
              <w:rPr>
                <w:rFonts w:ascii="Arial" w:hAnsi="Arial" w:cs="Arial"/>
                <w:sz w:val="20"/>
                <w:szCs w:val="20"/>
                <w:lang w:val="sr-Cyrl-RS"/>
              </w:rPr>
              <w:t>аједничко управљање инфраструктуром и јавним функцијама;</w:t>
            </w:r>
          </w:p>
          <w:p w14:paraId="1EFD1B7A" w14:textId="77777777" w:rsidR="008A1568" w:rsidRPr="00A021B7" w:rsidRDefault="00094679" w:rsidP="00A57E7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Б</w:t>
            </w:r>
            <w:r w:rsidR="008A1568" w:rsidRPr="00A021B7">
              <w:rPr>
                <w:rFonts w:ascii="Arial" w:hAnsi="Arial" w:cs="Arial"/>
                <w:sz w:val="20"/>
                <w:szCs w:val="20"/>
                <w:lang w:val="sr-Cyrl-RS"/>
              </w:rPr>
              <w:t>оља видљивост и позиција на тржишту (заједничко промовисање културних и туристичких потенцијала као и рад на привлачењу инвестиција);</w:t>
            </w:r>
          </w:p>
          <w:p w14:paraId="6F13DA9A" w14:textId="77777777" w:rsidR="008A1568" w:rsidRPr="00A021B7" w:rsidRDefault="007178F4" w:rsidP="00A57E7E">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П</w:t>
            </w:r>
            <w:r w:rsidR="008A1568" w:rsidRPr="00A021B7">
              <w:rPr>
                <w:rFonts w:ascii="Arial" w:hAnsi="Arial" w:cs="Arial"/>
                <w:sz w:val="20"/>
                <w:szCs w:val="20"/>
                <w:lang w:val="sr-Cyrl-RS"/>
              </w:rPr>
              <w:t>риступ спољним (иностраним) фондовима.</w:t>
            </w:r>
          </w:p>
        </w:tc>
      </w:tr>
      <w:tr w:rsidR="008A1568" w:rsidRPr="00A021B7" w14:paraId="7E3ECE20"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754AA0D" w14:textId="77777777" w:rsidR="008A1568" w:rsidRPr="00A021B7" w:rsidRDefault="008A1568" w:rsidP="003E7BC9">
            <w:pPr>
              <w:jc w:val="both"/>
              <w:rPr>
                <w:rFonts w:ascii="Arial" w:hAnsi="Arial" w:cs="Arial"/>
                <w:sz w:val="20"/>
                <w:szCs w:val="20"/>
                <w:lang w:val="sr-Cyrl-RS"/>
              </w:rPr>
            </w:pPr>
            <w:r w:rsidRPr="00A021B7">
              <w:rPr>
                <w:rFonts w:ascii="Arial" w:hAnsi="Arial" w:cs="Arial"/>
                <w:sz w:val="20"/>
                <w:szCs w:val="20"/>
                <w:lang w:val="sr-Cyrl-RS"/>
              </w:rPr>
              <w:t>Врста права и улога државе</w:t>
            </w:r>
          </w:p>
        </w:tc>
        <w:tc>
          <w:tcPr>
            <w:tcW w:w="6840" w:type="dxa"/>
          </w:tcPr>
          <w:p w14:paraId="660C8C3D" w14:textId="25F7FD95" w:rsidR="008A1568" w:rsidRPr="00A021B7" w:rsidRDefault="4AC35322" w:rsidP="00A57E7E">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И</w:t>
            </w:r>
            <w:r w:rsidR="008A1568" w:rsidRPr="1A8E6423">
              <w:rPr>
                <w:rFonts w:ascii="Arial" w:hAnsi="Arial" w:cs="Arial"/>
                <w:sz w:val="20"/>
                <w:szCs w:val="20"/>
                <w:lang w:val="sr-Cyrl-RS"/>
              </w:rPr>
              <w:t xml:space="preserve">нтегрисана </w:t>
            </w:r>
            <w:r w:rsidR="411952CE" w:rsidRPr="1A8E6423">
              <w:rPr>
                <w:rFonts w:ascii="Arial" w:hAnsi="Arial" w:cs="Arial"/>
                <w:sz w:val="20"/>
                <w:szCs w:val="20"/>
                <w:lang w:val="sr-Cyrl-RS"/>
              </w:rPr>
              <w:t>–</w:t>
            </w:r>
            <w:r w:rsidR="008A1568" w:rsidRPr="1A8E6423">
              <w:rPr>
                <w:rFonts w:ascii="Arial" w:hAnsi="Arial" w:cs="Arial"/>
                <w:sz w:val="20"/>
                <w:szCs w:val="20"/>
                <w:lang w:val="sr-Cyrl-RS"/>
              </w:rPr>
              <w:t xml:space="preserve"> заснована</w:t>
            </w:r>
            <w:r w:rsidR="411952CE" w:rsidRPr="1A8E6423">
              <w:rPr>
                <w:rFonts w:ascii="Arial" w:hAnsi="Arial" w:cs="Arial"/>
                <w:sz w:val="20"/>
                <w:szCs w:val="20"/>
                <w:lang w:val="sr-Cyrl-RS"/>
              </w:rPr>
              <w:t xml:space="preserve"> </w:t>
            </w:r>
            <w:r w:rsidR="008A1568" w:rsidRPr="1A8E6423">
              <w:rPr>
                <w:rFonts w:ascii="Arial" w:hAnsi="Arial" w:cs="Arial"/>
                <w:sz w:val="20"/>
                <w:szCs w:val="20"/>
                <w:lang w:val="sr-Cyrl-RS"/>
              </w:rPr>
              <w:t xml:space="preserve">на јавном праву (иницирана </w:t>
            </w:r>
            <w:r w:rsidR="00D0490D" w:rsidRPr="1A8E6423">
              <w:rPr>
                <w:rFonts w:ascii="Arial" w:hAnsi="Arial" w:cs="Arial"/>
                <w:sz w:val="20"/>
                <w:szCs w:val="20"/>
                <w:lang w:val="sr-Cyrl-RS"/>
              </w:rPr>
              <w:t>одозго</w:t>
            </w:r>
            <w:r w:rsidR="008A1568" w:rsidRPr="1A8E6423">
              <w:rPr>
                <w:rFonts w:ascii="Arial" w:hAnsi="Arial" w:cs="Arial"/>
                <w:sz w:val="20"/>
                <w:szCs w:val="20"/>
                <w:lang w:val="sr-Cyrl-RS"/>
              </w:rPr>
              <w:t xml:space="preserve"> или чак обавезујућа)</w:t>
            </w:r>
          </w:p>
          <w:p w14:paraId="0A6CDFFF" w14:textId="76111A9B" w:rsidR="008A1568" w:rsidRPr="00A021B7" w:rsidRDefault="4AC35322" w:rsidP="00A57E7E">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Ф</w:t>
            </w:r>
            <w:r w:rsidR="008A1568" w:rsidRPr="1A8E6423">
              <w:rPr>
                <w:rFonts w:ascii="Arial" w:hAnsi="Arial" w:cs="Arial"/>
                <w:sz w:val="20"/>
                <w:szCs w:val="20"/>
                <w:lang w:val="sr-Cyrl-RS"/>
              </w:rPr>
              <w:t xml:space="preserve">лексибилна – општине слободно потписују уговоре о сарадњи (иницијатива </w:t>
            </w:r>
            <w:r w:rsidR="00D0490D" w:rsidRPr="1A8E6423">
              <w:rPr>
                <w:rFonts w:ascii="Arial" w:hAnsi="Arial" w:cs="Arial"/>
                <w:sz w:val="20"/>
                <w:szCs w:val="20"/>
                <w:lang w:val="sr-Cyrl-RS"/>
              </w:rPr>
              <w:t xml:space="preserve">одоздо </w:t>
            </w:r>
            <w:r w:rsidR="008A1568" w:rsidRPr="1A8E6423">
              <w:rPr>
                <w:rFonts w:ascii="Arial" w:hAnsi="Arial" w:cs="Arial"/>
                <w:sz w:val="20"/>
                <w:szCs w:val="20"/>
                <w:lang w:val="sr-Cyrl-RS"/>
              </w:rPr>
              <w:t xml:space="preserve">– </w:t>
            </w:r>
            <w:r w:rsidR="00D0490D" w:rsidRPr="1A8E6423">
              <w:rPr>
                <w:rFonts w:ascii="Arial" w:hAnsi="Arial" w:cs="Arial"/>
                <w:sz w:val="20"/>
                <w:szCs w:val="20"/>
                <w:lang w:val="sr-Cyrl-RS"/>
              </w:rPr>
              <w:t xml:space="preserve">добровољна </w:t>
            </w:r>
            <w:r w:rsidR="008A1568" w:rsidRPr="1A8E6423">
              <w:rPr>
                <w:rFonts w:ascii="Arial" w:hAnsi="Arial" w:cs="Arial"/>
                <w:sz w:val="20"/>
                <w:szCs w:val="20"/>
                <w:lang w:val="sr-Cyrl-RS"/>
              </w:rPr>
              <w:t>сарадња, може бити заснована на приватном праву)</w:t>
            </w:r>
          </w:p>
          <w:p w14:paraId="0DD9F954" w14:textId="77777777" w:rsidR="008A1568" w:rsidRPr="00A021B7" w:rsidRDefault="00094679" w:rsidP="00A57E7E">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К</w:t>
            </w:r>
            <w:r w:rsidR="008A1568" w:rsidRPr="00A021B7">
              <w:rPr>
                <w:rFonts w:ascii="Arial" w:hAnsi="Arial" w:cs="Arial"/>
                <w:sz w:val="20"/>
                <w:szCs w:val="20"/>
                <w:lang w:val="sr-Cyrl-RS"/>
              </w:rPr>
              <w:t>омбинована</w:t>
            </w:r>
          </w:p>
        </w:tc>
      </w:tr>
      <w:tr w:rsidR="008A1568" w:rsidRPr="00A021B7" w14:paraId="3B77AE40" w14:textId="77777777" w:rsidTr="1A8E6423">
        <w:tc>
          <w:tcPr>
            <w:cnfStyle w:val="001000000000" w:firstRow="0" w:lastRow="0" w:firstColumn="1" w:lastColumn="0" w:oddVBand="0" w:evenVBand="0" w:oddHBand="0" w:evenHBand="0" w:firstRowFirstColumn="0" w:firstRowLastColumn="0" w:lastRowFirstColumn="0" w:lastRowLastColumn="0"/>
            <w:tcW w:w="2155" w:type="dxa"/>
          </w:tcPr>
          <w:p w14:paraId="4A768DD2" w14:textId="77777777" w:rsidR="008A1568" w:rsidRPr="00A021B7" w:rsidRDefault="008A1568" w:rsidP="003E7BC9">
            <w:pPr>
              <w:rPr>
                <w:rFonts w:ascii="Arial" w:hAnsi="Arial" w:cs="Arial"/>
                <w:sz w:val="20"/>
                <w:szCs w:val="20"/>
                <w:lang w:val="sr-Cyrl-RS"/>
              </w:rPr>
            </w:pPr>
            <w:r w:rsidRPr="00A021B7">
              <w:rPr>
                <w:rFonts w:ascii="Arial" w:hAnsi="Arial" w:cs="Arial"/>
                <w:sz w:val="20"/>
                <w:szCs w:val="20"/>
                <w:lang w:val="sr-Cyrl-RS"/>
              </w:rPr>
              <w:t>Традиција, сврха и величина општина</w:t>
            </w:r>
          </w:p>
        </w:tc>
        <w:tc>
          <w:tcPr>
            <w:tcW w:w="6840" w:type="dxa"/>
          </w:tcPr>
          <w:p w14:paraId="412B9638" w14:textId="153218EA" w:rsidR="008A1568" w:rsidRPr="00A021B7" w:rsidRDefault="008A1568" w:rsidP="00A57E7E">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Јужноевропски модел МОС – „старе демократије</w:t>
            </w:r>
            <w:r w:rsidR="0074037A" w:rsidRPr="1A8E6423">
              <w:rPr>
                <w:rFonts w:ascii="Arial" w:hAnsi="Arial" w:cs="Arial"/>
                <w:sz w:val="20"/>
                <w:szCs w:val="20"/>
                <w:lang w:val="sr-Cyrl-RS"/>
              </w:rPr>
              <w:t>”</w:t>
            </w:r>
            <w:r w:rsidRPr="1A8E6423">
              <w:rPr>
                <w:rFonts w:ascii="Arial" w:hAnsi="Arial" w:cs="Arial"/>
                <w:sz w:val="20"/>
                <w:szCs w:val="20"/>
                <w:lang w:val="sr-Cyrl-RS"/>
              </w:rPr>
              <w:t xml:space="preserve"> са веома малим</w:t>
            </w:r>
            <w:r w:rsidR="00D0490D" w:rsidRPr="1A8E6423">
              <w:rPr>
                <w:rFonts w:ascii="Arial" w:hAnsi="Arial" w:cs="Arial"/>
                <w:sz w:val="20"/>
                <w:szCs w:val="20"/>
                <w:lang w:val="sr-Cyrl-RS"/>
              </w:rPr>
              <w:t>,</w:t>
            </w:r>
            <w:r w:rsidRPr="1A8E6423">
              <w:rPr>
                <w:rFonts w:ascii="Arial" w:hAnsi="Arial" w:cs="Arial"/>
                <w:sz w:val="20"/>
                <w:szCs w:val="20"/>
                <w:lang w:val="sr-Cyrl-RS"/>
              </w:rPr>
              <w:t xml:space="preserve"> фрагментираним општинама, често обавезујућа сарадња (нпр. Француска, Шпанија);</w:t>
            </w:r>
          </w:p>
          <w:p w14:paraId="402EAF85" w14:textId="253543ED" w:rsidR="008A1568" w:rsidRPr="00A021B7" w:rsidRDefault="008A1568" w:rsidP="00A57E7E">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Немачко-скандинавски модел</w:t>
            </w:r>
            <w:r w:rsidR="004D5004" w:rsidRPr="1A8E6423">
              <w:rPr>
                <w:rFonts w:ascii="Arial" w:hAnsi="Arial" w:cs="Arial"/>
                <w:sz w:val="20"/>
                <w:szCs w:val="20"/>
                <w:lang w:val="sr-Cyrl-RS"/>
              </w:rPr>
              <w:t xml:space="preserve"> </w:t>
            </w:r>
            <w:r w:rsidR="039F3019" w:rsidRPr="1A8E6423">
              <w:rPr>
                <w:rFonts w:ascii="Arial" w:hAnsi="Arial" w:cs="Arial"/>
                <w:sz w:val="20"/>
                <w:szCs w:val="20"/>
                <w:lang w:val="sr-Cyrl-RS"/>
              </w:rPr>
              <w:t>–</w:t>
            </w:r>
            <w:r w:rsidRPr="1A8E6423">
              <w:rPr>
                <w:rFonts w:ascii="Arial" w:hAnsi="Arial" w:cs="Arial"/>
                <w:sz w:val="20"/>
                <w:szCs w:val="20"/>
                <w:lang w:val="sr-Cyrl-RS"/>
              </w:rPr>
              <w:t xml:space="preserve"> дуга</w:t>
            </w:r>
            <w:r w:rsidR="039F3019" w:rsidRPr="1A8E6423">
              <w:rPr>
                <w:rFonts w:ascii="Arial" w:hAnsi="Arial" w:cs="Arial"/>
                <w:sz w:val="20"/>
                <w:szCs w:val="20"/>
                <w:lang w:val="sr-Cyrl-RS"/>
              </w:rPr>
              <w:t xml:space="preserve"> </w:t>
            </w:r>
            <w:r w:rsidRPr="1A8E6423">
              <w:rPr>
                <w:rFonts w:ascii="Arial" w:hAnsi="Arial" w:cs="Arial"/>
                <w:sz w:val="20"/>
                <w:szCs w:val="20"/>
                <w:lang w:val="sr-Cyrl-RS"/>
              </w:rPr>
              <w:t xml:space="preserve">традиција, сарадња </w:t>
            </w:r>
            <w:r w:rsidR="009E7C0D" w:rsidRPr="1A8E6423">
              <w:rPr>
                <w:rFonts w:ascii="Arial" w:hAnsi="Arial" w:cs="Arial"/>
                <w:sz w:val="20"/>
                <w:szCs w:val="20"/>
                <w:lang w:val="sr-Cyrl-RS"/>
              </w:rPr>
              <w:t>добровољна</w:t>
            </w:r>
            <w:r w:rsidRPr="1A8E6423">
              <w:rPr>
                <w:rFonts w:ascii="Arial" w:hAnsi="Arial" w:cs="Arial"/>
                <w:sz w:val="20"/>
                <w:szCs w:val="20"/>
                <w:lang w:val="sr-Cyrl-RS"/>
              </w:rPr>
              <w:t>;</w:t>
            </w:r>
          </w:p>
          <w:p w14:paraId="5A105E9A" w14:textId="5CDC48D9" w:rsidR="008A1568" w:rsidRPr="00A021B7" w:rsidRDefault="008A1568" w:rsidP="00A57E7E">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 xml:space="preserve">Централноевропски модел сарадње </w:t>
            </w:r>
            <w:r w:rsidR="039F3019" w:rsidRPr="1A8E6423">
              <w:rPr>
                <w:rFonts w:ascii="Arial" w:hAnsi="Arial" w:cs="Arial"/>
                <w:sz w:val="20"/>
                <w:szCs w:val="20"/>
                <w:lang w:val="sr-Cyrl-RS"/>
              </w:rPr>
              <w:t>–</w:t>
            </w:r>
            <w:r w:rsidRPr="1A8E6423">
              <w:rPr>
                <w:rFonts w:ascii="Arial" w:hAnsi="Arial" w:cs="Arial"/>
                <w:sz w:val="20"/>
                <w:szCs w:val="20"/>
                <w:lang w:val="sr-Cyrl-RS"/>
              </w:rPr>
              <w:t xml:space="preserve"> државе</w:t>
            </w:r>
            <w:r w:rsidR="039F3019" w:rsidRPr="1A8E6423">
              <w:rPr>
                <w:rFonts w:ascii="Arial" w:hAnsi="Arial" w:cs="Arial"/>
                <w:sz w:val="20"/>
                <w:szCs w:val="20"/>
                <w:lang w:val="sr-Cyrl-RS"/>
              </w:rPr>
              <w:t xml:space="preserve"> у транзицији</w:t>
            </w:r>
            <w:r w:rsidRPr="1A8E6423">
              <w:rPr>
                <w:rFonts w:ascii="Arial" w:hAnsi="Arial" w:cs="Arial"/>
                <w:sz w:val="20"/>
                <w:szCs w:val="20"/>
                <w:lang w:val="sr-Cyrl-RS"/>
              </w:rPr>
              <w:t>, некада високо централизоване</w:t>
            </w:r>
            <w:r w:rsidR="09A91EA2" w:rsidRPr="1A8E6423">
              <w:rPr>
                <w:rFonts w:ascii="Arial" w:hAnsi="Arial" w:cs="Arial"/>
                <w:sz w:val="20"/>
                <w:szCs w:val="20"/>
                <w:lang w:val="sr-Cyrl-RS"/>
              </w:rPr>
              <w:t>,</w:t>
            </w:r>
            <w:r w:rsidRPr="1A8E6423">
              <w:rPr>
                <w:rFonts w:ascii="Arial" w:hAnsi="Arial" w:cs="Arial"/>
                <w:sz w:val="20"/>
                <w:szCs w:val="20"/>
                <w:lang w:val="sr-Cyrl-RS"/>
              </w:rPr>
              <w:t xml:space="preserve"> у којима је МОС скорија појава (Чешка, Словачка, Мађарска).</w:t>
            </w:r>
          </w:p>
          <w:p w14:paraId="410A1941" w14:textId="77777777" w:rsidR="008A1568" w:rsidRPr="00A021B7" w:rsidRDefault="008A1568"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p>
        </w:tc>
      </w:tr>
    </w:tbl>
    <w:p w14:paraId="7964ACB5" w14:textId="77777777" w:rsidR="00777C3E" w:rsidRPr="00A021B7" w:rsidRDefault="00777C3E" w:rsidP="003E7BC9">
      <w:pPr>
        <w:pStyle w:val="basic-paragraph"/>
        <w:shd w:val="clear" w:color="auto" w:fill="FFFFFF"/>
        <w:spacing w:before="0" w:beforeAutospacing="0" w:after="0" w:afterAutospacing="0"/>
        <w:jc w:val="both"/>
        <w:rPr>
          <w:rFonts w:ascii="Arial" w:hAnsi="Arial" w:cs="Arial"/>
          <w:sz w:val="20"/>
          <w:szCs w:val="20"/>
          <w:lang w:val="sr-Cyrl-RS"/>
        </w:rPr>
      </w:pPr>
    </w:p>
    <w:p w14:paraId="26428554" w14:textId="7CDC20F3" w:rsidR="00FD4F30" w:rsidRPr="00A021B7" w:rsidRDefault="008368F9" w:rsidP="1A8E6423">
      <w:pPr>
        <w:pStyle w:val="basic-paragraph"/>
        <w:shd w:val="clear" w:color="auto" w:fill="FFFFFF" w:themeFill="background1"/>
        <w:spacing w:before="0" w:beforeAutospacing="0" w:after="0" w:afterAutospacing="0"/>
        <w:ind w:firstLine="720"/>
        <w:jc w:val="both"/>
        <w:rPr>
          <w:rFonts w:ascii="Arial" w:hAnsi="Arial" w:cs="Arial"/>
          <w:sz w:val="20"/>
          <w:szCs w:val="20"/>
          <w:lang w:val="sr-Cyrl-RS"/>
        </w:rPr>
      </w:pPr>
      <w:r w:rsidRPr="1A8E6423">
        <w:rPr>
          <w:rFonts w:ascii="Arial" w:hAnsi="Arial" w:cs="Arial"/>
          <w:sz w:val="20"/>
          <w:szCs w:val="20"/>
          <w:lang w:val="sr-Cyrl-RS"/>
        </w:rPr>
        <w:t xml:space="preserve">Мада релативно велике по броју становника и површини у односу на ЈЛС у европским земљама, ЈЛС у Србији имају потребу за МОС. Код мањих ЈЛС потреба произлази из скромности ресурса којима располажу и релативно широког обима надлежности који је веома сличан оном код великих ЈЛС, а код већих се заснива на могућности да се искористе ефекти економије обима. У садашњим околностима, </w:t>
      </w:r>
      <w:r w:rsidR="009E7C0D" w:rsidRPr="1A8E6423">
        <w:rPr>
          <w:rFonts w:ascii="Arial" w:hAnsi="Arial" w:cs="Arial"/>
          <w:sz w:val="20"/>
          <w:szCs w:val="20"/>
          <w:lang w:val="sr-Cyrl-RS"/>
        </w:rPr>
        <w:t xml:space="preserve">МОС је </w:t>
      </w:r>
      <w:r w:rsidRPr="1A8E6423">
        <w:rPr>
          <w:rFonts w:ascii="Arial" w:hAnsi="Arial" w:cs="Arial"/>
          <w:sz w:val="20"/>
          <w:szCs w:val="20"/>
          <w:lang w:val="sr-Cyrl-RS"/>
        </w:rPr>
        <w:t xml:space="preserve">посебно важна малим општинама, које често немају ни </w:t>
      </w:r>
      <w:r w:rsidR="00BE5EA0" w:rsidRPr="1A8E6423">
        <w:rPr>
          <w:rFonts w:ascii="Arial" w:hAnsi="Arial" w:cs="Arial"/>
          <w:sz w:val="20"/>
          <w:szCs w:val="20"/>
          <w:lang w:val="sr-Cyrl-RS"/>
        </w:rPr>
        <w:t>потребне кадрове</w:t>
      </w:r>
      <w:r w:rsidRPr="1A8E6423">
        <w:rPr>
          <w:rFonts w:ascii="Arial" w:hAnsi="Arial" w:cs="Arial"/>
          <w:sz w:val="20"/>
          <w:szCs w:val="20"/>
          <w:lang w:val="sr-Cyrl-RS"/>
        </w:rPr>
        <w:t xml:space="preserve"> ни средстава за све прописане послове и услуге, па је ово најлакши и најјефтинији начин да њихови грађани не буду ускраћени у односу на становнике развијенијих крајева. МОС не треба посматрати само са становишта послова и услуга које се обављају кроз МОС, већ и са становишта кадровског растерећења. Упркос евидентној потреби, МОС није значајније развијена у Републици Србији. Међу препрекама се истичу ограничења која произлазе из постојећег правног оквира (могућност „губитка утицаја” на рад заједничке институције, очекивање проблема до којих може доћи у одвијању сарадње, ризик од преваљивања трошкова и неизмирених обавеза на ЈЛС у којој је седиште и др.) и одсуство државних подстицаја и мотива код локалних власти да се удружују</w:t>
      </w:r>
      <w:r w:rsidR="00814198" w:rsidRPr="1A8E6423">
        <w:rPr>
          <w:rFonts w:ascii="Arial" w:hAnsi="Arial" w:cs="Arial"/>
          <w:sz w:val="20"/>
          <w:szCs w:val="20"/>
          <w:lang w:val="sr-Cyrl-RS"/>
        </w:rPr>
        <w:t>.</w:t>
      </w:r>
    </w:p>
    <w:p w14:paraId="6101BECE" w14:textId="77777777" w:rsidR="008368F9" w:rsidRPr="00A021B7" w:rsidRDefault="008368F9" w:rsidP="1A8E6423">
      <w:pPr>
        <w:ind w:firstLine="720"/>
        <w:jc w:val="both"/>
        <w:rPr>
          <w:rFonts w:ascii="Arial" w:hAnsi="Arial" w:cs="Arial"/>
          <w:sz w:val="20"/>
          <w:szCs w:val="20"/>
          <w:lang w:val="sr-Cyrl-RS"/>
        </w:rPr>
      </w:pPr>
    </w:p>
    <w:p w14:paraId="1B01D621" w14:textId="0D3045E2" w:rsidR="000046F9" w:rsidRPr="00A021B7" w:rsidRDefault="6D42FE61"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Иако је </w:t>
      </w:r>
      <w:r w:rsidRPr="1A8E6423">
        <w:rPr>
          <w:rFonts w:ascii="Arial" w:eastAsiaTheme="minorEastAsia" w:hAnsi="Arial" w:cs="Arial"/>
          <w:sz w:val="20"/>
          <w:szCs w:val="20"/>
          <w:lang w:val="sr-Cyrl-RS"/>
        </w:rPr>
        <w:t>МОС</w:t>
      </w:r>
      <w:r w:rsidRPr="00A021B7">
        <w:rPr>
          <w:rFonts w:ascii="Arial" w:hAnsi="Arial" w:cs="Arial"/>
          <w:sz w:val="20"/>
          <w:szCs w:val="20"/>
          <w:lang w:val="sr-Cyrl-RS"/>
        </w:rPr>
        <w:t xml:space="preserve"> </w:t>
      </w:r>
      <w:r w:rsidR="009E7C0D" w:rsidRPr="00A021B7">
        <w:rPr>
          <w:rFonts w:ascii="Arial" w:hAnsi="Arial" w:cs="Arial"/>
          <w:sz w:val="20"/>
          <w:szCs w:val="20"/>
          <w:lang w:val="sr-Cyrl-RS"/>
        </w:rPr>
        <w:t>зна</w:t>
      </w:r>
      <w:r w:rsidR="009E7C0D">
        <w:rPr>
          <w:rFonts w:ascii="Arial" w:hAnsi="Arial" w:cs="Arial"/>
          <w:sz w:val="20"/>
          <w:szCs w:val="20"/>
          <w:lang w:val="sr-Cyrl-RS"/>
        </w:rPr>
        <w:t>т</w:t>
      </w:r>
      <w:r w:rsidR="009E7C0D" w:rsidRPr="00A021B7">
        <w:rPr>
          <w:rFonts w:ascii="Arial" w:hAnsi="Arial" w:cs="Arial"/>
          <w:sz w:val="20"/>
          <w:szCs w:val="20"/>
          <w:lang w:val="sr-Cyrl-RS"/>
        </w:rPr>
        <w:t xml:space="preserve">но </w:t>
      </w:r>
      <w:r w:rsidRPr="00A021B7">
        <w:rPr>
          <w:rFonts w:ascii="Arial" w:hAnsi="Arial" w:cs="Arial"/>
          <w:sz w:val="20"/>
          <w:szCs w:val="20"/>
          <w:lang w:val="sr-Cyrl-RS"/>
        </w:rPr>
        <w:t xml:space="preserve">боље регулисана новелираним ЗЛС, у примени претходно закључених споразума и даље остају отворена питања и одређени проблеми. Они су првенствено везани за положај и функционисање заједничког ЈП, као једног од кључних облика МОС, али у једном делу важе и за остале облике. За оснивање заједничког ЈП и спровођење сложених и вредних инфраструктурних </w:t>
      </w:r>
      <w:r w:rsidR="009E7C0D">
        <w:rPr>
          <w:rFonts w:ascii="Arial" w:hAnsi="Arial" w:cs="Arial"/>
          <w:sz w:val="20"/>
          <w:szCs w:val="20"/>
          <w:lang w:val="sr-Cyrl-RS"/>
        </w:rPr>
        <w:t>пројеката</w:t>
      </w:r>
      <w:r w:rsidR="009E7C0D" w:rsidRPr="00A021B7">
        <w:rPr>
          <w:rFonts w:ascii="Arial" w:hAnsi="Arial" w:cs="Arial"/>
          <w:sz w:val="20"/>
          <w:szCs w:val="20"/>
          <w:lang w:val="sr-Cyrl-RS"/>
        </w:rPr>
        <w:t xml:space="preserve"> </w:t>
      </w:r>
      <w:r w:rsidRPr="00A021B7">
        <w:rPr>
          <w:rFonts w:ascii="Arial" w:hAnsi="Arial" w:cs="Arial"/>
          <w:sz w:val="20"/>
          <w:szCs w:val="20"/>
          <w:lang w:val="sr-Cyrl-RS"/>
        </w:rPr>
        <w:t xml:space="preserve">који га обично прате, веома је важна финансијска дисциплина ЈЛС у извршавању преузетих обавеза. Због избегавања или </w:t>
      </w:r>
      <w:r w:rsidRPr="00A021B7">
        <w:rPr>
          <w:rFonts w:ascii="Arial" w:hAnsi="Arial" w:cs="Arial"/>
          <w:sz w:val="20"/>
          <w:szCs w:val="20"/>
          <w:lang w:val="sr-Cyrl-RS"/>
        </w:rPr>
        <w:lastRenderedPageBreak/>
        <w:t xml:space="preserve">одуговлачења појединих ЈЛС може се довести у питање реализација самог међуопштинског пројекта, као и кредибилитет целог процеса и свих партнера. У практичној примени МОС није јасно како у потпуности обезбедити испуњавање обавеза свих партнерских ЈЛС. С тим </w:t>
      </w:r>
      <w:r w:rsidR="4370149A" w:rsidRPr="00A021B7">
        <w:rPr>
          <w:rFonts w:ascii="Arial" w:hAnsi="Arial" w:cs="Arial"/>
          <w:sz w:val="20"/>
          <w:szCs w:val="20"/>
          <w:lang w:val="sr-Cyrl-RS"/>
        </w:rPr>
        <w:t xml:space="preserve">у </w:t>
      </w:r>
      <w:r w:rsidRPr="00A021B7">
        <w:rPr>
          <w:rFonts w:ascii="Arial" w:hAnsi="Arial" w:cs="Arial"/>
          <w:sz w:val="20"/>
          <w:szCs w:val="20"/>
          <w:lang w:val="sr-Cyrl-RS"/>
        </w:rPr>
        <w:t>вез</w:t>
      </w:r>
      <w:r w:rsidR="4370149A" w:rsidRPr="00A021B7">
        <w:rPr>
          <w:rFonts w:ascii="Arial" w:hAnsi="Arial" w:cs="Arial"/>
          <w:sz w:val="20"/>
          <w:szCs w:val="20"/>
          <w:lang w:val="sr-Cyrl-RS"/>
        </w:rPr>
        <w:t>и је питање</w:t>
      </w:r>
      <w:r w:rsidRPr="00A021B7">
        <w:rPr>
          <w:rFonts w:ascii="Arial" w:hAnsi="Arial" w:cs="Arial"/>
          <w:sz w:val="20"/>
          <w:szCs w:val="20"/>
          <w:lang w:val="sr-Cyrl-RS"/>
        </w:rPr>
        <w:t xml:space="preserve"> </w:t>
      </w:r>
      <w:r w:rsidR="009E7C0D">
        <w:rPr>
          <w:rFonts w:ascii="Arial" w:hAnsi="Arial" w:cs="Arial"/>
          <w:sz w:val="20"/>
          <w:szCs w:val="20"/>
          <w:lang w:val="sr-Cyrl-RS"/>
        </w:rPr>
        <w:t xml:space="preserve">тога </w:t>
      </w:r>
      <w:r w:rsidRPr="00A021B7">
        <w:rPr>
          <w:rFonts w:ascii="Arial" w:hAnsi="Arial" w:cs="Arial"/>
          <w:sz w:val="20"/>
          <w:szCs w:val="20"/>
          <w:lang w:val="sr-Cyrl-RS"/>
        </w:rPr>
        <w:t xml:space="preserve">да у пракси и даље остаје могућност да једна ЈЛС не извршава преузете обавезе, а да не жели да поднесе захтев за иступање, што је изразито проблематично када се има у виду заједничко ЈП. </w:t>
      </w:r>
      <w:r w:rsidRPr="1A8E6423">
        <w:rPr>
          <w:rFonts w:ascii="Arial" w:eastAsiaTheme="minorEastAsia" w:hAnsi="Arial" w:cs="Arial"/>
          <w:sz w:val="20"/>
          <w:szCs w:val="20"/>
          <w:lang w:val="sr-Cyrl-RS"/>
        </w:rPr>
        <w:t>Слична питања отварају се и код оснивања заједничких органа, служби и установа. И ту се постављају питања о регулисању удруживања средстава ЈЛС при оснивању нових организационих облика. Важно питање јесте и како регулисати начин поделе заједнички стечене имовине или како се третирају заједнички уложена средства за почетак рада неке службе или установе, након престанка МОС или код иступања једне ЈЛС из њега.</w:t>
      </w:r>
      <w:r w:rsidR="0CEBBDD1" w:rsidRPr="1A8E6423">
        <w:rPr>
          <w:rFonts w:ascii="Arial" w:eastAsiaTheme="minorEastAsia" w:hAnsi="Arial" w:cs="Arial"/>
          <w:sz w:val="20"/>
          <w:szCs w:val="20"/>
          <w:lang w:val="sr-Cyrl-RS"/>
        </w:rPr>
        <w:t xml:space="preserve"> До тренутка </w:t>
      </w:r>
      <w:r w:rsidR="4D7955FA" w:rsidRPr="1A8E6423">
        <w:rPr>
          <w:rFonts w:ascii="Arial" w:eastAsiaTheme="minorEastAsia" w:hAnsi="Arial" w:cs="Arial"/>
          <w:sz w:val="20"/>
          <w:szCs w:val="20"/>
          <w:lang w:val="sr-Cyrl-RS"/>
        </w:rPr>
        <w:t xml:space="preserve">законског </w:t>
      </w:r>
      <w:r w:rsidR="0CEBBDD1" w:rsidRPr="1A8E6423">
        <w:rPr>
          <w:rFonts w:ascii="Arial" w:eastAsiaTheme="minorEastAsia" w:hAnsi="Arial" w:cs="Arial"/>
          <w:sz w:val="20"/>
          <w:szCs w:val="20"/>
          <w:lang w:val="sr-Cyrl-RS"/>
        </w:rPr>
        <w:t xml:space="preserve">регулисања ових питања, споразум </w:t>
      </w:r>
      <w:r w:rsidR="48CF968E" w:rsidRPr="1A8E6423">
        <w:rPr>
          <w:rFonts w:ascii="Arial" w:eastAsiaTheme="minorEastAsia" w:hAnsi="Arial" w:cs="Arial"/>
          <w:sz w:val="20"/>
          <w:szCs w:val="20"/>
          <w:lang w:val="sr-Cyrl-RS"/>
        </w:rPr>
        <w:t>о МОС би морао да пружи одговоре на ова питања</w:t>
      </w:r>
      <w:r w:rsidR="4D7955FA" w:rsidRPr="1A8E6423">
        <w:rPr>
          <w:rFonts w:ascii="Arial" w:eastAsiaTheme="minorEastAsia" w:hAnsi="Arial" w:cs="Arial"/>
          <w:sz w:val="20"/>
          <w:szCs w:val="20"/>
          <w:lang w:val="sr-Cyrl-RS"/>
        </w:rPr>
        <w:t>, како то и предвиђа члан 88а ЗЛС</w:t>
      </w:r>
      <w:r w:rsidR="48CF968E"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w:t>
      </w:r>
      <w:r w:rsidRPr="00A021B7">
        <w:rPr>
          <w:rFonts w:ascii="Arial" w:hAnsi="Arial" w:cs="Arial"/>
          <w:sz w:val="20"/>
          <w:szCs w:val="20"/>
          <w:lang w:val="sr-Cyrl-RS"/>
        </w:rPr>
        <w:t>Посебан проблем је састав надзорног одбора. Према чл</w:t>
      </w:r>
      <w:r w:rsidR="46BA71A6" w:rsidRPr="00A021B7">
        <w:rPr>
          <w:rFonts w:ascii="Arial" w:hAnsi="Arial" w:cs="Arial"/>
          <w:sz w:val="20"/>
          <w:szCs w:val="20"/>
          <w:lang w:val="sr-Cyrl-RS"/>
        </w:rPr>
        <w:t>ану</w:t>
      </w:r>
      <w:r w:rsidRPr="00A021B7">
        <w:rPr>
          <w:rFonts w:ascii="Arial" w:hAnsi="Arial" w:cs="Arial"/>
          <w:sz w:val="20"/>
          <w:szCs w:val="20"/>
          <w:lang w:val="sr-Cyrl-RS"/>
        </w:rPr>
        <w:t xml:space="preserve"> 16. Закона о ЈП, надзорни одбор ЈП чији је оснивач ЈЛС има три члана, које именује орган одређен статутом ЈЛС, на период од четири године, од којих је један из реда запослених. У пракси се отвара неколико питања – по ком критеријуму предложити два представника оснивача или која скупштина ЈЛС доноси одлуку о именовању чланова надзорног одбора и по ком правном основу</w:t>
      </w:r>
      <w:r w:rsidR="4D7955FA" w:rsidRPr="00A021B7">
        <w:rPr>
          <w:rFonts w:ascii="Arial" w:hAnsi="Arial" w:cs="Arial"/>
          <w:sz w:val="20"/>
          <w:szCs w:val="20"/>
          <w:lang w:val="sr-Cyrl-RS"/>
        </w:rPr>
        <w:t>, уколико МОС обухвата више од две ЈЛС</w:t>
      </w:r>
      <w:r w:rsidR="009E7C0D">
        <w:rPr>
          <w:rFonts w:ascii="Arial" w:hAnsi="Arial" w:cs="Arial"/>
          <w:sz w:val="20"/>
          <w:szCs w:val="20"/>
          <w:lang w:val="sr-Cyrl-RS"/>
        </w:rPr>
        <w:t>.</w:t>
      </w:r>
      <w:r w:rsidRPr="00A021B7">
        <w:rPr>
          <w:rFonts w:ascii="Arial" w:hAnsi="Arial" w:cs="Arial"/>
          <w:sz w:val="20"/>
          <w:szCs w:val="20"/>
          <w:lang w:val="sr-Cyrl-RS"/>
        </w:rPr>
        <w:t xml:space="preserve"> Имајући у виду и друге прописе који се сходно примењују у појединим питањима</w:t>
      </w:r>
      <w:r w:rsidR="008368F9" w:rsidRPr="00A021B7">
        <w:rPr>
          <w:rStyle w:val="FootnoteReference"/>
          <w:rFonts w:ascii="Arial" w:hAnsi="Arial" w:cs="Arial"/>
          <w:sz w:val="20"/>
          <w:szCs w:val="20"/>
          <w:lang w:val="sr-Cyrl-RS"/>
        </w:rPr>
        <w:footnoteReference w:id="154"/>
      </w:r>
      <w:r w:rsidR="009E7C0D">
        <w:rPr>
          <w:rFonts w:ascii="Arial" w:hAnsi="Arial" w:cs="Arial"/>
          <w:sz w:val="20"/>
          <w:szCs w:val="20"/>
          <w:lang w:val="sr-Cyrl-RS"/>
        </w:rPr>
        <w:t>,</w:t>
      </w:r>
      <w:r w:rsidRPr="00A021B7">
        <w:rPr>
          <w:rFonts w:ascii="Arial" w:hAnsi="Arial" w:cs="Arial"/>
          <w:sz w:val="20"/>
          <w:szCs w:val="20"/>
          <w:lang w:val="sr-Cyrl-RS"/>
        </w:rPr>
        <w:t xml:space="preserve"> ЈЛС учествују у добити и другим правима, али је само појединим оснивачима омогућено да гласају у надзорном одбору.</w:t>
      </w:r>
    </w:p>
    <w:p w14:paraId="30807C0B" w14:textId="77777777" w:rsidR="000046F9" w:rsidRPr="00A021B7" w:rsidRDefault="000046F9" w:rsidP="1A8E6423">
      <w:pPr>
        <w:ind w:firstLine="720"/>
        <w:jc w:val="both"/>
        <w:rPr>
          <w:rFonts w:ascii="Arial" w:hAnsi="Arial" w:cs="Arial"/>
          <w:sz w:val="20"/>
          <w:szCs w:val="20"/>
          <w:lang w:val="sr-Cyrl-RS"/>
        </w:rPr>
      </w:pPr>
    </w:p>
    <w:p w14:paraId="4C23737C" w14:textId="1BDF550C" w:rsidR="008368F9" w:rsidRPr="00A021B7" w:rsidRDefault="4E35999E" w:rsidP="1A8E6423">
      <w:pPr>
        <w:ind w:firstLine="720"/>
        <w:jc w:val="both"/>
        <w:rPr>
          <w:rFonts w:ascii="Arial" w:hAnsi="Arial" w:cs="Arial"/>
          <w:sz w:val="20"/>
          <w:szCs w:val="20"/>
          <w:lang w:val="sr-Cyrl-RS"/>
        </w:rPr>
      </w:pPr>
      <w:r w:rsidRPr="00A021B7">
        <w:rPr>
          <w:rFonts w:ascii="Arial" w:hAnsi="Arial" w:cs="Arial"/>
          <w:sz w:val="20"/>
          <w:szCs w:val="20"/>
          <w:lang w:val="sr-Cyrl-RS"/>
        </w:rPr>
        <w:t>Наизглед б</w:t>
      </w:r>
      <w:r w:rsidR="6D42FE61" w:rsidRPr="00A021B7">
        <w:rPr>
          <w:rFonts w:ascii="Arial" w:hAnsi="Arial" w:cs="Arial"/>
          <w:sz w:val="20"/>
          <w:szCs w:val="20"/>
          <w:lang w:val="sr-Cyrl-RS"/>
        </w:rPr>
        <w:t>итни изазови се појављују и приликом</w:t>
      </w:r>
      <w:r w:rsidR="6D42FE61" w:rsidRPr="00A021B7">
        <w:rPr>
          <w:rFonts w:ascii="Arial" w:hAnsi="Arial" w:cs="Arial"/>
          <w:color w:val="C00000"/>
          <w:sz w:val="20"/>
          <w:szCs w:val="20"/>
          <w:lang w:val="sr-Cyrl-RS"/>
        </w:rPr>
        <w:t xml:space="preserve"> </w:t>
      </w:r>
      <w:r w:rsidR="6D42FE61" w:rsidRPr="00A021B7">
        <w:rPr>
          <w:rFonts w:ascii="Arial" w:hAnsi="Arial" w:cs="Arial"/>
          <w:sz w:val="20"/>
          <w:szCs w:val="20"/>
          <w:lang w:val="sr-Cyrl-RS"/>
        </w:rPr>
        <w:t>именовања, разрешења и одлучивања о одговорности директора заједничког ЈП.</w:t>
      </w:r>
      <w:r w:rsidR="008368F9" w:rsidRPr="00A021B7">
        <w:rPr>
          <w:rStyle w:val="FootnoteReference"/>
          <w:rFonts w:ascii="Arial" w:hAnsi="Arial" w:cs="Arial"/>
          <w:sz w:val="20"/>
          <w:szCs w:val="20"/>
          <w:lang w:val="sr-Cyrl-RS"/>
        </w:rPr>
        <w:footnoteReference w:id="155"/>
      </w:r>
      <w:r w:rsidR="6D42FE61" w:rsidRPr="00A021B7">
        <w:rPr>
          <w:rFonts w:ascii="Arial" w:hAnsi="Arial" w:cs="Arial"/>
          <w:color w:val="C00000"/>
          <w:sz w:val="20"/>
          <w:szCs w:val="20"/>
          <w:lang w:val="sr-Cyrl-RS"/>
        </w:rPr>
        <w:t xml:space="preserve"> </w:t>
      </w:r>
      <w:r w:rsidR="6D42FE61" w:rsidRPr="00A021B7">
        <w:rPr>
          <w:rFonts w:ascii="Arial" w:hAnsi="Arial" w:cs="Arial"/>
          <w:sz w:val="20"/>
          <w:szCs w:val="20"/>
          <w:lang w:val="sr-Cyrl-RS"/>
        </w:rPr>
        <w:t xml:space="preserve">Овде се </w:t>
      </w:r>
      <w:r w:rsidR="37D7BB8F" w:rsidRPr="00A021B7">
        <w:rPr>
          <w:rFonts w:ascii="Arial" w:hAnsi="Arial" w:cs="Arial"/>
          <w:sz w:val="20"/>
          <w:szCs w:val="20"/>
          <w:lang w:val="sr-Cyrl-RS"/>
        </w:rPr>
        <w:t xml:space="preserve">у пракси </w:t>
      </w:r>
      <w:r w:rsidR="6D42FE61" w:rsidRPr="00A021B7">
        <w:rPr>
          <w:rFonts w:ascii="Arial" w:hAnsi="Arial" w:cs="Arial"/>
          <w:sz w:val="20"/>
          <w:szCs w:val="20"/>
          <w:lang w:val="sr-Cyrl-RS"/>
        </w:rPr>
        <w:t>поставља</w:t>
      </w:r>
      <w:r w:rsidR="37D7BB8F" w:rsidRPr="00A021B7">
        <w:rPr>
          <w:rFonts w:ascii="Arial" w:hAnsi="Arial" w:cs="Arial"/>
          <w:sz w:val="20"/>
          <w:szCs w:val="20"/>
          <w:lang w:val="sr-Cyrl-RS"/>
        </w:rPr>
        <w:t>ло</w:t>
      </w:r>
      <w:r w:rsidR="6D42FE61" w:rsidRPr="00A021B7">
        <w:rPr>
          <w:rFonts w:ascii="Arial" w:hAnsi="Arial" w:cs="Arial"/>
          <w:sz w:val="20"/>
          <w:szCs w:val="20"/>
          <w:lang w:val="sr-Cyrl-RS"/>
        </w:rPr>
        <w:t xml:space="preserve"> питање надлежног органа ЈЛС у случају именовања и разрешења, суспензије и именовања вршиоца дужности.</w:t>
      </w:r>
      <w:r w:rsidR="6D42FE61" w:rsidRPr="00A021B7">
        <w:rPr>
          <w:rFonts w:ascii="Arial" w:hAnsi="Arial" w:cs="Arial"/>
          <w:color w:val="C00000"/>
          <w:sz w:val="20"/>
          <w:szCs w:val="20"/>
          <w:lang w:val="sr-Cyrl-RS"/>
        </w:rPr>
        <w:t xml:space="preserve"> </w:t>
      </w:r>
      <w:r w:rsidR="6D42FE61" w:rsidRPr="00A021B7">
        <w:rPr>
          <w:rFonts w:ascii="Arial" w:hAnsi="Arial" w:cs="Arial"/>
          <w:sz w:val="20"/>
          <w:szCs w:val="20"/>
          <w:lang w:val="sr-Cyrl-RS"/>
        </w:rPr>
        <w:t xml:space="preserve">Доследном применом наведених одредаба ЗЛС и Закона о ЈП које се односе на директора, јединствену и једногласну одлуку морају да донесу скупштине свих ЈЛС. </w:t>
      </w:r>
      <w:r w:rsidR="37D7BB8F" w:rsidRPr="00A021B7">
        <w:rPr>
          <w:rFonts w:ascii="Arial" w:hAnsi="Arial" w:cs="Arial"/>
          <w:sz w:val="20"/>
          <w:szCs w:val="20"/>
          <w:lang w:val="sr-Cyrl-RS"/>
        </w:rPr>
        <w:t>Ово је</w:t>
      </w:r>
      <w:r w:rsidR="360B228F" w:rsidRPr="00A021B7">
        <w:rPr>
          <w:rFonts w:ascii="Arial" w:hAnsi="Arial" w:cs="Arial"/>
          <w:sz w:val="20"/>
          <w:szCs w:val="20"/>
          <w:lang w:val="sr-Cyrl-RS"/>
        </w:rPr>
        <w:t xml:space="preserve"> оправдано решење </w:t>
      </w:r>
      <w:r w:rsidR="009E7C0D">
        <w:rPr>
          <w:rFonts w:ascii="Arial" w:hAnsi="Arial" w:cs="Arial"/>
          <w:sz w:val="20"/>
          <w:szCs w:val="20"/>
          <w:lang w:val="sr-Cyrl-RS"/>
        </w:rPr>
        <w:t xml:space="preserve">ако се </w:t>
      </w:r>
      <w:r w:rsidR="360B228F" w:rsidRPr="00A021B7">
        <w:rPr>
          <w:rFonts w:ascii="Arial" w:hAnsi="Arial" w:cs="Arial"/>
          <w:sz w:val="20"/>
          <w:szCs w:val="20"/>
          <w:lang w:val="sr-Cyrl-RS"/>
        </w:rPr>
        <w:t>има у виду значај позиције директора за рад заједничког предузећа</w:t>
      </w:r>
      <w:r w:rsidR="6D42FE61" w:rsidRPr="00A021B7">
        <w:rPr>
          <w:rFonts w:ascii="Arial" w:hAnsi="Arial" w:cs="Arial"/>
          <w:sz w:val="20"/>
          <w:szCs w:val="20"/>
          <w:lang w:val="sr-Cyrl-RS"/>
        </w:rPr>
        <w:t xml:space="preserve">. </w:t>
      </w:r>
      <w:r w:rsidR="2BEFED88" w:rsidRPr="00A021B7">
        <w:rPr>
          <w:rFonts w:ascii="Arial" w:hAnsi="Arial" w:cs="Arial"/>
          <w:sz w:val="20"/>
          <w:szCs w:val="20"/>
          <w:lang w:val="sr-Cyrl-RS"/>
        </w:rPr>
        <w:t>Слично питање се поставља и у вези</w:t>
      </w:r>
      <w:r w:rsidR="512CDFFD" w:rsidRPr="00A021B7">
        <w:rPr>
          <w:rFonts w:ascii="Arial" w:hAnsi="Arial" w:cs="Arial"/>
          <w:sz w:val="20"/>
          <w:szCs w:val="20"/>
          <w:lang w:val="sr-Cyrl-RS"/>
        </w:rPr>
        <w:t xml:space="preserve"> </w:t>
      </w:r>
      <w:r w:rsidR="70CCA6C3" w:rsidRPr="00A021B7">
        <w:rPr>
          <w:rFonts w:ascii="Arial" w:hAnsi="Arial" w:cs="Arial"/>
          <w:sz w:val="20"/>
          <w:szCs w:val="20"/>
          <w:lang w:val="sr-Cyrl-RS"/>
        </w:rPr>
        <w:t>са п</w:t>
      </w:r>
      <w:r w:rsidR="6D42FE61" w:rsidRPr="00A021B7">
        <w:rPr>
          <w:rFonts w:ascii="Arial" w:hAnsi="Arial" w:cs="Arial"/>
          <w:sz w:val="20"/>
          <w:szCs w:val="20"/>
          <w:lang w:val="sr-Cyrl-RS"/>
        </w:rPr>
        <w:t>рограм</w:t>
      </w:r>
      <w:r w:rsidR="70CCA6C3" w:rsidRPr="00A021B7">
        <w:rPr>
          <w:rFonts w:ascii="Arial" w:hAnsi="Arial" w:cs="Arial"/>
          <w:sz w:val="20"/>
          <w:szCs w:val="20"/>
          <w:lang w:val="sr-Cyrl-RS"/>
        </w:rPr>
        <w:t>ом</w:t>
      </w:r>
      <w:r w:rsidR="6D42FE61" w:rsidRPr="00A021B7">
        <w:rPr>
          <w:rFonts w:ascii="Arial" w:hAnsi="Arial" w:cs="Arial"/>
          <w:sz w:val="20"/>
          <w:szCs w:val="20"/>
          <w:lang w:val="sr-Cyrl-RS"/>
        </w:rPr>
        <w:t xml:space="preserve"> пословања и извештавањ</w:t>
      </w:r>
      <w:r w:rsidR="70CCA6C3" w:rsidRPr="00A021B7">
        <w:rPr>
          <w:rFonts w:ascii="Arial" w:hAnsi="Arial" w:cs="Arial"/>
          <w:sz w:val="20"/>
          <w:szCs w:val="20"/>
          <w:lang w:val="sr-Cyrl-RS"/>
        </w:rPr>
        <w:t>ем</w:t>
      </w:r>
      <w:r w:rsidR="6D42FE61" w:rsidRPr="1A8E6423">
        <w:rPr>
          <w:rFonts w:ascii="Arial" w:hAnsi="Arial" w:cs="Arial"/>
          <w:i/>
          <w:iCs/>
          <w:sz w:val="20"/>
          <w:szCs w:val="20"/>
          <w:lang w:val="sr-Cyrl-RS"/>
        </w:rPr>
        <w:t>.</w:t>
      </w:r>
      <w:r w:rsidR="6D42FE61" w:rsidRPr="00A021B7">
        <w:rPr>
          <w:rFonts w:ascii="Arial" w:hAnsi="Arial" w:cs="Arial"/>
          <w:sz w:val="20"/>
          <w:szCs w:val="20"/>
          <w:lang w:val="sr-Cyrl-RS"/>
        </w:rPr>
        <w:t xml:space="preserve"> Ова предузећа суочавају се са обавез</w:t>
      </w:r>
      <w:r w:rsidR="2BEFED88" w:rsidRPr="00A021B7">
        <w:rPr>
          <w:rFonts w:ascii="Arial" w:hAnsi="Arial" w:cs="Arial"/>
          <w:sz w:val="20"/>
          <w:szCs w:val="20"/>
          <w:lang w:val="sr-Cyrl-RS"/>
        </w:rPr>
        <w:t>ом</w:t>
      </w:r>
      <w:r w:rsidR="6D42FE61" w:rsidRPr="00A021B7">
        <w:rPr>
          <w:rFonts w:ascii="Arial" w:hAnsi="Arial" w:cs="Arial"/>
          <w:sz w:val="20"/>
          <w:szCs w:val="20"/>
          <w:lang w:val="sr-Cyrl-RS"/>
        </w:rPr>
        <w:t xml:space="preserve"> кој</w:t>
      </w:r>
      <w:r w:rsidR="2BEFED88" w:rsidRPr="00A021B7">
        <w:rPr>
          <w:rFonts w:ascii="Arial" w:hAnsi="Arial" w:cs="Arial"/>
          <w:sz w:val="20"/>
          <w:szCs w:val="20"/>
          <w:lang w:val="sr-Cyrl-RS"/>
        </w:rPr>
        <w:t>а</w:t>
      </w:r>
      <w:r w:rsidR="6D42FE61" w:rsidRPr="00A021B7">
        <w:rPr>
          <w:rFonts w:ascii="Arial" w:hAnsi="Arial" w:cs="Arial"/>
          <w:sz w:val="20"/>
          <w:szCs w:val="20"/>
          <w:lang w:val="sr-Cyrl-RS"/>
        </w:rPr>
        <w:t xml:space="preserve"> се однос</w:t>
      </w:r>
      <w:r w:rsidR="2BEFED88" w:rsidRPr="00A021B7">
        <w:rPr>
          <w:rFonts w:ascii="Arial" w:hAnsi="Arial" w:cs="Arial"/>
          <w:sz w:val="20"/>
          <w:szCs w:val="20"/>
          <w:lang w:val="sr-Cyrl-RS"/>
        </w:rPr>
        <w:t>и</w:t>
      </w:r>
      <w:r w:rsidR="6D42FE61" w:rsidRPr="00A021B7">
        <w:rPr>
          <w:rFonts w:ascii="Arial" w:hAnsi="Arial" w:cs="Arial"/>
          <w:sz w:val="20"/>
          <w:szCs w:val="20"/>
          <w:lang w:val="sr-Cyrl-RS"/>
        </w:rPr>
        <w:t xml:space="preserve"> на давање сагласности надлежног органа ЈЛС на дугорочни и средњорочни план пословне стратегије и развоја</w:t>
      </w:r>
      <w:r w:rsidR="008368F9" w:rsidRPr="00A021B7">
        <w:rPr>
          <w:rStyle w:val="FootnoteReference"/>
          <w:rFonts w:ascii="Arial" w:hAnsi="Arial" w:cs="Arial"/>
          <w:sz w:val="20"/>
          <w:szCs w:val="20"/>
          <w:lang w:val="sr-Cyrl-RS"/>
        </w:rPr>
        <w:footnoteReference w:id="156"/>
      </w:r>
      <w:r w:rsidR="009E7C0D">
        <w:rPr>
          <w:rFonts w:ascii="Arial" w:hAnsi="Arial" w:cs="Arial"/>
          <w:sz w:val="20"/>
          <w:szCs w:val="20"/>
          <w:lang w:val="sr-Cyrl-RS"/>
        </w:rPr>
        <w:t>,</w:t>
      </w:r>
      <w:r w:rsidR="6D42FE61" w:rsidRPr="00A021B7">
        <w:rPr>
          <w:rFonts w:ascii="Arial" w:hAnsi="Arial" w:cs="Arial"/>
          <w:sz w:val="20"/>
          <w:szCs w:val="20"/>
          <w:lang w:val="sr-Cyrl-RS"/>
        </w:rPr>
        <w:t xml:space="preserve"> информисање о ревизији финансијских извештаја или праћење реализације годишњег, односно трогодишњег програма пословања. У пракси, неопходно је да скупштина сваке ЈЛС размотри и д</w:t>
      </w:r>
      <w:bookmarkStart w:id="107" w:name="_Hlk41269623"/>
      <w:r w:rsidR="6D42FE61" w:rsidRPr="00A021B7">
        <w:rPr>
          <w:rFonts w:ascii="Arial" w:hAnsi="Arial" w:cs="Arial"/>
          <w:sz w:val="20"/>
          <w:szCs w:val="20"/>
          <w:lang w:val="sr-Cyrl-RS"/>
        </w:rPr>
        <w:t>â</w:t>
      </w:r>
      <w:bookmarkEnd w:id="107"/>
      <w:r w:rsidR="6D42FE61" w:rsidRPr="00A021B7">
        <w:rPr>
          <w:rFonts w:ascii="Arial" w:hAnsi="Arial" w:cs="Arial"/>
          <w:sz w:val="20"/>
          <w:szCs w:val="20"/>
          <w:lang w:val="sr-Cyrl-RS"/>
        </w:rPr>
        <w:t xml:space="preserve"> сагласност на одређена документа заједничког ЈП. </w:t>
      </w:r>
      <w:r w:rsidR="019D9336" w:rsidRPr="00A021B7">
        <w:rPr>
          <w:rFonts w:ascii="Arial" w:hAnsi="Arial" w:cs="Arial"/>
          <w:sz w:val="20"/>
          <w:szCs w:val="20"/>
          <w:lang w:val="sr-Cyrl-RS"/>
        </w:rPr>
        <w:t>Чињеница је да овај</w:t>
      </w:r>
      <w:r w:rsidR="6D42FE61" w:rsidRPr="00A021B7">
        <w:rPr>
          <w:rFonts w:ascii="Arial" w:hAnsi="Arial" w:cs="Arial"/>
          <w:sz w:val="20"/>
          <w:szCs w:val="20"/>
          <w:lang w:val="sr-Cyrl-RS"/>
        </w:rPr>
        <w:t xml:space="preserve"> процес може да потраје, уз </w:t>
      </w:r>
      <w:r w:rsidR="019D9336" w:rsidRPr="00A021B7">
        <w:rPr>
          <w:rFonts w:ascii="Arial" w:hAnsi="Arial" w:cs="Arial"/>
          <w:sz w:val="20"/>
          <w:szCs w:val="20"/>
          <w:lang w:val="sr-Cyrl-RS"/>
        </w:rPr>
        <w:t>постојање могућности</w:t>
      </w:r>
      <w:r w:rsidR="6D42FE61" w:rsidRPr="00A021B7">
        <w:rPr>
          <w:rFonts w:ascii="Arial" w:hAnsi="Arial" w:cs="Arial"/>
          <w:sz w:val="20"/>
          <w:szCs w:val="20"/>
          <w:lang w:val="sr-Cyrl-RS"/>
        </w:rPr>
        <w:t xml:space="preserve"> да нека скупштина буде против неке предложене одлуке.</w:t>
      </w:r>
      <w:r w:rsidR="008368F9" w:rsidRPr="00A021B7">
        <w:rPr>
          <w:rStyle w:val="FootnoteReference"/>
          <w:rFonts w:ascii="Arial" w:hAnsi="Arial" w:cs="Arial"/>
          <w:sz w:val="20"/>
          <w:szCs w:val="20"/>
          <w:lang w:val="sr-Cyrl-RS"/>
        </w:rPr>
        <w:footnoteReference w:id="157"/>
      </w:r>
      <w:r w:rsidR="019D9336" w:rsidRPr="00A021B7">
        <w:rPr>
          <w:rFonts w:ascii="Arial" w:hAnsi="Arial" w:cs="Arial"/>
          <w:sz w:val="20"/>
          <w:szCs w:val="20"/>
          <w:lang w:val="sr-Cyrl-RS"/>
        </w:rPr>
        <w:t xml:space="preserve"> Међутим, </w:t>
      </w:r>
      <w:r w:rsidR="2E8F458B" w:rsidRPr="00A021B7">
        <w:rPr>
          <w:rFonts w:ascii="Arial" w:hAnsi="Arial" w:cs="Arial"/>
          <w:sz w:val="20"/>
          <w:szCs w:val="20"/>
          <w:lang w:val="sr-Cyrl-RS"/>
        </w:rPr>
        <w:t>чини се да је овде изазов у области организације овог процеса</w:t>
      </w:r>
      <w:r w:rsidR="009E7C0D">
        <w:rPr>
          <w:rFonts w:ascii="Arial" w:hAnsi="Arial" w:cs="Arial"/>
          <w:sz w:val="20"/>
          <w:szCs w:val="20"/>
          <w:lang w:val="sr-Cyrl-RS"/>
        </w:rPr>
        <w:t>,</w:t>
      </w:r>
      <w:r w:rsidR="2E8F458B" w:rsidRPr="00A021B7">
        <w:rPr>
          <w:rFonts w:ascii="Arial" w:hAnsi="Arial" w:cs="Arial"/>
          <w:sz w:val="20"/>
          <w:szCs w:val="20"/>
          <w:lang w:val="sr-Cyrl-RS"/>
        </w:rPr>
        <w:t xml:space="preserve"> а не у постојећем правном оквиру, </w:t>
      </w:r>
      <w:r w:rsidR="5FCB28B2" w:rsidRPr="00A021B7">
        <w:rPr>
          <w:rFonts w:ascii="Arial" w:hAnsi="Arial" w:cs="Arial"/>
          <w:sz w:val="20"/>
          <w:szCs w:val="20"/>
          <w:lang w:val="sr-Cyrl-RS"/>
        </w:rPr>
        <w:t xml:space="preserve">као </w:t>
      </w:r>
      <w:r w:rsidR="2E8F458B" w:rsidRPr="00A021B7">
        <w:rPr>
          <w:rFonts w:ascii="Arial" w:hAnsi="Arial" w:cs="Arial"/>
          <w:sz w:val="20"/>
          <w:szCs w:val="20"/>
          <w:lang w:val="sr-Cyrl-RS"/>
        </w:rPr>
        <w:t>шт</w:t>
      </w:r>
      <w:r w:rsidR="05394122" w:rsidRPr="00A021B7">
        <w:rPr>
          <w:rFonts w:ascii="Arial" w:hAnsi="Arial" w:cs="Arial"/>
          <w:sz w:val="20"/>
          <w:szCs w:val="20"/>
          <w:lang w:val="sr-Cyrl-RS"/>
        </w:rPr>
        <w:t xml:space="preserve">о Закон о комуналним делатностима у члану 11. предвиђа </w:t>
      </w:r>
      <w:r w:rsidR="6281BBC6" w:rsidRPr="00A021B7">
        <w:rPr>
          <w:rFonts w:ascii="Arial" w:hAnsi="Arial" w:cs="Arial"/>
          <w:sz w:val="20"/>
          <w:szCs w:val="20"/>
          <w:lang w:val="sr-Cyrl-RS"/>
        </w:rPr>
        <w:t xml:space="preserve">да се </w:t>
      </w:r>
      <w:r w:rsidR="009E7C0D">
        <w:rPr>
          <w:rFonts w:ascii="Arial" w:hAnsi="Arial" w:cs="Arial"/>
          <w:sz w:val="20"/>
          <w:szCs w:val="20"/>
          <w:lang w:val="sr-Cyrl-RS"/>
        </w:rPr>
        <w:t>у изузетним случајевима</w:t>
      </w:r>
      <w:r w:rsidR="009E7C0D" w:rsidRPr="00A021B7">
        <w:rPr>
          <w:rFonts w:ascii="Arial" w:hAnsi="Arial" w:cs="Arial"/>
          <w:sz w:val="20"/>
          <w:szCs w:val="20"/>
          <w:lang w:val="sr-Cyrl-RS"/>
        </w:rPr>
        <w:t xml:space="preserve"> </w:t>
      </w:r>
      <w:r w:rsidR="6281BBC6" w:rsidRPr="00A021B7">
        <w:rPr>
          <w:rFonts w:ascii="Arial" w:hAnsi="Arial" w:cs="Arial"/>
          <w:sz w:val="20"/>
          <w:szCs w:val="20"/>
          <w:lang w:val="sr-Cyrl-RS"/>
        </w:rPr>
        <w:t xml:space="preserve">може одлуком скупштине општине овластити </w:t>
      </w:r>
      <w:r w:rsidR="48284EB9" w:rsidRPr="00A021B7">
        <w:rPr>
          <w:rFonts w:ascii="Arial" w:hAnsi="Arial" w:cs="Arial"/>
          <w:sz w:val="20"/>
          <w:szCs w:val="20"/>
          <w:lang w:val="sr-Cyrl-RS"/>
        </w:rPr>
        <w:t>о</w:t>
      </w:r>
      <w:r w:rsidR="6281BBC6" w:rsidRPr="00A021B7">
        <w:rPr>
          <w:rFonts w:ascii="Arial" w:hAnsi="Arial" w:cs="Arial"/>
          <w:sz w:val="20"/>
          <w:szCs w:val="20"/>
          <w:lang w:val="sr-Cyrl-RS"/>
        </w:rPr>
        <w:t>пштинско веће</w:t>
      </w:r>
      <w:r w:rsidR="48284EB9" w:rsidRPr="00A021B7">
        <w:rPr>
          <w:rFonts w:ascii="Arial" w:hAnsi="Arial" w:cs="Arial"/>
          <w:sz w:val="20"/>
          <w:szCs w:val="20"/>
          <w:lang w:val="sr-Cyrl-RS"/>
        </w:rPr>
        <w:t xml:space="preserve"> за доношење одлука о питањима кој</w:t>
      </w:r>
      <w:r w:rsidR="009E7C0D">
        <w:rPr>
          <w:rFonts w:ascii="Arial" w:hAnsi="Arial" w:cs="Arial"/>
          <w:sz w:val="20"/>
          <w:szCs w:val="20"/>
          <w:lang w:val="sr-Cyrl-RS"/>
        </w:rPr>
        <w:t>а</w:t>
      </w:r>
      <w:r w:rsidR="48284EB9" w:rsidRPr="00A021B7">
        <w:rPr>
          <w:rFonts w:ascii="Arial" w:hAnsi="Arial" w:cs="Arial"/>
          <w:sz w:val="20"/>
          <w:szCs w:val="20"/>
          <w:lang w:val="sr-Cyrl-RS"/>
        </w:rPr>
        <w:t xml:space="preserve"> не трпе одлагање уз накн</w:t>
      </w:r>
      <w:r w:rsidR="2536253D" w:rsidRPr="00A021B7">
        <w:rPr>
          <w:rFonts w:ascii="Arial" w:hAnsi="Arial" w:cs="Arial"/>
          <w:sz w:val="20"/>
          <w:szCs w:val="20"/>
          <w:lang w:val="sr-Cyrl-RS"/>
        </w:rPr>
        <w:t>а</w:t>
      </w:r>
      <w:r w:rsidR="48284EB9" w:rsidRPr="00A021B7">
        <w:rPr>
          <w:rFonts w:ascii="Arial" w:hAnsi="Arial" w:cs="Arial"/>
          <w:sz w:val="20"/>
          <w:szCs w:val="20"/>
          <w:lang w:val="sr-Cyrl-RS"/>
        </w:rPr>
        <w:t>дну потврду скупштине на првој наредној седници.</w:t>
      </w:r>
    </w:p>
    <w:p w14:paraId="07122C73" w14:textId="77777777" w:rsidR="008368F9" w:rsidRPr="00A021B7" w:rsidRDefault="008368F9" w:rsidP="1A8E6423">
      <w:pPr>
        <w:ind w:firstLine="720"/>
        <w:jc w:val="both"/>
        <w:rPr>
          <w:rFonts w:ascii="Arial" w:eastAsiaTheme="minorEastAsia" w:hAnsi="Arial" w:cs="Arial"/>
          <w:sz w:val="20"/>
          <w:szCs w:val="20"/>
          <w:lang w:val="sr-Cyrl-RS"/>
        </w:rPr>
      </w:pPr>
    </w:p>
    <w:p w14:paraId="5F3FE76E" w14:textId="38BD1FF4" w:rsidR="008368F9" w:rsidRPr="00A021B7" w:rsidRDefault="6D42FE61" w:rsidP="1A8E6423">
      <w:pPr>
        <w:autoSpaceDE w:val="0"/>
        <w:autoSpaceDN w:val="0"/>
        <w:adjustRightInd w:val="0"/>
        <w:ind w:right="-138" w:firstLine="720"/>
        <w:jc w:val="both"/>
        <w:rPr>
          <w:rFonts w:ascii="Arial" w:hAnsi="Arial" w:cs="Arial"/>
          <w:sz w:val="20"/>
          <w:szCs w:val="20"/>
          <w:lang w:val="sr-Cyrl-RS"/>
        </w:rPr>
      </w:pPr>
      <w:r w:rsidRPr="00A021B7">
        <w:rPr>
          <w:rFonts w:ascii="Arial" w:hAnsi="Arial" w:cs="Arial"/>
          <w:sz w:val="20"/>
          <w:szCs w:val="20"/>
          <w:lang w:val="sr-Cyrl-RS"/>
        </w:rPr>
        <w:t xml:space="preserve">Поред поменутих закона, СКГО је у посебној Анализи могућности за заједничко извршавање поверених послова од стране органа општина, градова и </w:t>
      </w:r>
      <w:r w:rsidR="009E7C0D">
        <w:rPr>
          <w:rFonts w:ascii="Arial" w:hAnsi="Arial" w:cs="Arial"/>
          <w:sz w:val="20"/>
          <w:szCs w:val="20"/>
          <w:lang w:val="sr-Cyrl-RS"/>
        </w:rPr>
        <w:t>Г</w:t>
      </w:r>
      <w:r w:rsidRPr="00A021B7">
        <w:rPr>
          <w:rFonts w:ascii="Arial" w:hAnsi="Arial" w:cs="Arial"/>
          <w:sz w:val="20"/>
          <w:szCs w:val="20"/>
          <w:lang w:val="sr-Cyrl-RS"/>
        </w:rPr>
        <w:t>рада Београда</w:t>
      </w:r>
      <w:r w:rsidRPr="00A021B7">
        <w:rPr>
          <w:rStyle w:val="FootnoteReference"/>
          <w:rFonts w:ascii="Arial" w:hAnsi="Arial" w:cs="Arial"/>
          <w:sz w:val="20"/>
          <w:szCs w:val="20"/>
          <w:lang w:val="sr-Cyrl-RS"/>
        </w:rPr>
        <w:t xml:space="preserve"> </w:t>
      </w:r>
      <w:r w:rsidRPr="00A021B7">
        <w:rPr>
          <w:rFonts w:ascii="Arial" w:hAnsi="Arial" w:cs="Arial"/>
          <w:sz w:val="20"/>
          <w:szCs w:val="20"/>
          <w:lang w:val="sr-Cyrl-RS"/>
        </w:rPr>
        <w:lastRenderedPageBreak/>
        <w:t>идентификовала читав низ поверених послова локалне самоуправе који би могли бити обављани међуопштински, а да за то нема препрека у читавом низу важећих секторских закона</w:t>
      </w:r>
      <w:r w:rsidR="0871C490" w:rsidRPr="00A021B7">
        <w:rPr>
          <w:rFonts w:ascii="Arial" w:hAnsi="Arial" w:cs="Arial"/>
          <w:sz w:val="20"/>
          <w:szCs w:val="20"/>
          <w:lang w:val="sr-Cyrl-RS"/>
        </w:rPr>
        <w:t>.</w:t>
      </w:r>
      <w:r w:rsidR="00AF208E" w:rsidRPr="00A021B7">
        <w:rPr>
          <w:rStyle w:val="FootnoteReference"/>
          <w:rFonts w:ascii="Arial" w:hAnsi="Arial" w:cs="Arial"/>
          <w:sz w:val="20"/>
          <w:szCs w:val="20"/>
          <w:lang w:val="sr-Cyrl-RS"/>
        </w:rPr>
        <w:footnoteReference w:id="158"/>
      </w:r>
      <w:r w:rsidR="512CDFFD" w:rsidRPr="00A021B7">
        <w:rPr>
          <w:rFonts w:ascii="Arial" w:hAnsi="Arial" w:cs="Arial"/>
          <w:sz w:val="20"/>
          <w:szCs w:val="20"/>
          <w:lang w:val="sr-Cyrl-RS"/>
        </w:rPr>
        <w:t xml:space="preserve"> </w:t>
      </w:r>
      <w:r w:rsidRPr="00A021B7">
        <w:rPr>
          <w:rFonts w:ascii="Arial" w:hAnsi="Arial" w:cs="Arial"/>
          <w:sz w:val="20"/>
          <w:szCs w:val="20"/>
          <w:lang w:val="sr-Cyrl-RS"/>
        </w:rPr>
        <w:t>У реченој анализи идентификоване су и одредбе појединих закона, чије би измене и допуне допринеле стварању повољнијег и подстицајнијег окружења за МОС.</w:t>
      </w:r>
      <w:r w:rsidR="008C078F" w:rsidRPr="00A021B7">
        <w:rPr>
          <w:rStyle w:val="FootnoteReference"/>
          <w:rFonts w:ascii="Arial" w:hAnsi="Arial" w:cs="Arial"/>
          <w:sz w:val="20"/>
          <w:szCs w:val="20"/>
          <w:lang w:val="sr-Cyrl-RS"/>
        </w:rPr>
        <w:footnoteReference w:id="159"/>
      </w:r>
    </w:p>
    <w:p w14:paraId="319E54E2" w14:textId="77777777" w:rsidR="008368F9" w:rsidRPr="00A021B7" w:rsidRDefault="008368F9" w:rsidP="1A8E6423">
      <w:pPr>
        <w:autoSpaceDE w:val="0"/>
        <w:autoSpaceDN w:val="0"/>
        <w:adjustRightInd w:val="0"/>
        <w:ind w:right="-138" w:firstLine="720"/>
        <w:jc w:val="both"/>
        <w:rPr>
          <w:rFonts w:ascii="Arial" w:hAnsi="Arial" w:cs="Arial"/>
          <w:sz w:val="20"/>
          <w:szCs w:val="20"/>
          <w:lang w:val="sr-Cyrl-RS"/>
        </w:rPr>
      </w:pPr>
    </w:p>
    <w:p w14:paraId="222B277D" w14:textId="7471FD9A" w:rsidR="008368F9" w:rsidRPr="00A021B7" w:rsidRDefault="008368F9" w:rsidP="1A8E6423">
      <w:pPr>
        <w:autoSpaceDE w:val="0"/>
        <w:autoSpaceDN w:val="0"/>
        <w:adjustRightInd w:val="0"/>
        <w:ind w:right="-138" w:firstLine="720"/>
        <w:jc w:val="both"/>
        <w:rPr>
          <w:rFonts w:ascii="Arial" w:hAnsi="Arial" w:cs="Arial"/>
          <w:sz w:val="20"/>
          <w:szCs w:val="20"/>
          <w:lang w:val="sr-Cyrl-RS"/>
        </w:rPr>
      </w:pPr>
      <w:r w:rsidRPr="1A8E6423">
        <w:rPr>
          <w:rFonts w:ascii="Arial" w:hAnsi="Arial" w:cs="Arial"/>
          <w:sz w:val="20"/>
          <w:szCs w:val="20"/>
          <w:lang w:val="sr-Cyrl-RS"/>
        </w:rPr>
        <w:t>Недостатак државне п</w:t>
      </w:r>
      <w:r w:rsidRPr="1A8E6423">
        <w:rPr>
          <w:rFonts w:ascii="Arial" w:eastAsiaTheme="minorEastAsia" w:hAnsi="Arial" w:cs="Arial"/>
          <w:sz w:val="20"/>
          <w:szCs w:val="20"/>
          <w:lang w:val="sr-Cyrl-RS"/>
        </w:rPr>
        <w:t>олитике развоја МОС представља велики изазов. Између игнорисања МОС и обавезивања на сарадњу, има мало или нимало „меких мера</w:t>
      </w:r>
      <w:r w:rsidR="0074037A"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којима би се подстицало успостављање МОС. Изузеци постоје, као што је политика која се утврђује на републичком нивоу за управљање отпадом, која обавезује ЈЛС на регионалну сарадњу. Такође, постоје и различити програми финансијске подршке локалној самоуправи, од којих </w:t>
      </w:r>
      <w:r w:rsidR="00E40D91" w:rsidRPr="1A8E6423">
        <w:rPr>
          <w:rFonts w:ascii="Arial" w:eastAsiaTheme="minorEastAsia" w:hAnsi="Arial" w:cs="Arial"/>
          <w:sz w:val="20"/>
          <w:szCs w:val="20"/>
          <w:lang w:val="sr-Cyrl-RS"/>
        </w:rPr>
        <w:t xml:space="preserve">неки и </w:t>
      </w:r>
      <w:r w:rsidRPr="1A8E6423">
        <w:rPr>
          <w:rFonts w:ascii="Arial" w:eastAsiaTheme="minorEastAsia" w:hAnsi="Arial" w:cs="Arial"/>
          <w:sz w:val="20"/>
          <w:szCs w:val="20"/>
          <w:lang w:val="sr-Cyrl-RS"/>
        </w:rPr>
        <w:t>препознај</w:t>
      </w:r>
      <w:r w:rsidR="00E40D91" w:rsidRPr="1A8E6423">
        <w:rPr>
          <w:rFonts w:ascii="Arial" w:eastAsiaTheme="minorEastAsia" w:hAnsi="Arial" w:cs="Arial"/>
          <w:sz w:val="20"/>
          <w:szCs w:val="20"/>
          <w:lang w:val="sr-Cyrl-RS"/>
        </w:rPr>
        <w:t>у</w:t>
      </w:r>
      <w:r w:rsidRPr="1A8E6423">
        <w:rPr>
          <w:rFonts w:ascii="Arial" w:eastAsiaTheme="minorEastAsia" w:hAnsi="Arial" w:cs="Arial"/>
          <w:sz w:val="20"/>
          <w:szCs w:val="20"/>
          <w:lang w:val="sr-Cyrl-RS"/>
        </w:rPr>
        <w:t xml:space="preserve"> и подржава</w:t>
      </w:r>
      <w:r w:rsidR="00E40D91" w:rsidRPr="1A8E6423">
        <w:rPr>
          <w:rFonts w:ascii="Arial" w:eastAsiaTheme="minorEastAsia" w:hAnsi="Arial" w:cs="Arial"/>
          <w:sz w:val="20"/>
          <w:szCs w:val="20"/>
          <w:lang w:val="sr-Cyrl-RS"/>
        </w:rPr>
        <w:t>ју</w:t>
      </w:r>
      <w:r w:rsidRPr="1A8E6423">
        <w:rPr>
          <w:rFonts w:ascii="Arial" w:eastAsiaTheme="minorEastAsia" w:hAnsi="Arial" w:cs="Arial"/>
          <w:sz w:val="20"/>
          <w:szCs w:val="20"/>
          <w:lang w:val="sr-Cyrl-RS"/>
        </w:rPr>
        <w:t xml:space="preserve"> МОС. </w:t>
      </w:r>
      <w:r w:rsidRPr="1A8E6423">
        <w:rPr>
          <w:rFonts w:ascii="Arial" w:hAnsi="Arial" w:cs="Arial"/>
          <w:sz w:val="20"/>
          <w:szCs w:val="20"/>
          <w:lang w:val="sr-Cyrl-RS"/>
        </w:rPr>
        <w:t xml:space="preserve">Посебно су важни програми који иду преко регионалних развојних агенција, чија је једна од улога да раде на јачању МОС. </w:t>
      </w:r>
      <w:r w:rsidR="006D3E64" w:rsidRPr="1A8E6423">
        <w:rPr>
          <w:rFonts w:ascii="Arial" w:hAnsi="Arial" w:cs="Arial"/>
          <w:sz w:val="20"/>
          <w:szCs w:val="20"/>
          <w:lang w:val="sr-Cyrl-RS"/>
        </w:rPr>
        <w:t>Ипак, с</w:t>
      </w:r>
      <w:r w:rsidRPr="1A8E6423">
        <w:rPr>
          <w:rFonts w:ascii="Arial" w:hAnsi="Arial" w:cs="Arial"/>
          <w:sz w:val="20"/>
          <w:szCs w:val="20"/>
          <w:lang w:val="sr-Cyrl-RS"/>
        </w:rPr>
        <w:t xml:space="preserve">редства која се пласирају кроз ове програме још увек су скромна, па су тако и ефекти врло ограничени. Посебно важни програми, првенствено због концепције, јесу Буџетски фонд за развој локалне самоуправе (МДУЛС) и Програм суфинансирања мера популационе политике у ЈЛС (Кабинет министра без портфеља задуженог за демографију и популациону политику). Њихов значај и посебност је у предности међуопштинских у односу на пројекте појединачних ЈЛС код доделе средстава, јер се међуопштински пројекти додатно вреднују. Такође, области на које су програми усмерени (изузев инфраструктурне компоненте Буџетског фонда) јесу потенцијал за успостављање дугорочније МОС </w:t>
      </w:r>
      <w:r w:rsidR="009E7C0D" w:rsidRPr="1A8E6423">
        <w:rPr>
          <w:rFonts w:ascii="Arial" w:hAnsi="Arial" w:cs="Arial"/>
          <w:sz w:val="20"/>
          <w:szCs w:val="20"/>
          <w:lang w:val="sr-Cyrl-RS"/>
        </w:rPr>
        <w:t xml:space="preserve">у </w:t>
      </w:r>
      <w:r w:rsidRPr="1A8E6423">
        <w:rPr>
          <w:rFonts w:ascii="Arial" w:hAnsi="Arial" w:cs="Arial"/>
          <w:sz w:val="20"/>
          <w:szCs w:val="20"/>
          <w:lang w:val="sr-Cyrl-RS"/>
        </w:rPr>
        <w:t xml:space="preserve">обављању функција ЈЛС, а не само </w:t>
      </w:r>
      <w:r w:rsidR="009E7C0D" w:rsidRPr="1A8E6423">
        <w:rPr>
          <w:rFonts w:ascii="Arial" w:hAnsi="Arial" w:cs="Arial"/>
          <w:sz w:val="20"/>
          <w:szCs w:val="20"/>
          <w:lang w:val="sr-Cyrl-RS"/>
        </w:rPr>
        <w:t xml:space="preserve">у </w:t>
      </w:r>
      <w:r w:rsidRPr="1A8E6423">
        <w:rPr>
          <w:rFonts w:ascii="Arial" w:hAnsi="Arial" w:cs="Arial"/>
          <w:sz w:val="20"/>
          <w:szCs w:val="20"/>
          <w:lang w:val="sr-Cyrl-RS"/>
        </w:rPr>
        <w:t>спровођењу ограничених пројеката.</w:t>
      </w:r>
      <w:r w:rsidRPr="1A8E6423">
        <w:rPr>
          <w:rFonts w:ascii="Arial" w:eastAsiaTheme="minorEastAsia" w:hAnsi="Arial" w:cs="Arial"/>
          <w:sz w:val="20"/>
          <w:szCs w:val="20"/>
          <w:lang w:val="sr-Cyrl-RS"/>
        </w:rPr>
        <w:t xml:space="preserve"> Коначно, бројни </w:t>
      </w:r>
      <w:r w:rsidRPr="1A8E6423">
        <w:rPr>
          <w:rFonts w:ascii="Arial" w:hAnsi="Arial" w:cs="Arial"/>
          <w:sz w:val="20"/>
          <w:szCs w:val="20"/>
          <w:lang w:val="sr-Cyrl-RS"/>
        </w:rPr>
        <w:t>програми и позиви које подржавају међународни донатори препознају и подржавају МОС. Нажалост</w:t>
      </w:r>
      <w:r w:rsidRPr="1A8E6423">
        <w:rPr>
          <w:rFonts w:ascii="Arial" w:eastAsiaTheme="minorEastAsia" w:hAnsi="Arial" w:cs="Arial"/>
          <w:sz w:val="20"/>
          <w:szCs w:val="20"/>
          <w:lang w:val="sr-Cyrl-RS"/>
        </w:rPr>
        <w:t xml:space="preserve">, део програма подршке са националног и локалног нивоа уопште и </w:t>
      </w:r>
      <w:r w:rsidRPr="1A8E6423">
        <w:rPr>
          <w:rFonts w:ascii="Arial" w:hAnsi="Arial" w:cs="Arial"/>
          <w:sz w:val="20"/>
          <w:szCs w:val="20"/>
          <w:lang w:val="sr-Cyrl-RS"/>
        </w:rPr>
        <w:t>не препознаје могућност удруживања ЈЛС у спровођењу пројеката, иако су подржане активности, као и намена и висина средстава, погодни за МОС. Омогућавањем удруживања ЈЛС на пројектима из ових програма могли би се значајно појачати ефекти у односу на спровођење преко појединачних ЈЛС.</w:t>
      </w:r>
    </w:p>
    <w:p w14:paraId="6C96A187" w14:textId="77777777" w:rsidR="008368F9" w:rsidRPr="00A021B7" w:rsidRDefault="008368F9" w:rsidP="1A8E6423">
      <w:pPr>
        <w:autoSpaceDE w:val="0"/>
        <w:autoSpaceDN w:val="0"/>
        <w:adjustRightInd w:val="0"/>
        <w:ind w:right="-138" w:firstLine="720"/>
        <w:jc w:val="both"/>
        <w:rPr>
          <w:rFonts w:ascii="Arial" w:hAnsi="Arial" w:cs="Arial"/>
          <w:sz w:val="20"/>
          <w:szCs w:val="20"/>
          <w:lang w:val="sr-Cyrl-RS"/>
        </w:rPr>
      </w:pPr>
    </w:p>
    <w:p w14:paraId="69BF9DF1" w14:textId="0B303C47" w:rsidR="008368F9" w:rsidRPr="00A021B7" w:rsidRDefault="6D42FE61" w:rsidP="1A8E6423">
      <w:pPr>
        <w:autoSpaceDE w:val="0"/>
        <w:autoSpaceDN w:val="0"/>
        <w:adjustRightInd w:val="0"/>
        <w:ind w:right="-138" w:firstLine="720"/>
        <w:jc w:val="both"/>
        <w:rPr>
          <w:rFonts w:ascii="Arial" w:hAnsi="Arial" w:cs="Arial"/>
          <w:sz w:val="20"/>
          <w:szCs w:val="20"/>
          <w:lang w:val="sr-Cyrl-RS"/>
        </w:rPr>
      </w:pPr>
      <w:r w:rsidRPr="00A021B7">
        <w:rPr>
          <w:rFonts w:ascii="Arial" w:hAnsi="Arial" w:cs="Arial"/>
          <w:sz w:val="20"/>
          <w:szCs w:val="20"/>
          <w:lang w:val="sr-Cyrl-RS"/>
        </w:rPr>
        <w:t>За даљи развој МОС неопходно је наставити унапређивање регулативе</w:t>
      </w:r>
      <w:r w:rsidRPr="1A8E6423">
        <w:rPr>
          <w:rFonts w:ascii="Arial" w:eastAsiaTheme="minorEastAsia" w:hAnsi="Arial" w:cs="Arial"/>
          <w:sz w:val="20"/>
          <w:szCs w:val="20"/>
          <w:lang w:val="sr-Cyrl-RS"/>
        </w:rPr>
        <w:t xml:space="preserve"> како би се решиле поједине недоумице из праксе везане за заједничко финансирање, заједничку имовину, иступање из МОС и заштиту свих ЈЛС у том процесу. Веома је важно реформисати и још неке секторске прописе како би могућност МОС била препозната и детаљније уређена у складу са специфичностима у свим областима рада локалне самоуправе</w:t>
      </w:r>
      <w:r w:rsidR="00DE1679" w:rsidRPr="1A8E6423">
        <w:rPr>
          <w:rFonts w:ascii="Arial" w:eastAsiaTheme="minorEastAsia" w:hAnsi="Arial" w:cs="Arial"/>
          <w:sz w:val="20"/>
          <w:szCs w:val="20"/>
          <w:lang w:val="sr-Cyrl-RS"/>
        </w:rPr>
        <w:t xml:space="preserve"> или у већини тих области</w:t>
      </w:r>
      <w:r w:rsidRPr="1A8E6423">
        <w:rPr>
          <w:rFonts w:ascii="Arial" w:eastAsiaTheme="minorEastAsia" w:hAnsi="Arial" w:cs="Arial"/>
          <w:sz w:val="20"/>
          <w:szCs w:val="20"/>
          <w:lang w:val="sr-Cyrl-RS"/>
        </w:rPr>
        <w:t>. Посебно је потребно</w:t>
      </w:r>
      <w:r w:rsidRPr="00A021B7">
        <w:rPr>
          <w:rFonts w:ascii="Arial" w:hAnsi="Arial" w:cs="Arial"/>
          <w:sz w:val="20"/>
          <w:szCs w:val="20"/>
          <w:lang w:val="sr-Cyrl-RS"/>
        </w:rPr>
        <w:t xml:space="preserve"> превазићи постојеће институционално</w:t>
      </w:r>
      <w:r w:rsidR="00DE1679">
        <w:rPr>
          <w:rFonts w:ascii="Arial" w:hAnsi="Arial" w:cs="Arial"/>
          <w:sz w:val="20"/>
          <w:szCs w:val="20"/>
          <w:lang w:val="sr-Cyrl-RS"/>
        </w:rPr>
        <w:t>-</w:t>
      </w:r>
      <w:r w:rsidRPr="00A021B7">
        <w:rPr>
          <w:rFonts w:ascii="Arial" w:hAnsi="Arial" w:cs="Arial"/>
          <w:sz w:val="20"/>
          <w:szCs w:val="20"/>
          <w:lang w:val="sr-Cyrl-RS"/>
        </w:rPr>
        <w:t>формалне препреке за развој МОС у формирању</w:t>
      </w:r>
      <w:r w:rsidR="00DE1679">
        <w:rPr>
          <w:rFonts w:ascii="Arial" w:hAnsi="Arial" w:cs="Arial"/>
          <w:sz w:val="20"/>
          <w:szCs w:val="20"/>
          <w:lang w:val="sr-Cyrl-RS"/>
        </w:rPr>
        <w:t xml:space="preserve"> заједничког ЈП</w:t>
      </w:r>
      <w:r w:rsidRPr="00A021B7">
        <w:rPr>
          <w:rFonts w:ascii="Arial" w:hAnsi="Arial" w:cs="Arial"/>
          <w:sz w:val="20"/>
          <w:szCs w:val="20"/>
          <w:lang w:val="sr-Cyrl-RS"/>
        </w:rPr>
        <w:t>, управљању</w:t>
      </w:r>
      <w:r w:rsidR="00DE1679">
        <w:rPr>
          <w:rFonts w:ascii="Arial" w:hAnsi="Arial" w:cs="Arial"/>
          <w:sz w:val="20"/>
          <w:szCs w:val="20"/>
          <w:lang w:val="sr-Cyrl-RS"/>
        </w:rPr>
        <w:t xml:space="preserve"> њиме</w:t>
      </w:r>
      <w:r w:rsidRPr="00A021B7">
        <w:rPr>
          <w:rFonts w:ascii="Arial" w:hAnsi="Arial" w:cs="Arial"/>
          <w:sz w:val="20"/>
          <w:szCs w:val="20"/>
          <w:lang w:val="sr-Cyrl-RS"/>
        </w:rPr>
        <w:t xml:space="preserve"> и</w:t>
      </w:r>
      <w:r w:rsidR="00DE1679">
        <w:rPr>
          <w:rFonts w:ascii="Arial" w:hAnsi="Arial" w:cs="Arial"/>
          <w:sz w:val="20"/>
          <w:szCs w:val="20"/>
          <w:lang w:val="sr-Cyrl-RS"/>
        </w:rPr>
        <w:t xml:space="preserve"> његовом</w:t>
      </w:r>
      <w:r w:rsidRPr="00A021B7">
        <w:rPr>
          <w:rFonts w:ascii="Arial" w:hAnsi="Arial" w:cs="Arial"/>
          <w:sz w:val="20"/>
          <w:szCs w:val="20"/>
          <w:lang w:val="sr-Cyrl-RS"/>
        </w:rPr>
        <w:t xml:space="preserve"> функционисању. Измена правног оквира само је иницијални корак за интензивнији развој МОС. Кључни корак који је потребно направити јесте обезбеђивање одрживог подстицајног система. За то је неопходно успостављање дугорочног финансијског механизма </w:t>
      </w:r>
      <w:r w:rsidR="00DE1679">
        <w:rPr>
          <w:rFonts w:ascii="Arial" w:hAnsi="Arial" w:cs="Arial"/>
          <w:sz w:val="20"/>
          <w:szCs w:val="20"/>
          <w:lang w:val="sr-Cyrl-RS"/>
        </w:rPr>
        <w:t xml:space="preserve">за </w:t>
      </w:r>
      <w:r w:rsidRPr="00A021B7">
        <w:rPr>
          <w:rFonts w:ascii="Arial" w:hAnsi="Arial" w:cs="Arial"/>
          <w:sz w:val="20"/>
          <w:szCs w:val="20"/>
          <w:lang w:val="sr-Cyrl-RS"/>
        </w:rPr>
        <w:t>подстицањ</w:t>
      </w:r>
      <w:r w:rsidR="00DE1679">
        <w:rPr>
          <w:rFonts w:ascii="Arial" w:hAnsi="Arial" w:cs="Arial"/>
          <w:sz w:val="20"/>
          <w:szCs w:val="20"/>
          <w:lang w:val="sr-Cyrl-RS"/>
        </w:rPr>
        <w:t>е</w:t>
      </w:r>
      <w:r w:rsidRPr="00A021B7">
        <w:rPr>
          <w:rFonts w:ascii="Arial" w:hAnsi="Arial" w:cs="Arial"/>
          <w:sz w:val="20"/>
          <w:szCs w:val="20"/>
          <w:lang w:val="sr-Cyrl-RS"/>
        </w:rPr>
        <w:t xml:space="preserve"> МОС, који ће бити искоришћен за развој заједничког организовања различитих функција локалне самоуправе. У том смислу, краткорочни и ограничени међуопштински пројекти јесу важни, али не и довољни за озбиљни тренд развоја МОС. Пројектна давања са централног и покрајинског нивоа или од међународних донатора, посебно она која подржавају поједине функције локалне самоуправе (нпр. ЛЕР, различите функције у широј области друштвених делатности, пољопривреда, рурални развој или туризам) требало би још више да буду отворена за пројекте који се остварују институционализовањем МОС.</w:t>
      </w:r>
      <w:r w:rsidR="008368F9" w:rsidRPr="00A021B7">
        <w:rPr>
          <w:rStyle w:val="FootnoteReference"/>
          <w:rFonts w:ascii="Arial" w:hAnsi="Arial" w:cs="Arial"/>
          <w:sz w:val="20"/>
          <w:szCs w:val="20"/>
          <w:lang w:val="sr-Cyrl-RS"/>
        </w:rPr>
        <w:footnoteReference w:id="160"/>
      </w:r>
      <w:r w:rsidRPr="00A021B7">
        <w:rPr>
          <w:rFonts w:ascii="Arial" w:hAnsi="Arial" w:cs="Arial"/>
          <w:sz w:val="20"/>
          <w:szCs w:val="20"/>
          <w:lang w:val="sr-Cyrl-RS"/>
        </w:rPr>
        <w:t xml:space="preserve"> Значајан аспект подстицаја би представљало решење</w:t>
      </w:r>
      <w:r w:rsidR="512CDFFD" w:rsidRPr="00A021B7">
        <w:rPr>
          <w:rFonts w:ascii="Arial" w:hAnsi="Arial" w:cs="Arial"/>
          <w:sz w:val="20"/>
          <w:szCs w:val="20"/>
          <w:lang w:val="sr-Cyrl-RS"/>
        </w:rPr>
        <w:t xml:space="preserve"> </w:t>
      </w:r>
      <w:r w:rsidRPr="00A021B7">
        <w:rPr>
          <w:rFonts w:ascii="Arial" w:hAnsi="Arial" w:cs="Arial"/>
          <w:sz w:val="20"/>
          <w:szCs w:val="20"/>
          <w:lang w:val="sr-Cyrl-RS"/>
        </w:rPr>
        <w:t>да се у систему плата уведе додатак на плату за све запослене који раде у организационим облицима успостављеним кроз МОС</w:t>
      </w:r>
      <w:r w:rsidR="1B708544" w:rsidRPr="00A021B7">
        <w:rPr>
          <w:rFonts w:ascii="Arial" w:hAnsi="Arial" w:cs="Arial"/>
          <w:sz w:val="20"/>
          <w:szCs w:val="20"/>
          <w:lang w:val="sr-Cyrl-RS"/>
        </w:rPr>
        <w:t xml:space="preserve"> (на пример</w:t>
      </w:r>
      <w:r w:rsidR="00DE1679">
        <w:rPr>
          <w:rFonts w:ascii="Arial" w:hAnsi="Arial" w:cs="Arial"/>
          <w:sz w:val="20"/>
          <w:szCs w:val="20"/>
          <w:lang w:val="sr-Cyrl-RS"/>
        </w:rPr>
        <w:t>,</w:t>
      </w:r>
      <w:r w:rsidR="1B708544" w:rsidRPr="00A021B7">
        <w:rPr>
          <w:rFonts w:ascii="Arial" w:hAnsi="Arial" w:cs="Arial"/>
          <w:sz w:val="20"/>
          <w:szCs w:val="20"/>
          <w:lang w:val="sr-Cyrl-RS"/>
        </w:rPr>
        <w:t xml:space="preserve"> </w:t>
      </w:r>
      <w:r w:rsidR="00DE1679">
        <w:rPr>
          <w:rFonts w:ascii="Arial" w:hAnsi="Arial" w:cs="Arial"/>
          <w:sz w:val="20"/>
          <w:szCs w:val="20"/>
          <w:lang w:val="sr-Cyrl-RS"/>
        </w:rPr>
        <w:t>због</w:t>
      </w:r>
      <w:r w:rsidR="1B708544" w:rsidRPr="00A021B7">
        <w:rPr>
          <w:rFonts w:ascii="Arial" w:hAnsi="Arial" w:cs="Arial"/>
          <w:sz w:val="20"/>
          <w:szCs w:val="20"/>
          <w:lang w:val="sr-Cyrl-RS"/>
        </w:rPr>
        <w:t xml:space="preserve"> тога што се ради </w:t>
      </w:r>
      <w:r w:rsidR="1332FAE6" w:rsidRPr="00A021B7">
        <w:rPr>
          <w:rFonts w:ascii="Arial" w:hAnsi="Arial" w:cs="Arial"/>
          <w:sz w:val="20"/>
          <w:szCs w:val="20"/>
          <w:lang w:val="sr-Cyrl-RS"/>
        </w:rPr>
        <w:t>на територији друге ЈЛС</w:t>
      </w:r>
      <w:r w:rsidR="4571BCC6" w:rsidRPr="00A021B7">
        <w:rPr>
          <w:rFonts w:ascii="Arial" w:hAnsi="Arial" w:cs="Arial"/>
          <w:sz w:val="20"/>
          <w:szCs w:val="20"/>
          <w:lang w:val="sr-Cyrl-RS"/>
        </w:rPr>
        <w:t xml:space="preserve"> итд</w:t>
      </w:r>
      <w:r w:rsidR="00DE1679">
        <w:rPr>
          <w:rFonts w:ascii="Arial" w:hAnsi="Arial" w:cs="Arial"/>
          <w:sz w:val="20"/>
          <w:szCs w:val="20"/>
          <w:lang w:val="sr-Cyrl-RS"/>
        </w:rPr>
        <w:t>.</w:t>
      </w:r>
      <w:r w:rsidR="4571BCC6" w:rsidRPr="00A021B7">
        <w:rPr>
          <w:rFonts w:ascii="Arial" w:hAnsi="Arial" w:cs="Arial"/>
          <w:sz w:val="20"/>
          <w:szCs w:val="20"/>
          <w:lang w:val="sr-Cyrl-RS"/>
        </w:rPr>
        <w:t>)</w:t>
      </w:r>
      <w:r w:rsidRPr="00A021B7">
        <w:rPr>
          <w:rFonts w:ascii="Arial" w:hAnsi="Arial" w:cs="Arial"/>
          <w:sz w:val="20"/>
          <w:szCs w:val="20"/>
          <w:lang w:val="sr-Cyrl-RS"/>
        </w:rPr>
        <w:t xml:space="preserve">. Националне власти треба и да у сарадњи са националном асоцијацијом локалних власти наставе и интензивирају техничку подршку локалној самоуправи у остваривању МОС и да креирају стални сервис подршке за њено успостављање и решавање проблема у њеном функционисању. На ово треба надовезати промотивне и едукативне активности о предностима које МОС доноси, како би овај инструмент био прихваћен међу </w:t>
      </w:r>
      <w:r w:rsidRPr="00A021B7">
        <w:rPr>
          <w:rFonts w:ascii="Arial" w:hAnsi="Arial" w:cs="Arial"/>
          <w:sz w:val="20"/>
          <w:szCs w:val="20"/>
          <w:lang w:val="sr-Cyrl-RS"/>
        </w:rPr>
        <w:lastRenderedPageBreak/>
        <w:t>локалним лидерима и грађанима, јер без овог елемента нема стабилне и трајне успешне сарадње. Коначно, даљи развој МОС изискује и успостављање система за мерење користи од ње, и то не само кроз финансијске уштеде, него првенствено кроз праћење квалитета обављања јавних послова и услуга и степен задовољства грађана оваквим обликом сарадње и организовања јавних услуга.</w:t>
      </w:r>
    </w:p>
    <w:p w14:paraId="771B27F3" w14:textId="77777777" w:rsidR="008368F9" w:rsidRPr="00A021B7" w:rsidRDefault="008368F9" w:rsidP="1A8E6423">
      <w:pPr>
        <w:ind w:firstLine="720"/>
        <w:rPr>
          <w:rFonts w:ascii="Arial" w:hAnsi="Arial" w:cs="Arial"/>
          <w:sz w:val="20"/>
          <w:szCs w:val="20"/>
          <w:lang w:val="sr-Cyrl-RS"/>
        </w:rPr>
      </w:pPr>
    </w:p>
    <w:p w14:paraId="3F050C4B" w14:textId="3BD046C3" w:rsidR="00F503ED" w:rsidRPr="00A021B7" w:rsidRDefault="5DA234A3" w:rsidP="1A8E6423">
      <w:pPr>
        <w:pStyle w:val="xmsonormal"/>
        <w:spacing w:before="0" w:beforeAutospacing="0" w:after="0" w:afterAutospacing="0"/>
        <w:ind w:right="-194" w:firstLine="720"/>
        <w:jc w:val="both"/>
        <w:rPr>
          <w:rFonts w:ascii="Arial" w:hAnsi="Arial" w:cs="Arial"/>
          <w:sz w:val="20"/>
          <w:szCs w:val="20"/>
          <w:lang w:val="sr-Cyrl-RS"/>
        </w:rPr>
      </w:pPr>
      <w:r w:rsidRPr="00A021B7">
        <w:rPr>
          <w:rFonts w:ascii="Arial" w:hAnsi="Arial" w:cs="Arial"/>
          <w:sz w:val="20"/>
          <w:szCs w:val="20"/>
          <w:lang w:val="sr-Cyrl-RS"/>
        </w:rPr>
        <w:t>С</w:t>
      </w:r>
      <w:r w:rsidR="6D42FE61" w:rsidRPr="00A021B7">
        <w:rPr>
          <w:rFonts w:ascii="Arial" w:hAnsi="Arial" w:cs="Arial"/>
          <w:sz w:val="20"/>
          <w:szCs w:val="20"/>
          <w:lang w:val="sr-Cyrl-RS"/>
        </w:rPr>
        <w:t>тањ</w:t>
      </w:r>
      <w:r w:rsidRPr="00A021B7">
        <w:rPr>
          <w:rFonts w:ascii="Arial" w:hAnsi="Arial" w:cs="Arial"/>
          <w:sz w:val="20"/>
          <w:szCs w:val="20"/>
          <w:lang w:val="sr-Cyrl-RS"/>
        </w:rPr>
        <w:t>е</w:t>
      </w:r>
      <w:r w:rsidR="6D42FE61" w:rsidRPr="00A021B7">
        <w:rPr>
          <w:rFonts w:ascii="Arial" w:hAnsi="Arial" w:cs="Arial"/>
          <w:sz w:val="20"/>
          <w:szCs w:val="20"/>
          <w:lang w:val="sr-Cyrl-RS"/>
        </w:rPr>
        <w:t xml:space="preserve"> у појединим ЈЛС указује </w:t>
      </w:r>
      <w:r w:rsidR="00DE1679">
        <w:rPr>
          <w:rFonts w:ascii="Arial" w:hAnsi="Arial" w:cs="Arial"/>
          <w:sz w:val="20"/>
          <w:szCs w:val="20"/>
          <w:lang w:val="sr-Cyrl-RS"/>
        </w:rPr>
        <w:t xml:space="preserve">на то </w:t>
      </w:r>
      <w:r w:rsidR="6D42FE61" w:rsidRPr="00A021B7">
        <w:rPr>
          <w:rFonts w:ascii="Arial" w:hAnsi="Arial" w:cs="Arial"/>
          <w:sz w:val="20"/>
          <w:szCs w:val="20"/>
          <w:lang w:val="sr-Cyrl-RS"/>
        </w:rPr>
        <w:t xml:space="preserve">да </w:t>
      </w:r>
      <w:r w:rsidRPr="00A021B7">
        <w:rPr>
          <w:rFonts w:ascii="Arial" w:hAnsi="Arial" w:cs="Arial"/>
          <w:sz w:val="20"/>
          <w:szCs w:val="20"/>
          <w:lang w:val="sr-Cyrl-RS"/>
        </w:rPr>
        <w:t xml:space="preserve">се </w:t>
      </w:r>
      <w:r w:rsidR="6D42FE61" w:rsidRPr="00A021B7">
        <w:rPr>
          <w:rFonts w:ascii="Arial" w:hAnsi="Arial" w:cs="Arial"/>
          <w:sz w:val="20"/>
          <w:szCs w:val="20"/>
          <w:lang w:val="sr-Cyrl-RS"/>
        </w:rPr>
        <w:t xml:space="preserve">не </w:t>
      </w:r>
      <w:r w:rsidR="00962ED2">
        <w:rPr>
          <w:rFonts w:ascii="Arial" w:hAnsi="Arial" w:cs="Arial"/>
          <w:sz w:val="20"/>
          <w:szCs w:val="20"/>
          <w:lang w:val="sr-Cyrl-RS"/>
        </w:rPr>
        <w:t>врше</w:t>
      </w:r>
      <w:r w:rsidR="00962ED2" w:rsidRPr="00A021B7">
        <w:rPr>
          <w:rFonts w:ascii="Arial" w:hAnsi="Arial" w:cs="Arial"/>
          <w:sz w:val="20"/>
          <w:szCs w:val="20"/>
          <w:lang w:val="sr-Cyrl-RS"/>
        </w:rPr>
        <w:t xml:space="preserve"> </w:t>
      </w:r>
      <w:r w:rsidRPr="00A021B7">
        <w:rPr>
          <w:rFonts w:ascii="Arial" w:hAnsi="Arial" w:cs="Arial"/>
          <w:sz w:val="20"/>
          <w:szCs w:val="20"/>
          <w:lang w:val="sr-Cyrl-RS"/>
        </w:rPr>
        <w:t xml:space="preserve">свуда </w:t>
      </w:r>
      <w:r w:rsidR="6D42FE61" w:rsidRPr="00A021B7">
        <w:rPr>
          <w:rFonts w:ascii="Arial" w:hAnsi="Arial" w:cs="Arial"/>
          <w:sz w:val="20"/>
          <w:szCs w:val="20"/>
          <w:lang w:val="sr-Cyrl-RS"/>
        </w:rPr>
        <w:t>одређене надлежности односно послов</w:t>
      </w:r>
      <w:r w:rsidRPr="00A021B7">
        <w:rPr>
          <w:rFonts w:ascii="Arial" w:hAnsi="Arial" w:cs="Arial"/>
          <w:sz w:val="20"/>
          <w:szCs w:val="20"/>
          <w:lang w:val="sr-Cyrl-RS"/>
        </w:rPr>
        <w:t>и локалне самоуправе</w:t>
      </w:r>
      <w:r w:rsidR="04B0665A" w:rsidRPr="00A021B7">
        <w:rPr>
          <w:rFonts w:ascii="Arial" w:hAnsi="Arial" w:cs="Arial"/>
          <w:sz w:val="20"/>
          <w:szCs w:val="20"/>
          <w:lang w:val="sr-Cyrl-RS"/>
        </w:rPr>
        <w:t>, посебно не на истом нивоу квалитета или доступности. Таква ситуација</w:t>
      </w:r>
      <w:r w:rsidR="6D42FE61" w:rsidRPr="00A021B7">
        <w:rPr>
          <w:rFonts w:ascii="Arial" w:hAnsi="Arial" w:cs="Arial"/>
          <w:sz w:val="20"/>
          <w:szCs w:val="20"/>
          <w:lang w:val="sr-Cyrl-RS"/>
        </w:rPr>
        <w:t xml:space="preserve"> отвара и питање услова за законско обавезивање ЈЛС на успостављање МОС (по сили закона). </w:t>
      </w:r>
      <w:r w:rsidR="226F56F8" w:rsidRPr="00A021B7">
        <w:rPr>
          <w:rFonts w:ascii="Arial" w:hAnsi="Arial" w:cs="Arial"/>
          <w:sz w:val="20"/>
          <w:szCs w:val="20"/>
          <w:lang w:val="sr-Cyrl-RS"/>
        </w:rPr>
        <w:t xml:space="preserve">У </w:t>
      </w:r>
      <w:r w:rsidR="220DAED5" w:rsidRPr="00A021B7">
        <w:rPr>
          <w:rFonts w:ascii="Arial" w:hAnsi="Arial" w:cs="Arial"/>
          <w:sz w:val="20"/>
          <w:szCs w:val="20"/>
          <w:lang w:val="sr-Cyrl-RS"/>
        </w:rPr>
        <w:t>в</w:t>
      </w:r>
      <w:r w:rsidR="18B2C2F4" w:rsidRPr="00A021B7">
        <w:rPr>
          <w:rFonts w:ascii="Arial" w:hAnsi="Arial" w:cs="Arial"/>
          <w:sz w:val="20"/>
          <w:szCs w:val="20"/>
          <w:lang w:val="sr-Cyrl-RS"/>
        </w:rPr>
        <w:t>ећини</w:t>
      </w:r>
      <w:r w:rsidR="226F56F8" w:rsidRPr="00A021B7">
        <w:rPr>
          <w:rFonts w:ascii="Arial" w:hAnsi="Arial" w:cs="Arial"/>
          <w:sz w:val="20"/>
          <w:szCs w:val="20"/>
          <w:lang w:val="sr-Cyrl-RS"/>
        </w:rPr>
        <w:t xml:space="preserve"> случајева међуопштинска сарадња јесте одговор на </w:t>
      </w:r>
      <w:r w:rsidR="0D89E71E" w:rsidRPr="00A021B7">
        <w:rPr>
          <w:rFonts w:ascii="Arial" w:hAnsi="Arial" w:cs="Arial"/>
          <w:sz w:val="20"/>
          <w:szCs w:val="20"/>
          <w:lang w:val="sr-Cyrl-RS"/>
        </w:rPr>
        <w:t>недостатак капацитета у знатном броју ЈЛС, посебно мањих и неразвијених општина. Оне</w:t>
      </w:r>
      <w:r w:rsidR="18B2C2F4" w:rsidRPr="00A021B7">
        <w:rPr>
          <w:rFonts w:ascii="Arial" w:hAnsi="Arial" w:cs="Arial"/>
          <w:sz w:val="20"/>
          <w:szCs w:val="20"/>
          <w:lang w:val="sr-Cyrl-RS"/>
        </w:rPr>
        <w:t>,</w:t>
      </w:r>
      <w:r w:rsidR="0D89E71E" w:rsidRPr="00A021B7">
        <w:rPr>
          <w:rFonts w:ascii="Arial" w:hAnsi="Arial" w:cs="Arial"/>
          <w:sz w:val="20"/>
          <w:szCs w:val="20"/>
          <w:lang w:val="sr-Cyrl-RS"/>
        </w:rPr>
        <w:t xml:space="preserve"> </w:t>
      </w:r>
      <w:r w:rsidR="18B2C2F4" w:rsidRPr="00A021B7">
        <w:rPr>
          <w:rFonts w:ascii="Arial" w:hAnsi="Arial" w:cs="Arial"/>
          <w:sz w:val="20"/>
          <w:szCs w:val="20"/>
          <w:lang w:val="sr-Cyrl-RS"/>
        </w:rPr>
        <w:t>на основу</w:t>
      </w:r>
      <w:r w:rsidR="0D89E71E" w:rsidRPr="00A021B7">
        <w:rPr>
          <w:rFonts w:ascii="Arial" w:hAnsi="Arial" w:cs="Arial"/>
          <w:sz w:val="20"/>
          <w:szCs w:val="20"/>
          <w:lang w:val="sr-Cyrl-RS"/>
        </w:rPr>
        <w:t xml:space="preserve"> објективн</w:t>
      </w:r>
      <w:r w:rsidR="18B2C2F4" w:rsidRPr="00A021B7">
        <w:rPr>
          <w:rFonts w:ascii="Arial" w:hAnsi="Arial" w:cs="Arial"/>
          <w:sz w:val="20"/>
          <w:szCs w:val="20"/>
          <w:lang w:val="sr-Cyrl-RS"/>
        </w:rPr>
        <w:t>е</w:t>
      </w:r>
      <w:r w:rsidR="0D89E71E" w:rsidRPr="00A021B7">
        <w:rPr>
          <w:rFonts w:ascii="Arial" w:hAnsi="Arial" w:cs="Arial"/>
          <w:sz w:val="20"/>
          <w:szCs w:val="20"/>
          <w:lang w:val="sr-Cyrl-RS"/>
        </w:rPr>
        <w:t xml:space="preserve"> соци</w:t>
      </w:r>
      <w:r w:rsidR="5BADD30D" w:rsidRPr="00A021B7">
        <w:rPr>
          <w:rFonts w:ascii="Arial" w:hAnsi="Arial" w:cs="Arial"/>
          <w:sz w:val="20"/>
          <w:szCs w:val="20"/>
          <w:lang w:val="sr-Cyrl-RS"/>
        </w:rPr>
        <w:t>јално-економск</w:t>
      </w:r>
      <w:r w:rsidR="18B2C2F4" w:rsidRPr="00A021B7">
        <w:rPr>
          <w:rFonts w:ascii="Arial" w:hAnsi="Arial" w:cs="Arial"/>
          <w:sz w:val="20"/>
          <w:szCs w:val="20"/>
          <w:lang w:val="sr-Cyrl-RS"/>
        </w:rPr>
        <w:t>е</w:t>
      </w:r>
      <w:r w:rsidR="5BADD30D" w:rsidRPr="00A021B7">
        <w:rPr>
          <w:rFonts w:ascii="Arial" w:hAnsi="Arial" w:cs="Arial"/>
          <w:sz w:val="20"/>
          <w:szCs w:val="20"/>
          <w:lang w:val="sr-Cyrl-RS"/>
        </w:rPr>
        <w:t xml:space="preserve"> </w:t>
      </w:r>
      <w:r w:rsidR="18B2C2F4" w:rsidRPr="00A021B7">
        <w:rPr>
          <w:rFonts w:ascii="Arial" w:hAnsi="Arial" w:cs="Arial"/>
          <w:sz w:val="20"/>
          <w:szCs w:val="20"/>
          <w:lang w:val="sr-Cyrl-RS"/>
        </w:rPr>
        <w:t>ситуације</w:t>
      </w:r>
      <w:r w:rsidR="00962ED2">
        <w:rPr>
          <w:rFonts w:ascii="Arial" w:hAnsi="Arial" w:cs="Arial"/>
          <w:sz w:val="20"/>
          <w:szCs w:val="20"/>
          <w:lang w:val="sr-Cyrl-RS"/>
        </w:rPr>
        <w:t>,</w:t>
      </w:r>
      <w:r w:rsidR="5BADD30D" w:rsidRPr="00A021B7">
        <w:rPr>
          <w:rFonts w:ascii="Arial" w:hAnsi="Arial" w:cs="Arial"/>
          <w:sz w:val="20"/>
          <w:szCs w:val="20"/>
          <w:lang w:val="sr-Cyrl-RS"/>
        </w:rPr>
        <w:t xml:space="preserve"> нису у потпуности у стању да обезбе</w:t>
      </w:r>
      <w:r w:rsidR="00962ED2">
        <w:rPr>
          <w:rFonts w:ascii="Arial" w:hAnsi="Arial" w:cs="Arial"/>
          <w:sz w:val="20"/>
          <w:szCs w:val="20"/>
          <w:lang w:val="sr-Cyrl-RS"/>
        </w:rPr>
        <w:t>де</w:t>
      </w:r>
      <w:r w:rsidR="5BADD30D" w:rsidRPr="00A021B7">
        <w:rPr>
          <w:rFonts w:ascii="Arial" w:hAnsi="Arial" w:cs="Arial"/>
          <w:sz w:val="20"/>
          <w:szCs w:val="20"/>
          <w:lang w:val="sr-Cyrl-RS"/>
        </w:rPr>
        <w:t xml:space="preserve"> увек све што се очекује од локалне самоуправе. </w:t>
      </w:r>
      <w:r w:rsidR="7B2D2288" w:rsidRPr="00A021B7">
        <w:rPr>
          <w:rFonts w:ascii="Arial" w:hAnsi="Arial" w:cs="Arial"/>
          <w:sz w:val="20"/>
          <w:szCs w:val="20"/>
          <w:lang w:val="sr-Cyrl-RS"/>
        </w:rPr>
        <w:t xml:space="preserve">Управо је ту међуопштинска сарадња подржана од стране централног нивоа један од кључних механизама </w:t>
      </w:r>
      <w:r w:rsidR="00962ED2">
        <w:rPr>
          <w:rFonts w:ascii="Arial" w:hAnsi="Arial" w:cs="Arial"/>
          <w:sz w:val="20"/>
          <w:szCs w:val="20"/>
          <w:lang w:val="sr-Cyrl-RS"/>
        </w:rPr>
        <w:t xml:space="preserve">за </w:t>
      </w:r>
      <w:r w:rsidR="7B2D2288" w:rsidRPr="00A021B7">
        <w:rPr>
          <w:rFonts w:ascii="Arial" w:hAnsi="Arial" w:cs="Arial"/>
          <w:sz w:val="20"/>
          <w:szCs w:val="20"/>
          <w:lang w:val="sr-Cyrl-RS"/>
        </w:rPr>
        <w:t>даљ</w:t>
      </w:r>
      <w:r w:rsidR="18B2C2F4" w:rsidRPr="00A021B7">
        <w:rPr>
          <w:rFonts w:ascii="Arial" w:hAnsi="Arial" w:cs="Arial"/>
          <w:sz w:val="20"/>
          <w:szCs w:val="20"/>
          <w:lang w:val="sr-Cyrl-RS"/>
        </w:rPr>
        <w:t>и</w:t>
      </w:r>
      <w:r w:rsidR="7B2D2288" w:rsidRPr="00A021B7">
        <w:rPr>
          <w:rFonts w:ascii="Arial" w:hAnsi="Arial" w:cs="Arial"/>
          <w:sz w:val="20"/>
          <w:szCs w:val="20"/>
          <w:lang w:val="sr-Cyrl-RS"/>
        </w:rPr>
        <w:t xml:space="preserve"> развој квалитета и доступности јавних услуга у овим локалним заједницама.</w:t>
      </w:r>
      <w:r w:rsidR="3C81D9C0" w:rsidRPr="00A021B7">
        <w:rPr>
          <w:rFonts w:ascii="Arial" w:hAnsi="Arial" w:cs="Arial"/>
          <w:sz w:val="20"/>
          <w:szCs w:val="20"/>
          <w:lang w:val="sr-Cyrl-RS"/>
        </w:rPr>
        <w:t xml:space="preserve"> За значајан број мањих општина, кој</w:t>
      </w:r>
      <w:r w:rsidR="00962ED2">
        <w:rPr>
          <w:rFonts w:ascii="Arial" w:hAnsi="Arial" w:cs="Arial"/>
          <w:sz w:val="20"/>
          <w:szCs w:val="20"/>
          <w:lang w:val="sr-Cyrl-RS"/>
        </w:rPr>
        <w:t>е</w:t>
      </w:r>
      <w:r w:rsidR="3C81D9C0" w:rsidRPr="00A021B7">
        <w:rPr>
          <w:rFonts w:ascii="Arial" w:hAnsi="Arial" w:cs="Arial"/>
          <w:sz w:val="20"/>
          <w:szCs w:val="20"/>
          <w:lang w:val="sr-Cyrl-RS"/>
        </w:rPr>
        <w:t xml:space="preserve"> нису у могућности да </w:t>
      </w:r>
      <w:r w:rsidR="5F8BEF6F" w:rsidRPr="00A021B7">
        <w:rPr>
          <w:rFonts w:ascii="Arial" w:hAnsi="Arial" w:cs="Arial"/>
          <w:sz w:val="20"/>
          <w:szCs w:val="20"/>
          <w:lang w:val="sr-Cyrl-RS"/>
        </w:rPr>
        <w:t xml:space="preserve">у потпуности </w:t>
      </w:r>
      <w:r w:rsidR="3C81D9C0" w:rsidRPr="00A021B7">
        <w:rPr>
          <w:rFonts w:ascii="Arial" w:hAnsi="Arial" w:cs="Arial"/>
          <w:sz w:val="20"/>
          <w:szCs w:val="20"/>
          <w:lang w:val="sr-Cyrl-RS"/>
        </w:rPr>
        <w:t xml:space="preserve">изграде </w:t>
      </w:r>
      <w:r w:rsidR="5F8BEF6F" w:rsidRPr="00A021B7">
        <w:rPr>
          <w:rFonts w:ascii="Arial" w:hAnsi="Arial" w:cs="Arial"/>
          <w:sz w:val="20"/>
          <w:szCs w:val="20"/>
          <w:lang w:val="sr-Cyrl-RS"/>
        </w:rPr>
        <w:t xml:space="preserve">све потребне </w:t>
      </w:r>
      <w:r w:rsidR="3C81D9C0" w:rsidRPr="00A021B7">
        <w:rPr>
          <w:rFonts w:ascii="Arial" w:hAnsi="Arial" w:cs="Arial"/>
          <w:sz w:val="20"/>
          <w:szCs w:val="20"/>
          <w:lang w:val="sr-Cyrl-RS"/>
        </w:rPr>
        <w:t xml:space="preserve">капацитете, могуће би било </w:t>
      </w:r>
      <w:r w:rsidR="0902BF37" w:rsidRPr="00A021B7">
        <w:rPr>
          <w:rFonts w:ascii="Arial" w:hAnsi="Arial" w:cs="Arial"/>
          <w:sz w:val="20"/>
          <w:szCs w:val="20"/>
          <w:lang w:val="sr-Cyrl-RS"/>
        </w:rPr>
        <w:t xml:space="preserve">и </w:t>
      </w:r>
      <w:r w:rsidR="3C81D9C0" w:rsidRPr="00A021B7">
        <w:rPr>
          <w:rFonts w:ascii="Arial" w:hAnsi="Arial" w:cs="Arial"/>
          <w:sz w:val="20"/>
          <w:szCs w:val="20"/>
          <w:lang w:val="sr-Cyrl-RS"/>
        </w:rPr>
        <w:t xml:space="preserve">да се </w:t>
      </w:r>
      <w:r w:rsidR="18B2C2F4" w:rsidRPr="00A021B7">
        <w:rPr>
          <w:rFonts w:ascii="Arial" w:hAnsi="Arial" w:cs="Arial"/>
          <w:sz w:val="20"/>
          <w:szCs w:val="20"/>
          <w:lang w:val="sr-Cyrl-RS"/>
        </w:rPr>
        <w:t xml:space="preserve">законски </w:t>
      </w:r>
      <w:r w:rsidR="3C81D9C0" w:rsidRPr="00A021B7">
        <w:rPr>
          <w:rFonts w:ascii="Arial" w:hAnsi="Arial" w:cs="Arial"/>
          <w:sz w:val="20"/>
          <w:szCs w:val="20"/>
          <w:lang w:val="sr-Cyrl-RS"/>
        </w:rPr>
        <w:t>пропише обавезна МОС у обављању ових послова.</w:t>
      </w:r>
      <w:r w:rsidR="00F503ED" w:rsidRPr="00A021B7">
        <w:rPr>
          <w:rStyle w:val="FootnoteReference"/>
          <w:rFonts w:ascii="Arial" w:hAnsi="Arial" w:cs="Arial"/>
          <w:sz w:val="20"/>
          <w:szCs w:val="20"/>
          <w:lang w:val="sr-Cyrl-RS"/>
        </w:rPr>
        <w:footnoteReference w:id="161"/>
      </w:r>
      <w:r w:rsidR="0902BF37" w:rsidRPr="00A021B7">
        <w:rPr>
          <w:rFonts w:ascii="Arial" w:hAnsi="Arial" w:cs="Arial"/>
          <w:sz w:val="20"/>
          <w:szCs w:val="20"/>
          <w:lang w:val="sr-Cyrl-RS"/>
        </w:rPr>
        <w:t xml:space="preserve"> Међутим, уколико би се приступило регулисању обавезне МОС, неопходно би било да се, пре утврђивања ове обавезе, ЈЛС остави на располагање рок за самостално обављање ових послова или њихово поверавање другим правним или физичким лицима, ако је то у складу са законом. </w:t>
      </w:r>
      <w:r w:rsidR="6D42FE61" w:rsidRPr="00A021B7">
        <w:rPr>
          <w:rFonts w:ascii="Arial" w:hAnsi="Arial" w:cs="Arial"/>
          <w:sz w:val="20"/>
          <w:szCs w:val="20"/>
          <w:lang w:val="sr-Cyrl-RS"/>
        </w:rPr>
        <w:t>Поред наведеног, обавезни облици МОС могу да буду значајан елемент будуће децентрализације послова државне управе. Уколико наш правни систем остане при устаљеној пракси линеарног спровођења децентрализације (и централизације), могуће је законом предвидети „условну децентрализацију</w:t>
      </w:r>
      <w:r w:rsidR="77AB8B77" w:rsidRPr="00A021B7">
        <w:rPr>
          <w:rFonts w:ascii="Arial" w:hAnsi="Arial" w:cs="Arial"/>
          <w:sz w:val="20"/>
          <w:szCs w:val="20"/>
          <w:lang w:val="sr-Cyrl-RS"/>
        </w:rPr>
        <w:t>”</w:t>
      </w:r>
      <w:r w:rsidR="6D42FE61" w:rsidRPr="00A021B7">
        <w:rPr>
          <w:rFonts w:ascii="Arial" w:hAnsi="Arial" w:cs="Arial"/>
          <w:sz w:val="20"/>
          <w:szCs w:val="20"/>
          <w:lang w:val="sr-Cyrl-RS"/>
        </w:rPr>
        <w:t>, тј. утврђивање минимално потребних, претходно изграђених, капацитета ЈЛС за поверавање или преношење надлежности послова државне управе</w:t>
      </w:r>
      <w:r w:rsidR="00962ED2">
        <w:rPr>
          <w:rFonts w:ascii="Arial" w:hAnsi="Arial" w:cs="Arial"/>
          <w:sz w:val="20"/>
          <w:szCs w:val="20"/>
          <w:lang w:val="sr-Cyrl-RS"/>
        </w:rPr>
        <w:t>.</w:t>
      </w:r>
    </w:p>
    <w:p w14:paraId="792815CE" w14:textId="77777777" w:rsidR="000158D2" w:rsidRPr="00A021B7" w:rsidRDefault="000158D2" w:rsidP="1A8E6423">
      <w:pPr>
        <w:pStyle w:val="xmsonormal"/>
        <w:spacing w:before="0" w:beforeAutospacing="0" w:after="0" w:afterAutospacing="0"/>
        <w:ind w:firstLine="720"/>
        <w:jc w:val="both"/>
        <w:rPr>
          <w:rFonts w:ascii="Arial" w:hAnsi="Arial" w:cs="Arial"/>
          <w:sz w:val="20"/>
          <w:szCs w:val="20"/>
          <w:lang w:val="sr-Cyrl-RS"/>
        </w:rPr>
      </w:pPr>
    </w:p>
    <w:tbl>
      <w:tblPr>
        <w:tblStyle w:val="TableGrid"/>
        <w:tblW w:w="0" w:type="auto"/>
        <w:tblLook w:val="04A0" w:firstRow="1" w:lastRow="0" w:firstColumn="1" w:lastColumn="0" w:noHBand="0" w:noVBand="1"/>
      </w:tblPr>
      <w:tblGrid>
        <w:gridCol w:w="9010"/>
      </w:tblGrid>
      <w:tr w:rsidR="000158D2" w:rsidRPr="00A021B7" w14:paraId="66562615" w14:textId="77777777" w:rsidTr="1A8E6423">
        <w:tc>
          <w:tcPr>
            <w:tcW w:w="9010" w:type="dxa"/>
          </w:tcPr>
          <w:p w14:paraId="11D9885C" w14:textId="77777777" w:rsidR="000158D2" w:rsidRPr="00A021B7" w:rsidRDefault="000158D2" w:rsidP="003E7BC9">
            <w:pPr>
              <w:jc w:val="both"/>
              <w:rPr>
                <w:rFonts w:ascii="Arial" w:hAnsi="Arial" w:cs="Arial"/>
                <w:b/>
                <w:bCs/>
                <w:sz w:val="20"/>
                <w:szCs w:val="20"/>
                <w:lang w:val="sr-Cyrl-RS"/>
              </w:rPr>
            </w:pPr>
            <w:r w:rsidRPr="00A021B7">
              <w:rPr>
                <w:rFonts w:ascii="Arial" w:hAnsi="Arial" w:cs="Arial"/>
                <w:b/>
                <w:bCs/>
                <w:sz w:val="20"/>
                <w:szCs w:val="20"/>
                <w:lang w:val="sr-Cyrl-RS"/>
              </w:rPr>
              <w:t>Међуопштинска сарадња на нивоу управних окр</w:t>
            </w:r>
            <w:r w:rsidR="00783DBC" w:rsidRPr="00A021B7">
              <w:rPr>
                <w:rFonts w:ascii="Arial" w:hAnsi="Arial" w:cs="Arial"/>
                <w:b/>
                <w:bCs/>
                <w:sz w:val="20"/>
                <w:szCs w:val="20"/>
                <w:lang w:val="sr-Cyrl-RS"/>
              </w:rPr>
              <w:t>уга</w:t>
            </w:r>
          </w:p>
          <w:p w14:paraId="6150E319" w14:textId="77777777" w:rsidR="000158D2" w:rsidRPr="00A021B7" w:rsidRDefault="000158D2" w:rsidP="003E7BC9">
            <w:pPr>
              <w:jc w:val="both"/>
              <w:rPr>
                <w:rFonts w:ascii="Arial" w:hAnsi="Arial" w:cs="Arial"/>
                <w:sz w:val="20"/>
                <w:szCs w:val="20"/>
                <w:lang w:val="sr-Cyrl-RS"/>
              </w:rPr>
            </w:pPr>
          </w:p>
          <w:p w14:paraId="77252054" w14:textId="599EE85C" w:rsidR="000158D2" w:rsidRPr="00A021B7" w:rsidRDefault="2E727382" w:rsidP="1A8E6423">
            <w:pPr>
              <w:ind w:firstLine="428"/>
              <w:jc w:val="both"/>
              <w:rPr>
                <w:rFonts w:ascii="Arial" w:hAnsi="Arial" w:cs="Arial"/>
                <w:sz w:val="20"/>
                <w:szCs w:val="20"/>
                <w:lang w:val="sr-Cyrl-RS"/>
              </w:rPr>
            </w:pPr>
            <w:r w:rsidRPr="1A8E6423">
              <w:rPr>
                <w:rFonts w:ascii="Arial" w:hAnsi="Arial" w:cs="Arial"/>
                <w:sz w:val="20"/>
                <w:szCs w:val="20"/>
                <w:lang w:val="sr-Cyrl-RS"/>
              </w:rPr>
              <w:t>Постојећи систем управних округа може да буде употпуњен и обједињавање</w:t>
            </w:r>
            <w:r w:rsidR="00962ED2" w:rsidRPr="1A8E6423">
              <w:rPr>
                <w:rFonts w:ascii="Arial" w:hAnsi="Arial" w:cs="Arial"/>
                <w:sz w:val="20"/>
                <w:szCs w:val="20"/>
                <w:lang w:val="sr-Cyrl-RS"/>
              </w:rPr>
              <w:t>м</w:t>
            </w:r>
            <w:r w:rsidRPr="1A8E6423">
              <w:rPr>
                <w:rFonts w:ascii="Arial" w:hAnsi="Arial" w:cs="Arial"/>
                <w:sz w:val="20"/>
                <w:szCs w:val="20"/>
                <w:lang w:val="sr-Cyrl-RS"/>
              </w:rPr>
              <w:t xml:space="preserve"> појединих послова ЈЛС на окружном нивоу.</w:t>
            </w:r>
            <w:r w:rsidR="00962ED2" w:rsidRPr="1A8E6423">
              <w:rPr>
                <w:rFonts w:ascii="Arial" w:hAnsi="Arial" w:cs="Arial"/>
                <w:sz w:val="20"/>
                <w:szCs w:val="20"/>
                <w:lang w:val="sr-Cyrl-RS"/>
              </w:rPr>
              <w:t xml:space="preserve"> </w:t>
            </w:r>
            <w:r w:rsidRPr="1A8E6423">
              <w:rPr>
                <w:rFonts w:ascii="Arial" w:hAnsi="Arial" w:cs="Arial"/>
                <w:sz w:val="20"/>
                <w:szCs w:val="20"/>
                <w:lang w:val="sr-Cyrl-RS"/>
              </w:rPr>
              <w:t xml:space="preserve">Обједињавање послова локалне самоуправе се може организовати у односу на потребе да се неки послови планирају или извршавају на ширим подручјима од општинских/градских, као што </w:t>
            </w:r>
            <w:r w:rsidR="00962ED2" w:rsidRPr="1A8E6423">
              <w:rPr>
                <w:rFonts w:ascii="Arial" w:hAnsi="Arial" w:cs="Arial"/>
                <w:sz w:val="20"/>
                <w:szCs w:val="20"/>
                <w:lang w:val="sr-Cyrl-RS"/>
              </w:rPr>
              <w:t>су</w:t>
            </w:r>
            <w:r w:rsidRPr="1A8E6423">
              <w:rPr>
                <w:rFonts w:ascii="Arial" w:hAnsi="Arial" w:cs="Arial"/>
                <w:sz w:val="20"/>
                <w:szCs w:val="20"/>
                <w:lang w:val="sr-Cyrl-RS"/>
              </w:rPr>
              <w:t xml:space="preserve"> урбанистичко, просторно, развојно, стамбено планирање, саобраћај односно превоз путника, снабдевање водом, системи за одвођење и пречишћавање </w:t>
            </w:r>
            <w:r w:rsidRPr="1A8E6423">
              <w:rPr>
                <w:rFonts w:ascii="Arial" w:hAnsi="Arial" w:cs="Arial"/>
                <w:color w:val="000000" w:themeColor="text1"/>
                <w:sz w:val="20"/>
                <w:szCs w:val="20"/>
                <w:lang w:val="sr-Cyrl-RS"/>
              </w:rPr>
              <w:t>отпадних вода, управљање отпадом,</w:t>
            </w:r>
            <w:r w:rsidR="00962ED2"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одређене услуге здравствене заштите, заштита права пацијената, одређена поља социјалне заштите, спортски и културни објекти односно установе, заштита животне средине, послов</w:t>
            </w:r>
            <w:r w:rsidR="00962ED2" w:rsidRPr="1A8E6423">
              <w:rPr>
                <w:rFonts w:ascii="Arial" w:hAnsi="Arial" w:cs="Arial"/>
                <w:color w:val="000000" w:themeColor="text1"/>
                <w:sz w:val="20"/>
                <w:szCs w:val="20"/>
                <w:lang w:val="sr-Cyrl-RS"/>
              </w:rPr>
              <w:t>и</w:t>
            </w:r>
            <w:r w:rsidRPr="1A8E6423">
              <w:rPr>
                <w:rFonts w:ascii="Arial" w:hAnsi="Arial" w:cs="Arial"/>
                <w:color w:val="000000" w:themeColor="text1"/>
                <w:sz w:val="20"/>
                <w:szCs w:val="20"/>
                <w:lang w:val="sr-Cyrl-RS"/>
              </w:rPr>
              <w:t xml:space="preserve"> цивилне заштите и ванредн</w:t>
            </w:r>
            <w:r w:rsidR="00962ED2" w:rsidRPr="1A8E6423">
              <w:rPr>
                <w:rFonts w:ascii="Arial" w:hAnsi="Arial" w:cs="Arial"/>
                <w:color w:val="000000" w:themeColor="text1"/>
                <w:sz w:val="20"/>
                <w:szCs w:val="20"/>
                <w:lang w:val="sr-Cyrl-RS"/>
              </w:rPr>
              <w:t>е</w:t>
            </w:r>
            <w:r w:rsidRPr="1A8E6423">
              <w:rPr>
                <w:rFonts w:ascii="Arial" w:hAnsi="Arial" w:cs="Arial"/>
                <w:color w:val="000000" w:themeColor="text1"/>
                <w:sz w:val="20"/>
                <w:szCs w:val="20"/>
                <w:lang w:val="sr-Cyrl-RS"/>
              </w:rPr>
              <w:t xml:space="preserve"> ситуациј</w:t>
            </w:r>
            <w:r w:rsidR="00962ED2" w:rsidRPr="1A8E6423">
              <w:rPr>
                <w:rFonts w:ascii="Arial" w:hAnsi="Arial" w:cs="Arial"/>
                <w:color w:val="000000" w:themeColor="text1"/>
                <w:sz w:val="20"/>
                <w:szCs w:val="20"/>
                <w:lang w:val="sr-Cyrl-RS"/>
              </w:rPr>
              <w:t>е</w:t>
            </w:r>
            <w:r w:rsidRPr="1A8E6423">
              <w:rPr>
                <w:rFonts w:ascii="Arial" w:hAnsi="Arial" w:cs="Arial"/>
                <w:color w:val="000000" w:themeColor="text1"/>
                <w:sz w:val="20"/>
                <w:szCs w:val="20"/>
                <w:lang w:val="sr-Cyrl-RS"/>
              </w:rPr>
              <w:t xml:space="preserve"> итд. Ови послови</w:t>
            </w:r>
            <w:r w:rsidR="2A319EE6" w:rsidRPr="1A8E6423">
              <w:rPr>
                <w:rFonts w:ascii="Arial" w:hAnsi="Arial" w:cs="Arial"/>
                <w:color w:val="000000" w:themeColor="text1"/>
                <w:sz w:val="20"/>
                <w:szCs w:val="20"/>
                <w:lang w:val="sr-Cyrl-RS"/>
              </w:rPr>
              <w:t xml:space="preserve"> би могли да се организују кроз споразуме о међуопштинској сарадњи, с тим да би праћење њихове примене могли да додатно подрже и </w:t>
            </w:r>
            <w:r w:rsidR="00962ED2" w:rsidRPr="1A8E6423">
              <w:rPr>
                <w:rFonts w:ascii="Arial" w:hAnsi="Arial" w:cs="Arial"/>
                <w:color w:val="000000" w:themeColor="text1"/>
                <w:sz w:val="20"/>
                <w:szCs w:val="20"/>
                <w:lang w:val="sr-Cyrl-RS"/>
              </w:rPr>
              <w:t>с</w:t>
            </w:r>
            <w:r w:rsidR="2A319EE6" w:rsidRPr="1A8E6423">
              <w:rPr>
                <w:rFonts w:ascii="Arial" w:hAnsi="Arial" w:cs="Arial"/>
                <w:color w:val="000000" w:themeColor="text1"/>
                <w:sz w:val="20"/>
                <w:szCs w:val="20"/>
                <w:lang w:val="sr-Cyrl-RS"/>
              </w:rPr>
              <w:t>авети управних округа</w:t>
            </w:r>
            <w:r w:rsidR="00962ED2" w:rsidRPr="1A8E6423">
              <w:rPr>
                <w:rFonts w:ascii="Arial" w:hAnsi="Arial" w:cs="Arial"/>
                <w:color w:val="000000" w:themeColor="text1"/>
                <w:sz w:val="20"/>
                <w:szCs w:val="20"/>
                <w:lang w:val="sr-Cyrl-RS"/>
              </w:rPr>
              <w:t>,</w:t>
            </w:r>
            <w:r w:rsidR="2A319EE6" w:rsidRPr="1A8E6423">
              <w:rPr>
                <w:rFonts w:ascii="Arial" w:hAnsi="Arial" w:cs="Arial"/>
                <w:color w:val="000000" w:themeColor="text1"/>
                <w:sz w:val="20"/>
                <w:szCs w:val="20"/>
                <w:lang w:val="sr-Cyrl-RS"/>
              </w:rPr>
              <w:t xml:space="preserve"> у ко</w:t>
            </w:r>
            <w:r w:rsidR="00962ED2" w:rsidRPr="1A8E6423">
              <w:rPr>
                <w:rFonts w:ascii="Arial" w:hAnsi="Arial" w:cs="Arial"/>
                <w:color w:val="000000" w:themeColor="text1"/>
                <w:sz w:val="20"/>
                <w:szCs w:val="20"/>
                <w:lang w:val="sr-Cyrl-RS"/>
              </w:rPr>
              <w:t>ји</w:t>
            </w:r>
            <w:r w:rsidR="2A319EE6" w:rsidRPr="1A8E6423">
              <w:rPr>
                <w:rFonts w:ascii="Arial" w:hAnsi="Arial" w:cs="Arial"/>
                <w:color w:val="000000" w:themeColor="text1"/>
                <w:sz w:val="20"/>
                <w:szCs w:val="20"/>
                <w:lang w:val="sr-Cyrl-RS"/>
              </w:rPr>
              <w:t>м</w:t>
            </w:r>
            <w:r w:rsidR="00962ED2" w:rsidRPr="1A8E6423">
              <w:rPr>
                <w:rFonts w:ascii="Arial" w:hAnsi="Arial" w:cs="Arial"/>
                <w:color w:val="000000" w:themeColor="text1"/>
                <w:sz w:val="20"/>
                <w:szCs w:val="20"/>
                <w:lang w:val="sr-Cyrl-RS"/>
              </w:rPr>
              <w:t>а</w:t>
            </w:r>
            <w:r w:rsidR="2A319EE6" w:rsidRPr="1A8E6423">
              <w:rPr>
                <w:rFonts w:ascii="Arial" w:hAnsi="Arial" w:cs="Arial"/>
                <w:color w:val="000000" w:themeColor="text1"/>
                <w:sz w:val="20"/>
                <w:szCs w:val="20"/>
                <w:lang w:val="sr-Cyrl-RS"/>
              </w:rPr>
              <w:t xml:space="preserve"> су чланови градоначелници</w:t>
            </w:r>
            <w:r w:rsidR="00962ED2" w:rsidRPr="1A8E6423">
              <w:rPr>
                <w:rFonts w:ascii="Arial" w:hAnsi="Arial" w:cs="Arial"/>
                <w:color w:val="000000" w:themeColor="text1"/>
                <w:sz w:val="20"/>
                <w:szCs w:val="20"/>
                <w:lang w:val="sr-Cyrl-RS"/>
              </w:rPr>
              <w:t xml:space="preserve"> </w:t>
            </w:r>
            <w:r w:rsidR="2A319EE6" w:rsidRPr="1A8E6423">
              <w:rPr>
                <w:rFonts w:ascii="Arial" w:hAnsi="Arial" w:cs="Arial"/>
                <w:color w:val="000000" w:themeColor="text1"/>
                <w:sz w:val="20"/>
                <w:szCs w:val="20"/>
                <w:lang w:val="sr-Cyrl-RS"/>
              </w:rPr>
              <w:t>/</w:t>
            </w:r>
            <w:r w:rsidR="00962ED2" w:rsidRPr="1A8E6423">
              <w:rPr>
                <w:rFonts w:ascii="Arial" w:hAnsi="Arial" w:cs="Arial"/>
                <w:color w:val="000000" w:themeColor="text1"/>
                <w:sz w:val="20"/>
                <w:szCs w:val="20"/>
                <w:lang w:val="sr-Cyrl-RS"/>
              </w:rPr>
              <w:t xml:space="preserve"> </w:t>
            </w:r>
            <w:r w:rsidR="2A319EE6" w:rsidRPr="1A8E6423">
              <w:rPr>
                <w:rFonts w:ascii="Arial" w:hAnsi="Arial" w:cs="Arial"/>
                <w:color w:val="000000" w:themeColor="text1"/>
                <w:sz w:val="20"/>
                <w:szCs w:val="20"/>
                <w:lang w:val="sr-Cyrl-RS"/>
              </w:rPr>
              <w:t xml:space="preserve">председници општина са подручја управног округа. </w:t>
            </w:r>
            <w:r w:rsidR="781025D0" w:rsidRPr="1A8E6423">
              <w:rPr>
                <w:rFonts w:ascii="Arial" w:hAnsi="Arial" w:cs="Arial"/>
                <w:color w:val="000000" w:themeColor="text1"/>
                <w:sz w:val="20"/>
                <w:szCs w:val="20"/>
                <w:lang w:val="sr-Cyrl-RS"/>
              </w:rPr>
              <w:t>Такође, у</w:t>
            </w:r>
            <w:r w:rsidR="2A319EE6" w:rsidRPr="1A8E6423">
              <w:rPr>
                <w:rFonts w:ascii="Arial" w:hAnsi="Arial" w:cs="Arial"/>
                <w:color w:val="000000" w:themeColor="text1"/>
                <w:sz w:val="20"/>
                <w:szCs w:val="20"/>
                <w:lang w:val="sr-Cyrl-RS"/>
              </w:rPr>
              <w:t xml:space="preserve"> поступцима будућ</w:t>
            </w:r>
            <w:r w:rsidR="00962ED2" w:rsidRPr="1A8E6423">
              <w:rPr>
                <w:rFonts w:ascii="Arial" w:hAnsi="Arial" w:cs="Arial"/>
                <w:color w:val="000000" w:themeColor="text1"/>
                <w:sz w:val="20"/>
                <w:szCs w:val="20"/>
                <w:lang w:val="sr-Cyrl-RS"/>
              </w:rPr>
              <w:t>е</w:t>
            </w:r>
            <w:r w:rsidR="2A319EE6" w:rsidRPr="1A8E6423">
              <w:rPr>
                <w:rFonts w:ascii="Arial" w:hAnsi="Arial" w:cs="Arial"/>
                <w:color w:val="000000" w:themeColor="text1"/>
                <w:sz w:val="20"/>
                <w:szCs w:val="20"/>
                <w:lang w:val="sr-Cyrl-RS"/>
              </w:rPr>
              <w:t xml:space="preserve"> децентрализациј</w:t>
            </w:r>
            <w:r w:rsidR="00962ED2" w:rsidRPr="1A8E6423">
              <w:rPr>
                <w:rFonts w:ascii="Arial" w:hAnsi="Arial" w:cs="Arial"/>
                <w:color w:val="000000" w:themeColor="text1"/>
                <w:sz w:val="20"/>
                <w:szCs w:val="20"/>
                <w:lang w:val="sr-Cyrl-RS"/>
              </w:rPr>
              <w:t>е</w:t>
            </w:r>
            <w:r w:rsidR="2A319EE6" w:rsidRPr="1A8E6423">
              <w:rPr>
                <w:rFonts w:ascii="Arial" w:hAnsi="Arial" w:cs="Arial"/>
                <w:color w:val="000000" w:themeColor="text1"/>
                <w:sz w:val="20"/>
                <w:szCs w:val="20"/>
                <w:lang w:val="sr-Cyrl-RS"/>
              </w:rPr>
              <w:t xml:space="preserve"> послова државне управе (у случају линеарне децентрализације), за све јединице локалне самоуправе које </w:t>
            </w:r>
            <w:r w:rsidR="2A319EE6" w:rsidRPr="1A8E6423">
              <w:rPr>
                <w:rFonts w:ascii="Arial" w:hAnsi="Arial" w:cs="Arial"/>
                <w:sz w:val="20"/>
                <w:szCs w:val="20"/>
                <w:lang w:val="sr-Cyrl-RS"/>
              </w:rPr>
              <w:t>нису у могућности да обезбеде потребне капацитете за обављање ових послова, могуће је прописати обавезне облике међуопштинске сарадње кој</w:t>
            </w:r>
            <w:r w:rsidR="00962ED2" w:rsidRPr="1A8E6423">
              <w:rPr>
                <w:rFonts w:ascii="Arial" w:hAnsi="Arial" w:cs="Arial"/>
                <w:sz w:val="20"/>
                <w:szCs w:val="20"/>
                <w:lang w:val="sr-Cyrl-RS"/>
              </w:rPr>
              <w:t>и</w:t>
            </w:r>
            <w:r w:rsidR="2A319EE6" w:rsidRPr="1A8E6423">
              <w:rPr>
                <w:rFonts w:ascii="Arial" w:hAnsi="Arial" w:cs="Arial"/>
                <w:sz w:val="20"/>
                <w:szCs w:val="20"/>
                <w:lang w:val="sr-Cyrl-RS"/>
              </w:rPr>
              <w:t xml:space="preserve"> би се формирал</w:t>
            </w:r>
            <w:r w:rsidR="00962ED2" w:rsidRPr="1A8E6423">
              <w:rPr>
                <w:rFonts w:ascii="Arial" w:hAnsi="Arial" w:cs="Arial"/>
                <w:sz w:val="20"/>
                <w:szCs w:val="20"/>
                <w:lang w:val="sr-Cyrl-RS"/>
              </w:rPr>
              <w:t>и</w:t>
            </w:r>
            <w:r w:rsidR="2A319EE6" w:rsidRPr="1A8E6423">
              <w:rPr>
                <w:rFonts w:ascii="Arial" w:hAnsi="Arial" w:cs="Arial"/>
                <w:sz w:val="20"/>
                <w:szCs w:val="20"/>
                <w:lang w:val="sr-Cyrl-RS"/>
              </w:rPr>
              <w:t xml:space="preserve"> на нивоу управних округа. Наравно, поред утврђивања ове обавезе, морала би да буду уређена и сва друга питања од значаја за успостављање и рад ових организационих облика.</w:t>
            </w:r>
          </w:p>
        </w:tc>
      </w:tr>
    </w:tbl>
    <w:p w14:paraId="11FFDF4E" w14:textId="77777777" w:rsidR="004A2483" w:rsidRPr="00A021B7" w:rsidRDefault="004A2483" w:rsidP="003E7BC9">
      <w:pPr>
        <w:pStyle w:val="xmsonormal"/>
        <w:spacing w:before="0" w:beforeAutospacing="0" w:after="0" w:afterAutospacing="0"/>
        <w:jc w:val="both"/>
        <w:rPr>
          <w:rFonts w:ascii="Arial" w:hAnsi="Arial" w:cs="Arial"/>
          <w:sz w:val="20"/>
          <w:szCs w:val="20"/>
          <w:lang w:val="sr-Cyrl-RS"/>
        </w:rPr>
      </w:pPr>
    </w:p>
    <w:p w14:paraId="2026677D" w14:textId="13F2429F" w:rsidR="00CE205B" w:rsidRPr="00A021B7" w:rsidRDefault="00D9663F" w:rsidP="004935B9">
      <w:pPr>
        <w:pStyle w:val="Heading2"/>
        <w:rPr>
          <w:lang w:val="sr-Cyrl-RS"/>
        </w:rPr>
      </w:pPr>
      <w:bookmarkStart w:id="108" w:name="_Toc52865787"/>
      <w:bookmarkStart w:id="109" w:name="_Toc52866198"/>
      <w:bookmarkStart w:id="110" w:name="_Toc56508447"/>
      <w:bookmarkStart w:id="111" w:name="_Toc60136084"/>
      <w:r w:rsidRPr="00A021B7">
        <w:rPr>
          <w:lang w:val="sr-Cyrl-RS"/>
        </w:rPr>
        <w:t>IV.1</w:t>
      </w:r>
      <w:r w:rsidR="5515A7AD" w:rsidRPr="00A021B7">
        <w:rPr>
          <w:lang w:val="sr-Cyrl-RS"/>
        </w:rPr>
        <w:t>1</w:t>
      </w:r>
      <w:r w:rsidRPr="00A021B7">
        <w:rPr>
          <w:lang w:val="sr-Cyrl-RS"/>
        </w:rPr>
        <w:t xml:space="preserve">. </w:t>
      </w:r>
      <w:r w:rsidR="00292BDE" w:rsidRPr="00A021B7">
        <w:rPr>
          <w:lang w:val="sr-Cyrl-RS"/>
        </w:rPr>
        <w:t>Локална самоуправа и процес приступањ</w:t>
      </w:r>
      <w:r w:rsidR="00801148" w:rsidRPr="00A021B7">
        <w:rPr>
          <w:lang w:val="sr-Cyrl-RS"/>
        </w:rPr>
        <w:t>а</w:t>
      </w:r>
      <w:r w:rsidR="00292BDE" w:rsidRPr="00A021B7">
        <w:rPr>
          <w:lang w:val="sr-Cyrl-RS"/>
        </w:rPr>
        <w:t xml:space="preserve"> Европској унији</w:t>
      </w:r>
      <w:bookmarkEnd w:id="108"/>
      <w:bookmarkEnd w:id="109"/>
      <w:bookmarkEnd w:id="110"/>
      <w:bookmarkEnd w:id="111"/>
    </w:p>
    <w:p w14:paraId="7C5CEA11" w14:textId="77777777" w:rsidR="00640238" w:rsidRPr="00A021B7" w:rsidRDefault="00640238" w:rsidP="003E7BC9">
      <w:pPr>
        <w:jc w:val="both"/>
        <w:rPr>
          <w:rFonts w:ascii="Arial" w:hAnsi="Arial" w:cs="Arial"/>
          <w:b/>
          <w:bCs/>
          <w:sz w:val="20"/>
          <w:szCs w:val="20"/>
          <w:lang w:val="sr-Cyrl-RS"/>
        </w:rPr>
      </w:pPr>
    </w:p>
    <w:p w14:paraId="138C8F35" w14:textId="23583B9A" w:rsidR="00640238" w:rsidRPr="00A021B7" w:rsidRDefault="47B5AC75" w:rsidP="1A8E6423">
      <w:pPr>
        <w:ind w:firstLine="720"/>
        <w:jc w:val="both"/>
        <w:rPr>
          <w:rFonts w:ascii="Arial" w:hAnsi="Arial" w:cs="Arial"/>
          <w:sz w:val="20"/>
          <w:szCs w:val="20"/>
          <w:lang w:val="sr-Cyrl-RS"/>
        </w:rPr>
      </w:pPr>
      <w:r w:rsidRPr="00A021B7">
        <w:rPr>
          <w:rFonts w:ascii="Arial" w:hAnsi="Arial" w:cs="Arial"/>
          <w:sz w:val="20"/>
          <w:szCs w:val="20"/>
          <w:lang w:val="sr-Cyrl-RS"/>
        </w:rPr>
        <w:t>Правне тековине ЕУ имају велики утицај на локалне и регионалне власти држава чланица. Степен утицаја на њихове надлежности различито се процењује, али се креће од 50% до чак 80% европског законодавства, у зависности од расподеле надлежности између нивоа власти у датом националном систему.</w:t>
      </w:r>
      <w:r w:rsidR="00640238" w:rsidRPr="00A021B7">
        <w:rPr>
          <w:rStyle w:val="FootnoteReference"/>
          <w:rFonts w:ascii="Arial" w:hAnsi="Arial" w:cs="Arial"/>
          <w:sz w:val="20"/>
          <w:szCs w:val="20"/>
          <w:lang w:val="sr-Cyrl-RS"/>
        </w:rPr>
        <w:footnoteReference w:id="162"/>
      </w:r>
      <w:r w:rsidRPr="00A021B7">
        <w:rPr>
          <w:rFonts w:ascii="Arial" w:hAnsi="Arial" w:cs="Arial"/>
          <w:sz w:val="20"/>
          <w:szCs w:val="20"/>
          <w:lang w:val="sr-Cyrl-RS"/>
        </w:rPr>
        <w:t xml:space="preserve"> С друге стране, ЈЛС су обавезне да, у оквиру начела </w:t>
      </w:r>
      <w:r w:rsidRPr="00A021B7">
        <w:rPr>
          <w:rFonts w:ascii="Arial" w:hAnsi="Arial" w:cs="Arial"/>
          <w:sz w:val="20"/>
          <w:szCs w:val="20"/>
          <w:lang w:val="sr-Cyrl-RS"/>
        </w:rPr>
        <w:lastRenderedPageBreak/>
        <w:t>обавезне сарадње, примене правне тековине ЕУ и испуне обавезе које он</w:t>
      </w:r>
      <w:r w:rsidR="00746C92">
        <w:rPr>
          <w:rFonts w:ascii="Arial" w:hAnsi="Arial" w:cs="Arial"/>
          <w:sz w:val="20"/>
          <w:szCs w:val="20"/>
          <w:lang w:val="sr-Cyrl-RS"/>
        </w:rPr>
        <w:t>е</w:t>
      </w:r>
      <w:r w:rsidRPr="00A021B7">
        <w:rPr>
          <w:rFonts w:ascii="Arial" w:hAnsi="Arial" w:cs="Arial"/>
          <w:sz w:val="20"/>
          <w:szCs w:val="20"/>
          <w:lang w:val="sr-Cyrl-RS"/>
        </w:rPr>
        <w:t xml:space="preserve"> донос</w:t>
      </w:r>
      <w:r w:rsidR="00746C92">
        <w:rPr>
          <w:rFonts w:ascii="Arial" w:hAnsi="Arial" w:cs="Arial"/>
          <w:sz w:val="20"/>
          <w:szCs w:val="20"/>
          <w:lang w:val="sr-Cyrl-RS"/>
        </w:rPr>
        <w:t>е</w:t>
      </w:r>
      <w:r w:rsidRPr="00A021B7">
        <w:rPr>
          <w:rFonts w:ascii="Arial" w:hAnsi="Arial" w:cs="Arial"/>
          <w:sz w:val="20"/>
          <w:szCs w:val="20"/>
          <w:lang w:val="sr-Cyrl-RS"/>
        </w:rPr>
        <w:t xml:space="preserve">. Тако је </w:t>
      </w:r>
      <w:r w:rsidRPr="00A021B7">
        <w:rPr>
          <w:rFonts w:ascii="Arial" w:hAnsi="Arial" w:cs="Arial"/>
          <w:b/>
          <w:bCs/>
          <w:sz w:val="20"/>
          <w:szCs w:val="20"/>
          <w:lang w:val="sr-Cyrl-RS"/>
        </w:rPr>
        <w:t xml:space="preserve">примарно законодавство ЕУ </w:t>
      </w:r>
      <w:r w:rsidRPr="00A021B7">
        <w:rPr>
          <w:rFonts w:ascii="Arial" w:hAnsi="Arial" w:cs="Arial"/>
          <w:sz w:val="20"/>
          <w:szCs w:val="20"/>
          <w:lang w:val="sr-Cyrl-RS"/>
        </w:rPr>
        <w:t>(уговори о оснивању) од непосредног утицаја на локалну самоуправу јер уређује даљи развој ЕУ, право гласања за грађан</w:t>
      </w:r>
      <w:r w:rsidR="2536253D" w:rsidRPr="00A021B7">
        <w:rPr>
          <w:rFonts w:ascii="Arial" w:hAnsi="Arial" w:cs="Arial"/>
          <w:sz w:val="20"/>
          <w:szCs w:val="20"/>
          <w:lang w:val="sr-Cyrl-RS"/>
        </w:rPr>
        <w:t>е</w:t>
      </w:r>
      <w:r w:rsidR="00746C92" w:rsidRPr="00746C92">
        <w:rPr>
          <w:rFonts w:ascii="Arial" w:hAnsi="Arial" w:cs="Arial"/>
          <w:sz w:val="20"/>
          <w:szCs w:val="20"/>
          <w:lang w:val="sr-Cyrl-RS"/>
        </w:rPr>
        <w:t xml:space="preserve"> </w:t>
      </w:r>
      <w:r w:rsidR="00746C92" w:rsidRPr="00A021B7">
        <w:rPr>
          <w:rFonts w:ascii="Arial" w:hAnsi="Arial" w:cs="Arial"/>
          <w:sz w:val="20"/>
          <w:szCs w:val="20"/>
          <w:lang w:val="sr-Cyrl-RS"/>
        </w:rPr>
        <w:t>ЕУ</w:t>
      </w:r>
      <w:r w:rsidRPr="00A021B7">
        <w:rPr>
          <w:rFonts w:ascii="Arial" w:hAnsi="Arial" w:cs="Arial"/>
          <w:sz w:val="20"/>
          <w:szCs w:val="20"/>
          <w:lang w:val="sr-Cyrl-RS"/>
        </w:rPr>
        <w:t>, слободу кретања радн</w:t>
      </w:r>
      <w:r w:rsidR="00746C92">
        <w:rPr>
          <w:rFonts w:ascii="Arial" w:hAnsi="Arial" w:cs="Arial"/>
          <w:sz w:val="20"/>
          <w:szCs w:val="20"/>
          <w:lang w:val="sr-Cyrl-RS"/>
        </w:rPr>
        <w:t>ика</w:t>
      </w:r>
      <w:r w:rsidRPr="00A021B7">
        <w:rPr>
          <w:rFonts w:ascii="Arial" w:hAnsi="Arial" w:cs="Arial"/>
          <w:sz w:val="20"/>
          <w:szCs w:val="20"/>
          <w:lang w:val="sr-Cyrl-RS"/>
        </w:rPr>
        <w:t xml:space="preserve">, правила о конкурентности и државној помоћи и сл. </w:t>
      </w:r>
      <w:r w:rsidRPr="00A021B7">
        <w:rPr>
          <w:rFonts w:ascii="Arial" w:hAnsi="Arial" w:cs="Arial"/>
          <w:b/>
          <w:bCs/>
          <w:sz w:val="20"/>
          <w:szCs w:val="20"/>
          <w:lang w:val="sr-Cyrl-RS"/>
        </w:rPr>
        <w:t>Секундарно законодавство</w:t>
      </w:r>
      <w:r w:rsidRPr="00A021B7">
        <w:rPr>
          <w:rFonts w:ascii="Arial" w:hAnsi="Arial" w:cs="Arial"/>
          <w:sz w:val="20"/>
          <w:szCs w:val="20"/>
          <w:lang w:val="sr-Cyrl-RS"/>
        </w:rPr>
        <w:t xml:space="preserve"> (</w:t>
      </w:r>
      <w:r w:rsidR="08BEC01B" w:rsidRPr="00A021B7">
        <w:rPr>
          <w:rFonts w:ascii="Arial" w:hAnsi="Arial" w:cs="Arial"/>
          <w:sz w:val="20"/>
          <w:szCs w:val="20"/>
          <w:lang w:val="sr-Cyrl-RS"/>
        </w:rPr>
        <w:t xml:space="preserve">које су </w:t>
      </w:r>
      <w:r w:rsidRPr="00A021B7">
        <w:rPr>
          <w:rFonts w:ascii="Arial" w:hAnsi="Arial" w:cs="Arial"/>
          <w:sz w:val="20"/>
          <w:szCs w:val="20"/>
          <w:lang w:val="sr-Cyrl-RS"/>
        </w:rPr>
        <w:t xml:space="preserve">на основу уговора </w:t>
      </w:r>
      <w:r w:rsidR="08BEC01B" w:rsidRPr="00A021B7">
        <w:rPr>
          <w:rFonts w:ascii="Arial" w:hAnsi="Arial" w:cs="Arial"/>
          <w:sz w:val="20"/>
          <w:szCs w:val="20"/>
          <w:lang w:val="sr-Cyrl-RS"/>
        </w:rPr>
        <w:t xml:space="preserve">донели органи </w:t>
      </w:r>
      <w:r w:rsidRPr="00A021B7">
        <w:rPr>
          <w:rFonts w:ascii="Arial" w:hAnsi="Arial" w:cs="Arial"/>
          <w:sz w:val="20"/>
          <w:szCs w:val="20"/>
          <w:lang w:val="sr-Cyrl-RS"/>
        </w:rPr>
        <w:t xml:space="preserve">ЕУ), садржи бројне прописе који се примењују непосредно или посредно, транспоновањем у национално законодавство. Њихова примена зависи од расподеле надлежности између националног, регионалног и локалног нивоа власти, а </w:t>
      </w:r>
      <w:r w:rsidR="00746C92">
        <w:rPr>
          <w:rFonts w:ascii="Arial" w:hAnsi="Arial" w:cs="Arial"/>
          <w:sz w:val="20"/>
          <w:szCs w:val="20"/>
          <w:lang w:val="sr-Cyrl-RS"/>
        </w:rPr>
        <w:t xml:space="preserve">ови прописи </w:t>
      </w:r>
      <w:r w:rsidRPr="00A021B7">
        <w:rPr>
          <w:rFonts w:ascii="Arial" w:hAnsi="Arial" w:cs="Arial"/>
          <w:sz w:val="20"/>
          <w:szCs w:val="20"/>
          <w:lang w:val="sr-Cyrl-RS"/>
        </w:rPr>
        <w:t xml:space="preserve">уређују бројне </w:t>
      </w:r>
      <w:r w:rsidR="7E2D4E18" w:rsidRPr="00A021B7">
        <w:rPr>
          <w:rFonts w:ascii="Arial" w:hAnsi="Arial" w:cs="Arial"/>
          <w:sz w:val="20"/>
          <w:szCs w:val="20"/>
          <w:lang w:val="sr-Cyrl-RS"/>
        </w:rPr>
        <w:t xml:space="preserve">области </w:t>
      </w:r>
      <w:r w:rsidRPr="00A021B7">
        <w:rPr>
          <w:rFonts w:ascii="Arial" w:hAnsi="Arial" w:cs="Arial"/>
          <w:sz w:val="20"/>
          <w:szCs w:val="20"/>
          <w:lang w:val="sr-Cyrl-RS"/>
        </w:rPr>
        <w:t>(јавне набавке, државна помоћ, животна средина, саобраћај, регионална политика, слобода кретања, запошљавање</w:t>
      </w:r>
      <w:r w:rsidR="4CF79205" w:rsidRPr="00A021B7">
        <w:rPr>
          <w:rFonts w:ascii="Arial" w:hAnsi="Arial" w:cs="Arial"/>
          <w:sz w:val="20"/>
          <w:szCs w:val="20"/>
          <w:lang w:val="sr-Cyrl-RS"/>
        </w:rPr>
        <w:t>…</w:t>
      </w:r>
      <w:r w:rsidRPr="00A021B7">
        <w:rPr>
          <w:rFonts w:ascii="Arial" w:hAnsi="Arial" w:cs="Arial"/>
          <w:sz w:val="20"/>
          <w:szCs w:val="20"/>
          <w:lang w:val="sr-Cyrl-RS"/>
        </w:rPr>
        <w:t>).</w:t>
      </w:r>
    </w:p>
    <w:p w14:paraId="125E8FA4" w14:textId="77777777" w:rsidR="00640238" w:rsidRPr="00A021B7" w:rsidRDefault="00640238" w:rsidP="1A8E6423">
      <w:pPr>
        <w:ind w:firstLine="720"/>
        <w:jc w:val="both"/>
        <w:rPr>
          <w:rFonts w:ascii="Arial" w:hAnsi="Arial" w:cs="Arial"/>
          <w:sz w:val="20"/>
          <w:szCs w:val="20"/>
          <w:lang w:val="sr-Cyrl-RS"/>
        </w:rPr>
      </w:pPr>
    </w:p>
    <w:p w14:paraId="50B94092" w14:textId="5C14A8DB" w:rsidR="00640238" w:rsidRPr="00A021B7" w:rsidRDefault="47B5AC75"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Од Лисабонског уговора, </w:t>
      </w:r>
      <w:r w:rsidR="4CF79205" w:rsidRPr="00A021B7">
        <w:rPr>
          <w:rFonts w:ascii="Arial" w:hAnsi="Arial" w:cs="Arial"/>
          <w:sz w:val="20"/>
          <w:szCs w:val="20"/>
          <w:lang w:val="sr-Cyrl-RS"/>
        </w:rPr>
        <w:t xml:space="preserve">начело </w:t>
      </w:r>
      <w:r w:rsidRPr="00A021B7">
        <w:rPr>
          <w:rFonts w:ascii="Arial" w:hAnsi="Arial" w:cs="Arial"/>
          <w:sz w:val="20"/>
          <w:szCs w:val="20"/>
          <w:lang w:val="sr-Cyrl-RS"/>
        </w:rPr>
        <w:t xml:space="preserve">локалне и регионалне самоуправе </w:t>
      </w:r>
      <w:r w:rsidR="499D5909" w:rsidRPr="00A021B7">
        <w:rPr>
          <w:rFonts w:ascii="Arial" w:hAnsi="Arial" w:cs="Arial"/>
          <w:sz w:val="20"/>
          <w:szCs w:val="20"/>
          <w:lang w:val="sr-Cyrl-RS"/>
        </w:rPr>
        <w:t xml:space="preserve">присутно је </w:t>
      </w:r>
      <w:r w:rsidRPr="00A021B7">
        <w:rPr>
          <w:rFonts w:ascii="Arial" w:hAnsi="Arial" w:cs="Arial"/>
          <w:sz w:val="20"/>
          <w:szCs w:val="20"/>
          <w:lang w:val="sr-Cyrl-RS"/>
        </w:rPr>
        <w:t>у примарном законодавству ЕУ.</w:t>
      </w:r>
      <w:r w:rsidR="00640238" w:rsidRPr="00A021B7">
        <w:rPr>
          <w:rStyle w:val="FootnoteReference"/>
          <w:rFonts w:ascii="Arial" w:hAnsi="Arial" w:cs="Arial"/>
          <w:sz w:val="20"/>
          <w:szCs w:val="20"/>
          <w:lang w:val="sr-Cyrl-RS"/>
        </w:rPr>
        <w:footnoteReference w:id="163"/>
      </w:r>
      <w:r w:rsidRPr="00A021B7">
        <w:rPr>
          <w:rFonts w:ascii="Arial" w:hAnsi="Arial" w:cs="Arial"/>
          <w:sz w:val="20"/>
          <w:szCs w:val="20"/>
          <w:lang w:val="sr-Cyrl-RS"/>
        </w:rPr>
        <w:t xml:space="preserve"> Уговор даје већу улогу локалним и регионалним властима као консултативним телима у законодавној процедури. Он осигурава да припрема сваког европског прописа започне разматрањем ефеката на локалном и регионалном нивоу и проширује начело супсидијарности и пропорционалности на локални и регионални ниво. </w:t>
      </w:r>
      <w:r w:rsidR="42BE4060" w:rsidRPr="00A021B7">
        <w:rPr>
          <w:rFonts w:ascii="Arial" w:hAnsi="Arial" w:cs="Arial"/>
          <w:sz w:val="20"/>
          <w:szCs w:val="20"/>
          <w:lang w:val="sr-Cyrl-RS"/>
        </w:rPr>
        <w:t>П</w:t>
      </w:r>
      <w:r w:rsidRPr="00A021B7">
        <w:rPr>
          <w:rFonts w:ascii="Arial" w:hAnsi="Arial" w:cs="Arial"/>
          <w:sz w:val="20"/>
          <w:szCs w:val="20"/>
          <w:lang w:val="sr-Cyrl-RS"/>
        </w:rPr>
        <w:t>осебно је значајна и улога Комитета региона, како у законодавном процесу ЕУ</w:t>
      </w:r>
      <w:r w:rsidR="00640238" w:rsidRPr="00A021B7">
        <w:rPr>
          <w:rStyle w:val="FootnoteReference"/>
          <w:rFonts w:ascii="Arial" w:hAnsi="Arial" w:cs="Arial"/>
          <w:sz w:val="20"/>
          <w:szCs w:val="20"/>
          <w:lang w:val="sr-Cyrl-RS"/>
        </w:rPr>
        <w:footnoteReference w:id="164"/>
      </w:r>
      <w:r w:rsidRPr="00A021B7">
        <w:rPr>
          <w:rFonts w:ascii="Arial" w:hAnsi="Arial" w:cs="Arial"/>
          <w:sz w:val="20"/>
          <w:szCs w:val="20"/>
          <w:lang w:val="sr-Cyrl-RS"/>
        </w:rPr>
        <w:t xml:space="preserve"> тако и у процесу проширења</w:t>
      </w:r>
      <w:r w:rsidR="00746C92">
        <w:rPr>
          <w:rFonts w:ascii="Arial" w:hAnsi="Arial" w:cs="Arial"/>
          <w:sz w:val="20"/>
          <w:szCs w:val="20"/>
          <w:lang w:val="sr-Cyrl-RS"/>
        </w:rPr>
        <w:t xml:space="preserve"> ЕУ</w:t>
      </w:r>
      <w:r w:rsidRPr="00A021B7">
        <w:rPr>
          <w:rFonts w:ascii="Arial" w:hAnsi="Arial" w:cs="Arial"/>
          <w:sz w:val="20"/>
          <w:szCs w:val="20"/>
          <w:lang w:val="sr-Cyrl-RS"/>
        </w:rPr>
        <w:t xml:space="preserve">, кроз статус посматрача </w:t>
      </w:r>
      <w:r w:rsidR="00746C92">
        <w:rPr>
          <w:rFonts w:ascii="Arial" w:hAnsi="Arial" w:cs="Arial"/>
          <w:sz w:val="20"/>
          <w:szCs w:val="20"/>
          <w:lang w:val="sr-Cyrl-RS"/>
        </w:rPr>
        <w:t xml:space="preserve">који имају </w:t>
      </w:r>
      <w:r w:rsidRPr="00A021B7">
        <w:rPr>
          <w:rFonts w:ascii="Arial" w:hAnsi="Arial" w:cs="Arial"/>
          <w:sz w:val="20"/>
          <w:szCs w:val="20"/>
          <w:lang w:val="sr-Cyrl-RS"/>
        </w:rPr>
        <w:t>земљ</w:t>
      </w:r>
      <w:r w:rsidR="00746C92">
        <w:rPr>
          <w:rFonts w:ascii="Arial" w:hAnsi="Arial" w:cs="Arial"/>
          <w:sz w:val="20"/>
          <w:szCs w:val="20"/>
          <w:lang w:val="sr-Cyrl-RS"/>
        </w:rPr>
        <w:t>е</w:t>
      </w:r>
      <w:r w:rsidRPr="00A021B7">
        <w:rPr>
          <w:rFonts w:ascii="Arial" w:hAnsi="Arial" w:cs="Arial"/>
          <w:sz w:val="20"/>
          <w:szCs w:val="20"/>
          <w:lang w:val="sr-Cyrl-RS"/>
        </w:rPr>
        <w:t xml:space="preserve"> кандидат</w:t>
      </w:r>
      <w:r w:rsidR="00D67065">
        <w:rPr>
          <w:rFonts w:ascii="Arial" w:hAnsi="Arial" w:cs="Arial"/>
          <w:sz w:val="20"/>
          <w:szCs w:val="20"/>
          <w:lang w:val="sr-Cyrl-RS"/>
        </w:rPr>
        <w:t>и</w:t>
      </w:r>
      <w:r w:rsidRPr="00A021B7">
        <w:rPr>
          <w:rFonts w:ascii="Arial" w:hAnsi="Arial" w:cs="Arial"/>
          <w:sz w:val="20"/>
          <w:szCs w:val="20"/>
          <w:lang w:val="sr-Cyrl-RS"/>
        </w:rPr>
        <w:t xml:space="preserve"> за чланство и Заједнички консултативни одбор Републике Србије са Комитетом региона ЕУ.</w:t>
      </w:r>
      <w:r w:rsidR="00640238" w:rsidRPr="00A021B7">
        <w:rPr>
          <w:rStyle w:val="FootnoteReference"/>
          <w:rFonts w:ascii="Arial" w:hAnsi="Arial" w:cs="Arial"/>
          <w:sz w:val="20"/>
          <w:szCs w:val="20"/>
          <w:lang w:val="sr-Cyrl-RS"/>
        </w:rPr>
        <w:footnoteReference w:id="165"/>
      </w:r>
    </w:p>
    <w:p w14:paraId="6DEF1181" w14:textId="77777777" w:rsidR="00640238" w:rsidRPr="00A021B7" w:rsidRDefault="00640238" w:rsidP="1A8E6423">
      <w:pPr>
        <w:ind w:firstLine="720"/>
        <w:jc w:val="both"/>
        <w:rPr>
          <w:rFonts w:ascii="Arial" w:hAnsi="Arial" w:cs="Arial"/>
          <w:b/>
          <w:bCs/>
          <w:sz w:val="20"/>
          <w:szCs w:val="20"/>
          <w:lang w:val="sr-Cyrl-RS"/>
        </w:rPr>
      </w:pPr>
    </w:p>
    <w:p w14:paraId="077F745C" w14:textId="611853E6" w:rsidR="00640238" w:rsidRPr="00A021B7" w:rsidRDefault="47B5AC75"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У Републици Србији, релевантни стратешки и правни оквир и </w:t>
      </w:r>
      <w:r w:rsidRPr="1A8E6423">
        <w:rPr>
          <w:rStyle w:val="tlid-translation"/>
          <w:rFonts w:ascii="Arial" w:hAnsi="Arial" w:cs="Arial"/>
          <w:sz w:val="20"/>
          <w:szCs w:val="20"/>
          <w:lang w:val="sr-Cyrl-RS"/>
        </w:rPr>
        <w:t>З</w:t>
      </w:r>
      <w:r w:rsidR="7E31A91A" w:rsidRPr="1A8E6423">
        <w:rPr>
          <w:rStyle w:val="tlid-translation"/>
          <w:rFonts w:ascii="Arial" w:hAnsi="Arial" w:cs="Arial"/>
          <w:sz w:val="20"/>
          <w:szCs w:val="20"/>
          <w:lang w:val="sr-Cyrl-RS"/>
        </w:rPr>
        <w:t>ЛС</w:t>
      </w:r>
      <w:r w:rsidRPr="1A8E6423">
        <w:rPr>
          <w:rStyle w:val="tlid-translation"/>
          <w:rFonts w:ascii="Arial" w:hAnsi="Arial" w:cs="Arial"/>
          <w:sz w:val="20"/>
          <w:szCs w:val="20"/>
          <w:lang w:val="sr-Cyrl-RS"/>
        </w:rPr>
        <w:t xml:space="preserve"> дају основ за праћење процеса </w:t>
      </w:r>
      <w:r w:rsidR="00D67065" w:rsidRPr="1A8E6423">
        <w:rPr>
          <w:rStyle w:val="tlid-translation"/>
          <w:rFonts w:ascii="Arial" w:hAnsi="Arial" w:cs="Arial"/>
          <w:sz w:val="20"/>
          <w:szCs w:val="20"/>
          <w:lang w:val="sr-Cyrl-RS"/>
        </w:rPr>
        <w:t xml:space="preserve">европских </w:t>
      </w:r>
      <w:r w:rsidRPr="1A8E6423">
        <w:rPr>
          <w:rStyle w:val="tlid-translation"/>
          <w:rFonts w:ascii="Arial" w:hAnsi="Arial" w:cs="Arial"/>
          <w:sz w:val="20"/>
          <w:szCs w:val="20"/>
          <w:lang w:val="sr-Cyrl-RS"/>
        </w:rPr>
        <w:t>интеграција</w:t>
      </w:r>
      <w:r w:rsidRPr="1A8E6423">
        <w:rPr>
          <w:rStyle w:val="tlid-translation"/>
          <w:rFonts w:ascii="Arial" w:hAnsi="Arial" w:cs="Arial"/>
          <w:b/>
          <w:bCs/>
          <w:sz w:val="20"/>
          <w:szCs w:val="20"/>
          <w:lang w:val="sr-Cyrl-RS"/>
        </w:rPr>
        <w:t xml:space="preserve"> </w:t>
      </w:r>
      <w:r w:rsidRPr="1A8E6423">
        <w:rPr>
          <w:rStyle w:val="tlid-translation"/>
          <w:rFonts w:ascii="Arial" w:hAnsi="Arial" w:cs="Arial"/>
          <w:sz w:val="20"/>
          <w:szCs w:val="20"/>
          <w:lang w:val="sr-Cyrl-RS"/>
        </w:rPr>
        <w:t>и успостављање релевантних административних капацитета.</w:t>
      </w:r>
      <w:r w:rsidR="512CDFFD" w:rsidRPr="1A8E6423">
        <w:rPr>
          <w:rStyle w:val="tlid-translation"/>
          <w:rFonts w:ascii="Arial" w:hAnsi="Arial" w:cs="Arial"/>
          <w:sz w:val="20"/>
          <w:szCs w:val="20"/>
          <w:lang w:val="sr-Cyrl-RS"/>
        </w:rPr>
        <w:t xml:space="preserve"> </w:t>
      </w:r>
      <w:r w:rsidRPr="1A8E6423">
        <w:rPr>
          <w:rFonts w:ascii="Arial" w:hAnsi="Arial" w:cs="Arial"/>
          <w:sz w:val="20"/>
          <w:szCs w:val="20"/>
          <w:lang w:val="sr-Cyrl-RS"/>
        </w:rPr>
        <w:t xml:space="preserve">Пре свега, </w:t>
      </w:r>
      <w:r w:rsidR="00D67065" w:rsidRPr="1A8E6423">
        <w:rPr>
          <w:rFonts w:ascii="Arial" w:hAnsi="Arial" w:cs="Arial"/>
          <w:sz w:val="20"/>
          <w:szCs w:val="20"/>
          <w:lang w:val="sr-Cyrl-RS"/>
        </w:rPr>
        <w:t>ту је</w:t>
      </w:r>
      <w:r w:rsidR="00D67065" w:rsidRPr="1A8E6423">
        <w:rPr>
          <w:rFonts w:ascii="Arial" w:hAnsi="Arial" w:cs="Arial"/>
          <w:b/>
          <w:bCs/>
          <w:sz w:val="20"/>
          <w:szCs w:val="20"/>
          <w:lang w:val="sr-Cyrl-RS"/>
        </w:rPr>
        <w:t xml:space="preserve"> </w:t>
      </w:r>
      <w:r w:rsidRPr="1A8E6423">
        <w:rPr>
          <w:rFonts w:ascii="Arial" w:hAnsi="Arial" w:cs="Arial"/>
          <w:sz w:val="20"/>
          <w:szCs w:val="20"/>
          <w:lang w:val="sr-Cyrl-RS"/>
        </w:rPr>
        <w:t xml:space="preserve">Национална стратегија СЦГ за приступање ЕУ (коју је </w:t>
      </w:r>
      <w:r w:rsidR="1CDA3630" w:rsidRPr="1A8E6423">
        <w:rPr>
          <w:rFonts w:ascii="Arial" w:hAnsi="Arial" w:cs="Arial"/>
          <w:sz w:val="20"/>
          <w:szCs w:val="20"/>
          <w:lang w:val="sr-Cyrl-RS"/>
        </w:rPr>
        <w:t xml:space="preserve">усвојила </w:t>
      </w:r>
      <w:r w:rsidRPr="1A8E6423">
        <w:rPr>
          <w:rFonts w:ascii="Arial" w:hAnsi="Arial" w:cs="Arial"/>
          <w:sz w:val="20"/>
          <w:szCs w:val="20"/>
          <w:lang w:val="sr-Cyrl-RS"/>
        </w:rPr>
        <w:t>и примењивала Влада Р</w:t>
      </w:r>
      <w:r w:rsidR="7E31A91A" w:rsidRPr="1A8E6423">
        <w:rPr>
          <w:rFonts w:ascii="Arial" w:hAnsi="Arial" w:cs="Arial"/>
          <w:sz w:val="20"/>
          <w:szCs w:val="20"/>
          <w:lang w:val="sr-Cyrl-RS"/>
        </w:rPr>
        <w:t xml:space="preserve">епублике </w:t>
      </w:r>
      <w:r w:rsidRPr="1A8E6423">
        <w:rPr>
          <w:rFonts w:ascii="Arial" w:hAnsi="Arial" w:cs="Arial"/>
          <w:sz w:val="20"/>
          <w:szCs w:val="20"/>
          <w:lang w:val="sr-Cyrl-RS"/>
        </w:rPr>
        <w:t xml:space="preserve">Србије) </w:t>
      </w:r>
      <w:r w:rsidR="1CDA3630" w:rsidRPr="1A8E6423">
        <w:rPr>
          <w:rFonts w:ascii="Arial" w:hAnsi="Arial" w:cs="Arial"/>
          <w:sz w:val="20"/>
          <w:szCs w:val="20"/>
          <w:lang w:val="sr-Cyrl-RS"/>
        </w:rPr>
        <w:t xml:space="preserve">из </w:t>
      </w:r>
      <w:r w:rsidRPr="1A8E6423">
        <w:rPr>
          <w:rFonts w:ascii="Arial" w:hAnsi="Arial" w:cs="Arial"/>
          <w:sz w:val="20"/>
          <w:szCs w:val="20"/>
          <w:lang w:val="sr-Cyrl-RS"/>
        </w:rPr>
        <w:t>2005. године, где се</w:t>
      </w:r>
      <w:r w:rsidR="00D67065" w:rsidRPr="1A8E6423">
        <w:rPr>
          <w:rFonts w:ascii="Arial" w:hAnsi="Arial" w:cs="Arial"/>
          <w:sz w:val="20"/>
          <w:szCs w:val="20"/>
          <w:lang w:val="sr-Cyrl-RS"/>
        </w:rPr>
        <w:t>,</w:t>
      </w:r>
      <w:r w:rsidRPr="1A8E6423">
        <w:rPr>
          <w:rFonts w:ascii="Arial" w:hAnsi="Arial" w:cs="Arial"/>
          <w:sz w:val="20"/>
          <w:szCs w:val="20"/>
          <w:lang w:val="sr-Cyrl-RS"/>
        </w:rPr>
        <w:t xml:space="preserve"> у глави V Административни капацитет за приступ ЕУ и реформа државе управе, говори о неопходности трансформације система државне управе и локалне самоуправе како би тај систем био способан да прихвати и пренесе захтеве прилагођавања правилима ЕУ. Она такође наводи</w:t>
      </w:r>
      <w:r w:rsidR="00D67065" w:rsidRPr="1A8E6423">
        <w:rPr>
          <w:rFonts w:ascii="Arial" w:hAnsi="Arial" w:cs="Arial"/>
          <w:sz w:val="20"/>
          <w:szCs w:val="20"/>
          <w:lang w:val="sr-Cyrl-RS"/>
        </w:rPr>
        <w:t>,</w:t>
      </w:r>
      <w:r w:rsidRPr="1A8E6423">
        <w:rPr>
          <w:rFonts w:ascii="Arial" w:hAnsi="Arial" w:cs="Arial"/>
          <w:sz w:val="20"/>
          <w:szCs w:val="20"/>
          <w:lang w:val="sr-Cyrl-RS"/>
        </w:rPr>
        <w:t xml:space="preserve"> у делу Реформа државне управе</w:t>
      </w:r>
      <w:r w:rsidR="00D67065" w:rsidRPr="1A8E6423">
        <w:rPr>
          <w:rFonts w:ascii="Arial" w:hAnsi="Arial" w:cs="Arial"/>
          <w:sz w:val="20"/>
          <w:szCs w:val="20"/>
          <w:lang w:val="sr-Cyrl-RS"/>
        </w:rPr>
        <w:t>,</w:t>
      </w:r>
      <w:r w:rsidRPr="1A8E6423">
        <w:rPr>
          <w:rFonts w:ascii="Arial" w:hAnsi="Arial" w:cs="Arial"/>
          <w:sz w:val="20"/>
          <w:szCs w:val="20"/>
          <w:lang w:val="sr-Cyrl-RS"/>
        </w:rPr>
        <w:t xml:space="preserve"> начело децентрализације</w:t>
      </w:r>
      <w:r w:rsidR="00D67065" w:rsidRPr="1A8E6423">
        <w:rPr>
          <w:rFonts w:ascii="Arial" w:hAnsi="Arial" w:cs="Arial"/>
          <w:sz w:val="20"/>
          <w:szCs w:val="20"/>
          <w:lang w:val="sr-Cyrl-RS"/>
        </w:rPr>
        <w:t>,</w:t>
      </w:r>
      <w:r w:rsidRPr="1A8E6423">
        <w:rPr>
          <w:rFonts w:ascii="Arial" w:hAnsi="Arial" w:cs="Arial"/>
          <w:sz w:val="20"/>
          <w:szCs w:val="20"/>
          <w:lang w:val="sr-Cyrl-RS"/>
        </w:rPr>
        <w:t xml:space="preserve"> кој</w:t>
      </w:r>
      <w:r w:rsidR="00D67065" w:rsidRPr="1A8E6423">
        <w:rPr>
          <w:rFonts w:ascii="Arial" w:hAnsi="Arial" w:cs="Arial"/>
          <w:sz w:val="20"/>
          <w:szCs w:val="20"/>
          <w:lang w:val="sr-Cyrl-RS"/>
        </w:rPr>
        <w:t>е</w:t>
      </w:r>
      <w:r w:rsidRPr="1A8E6423">
        <w:rPr>
          <w:rFonts w:ascii="Arial" w:hAnsi="Arial" w:cs="Arial"/>
          <w:sz w:val="20"/>
          <w:szCs w:val="20"/>
          <w:lang w:val="sr-Cyrl-RS"/>
        </w:rPr>
        <w:t xml:space="preserve"> подразумева оптималну расподелу власти између различитих нивоа – централног, покрајинског и локалног, са циљем да јавне службе буду што ближе грађанима и под њиховом што већом контролом. Ово начело је предвиђено Стратегијом реформе државе управе, а у циљу изградње ефикасне државне управе и демократске државе. У делу Реформа законодавног оквира и јавна политика, као део реформе</w:t>
      </w:r>
      <w:r w:rsidR="00D67065" w:rsidRPr="1A8E6423">
        <w:rPr>
          <w:rFonts w:ascii="Arial" w:hAnsi="Arial" w:cs="Arial"/>
          <w:sz w:val="20"/>
          <w:szCs w:val="20"/>
          <w:lang w:val="sr-Cyrl-RS"/>
        </w:rPr>
        <w:t>,</w:t>
      </w:r>
      <w:r w:rsidRPr="1A8E6423">
        <w:rPr>
          <w:rFonts w:ascii="Arial" w:hAnsi="Arial" w:cs="Arial"/>
          <w:sz w:val="20"/>
          <w:szCs w:val="20"/>
          <w:lang w:val="sr-Cyrl-RS"/>
        </w:rPr>
        <w:t xml:space="preserve"> </w:t>
      </w:r>
      <w:r w:rsidR="00D67065" w:rsidRPr="1A8E6423">
        <w:rPr>
          <w:rFonts w:ascii="Arial" w:hAnsi="Arial" w:cs="Arial"/>
          <w:sz w:val="20"/>
          <w:szCs w:val="20"/>
          <w:lang w:val="sr-Cyrl-RS"/>
        </w:rPr>
        <w:t xml:space="preserve">предвиђа се </w:t>
      </w:r>
      <w:r w:rsidRPr="1A8E6423">
        <w:rPr>
          <w:rFonts w:ascii="Arial" w:hAnsi="Arial" w:cs="Arial"/>
          <w:sz w:val="20"/>
          <w:szCs w:val="20"/>
          <w:lang w:val="sr-Cyrl-RS"/>
        </w:rPr>
        <w:t>пренос регулаторних механизама са органа државне управе централног нивоа на локалну самоуправу. У одељку Децентрализована државна управа, стратегија детаљно описује процес и моделе децентрализације, затим</w:t>
      </w:r>
      <w:r w:rsidRPr="1A8E6423">
        <w:rPr>
          <w:rFonts w:ascii="Arial" w:hAnsi="Arial" w:cs="Arial"/>
          <w:i/>
          <w:iCs/>
          <w:sz w:val="20"/>
          <w:szCs w:val="20"/>
          <w:lang w:val="sr-Cyrl-RS"/>
        </w:rPr>
        <w:t xml:space="preserve"> </w:t>
      </w:r>
      <w:r w:rsidRPr="1A8E6423">
        <w:rPr>
          <w:rFonts w:ascii="Arial" w:hAnsi="Arial" w:cs="Arial"/>
          <w:sz w:val="20"/>
          <w:szCs w:val="20"/>
          <w:lang w:val="sr-Cyrl-RS"/>
        </w:rPr>
        <w:t>наглашава неопходност фискалне децентрализације и својине локалне самоуправе.</w:t>
      </w:r>
    </w:p>
    <w:p w14:paraId="3F9F8F84" w14:textId="77777777" w:rsidR="00640238" w:rsidRPr="00A021B7" w:rsidRDefault="00640238" w:rsidP="1A8E6423">
      <w:pPr>
        <w:ind w:firstLine="720"/>
        <w:jc w:val="both"/>
        <w:rPr>
          <w:rFonts w:ascii="Arial" w:hAnsi="Arial" w:cs="Arial"/>
          <w:sz w:val="20"/>
          <w:szCs w:val="20"/>
          <w:lang w:val="sr-Cyrl-RS"/>
        </w:rPr>
      </w:pPr>
    </w:p>
    <w:p w14:paraId="6751873A" w14:textId="66AF760C" w:rsidR="00640238" w:rsidRPr="00A021B7" w:rsidRDefault="47B5AC75" w:rsidP="1A8E6423">
      <w:pPr>
        <w:ind w:firstLine="720"/>
        <w:jc w:val="both"/>
        <w:rPr>
          <w:rFonts w:ascii="Arial" w:hAnsi="Arial" w:cs="Arial"/>
          <w:sz w:val="20"/>
          <w:szCs w:val="20"/>
          <w:lang w:val="sr-Cyrl-RS"/>
        </w:rPr>
      </w:pPr>
      <w:r w:rsidRPr="00A021B7">
        <w:rPr>
          <w:rFonts w:ascii="Arial" w:hAnsi="Arial" w:cs="Arial"/>
          <w:b/>
          <w:bCs/>
          <w:sz w:val="20"/>
          <w:szCs w:val="20"/>
          <w:lang w:val="sr-Cyrl-RS"/>
        </w:rPr>
        <w:t>Ревидирано Европско партнерство</w:t>
      </w:r>
      <w:r w:rsidR="00640238" w:rsidRPr="00A021B7">
        <w:rPr>
          <w:rFonts w:ascii="Arial" w:hAnsi="Arial" w:cs="Arial"/>
          <w:sz w:val="20"/>
          <w:szCs w:val="20"/>
          <w:vertAlign w:val="superscript"/>
          <w:lang w:val="sr-Cyrl-RS"/>
        </w:rPr>
        <w:footnoteReference w:id="166"/>
      </w:r>
      <w:r w:rsidRPr="00D67065">
        <w:rPr>
          <w:rFonts w:ascii="Arial" w:hAnsi="Arial" w:cs="Arial"/>
          <w:sz w:val="20"/>
          <w:szCs w:val="20"/>
          <w:lang w:val="sr-Cyrl-RS"/>
        </w:rPr>
        <w:t xml:space="preserve"> </w:t>
      </w:r>
      <w:r w:rsidRPr="00A021B7">
        <w:rPr>
          <w:rFonts w:ascii="Arial" w:hAnsi="Arial" w:cs="Arial"/>
          <w:sz w:val="20"/>
          <w:szCs w:val="20"/>
          <w:lang w:val="sr-Cyrl-RS"/>
        </w:rPr>
        <w:t>из 2008. године предвиђа неколико одредби које се односе на локалну самоуправу. Пре свега, у оквиру средњорочних приоритета поглавље Политички критеријуми</w:t>
      </w:r>
      <w:r w:rsidR="00AB5288">
        <w:rPr>
          <w:rFonts w:ascii="Arial" w:hAnsi="Arial" w:cs="Arial"/>
          <w:sz w:val="20"/>
          <w:szCs w:val="20"/>
          <w:lang w:val="sr-Cyrl-RS"/>
        </w:rPr>
        <w:t xml:space="preserve"> </w:t>
      </w:r>
      <w:r w:rsidRPr="00A021B7">
        <w:rPr>
          <w:rFonts w:ascii="Arial" w:hAnsi="Arial" w:cs="Arial"/>
          <w:sz w:val="20"/>
          <w:szCs w:val="20"/>
          <w:lang w:val="sr-Cyrl-RS"/>
        </w:rPr>
        <w:t>/</w:t>
      </w:r>
      <w:r w:rsidR="00AB5288">
        <w:rPr>
          <w:rFonts w:ascii="Arial" w:hAnsi="Arial" w:cs="Arial"/>
          <w:sz w:val="20"/>
          <w:szCs w:val="20"/>
          <w:lang w:val="sr-Cyrl-RS"/>
        </w:rPr>
        <w:t xml:space="preserve"> </w:t>
      </w:r>
      <w:r w:rsidRPr="00A021B7">
        <w:rPr>
          <w:rFonts w:ascii="Arial" w:hAnsi="Arial" w:cs="Arial"/>
          <w:sz w:val="20"/>
          <w:szCs w:val="20"/>
          <w:lang w:val="sr-Cyrl-RS"/>
        </w:rPr>
        <w:t>Демократија и владавина права</w:t>
      </w:r>
      <w:r w:rsidR="64E8D052" w:rsidRPr="00A021B7">
        <w:rPr>
          <w:rFonts w:ascii="Arial" w:hAnsi="Arial" w:cs="Arial"/>
          <w:sz w:val="20"/>
          <w:szCs w:val="20"/>
          <w:lang w:val="sr-Cyrl-RS"/>
        </w:rPr>
        <w:t>,</w:t>
      </w:r>
      <w:r w:rsidRPr="00A021B7">
        <w:rPr>
          <w:rFonts w:ascii="Arial" w:hAnsi="Arial" w:cs="Arial"/>
          <w:sz w:val="20"/>
          <w:szCs w:val="20"/>
          <w:lang w:val="sr-Cyrl-RS"/>
        </w:rPr>
        <w:t xml:space="preserve"> у делу Државна управа, као један од приоритета наводи спровођење уставне одредбе у вези са децентрализацијом и обезбеђење ресурса за органе локалне управе.</w:t>
      </w:r>
      <w:r w:rsidR="24D875C6" w:rsidRPr="00A021B7">
        <w:rPr>
          <w:rFonts w:ascii="Arial" w:hAnsi="Arial" w:cs="Arial"/>
          <w:sz w:val="20"/>
          <w:szCs w:val="20"/>
          <w:lang w:val="sr-Cyrl-RS"/>
        </w:rPr>
        <w:t xml:space="preserve"> У истом поглављу</w:t>
      </w:r>
      <w:r w:rsidRPr="00A021B7">
        <w:rPr>
          <w:rFonts w:ascii="Arial" w:hAnsi="Arial" w:cs="Arial"/>
          <w:sz w:val="20"/>
          <w:szCs w:val="20"/>
          <w:lang w:val="sr-Cyrl-RS"/>
        </w:rPr>
        <w:t xml:space="preserve">, у </w:t>
      </w:r>
      <w:r w:rsidR="44566D0D" w:rsidRPr="00A021B7">
        <w:rPr>
          <w:rFonts w:ascii="Arial" w:hAnsi="Arial" w:cs="Arial"/>
          <w:sz w:val="20"/>
          <w:szCs w:val="20"/>
          <w:lang w:val="sr-Cyrl-RS"/>
        </w:rPr>
        <w:t xml:space="preserve">делу </w:t>
      </w:r>
      <w:r w:rsidRPr="00A021B7">
        <w:rPr>
          <w:rFonts w:ascii="Arial" w:hAnsi="Arial" w:cs="Arial"/>
          <w:sz w:val="20"/>
          <w:szCs w:val="20"/>
          <w:lang w:val="sr-Cyrl-RS"/>
        </w:rPr>
        <w:t>Секторске политике</w:t>
      </w:r>
      <w:r w:rsidR="00AB5288">
        <w:rPr>
          <w:rFonts w:ascii="Arial" w:hAnsi="Arial" w:cs="Arial"/>
          <w:sz w:val="20"/>
          <w:szCs w:val="20"/>
          <w:lang w:val="sr-Cyrl-RS"/>
        </w:rPr>
        <w:t xml:space="preserve"> </w:t>
      </w:r>
      <w:r w:rsidRPr="00A021B7">
        <w:rPr>
          <w:rFonts w:ascii="Arial" w:hAnsi="Arial" w:cs="Arial"/>
          <w:sz w:val="20"/>
          <w:szCs w:val="20"/>
          <w:lang w:val="sr-Cyrl-RS"/>
        </w:rPr>
        <w:t>/</w:t>
      </w:r>
      <w:r w:rsidR="00AB5288">
        <w:rPr>
          <w:rFonts w:ascii="Arial" w:hAnsi="Arial" w:cs="Arial"/>
          <w:sz w:val="20"/>
          <w:szCs w:val="20"/>
          <w:lang w:val="sr-Cyrl-RS"/>
        </w:rPr>
        <w:t xml:space="preserve"> </w:t>
      </w:r>
      <w:r w:rsidRPr="00A021B7">
        <w:rPr>
          <w:rFonts w:ascii="Arial" w:hAnsi="Arial" w:cs="Arial"/>
          <w:sz w:val="20"/>
          <w:szCs w:val="20"/>
          <w:lang w:val="sr-Cyrl-RS"/>
        </w:rPr>
        <w:t>Животна средина</w:t>
      </w:r>
      <w:r w:rsidR="44566D0D" w:rsidRPr="00A021B7">
        <w:rPr>
          <w:rFonts w:ascii="Arial" w:hAnsi="Arial" w:cs="Arial"/>
          <w:sz w:val="20"/>
          <w:szCs w:val="20"/>
          <w:lang w:val="sr-Cyrl-RS"/>
        </w:rPr>
        <w:t>,</w:t>
      </w:r>
      <w:r w:rsidRPr="00A021B7">
        <w:rPr>
          <w:rFonts w:ascii="Arial" w:hAnsi="Arial" w:cs="Arial"/>
          <w:sz w:val="20"/>
          <w:szCs w:val="20"/>
          <w:lang w:val="sr-Cyrl-RS"/>
        </w:rPr>
        <w:t xml:space="preserve"> наводи се као приоритет наставак јачања административних капацитета који се баве животном средином на националном и локалном нивоу. Закон о потврђивању Споразума о стабилизацији и придруживању</w:t>
      </w:r>
      <w:r w:rsidR="00640238" w:rsidRPr="00A021B7">
        <w:rPr>
          <w:rFonts w:ascii="Arial" w:hAnsi="Arial" w:cs="Arial"/>
          <w:sz w:val="20"/>
          <w:szCs w:val="20"/>
          <w:vertAlign w:val="superscript"/>
          <w:lang w:val="sr-Cyrl-RS"/>
        </w:rPr>
        <w:footnoteReference w:id="167"/>
      </w:r>
      <w:r w:rsidRPr="00A021B7">
        <w:rPr>
          <w:rFonts w:ascii="Arial" w:hAnsi="Arial" w:cs="Arial"/>
          <w:sz w:val="20"/>
          <w:szCs w:val="20"/>
          <w:lang w:val="sr-Cyrl-RS"/>
        </w:rPr>
        <w:t xml:space="preserve"> садржи облике сарадње Уније и Србије који су описани у појединим областима у оквиру </w:t>
      </w:r>
      <w:r w:rsidR="7C78D18A" w:rsidRPr="00A021B7">
        <w:rPr>
          <w:rFonts w:ascii="Arial" w:hAnsi="Arial" w:cs="Arial"/>
          <w:sz w:val="20"/>
          <w:szCs w:val="20"/>
          <w:lang w:val="sr-Cyrl-RS"/>
        </w:rPr>
        <w:t xml:space="preserve">наслова </w:t>
      </w:r>
      <w:r w:rsidRPr="00A021B7">
        <w:rPr>
          <w:rFonts w:ascii="Arial" w:hAnsi="Arial" w:cs="Arial"/>
          <w:sz w:val="20"/>
          <w:szCs w:val="20"/>
          <w:lang w:val="sr-Cyrl-RS"/>
        </w:rPr>
        <w:t>VIII Политике сарадње</w:t>
      </w:r>
      <w:r w:rsidR="00AB5288">
        <w:rPr>
          <w:rFonts w:ascii="Arial" w:hAnsi="Arial" w:cs="Arial"/>
          <w:sz w:val="20"/>
          <w:szCs w:val="20"/>
          <w:lang w:val="sr-Cyrl-RS"/>
        </w:rPr>
        <w:t>,</w:t>
      </w:r>
      <w:r w:rsidRPr="00A021B7">
        <w:rPr>
          <w:rFonts w:ascii="Arial" w:hAnsi="Arial" w:cs="Arial"/>
          <w:sz w:val="20"/>
          <w:szCs w:val="20"/>
          <w:lang w:val="sr-Cyrl-RS"/>
        </w:rPr>
        <w:t xml:space="preserve"> </w:t>
      </w:r>
      <w:r w:rsidR="00AB5288">
        <w:rPr>
          <w:rFonts w:ascii="Arial" w:hAnsi="Arial" w:cs="Arial"/>
          <w:sz w:val="20"/>
          <w:szCs w:val="20"/>
          <w:lang w:val="sr-Cyrl-RS"/>
        </w:rPr>
        <w:t>а</w:t>
      </w:r>
      <w:r w:rsidRPr="00A021B7">
        <w:rPr>
          <w:rFonts w:ascii="Arial" w:hAnsi="Arial" w:cs="Arial"/>
          <w:sz w:val="20"/>
          <w:szCs w:val="20"/>
          <w:lang w:val="sr-Cyrl-RS"/>
        </w:rPr>
        <w:t xml:space="preserve"> који имају велики утицај на </w:t>
      </w:r>
      <w:r w:rsidR="7C78D18A" w:rsidRPr="00A021B7">
        <w:rPr>
          <w:rFonts w:ascii="Arial" w:hAnsi="Arial" w:cs="Arial"/>
          <w:sz w:val="20"/>
          <w:szCs w:val="20"/>
          <w:lang w:val="sr-Cyrl-RS"/>
        </w:rPr>
        <w:t xml:space="preserve">примену </w:t>
      </w:r>
      <w:r w:rsidRPr="00A021B7">
        <w:rPr>
          <w:rFonts w:ascii="Arial" w:hAnsi="Arial" w:cs="Arial"/>
          <w:sz w:val="20"/>
          <w:szCs w:val="20"/>
          <w:lang w:val="sr-Cyrl-RS"/>
        </w:rPr>
        <w:t xml:space="preserve">на локалном нивоу. У области сарадње у оквиру државне управе, наводи се да ће она </w:t>
      </w:r>
      <w:r w:rsidRPr="00A021B7">
        <w:rPr>
          <w:rFonts w:ascii="Arial" w:hAnsi="Arial" w:cs="Arial"/>
          <w:sz w:val="20"/>
          <w:szCs w:val="20"/>
          <w:lang w:val="sr-Cyrl-RS"/>
        </w:rPr>
        <w:lastRenderedPageBreak/>
        <w:t>бити усмерена на развој ефикасне и одговорне државне управе, а посебно на изградњу институција, унапређење транспарентног и непристрасног система запошљавања, управљања кадровима и напредовања, континуирану обуку и промовисање етике у државној управи, што се односи и на локалну самоуправу. Стратегија комуникације о приступању Србије Европској унији</w:t>
      </w:r>
      <w:r w:rsidR="00640238" w:rsidRPr="00A021B7">
        <w:rPr>
          <w:rFonts w:ascii="Arial" w:hAnsi="Arial" w:cs="Arial"/>
          <w:sz w:val="20"/>
          <w:szCs w:val="20"/>
          <w:vertAlign w:val="superscript"/>
          <w:lang w:val="sr-Cyrl-RS"/>
        </w:rPr>
        <w:footnoteReference w:id="168"/>
      </w:r>
      <w:r w:rsidRPr="00A021B7">
        <w:rPr>
          <w:rFonts w:ascii="Arial" w:hAnsi="Arial" w:cs="Arial"/>
          <w:sz w:val="20"/>
          <w:szCs w:val="20"/>
          <w:lang w:val="sr-Cyrl-RS"/>
        </w:rPr>
        <w:t xml:space="preserve"> донета 2011. године, наводи локалну самоуправу као једног од најважнијих партнера Владе у комуникацији са грађанима и важност унапређења система комуникације са локалном самоуправом и СКГО, као националном асоцијацијом локалних власти, за успешно спровођење Стратегије. У оквиру активности на унапређењу комуникација, наводи се да је планирано јачање сарадње са </w:t>
      </w:r>
      <w:r w:rsidR="0D77D5AF" w:rsidRPr="00A021B7">
        <w:rPr>
          <w:rFonts w:ascii="Arial" w:hAnsi="Arial" w:cs="Arial"/>
          <w:sz w:val="20"/>
          <w:szCs w:val="20"/>
          <w:lang w:val="sr-Cyrl-RS"/>
        </w:rPr>
        <w:t xml:space="preserve">ЈЛС </w:t>
      </w:r>
      <w:r w:rsidRPr="00A021B7">
        <w:rPr>
          <w:rFonts w:ascii="Arial" w:hAnsi="Arial" w:cs="Arial"/>
          <w:sz w:val="20"/>
          <w:szCs w:val="20"/>
          <w:lang w:val="sr-Cyrl-RS"/>
        </w:rPr>
        <w:t xml:space="preserve">у формирању тзв. тимова </w:t>
      </w:r>
      <w:r w:rsidR="00AB5288">
        <w:rPr>
          <w:rFonts w:ascii="Arial" w:hAnsi="Arial" w:cs="Arial"/>
          <w:sz w:val="20"/>
          <w:szCs w:val="20"/>
          <w:lang w:val="sr-Cyrl-RS"/>
        </w:rPr>
        <w:t xml:space="preserve">за </w:t>
      </w:r>
      <w:r w:rsidR="00AB5288" w:rsidRPr="00A021B7">
        <w:rPr>
          <w:rFonts w:ascii="Arial" w:hAnsi="Arial" w:cs="Arial"/>
          <w:sz w:val="20"/>
          <w:szCs w:val="20"/>
          <w:lang w:val="sr-Cyrl-RS"/>
        </w:rPr>
        <w:t xml:space="preserve">ЕУ </w:t>
      </w:r>
      <w:r w:rsidRPr="00A021B7">
        <w:rPr>
          <w:rFonts w:ascii="Arial" w:hAnsi="Arial" w:cs="Arial"/>
          <w:sz w:val="20"/>
          <w:szCs w:val="20"/>
          <w:lang w:val="sr-Cyrl-RS"/>
        </w:rPr>
        <w:t>који треба да израђују план комуникација у својим ЈЛС.</w:t>
      </w:r>
    </w:p>
    <w:p w14:paraId="3DBDB8D4" w14:textId="77777777" w:rsidR="00640238" w:rsidRPr="00A021B7" w:rsidRDefault="00640238" w:rsidP="1A8E6423">
      <w:pPr>
        <w:ind w:firstLine="720"/>
        <w:jc w:val="both"/>
        <w:rPr>
          <w:rFonts w:ascii="Arial" w:hAnsi="Arial" w:cs="Arial"/>
          <w:sz w:val="20"/>
          <w:szCs w:val="20"/>
          <w:lang w:val="sr-Cyrl-RS"/>
        </w:rPr>
      </w:pPr>
    </w:p>
    <w:p w14:paraId="3268610D" w14:textId="6A7627D0" w:rsidR="00640238" w:rsidRPr="00A021B7" w:rsidRDefault="47B5AC75"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Различите верзије </w:t>
      </w:r>
      <w:r w:rsidR="00AB5288">
        <w:rPr>
          <w:rFonts w:ascii="Arial" w:hAnsi="Arial" w:cs="Arial"/>
          <w:sz w:val="20"/>
          <w:szCs w:val="20"/>
          <w:lang w:val="sr-Cyrl-RS"/>
        </w:rPr>
        <w:t>н</w:t>
      </w:r>
      <w:r w:rsidRPr="00A021B7">
        <w:rPr>
          <w:rFonts w:ascii="Arial" w:hAnsi="Arial" w:cs="Arial"/>
          <w:sz w:val="20"/>
          <w:szCs w:val="20"/>
          <w:lang w:val="sr-Cyrl-RS"/>
        </w:rPr>
        <w:t xml:space="preserve">ационалног програма за интеграцију Србије у ЕУ предвиђале су веома значајне обавезе, пре свега ресорних министарстава, када је </w:t>
      </w:r>
      <w:r w:rsidR="00AB5288">
        <w:rPr>
          <w:rFonts w:ascii="Arial" w:hAnsi="Arial" w:cs="Arial"/>
          <w:sz w:val="20"/>
          <w:szCs w:val="20"/>
          <w:lang w:val="sr-Cyrl-RS"/>
        </w:rPr>
        <w:t>реч о</w:t>
      </w:r>
      <w:r w:rsidRPr="00A021B7">
        <w:rPr>
          <w:rFonts w:ascii="Arial" w:hAnsi="Arial" w:cs="Arial"/>
          <w:sz w:val="20"/>
          <w:szCs w:val="20"/>
          <w:lang w:val="sr-Cyrl-RS"/>
        </w:rPr>
        <w:t xml:space="preserve"> комплетирањ</w:t>
      </w:r>
      <w:r w:rsidR="00AB5288">
        <w:rPr>
          <w:rFonts w:ascii="Arial" w:hAnsi="Arial" w:cs="Arial"/>
          <w:sz w:val="20"/>
          <w:szCs w:val="20"/>
          <w:lang w:val="sr-Cyrl-RS"/>
        </w:rPr>
        <w:t>у</w:t>
      </w:r>
      <w:r w:rsidRPr="00A021B7">
        <w:rPr>
          <w:rFonts w:ascii="Arial" w:hAnsi="Arial" w:cs="Arial"/>
          <w:sz w:val="20"/>
          <w:szCs w:val="20"/>
          <w:lang w:val="sr-Cyrl-RS"/>
        </w:rPr>
        <w:t xml:space="preserve"> правног и институционалног оквира који треба да омогући јачање капацитета локалне самоуправе. Трећи ревидирани и допуњени Национални програм за усвајање правних тековина ЕУ за период 2018</w:t>
      </w:r>
      <w:r w:rsidR="00AB5288">
        <w:rPr>
          <w:rFonts w:ascii="Arial" w:hAnsi="Arial" w:cs="Arial"/>
          <w:sz w:val="20"/>
          <w:szCs w:val="20"/>
          <w:lang w:val="sr-Cyrl-RS"/>
        </w:rPr>
        <w:t>–</w:t>
      </w:r>
      <w:r w:rsidRPr="00A021B7">
        <w:rPr>
          <w:rFonts w:ascii="Arial" w:hAnsi="Arial" w:cs="Arial"/>
          <w:sz w:val="20"/>
          <w:szCs w:val="20"/>
          <w:lang w:val="sr-Cyrl-RS"/>
        </w:rPr>
        <w:t>2021</w:t>
      </w:r>
      <w:r w:rsidR="00640238" w:rsidRPr="00A021B7">
        <w:rPr>
          <w:rFonts w:ascii="Arial" w:hAnsi="Arial" w:cs="Arial"/>
          <w:sz w:val="20"/>
          <w:szCs w:val="20"/>
          <w:vertAlign w:val="superscript"/>
          <w:lang w:val="sr-Cyrl-RS"/>
        </w:rPr>
        <w:footnoteReference w:id="169"/>
      </w:r>
      <w:r w:rsidR="00AB5288">
        <w:rPr>
          <w:rFonts w:ascii="Arial" w:hAnsi="Arial" w:cs="Arial"/>
          <w:sz w:val="20"/>
          <w:szCs w:val="20"/>
          <w:lang w:val="sr-Cyrl-RS"/>
        </w:rPr>
        <w:t>,</w:t>
      </w:r>
      <w:r w:rsidRPr="00A021B7">
        <w:rPr>
          <w:rFonts w:ascii="Arial" w:hAnsi="Arial" w:cs="Arial"/>
          <w:sz w:val="20"/>
          <w:szCs w:val="20"/>
          <w:lang w:val="sr-Cyrl-RS"/>
        </w:rPr>
        <w:t xml:space="preserve"> у оквиру извештавања о политичким критеријум</w:t>
      </w:r>
      <w:r w:rsidR="00AB5288">
        <w:rPr>
          <w:rFonts w:ascii="Arial" w:hAnsi="Arial" w:cs="Arial"/>
          <w:sz w:val="20"/>
          <w:szCs w:val="20"/>
          <w:lang w:val="sr-Cyrl-RS"/>
        </w:rPr>
        <w:t>им</w:t>
      </w:r>
      <w:r w:rsidRPr="00A021B7">
        <w:rPr>
          <w:rFonts w:ascii="Arial" w:hAnsi="Arial" w:cs="Arial"/>
          <w:sz w:val="20"/>
          <w:szCs w:val="20"/>
          <w:lang w:val="sr-Cyrl-RS"/>
        </w:rPr>
        <w:t xml:space="preserve">а, </w:t>
      </w:r>
      <w:r w:rsidR="00AB5288">
        <w:rPr>
          <w:rFonts w:ascii="Arial" w:hAnsi="Arial" w:cs="Arial"/>
          <w:sz w:val="20"/>
          <w:szCs w:val="20"/>
          <w:lang w:val="sr-Cyrl-RS"/>
        </w:rPr>
        <w:t>у п</w:t>
      </w:r>
      <w:r w:rsidRPr="00A021B7">
        <w:rPr>
          <w:rFonts w:ascii="Arial" w:hAnsi="Arial" w:cs="Arial"/>
          <w:sz w:val="20"/>
          <w:szCs w:val="20"/>
          <w:lang w:val="sr-Cyrl-RS"/>
        </w:rPr>
        <w:t>оглављ</w:t>
      </w:r>
      <w:r w:rsidR="00AB5288">
        <w:rPr>
          <w:rFonts w:ascii="Arial" w:hAnsi="Arial" w:cs="Arial"/>
          <w:sz w:val="20"/>
          <w:szCs w:val="20"/>
          <w:lang w:val="sr-Cyrl-RS"/>
        </w:rPr>
        <w:t>у</w:t>
      </w:r>
      <w:r w:rsidRPr="00A021B7">
        <w:rPr>
          <w:rFonts w:ascii="Arial" w:hAnsi="Arial" w:cs="Arial"/>
          <w:sz w:val="20"/>
          <w:szCs w:val="20"/>
          <w:lang w:val="sr-Cyrl-RS"/>
        </w:rPr>
        <w:t xml:space="preserve"> </w:t>
      </w:r>
      <w:r w:rsidR="00AB5288">
        <w:rPr>
          <w:rFonts w:ascii="Arial" w:hAnsi="Arial" w:cs="Arial"/>
          <w:sz w:val="20"/>
          <w:szCs w:val="20"/>
          <w:lang w:val="sr-Cyrl-RS"/>
        </w:rPr>
        <w:t>Д</w:t>
      </w:r>
      <w:r w:rsidRPr="00A021B7">
        <w:rPr>
          <w:rFonts w:ascii="Arial" w:hAnsi="Arial" w:cs="Arial"/>
          <w:sz w:val="20"/>
          <w:szCs w:val="20"/>
          <w:lang w:val="sr-Cyrl-RS"/>
        </w:rPr>
        <w:t xml:space="preserve">емократија </w:t>
      </w:r>
      <w:r w:rsidR="1D23BF72" w:rsidRPr="00A021B7">
        <w:rPr>
          <w:rFonts w:ascii="Arial" w:hAnsi="Arial" w:cs="Arial"/>
          <w:sz w:val="20"/>
          <w:szCs w:val="20"/>
          <w:lang w:val="sr-Cyrl-RS"/>
        </w:rPr>
        <w:t xml:space="preserve">и владавина </w:t>
      </w:r>
      <w:r w:rsidRPr="00A021B7">
        <w:rPr>
          <w:rFonts w:ascii="Arial" w:hAnsi="Arial" w:cs="Arial"/>
          <w:sz w:val="20"/>
          <w:szCs w:val="20"/>
          <w:lang w:val="sr-Cyrl-RS"/>
        </w:rPr>
        <w:t>права, по</w:t>
      </w:r>
      <w:r w:rsidR="00AB5288">
        <w:rPr>
          <w:rFonts w:ascii="Arial" w:hAnsi="Arial" w:cs="Arial"/>
          <w:sz w:val="20"/>
          <w:szCs w:val="20"/>
          <w:lang w:val="sr-Cyrl-RS"/>
        </w:rPr>
        <w:t>т</w:t>
      </w:r>
      <w:r w:rsidRPr="00A021B7">
        <w:rPr>
          <w:rFonts w:ascii="Arial" w:hAnsi="Arial" w:cs="Arial"/>
          <w:sz w:val="20"/>
          <w:szCs w:val="20"/>
          <w:lang w:val="sr-Cyrl-RS"/>
        </w:rPr>
        <w:t xml:space="preserve">поглављу </w:t>
      </w:r>
      <w:r w:rsidR="00AB5288">
        <w:rPr>
          <w:rFonts w:ascii="Arial" w:hAnsi="Arial" w:cs="Arial"/>
          <w:sz w:val="20"/>
          <w:szCs w:val="20"/>
          <w:lang w:val="sr-Cyrl-RS"/>
        </w:rPr>
        <w:t>Д</w:t>
      </w:r>
      <w:r w:rsidRPr="00A021B7">
        <w:rPr>
          <w:rFonts w:ascii="Arial" w:hAnsi="Arial" w:cs="Arial"/>
          <w:sz w:val="20"/>
          <w:szCs w:val="20"/>
          <w:lang w:val="sr-Cyrl-RS"/>
        </w:rPr>
        <w:t>ржавн</w:t>
      </w:r>
      <w:r w:rsidR="00AB5288">
        <w:rPr>
          <w:rFonts w:ascii="Arial" w:hAnsi="Arial" w:cs="Arial"/>
          <w:sz w:val="20"/>
          <w:szCs w:val="20"/>
          <w:lang w:val="sr-Cyrl-RS"/>
        </w:rPr>
        <w:t>а</w:t>
      </w:r>
      <w:r w:rsidRPr="00A021B7">
        <w:rPr>
          <w:rFonts w:ascii="Arial" w:hAnsi="Arial" w:cs="Arial"/>
          <w:sz w:val="20"/>
          <w:szCs w:val="20"/>
          <w:lang w:val="sr-Cyrl-RS"/>
        </w:rPr>
        <w:t xml:space="preserve"> управ</w:t>
      </w:r>
      <w:r w:rsidR="00AB5288">
        <w:rPr>
          <w:rFonts w:ascii="Arial" w:hAnsi="Arial" w:cs="Arial"/>
          <w:sz w:val="20"/>
          <w:szCs w:val="20"/>
          <w:lang w:val="sr-Cyrl-RS"/>
        </w:rPr>
        <w:t>а</w:t>
      </w:r>
      <w:r w:rsidRPr="00A021B7">
        <w:rPr>
          <w:rFonts w:ascii="Arial" w:hAnsi="Arial" w:cs="Arial"/>
          <w:sz w:val="20"/>
          <w:szCs w:val="20"/>
          <w:lang w:val="sr-Cyrl-RS"/>
        </w:rPr>
        <w:t xml:space="preserve">, даје преглед стања и приоритета у области локалне самоуправе и то: законодавног оквира, институционалног оквира, административних капацитета и ванзаконодавних мера. Такође, одређене обавезе локалне самоуправе су предвиђене у </w:t>
      </w:r>
      <w:r w:rsidR="1D23BF72" w:rsidRPr="00A021B7">
        <w:rPr>
          <w:rFonts w:ascii="Arial" w:hAnsi="Arial" w:cs="Arial"/>
          <w:sz w:val="20"/>
          <w:szCs w:val="20"/>
          <w:lang w:val="sr-Cyrl-RS"/>
        </w:rPr>
        <w:t xml:space="preserve">деловима </w:t>
      </w:r>
      <w:r w:rsidRPr="00A021B7">
        <w:rPr>
          <w:rFonts w:ascii="Arial" w:hAnsi="Arial" w:cs="Arial"/>
          <w:sz w:val="20"/>
          <w:szCs w:val="20"/>
          <w:lang w:val="sr-Cyrl-RS"/>
        </w:rPr>
        <w:t>Културна права и заштита мањина и Регионалн</w:t>
      </w:r>
      <w:r w:rsidR="00AB5288">
        <w:rPr>
          <w:rFonts w:ascii="Arial" w:hAnsi="Arial" w:cs="Arial"/>
          <w:sz w:val="20"/>
          <w:szCs w:val="20"/>
          <w:lang w:val="sr-Cyrl-RS"/>
        </w:rPr>
        <w:t>а</w:t>
      </w:r>
      <w:r w:rsidRPr="00A021B7">
        <w:rPr>
          <w:rFonts w:ascii="Arial" w:hAnsi="Arial" w:cs="Arial"/>
          <w:sz w:val="20"/>
          <w:szCs w:val="20"/>
          <w:lang w:val="sr-Cyrl-RS"/>
        </w:rPr>
        <w:t xml:space="preserve"> сарадњ</w:t>
      </w:r>
      <w:r w:rsidR="00AB5288">
        <w:rPr>
          <w:rFonts w:ascii="Arial" w:hAnsi="Arial" w:cs="Arial"/>
          <w:sz w:val="20"/>
          <w:szCs w:val="20"/>
          <w:lang w:val="sr-Cyrl-RS"/>
        </w:rPr>
        <w:t>а</w:t>
      </w:r>
      <w:r w:rsidRPr="00A021B7">
        <w:rPr>
          <w:rFonts w:ascii="Arial" w:hAnsi="Arial" w:cs="Arial"/>
          <w:sz w:val="20"/>
          <w:szCs w:val="20"/>
          <w:lang w:val="sr-Cyrl-RS"/>
        </w:rPr>
        <w:t xml:space="preserve">, Правосуђе и основна права </w:t>
      </w:r>
      <w:r w:rsidR="1D23BF72" w:rsidRPr="00A021B7">
        <w:rPr>
          <w:rFonts w:ascii="Arial" w:hAnsi="Arial" w:cs="Arial"/>
          <w:sz w:val="20"/>
          <w:szCs w:val="20"/>
          <w:lang w:val="sr-Cyrl-RS"/>
        </w:rPr>
        <w:t>–</w:t>
      </w:r>
      <w:r w:rsidRPr="00A021B7">
        <w:rPr>
          <w:rFonts w:ascii="Arial" w:hAnsi="Arial" w:cs="Arial"/>
          <w:sz w:val="20"/>
          <w:szCs w:val="20"/>
          <w:lang w:val="sr-Cyrl-RS"/>
        </w:rPr>
        <w:t xml:space="preserve"> </w:t>
      </w:r>
      <w:r w:rsidR="1D23BF72" w:rsidRPr="00A021B7">
        <w:rPr>
          <w:rFonts w:ascii="Arial" w:hAnsi="Arial" w:cs="Arial"/>
          <w:sz w:val="20"/>
          <w:szCs w:val="20"/>
          <w:lang w:val="sr-Cyrl-RS"/>
        </w:rPr>
        <w:t xml:space="preserve">слобода </w:t>
      </w:r>
      <w:r w:rsidRPr="00A021B7">
        <w:rPr>
          <w:rFonts w:ascii="Arial" w:hAnsi="Arial" w:cs="Arial"/>
          <w:sz w:val="20"/>
          <w:szCs w:val="20"/>
          <w:lang w:val="sr-Cyrl-RS"/>
        </w:rPr>
        <w:t xml:space="preserve">окупљања, мере против расизма и ксенофобије, Правда, слобода и безбедност </w:t>
      </w:r>
      <w:r w:rsidR="1D23BF72" w:rsidRPr="00A021B7">
        <w:rPr>
          <w:rFonts w:ascii="Arial" w:hAnsi="Arial" w:cs="Arial"/>
          <w:sz w:val="20"/>
          <w:szCs w:val="20"/>
          <w:lang w:val="sr-Cyrl-RS"/>
        </w:rPr>
        <w:t>–</w:t>
      </w:r>
      <w:r w:rsidRPr="00A021B7">
        <w:rPr>
          <w:rFonts w:ascii="Arial" w:hAnsi="Arial" w:cs="Arial"/>
          <w:sz w:val="20"/>
          <w:szCs w:val="20"/>
          <w:lang w:val="sr-Cyrl-RS"/>
        </w:rPr>
        <w:t xml:space="preserve"> миграције, затим по појединачним поглављима у делу који се тиче ветеринарске политике, социјалне </w:t>
      </w:r>
      <w:r w:rsidR="00AB5288" w:rsidRPr="00A021B7">
        <w:rPr>
          <w:rFonts w:ascii="Arial" w:hAnsi="Arial" w:cs="Arial"/>
          <w:sz w:val="20"/>
          <w:szCs w:val="20"/>
          <w:lang w:val="sr-Cyrl-RS"/>
        </w:rPr>
        <w:t>политике</w:t>
      </w:r>
      <w:r w:rsidRPr="00A021B7">
        <w:rPr>
          <w:rFonts w:ascii="Arial" w:hAnsi="Arial" w:cs="Arial"/>
          <w:sz w:val="20"/>
          <w:szCs w:val="20"/>
          <w:lang w:val="sr-Cyrl-RS"/>
        </w:rPr>
        <w:t xml:space="preserve"> и </w:t>
      </w:r>
      <w:r w:rsidR="00AB5288" w:rsidRPr="00A021B7">
        <w:rPr>
          <w:rFonts w:ascii="Arial" w:hAnsi="Arial" w:cs="Arial"/>
          <w:sz w:val="20"/>
          <w:szCs w:val="20"/>
          <w:lang w:val="sr-Cyrl-RS"/>
        </w:rPr>
        <w:t>запошљавања</w:t>
      </w:r>
      <w:r w:rsidRPr="00A021B7">
        <w:rPr>
          <w:rFonts w:ascii="Arial" w:hAnsi="Arial" w:cs="Arial"/>
          <w:sz w:val="20"/>
          <w:szCs w:val="20"/>
          <w:lang w:val="sr-Cyrl-RS"/>
        </w:rPr>
        <w:t xml:space="preserve">, </w:t>
      </w:r>
      <w:r w:rsidR="00AB5288" w:rsidRPr="00A021B7">
        <w:rPr>
          <w:rFonts w:ascii="Arial" w:hAnsi="Arial" w:cs="Arial"/>
          <w:sz w:val="20"/>
          <w:szCs w:val="20"/>
          <w:lang w:val="sr-Cyrl-RS"/>
        </w:rPr>
        <w:t>животне</w:t>
      </w:r>
      <w:r w:rsidRPr="00A021B7">
        <w:rPr>
          <w:rFonts w:ascii="Arial" w:hAnsi="Arial" w:cs="Arial"/>
          <w:sz w:val="20"/>
          <w:szCs w:val="20"/>
          <w:lang w:val="sr-Cyrl-RS"/>
        </w:rPr>
        <w:t xml:space="preserve"> </w:t>
      </w:r>
      <w:r w:rsidR="00AB5288" w:rsidRPr="00A021B7">
        <w:rPr>
          <w:rFonts w:ascii="Arial" w:hAnsi="Arial" w:cs="Arial"/>
          <w:sz w:val="20"/>
          <w:szCs w:val="20"/>
          <w:lang w:val="sr-Cyrl-RS"/>
        </w:rPr>
        <w:t>средине</w:t>
      </w:r>
      <w:r w:rsidRPr="00A021B7">
        <w:rPr>
          <w:rFonts w:ascii="Arial" w:hAnsi="Arial" w:cs="Arial"/>
          <w:sz w:val="20"/>
          <w:szCs w:val="20"/>
          <w:lang w:val="sr-Cyrl-RS"/>
        </w:rPr>
        <w:t xml:space="preserve">, </w:t>
      </w:r>
      <w:r w:rsidR="00AB5288" w:rsidRPr="00A021B7">
        <w:rPr>
          <w:rFonts w:ascii="Arial" w:hAnsi="Arial" w:cs="Arial"/>
          <w:sz w:val="20"/>
          <w:szCs w:val="20"/>
          <w:lang w:val="sr-Cyrl-RS"/>
        </w:rPr>
        <w:t>образовања</w:t>
      </w:r>
      <w:r w:rsidRPr="00A021B7">
        <w:rPr>
          <w:rFonts w:ascii="Arial" w:hAnsi="Arial" w:cs="Arial"/>
          <w:sz w:val="20"/>
          <w:szCs w:val="20"/>
          <w:lang w:val="sr-Cyrl-RS"/>
        </w:rPr>
        <w:t xml:space="preserve">, </w:t>
      </w:r>
      <w:r w:rsidR="00AB5288" w:rsidRPr="00A021B7">
        <w:rPr>
          <w:rFonts w:ascii="Arial" w:hAnsi="Arial" w:cs="Arial"/>
          <w:sz w:val="20"/>
          <w:szCs w:val="20"/>
          <w:lang w:val="sr-Cyrl-RS"/>
        </w:rPr>
        <w:t>омладине</w:t>
      </w:r>
      <w:r w:rsidR="0EF53BFC" w:rsidRPr="00A021B7">
        <w:rPr>
          <w:rFonts w:ascii="Arial" w:hAnsi="Arial" w:cs="Arial"/>
          <w:sz w:val="20"/>
          <w:szCs w:val="20"/>
          <w:lang w:val="sr-Cyrl-RS"/>
        </w:rPr>
        <w:t xml:space="preserve"> </w:t>
      </w:r>
      <w:r w:rsidRPr="00A021B7">
        <w:rPr>
          <w:rFonts w:ascii="Arial" w:hAnsi="Arial" w:cs="Arial"/>
          <w:sz w:val="20"/>
          <w:szCs w:val="20"/>
          <w:lang w:val="sr-Cyrl-RS"/>
        </w:rPr>
        <w:t xml:space="preserve">и </w:t>
      </w:r>
      <w:r w:rsidR="00AB5288" w:rsidRPr="00A021B7">
        <w:rPr>
          <w:rFonts w:ascii="Arial" w:hAnsi="Arial" w:cs="Arial"/>
          <w:sz w:val="20"/>
          <w:szCs w:val="20"/>
          <w:lang w:val="sr-Cyrl-RS"/>
        </w:rPr>
        <w:t>спорта</w:t>
      </w:r>
      <w:r w:rsidRPr="00A021B7">
        <w:rPr>
          <w:rFonts w:ascii="Arial" w:hAnsi="Arial" w:cs="Arial"/>
          <w:sz w:val="20"/>
          <w:szCs w:val="20"/>
          <w:lang w:val="sr-Cyrl-RS"/>
        </w:rPr>
        <w:t xml:space="preserve">, културе </w:t>
      </w:r>
      <w:r w:rsidR="0EF53BFC" w:rsidRPr="00A021B7">
        <w:rPr>
          <w:rFonts w:ascii="Arial" w:hAnsi="Arial" w:cs="Arial"/>
          <w:sz w:val="20"/>
          <w:szCs w:val="20"/>
          <w:lang w:val="sr-Cyrl-RS"/>
        </w:rPr>
        <w:t xml:space="preserve">и </w:t>
      </w:r>
      <w:r w:rsidRPr="00A021B7">
        <w:rPr>
          <w:rFonts w:ascii="Arial" w:hAnsi="Arial" w:cs="Arial"/>
          <w:sz w:val="20"/>
          <w:szCs w:val="20"/>
          <w:lang w:val="sr-Cyrl-RS"/>
        </w:rPr>
        <w:t>заштите потрошача. Коначно, последње измене З</w:t>
      </w:r>
      <w:r w:rsidR="0EF53BFC" w:rsidRPr="00A021B7">
        <w:rPr>
          <w:rFonts w:ascii="Arial" w:hAnsi="Arial" w:cs="Arial"/>
          <w:sz w:val="20"/>
          <w:szCs w:val="20"/>
          <w:lang w:val="sr-Cyrl-RS"/>
        </w:rPr>
        <w:t>ЛС</w:t>
      </w:r>
      <w:r w:rsidRPr="00A021B7">
        <w:rPr>
          <w:rFonts w:ascii="Arial" w:hAnsi="Arial" w:cs="Arial"/>
          <w:sz w:val="20"/>
          <w:szCs w:val="20"/>
          <w:lang w:val="sr-Cyrl-RS"/>
        </w:rPr>
        <w:t xml:space="preserve"> у </w:t>
      </w:r>
      <w:r w:rsidR="0EF53BFC" w:rsidRPr="00A021B7">
        <w:rPr>
          <w:rFonts w:ascii="Arial" w:hAnsi="Arial" w:cs="Arial"/>
          <w:sz w:val="20"/>
          <w:szCs w:val="20"/>
          <w:lang w:val="sr-Cyrl-RS"/>
        </w:rPr>
        <w:t>чл</w:t>
      </w:r>
      <w:r w:rsidR="0DA5563C" w:rsidRPr="00A021B7">
        <w:rPr>
          <w:rFonts w:ascii="Arial" w:hAnsi="Arial" w:cs="Arial"/>
          <w:sz w:val="20"/>
          <w:szCs w:val="20"/>
          <w:lang w:val="sr-Cyrl-RS"/>
        </w:rPr>
        <w:t>ану</w:t>
      </w:r>
      <w:r w:rsidR="0EF53BFC" w:rsidRPr="00A021B7">
        <w:rPr>
          <w:rFonts w:ascii="Arial" w:hAnsi="Arial" w:cs="Arial"/>
          <w:sz w:val="20"/>
          <w:szCs w:val="20"/>
          <w:lang w:val="sr-Cyrl-RS"/>
        </w:rPr>
        <w:t xml:space="preserve"> </w:t>
      </w:r>
      <w:r w:rsidRPr="00A021B7">
        <w:rPr>
          <w:rFonts w:ascii="Arial" w:hAnsi="Arial" w:cs="Arial"/>
          <w:sz w:val="20"/>
          <w:szCs w:val="20"/>
          <w:lang w:val="sr-Cyrl-RS"/>
        </w:rPr>
        <w:t xml:space="preserve">13. уводе правни основ за праћење процеса </w:t>
      </w:r>
      <w:r w:rsidR="00AB5288">
        <w:rPr>
          <w:rFonts w:ascii="Arial" w:hAnsi="Arial" w:cs="Arial"/>
          <w:sz w:val="20"/>
          <w:szCs w:val="20"/>
          <w:lang w:val="sr-Cyrl-RS"/>
        </w:rPr>
        <w:t>европских</w:t>
      </w:r>
      <w:r w:rsidR="00AB5288" w:rsidRPr="00A021B7">
        <w:rPr>
          <w:rFonts w:ascii="Arial" w:hAnsi="Arial" w:cs="Arial"/>
          <w:sz w:val="20"/>
          <w:szCs w:val="20"/>
          <w:lang w:val="sr-Cyrl-RS"/>
        </w:rPr>
        <w:t xml:space="preserve"> </w:t>
      </w:r>
      <w:r w:rsidRPr="00A021B7">
        <w:rPr>
          <w:rFonts w:ascii="Arial" w:hAnsi="Arial" w:cs="Arial"/>
          <w:sz w:val="20"/>
          <w:szCs w:val="20"/>
          <w:lang w:val="sr-Cyrl-RS"/>
        </w:rPr>
        <w:t>интеграција</w:t>
      </w:r>
      <w:r w:rsidRPr="00A021B7">
        <w:rPr>
          <w:rFonts w:ascii="Arial" w:hAnsi="Arial" w:cs="Arial"/>
          <w:b/>
          <w:bCs/>
          <w:sz w:val="20"/>
          <w:szCs w:val="20"/>
          <w:lang w:val="sr-Cyrl-RS"/>
        </w:rPr>
        <w:t xml:space="preserve"> </w:t>
      </w:r>
      <w:r w:rsidRPr="00A021B7">
        <w:rPr>
          <w:rFonts w:ascii="Arial" w:hAnsi="Arial" w:cs="Arial"/>
          <w:sz w:val="20"/>
          <w:szCs w:val="20"/>
          <w:lang w:val="sr-Cyrl-RS"/>
        </w:rPr>
        <w:t>и успостављање релевантних административних капацитета.</w:t>
      </w:r>
      <w:r w:rsidR="00640238" w:rsidRPr="00A021B7">
        <w:rPr>
          <w:rFonts w:ascii="Arial" w:hAnsi="Arial" w:cs="Arial"/>
          <w:sz w:val="20"/>
          <w:szCs w:val="20"/>
          <w:vertAlign w:val="superscript"/>
          <w:lang w:val="sr-Cyrl-RS"/>
        </w:rPr>
        <w:footnoteReference w:id="170"/>
      </w:r>
      <w:r w:rsidRPr="00A021B7">
        <w:rPr>
          <w:rFonts w:ascii="Arial" w:hAnsi="Arial" w:cs="Arial"/>
          <w:sz w:val="20"/>
          <w:szCs w:val="20"/>
          <w:lang w:val="sr-Cyrl-RS"/>
        </w:rPr>
        <w:t xml:space="preserve"> Постоји и низ других докумената Републике Србије у којима се наводе обавезе за локалну самоуправу, а овде је дат преглед најважнијих. Како одмиче процес европских интеграција, приметно је да државни органи у припреми различитих докумената којима се одређује стратешки оквир Републике Србије у процесу приступања ЕУ, све више узимају у обзир положај, улогу и утицај тог процеса на локалну самоуправу.</w:t>
      </w:r>
    </w:p>
    <w:p w14:paraId="696006DD" w14:textId="77777777" w:rsidR="00640238" w:rsidRPr="00A021B7" w:rsidRDefault="00640238" w:rsidP="1A8E6423">
      <w:pPr>
        <w:autoSpaceDE w:val="0"/>
        <w:autoSpaceDN w:val="0"/>
        <w:adjustRightInd w:val="0"/>
        <w:ind w:firstLine="720"/>
        <w:jc w:val="both"/>
        <w:rPr>
          <w:rFonts w:ascii="Arial" w:hAnsi="Arial" w:cs="Arial"/>
          <w:b/>
          <w:bCs/>
          <w:sz w:val="20"/>
          <w:szCs w:val="20"/>
          <w:lang w:val="sr-Cyrl-RS"/>
        </w:rPr>
      </w:pPr>
    </w:p>
    <w:p w14:paraId="23F42FA4" w14:textId="6F79657E" w:rsidR="00640238" w:rsidRPr="00A021B7" w:rsidRDefault="47B5AC75" w:rsidP="1A8E6423">
      <w:pPr>
        <w:ind w:firstLine="720"/>
        <w:jc w:val="both"/>
        <w:rPr>
          <w:rFonts w:ascii="Arial" w:hAnsi="Arial" w:cs="Arial"/>
          <w:sz w:val="20"/>
          <w:szCs w:val="20"/>
          <w:lang w:val="sr-Cyrl-RS"/>
        </w:rPr>
      </w:pPr>
      <w:r w:rsidRPr="00A021B7">
        <w:rPr>
          <w:rFonts w:ascii="Arial" w:eastAsia="Arial" w:hAnsi="Arial" w:cs="Arial"/>
          <w:sz w:val="20"/>
          <w:szCs w:val="20"/>
          <w:lang w:val="sr-Cyrl-RS"/>
        </w:rPr>
        <w:t>У процесу европских интеграција</w:t>
      </w:r>
      <w:r w:rsidR="3E9E56AE" w:rsidRPr="00A021B7">
        <w:rPr>
          <w:rFonts w:ascii="Arial" w:eastAsia="Arial" w:hAnsi="Arial" w:cs="Arial"/>
          <w:sz w:val="20"/>
          <w:szCs w:val="20"/>
          <w:lang w:val="sr-Cyrl-RS"/>
        </w:rPr>
        <w:t>,</w:t>
      </w:r>
      <w:r w:rsidRPr="00A021B7">
        <w:rPr>
          <w:rFonts w:ascii="Arial" w:eastAsia="Arial" w:hAnsi="Arial" w:cs="Arial"/>
          <w:sz w:val="20"/>
          <w:szCs w:val="20"/>
          <w:lang w:val="sr-Cyrl-RS"/>
        </w:rPr>
        <w:t xml:space="preserve"> локалне власти суочене су са низом изазова који представљају препреку за њихов већи позитиван допринос успешном завршетку овог процеса. </w:t>
      </w:r>
      <w:r w:rsidRPr="00A021B7">
        <w:rPr>
          <w:rFonts w:ascii="Arial" w:hAnsi="Arial" w:cs="Arial"/>
          <w:sz w:val="20"/>
          <w:szCs w:val="20"/>
          <w:lang w:val="sr-Cyrl-RS"/>
        </w:rPr>
        <w:t xml:space="preserve">Један од изазова јесте потреба </w:t>
      </w:r>
      <w:r w:rsidR="00AB5288">
        <w:rPr>
          <w:rFonts w:ascii="Arial" w:hAnsi="Arial" w:cs="Arial"/>
          <w:sz w:val="20"/>
          <w:szCs w:val="20"/>
          <w:lang w:val="sr-Cyrl-RS"/>
        </w:rPr>
        <w:t xml:space="preserve">да се ЈЛС </w:t>
      </w:r>
      <w:r w:rsidRPr="00A021B7">
        <w:rPr>
          <w:rFonts w:ascii="Arial" w:hAnsi="Arial" w:cs="Arial"/>
          <w:sz w:val="20"/>
          <w:szCs w:val="20"/>
          <w:lang w:val="sr-Cyrl-RS"/>
        </w:rPr>
        <w:t>уваж</w:t>
      </w:r>
      <w:r w:rsidR="00AB5288">
        <w:rPr>
          <w:rFonts w:ascii="Arial" w:hAnsi="Arial" w:cs="Arial"/>
          <w:sz w:val="20"/>
          <w:szCs w:val="20"/>
          <w:lang w:val="sr-Cyrl-RS"/>
        </w:rPr>
        <w:t>е</w:t>
      </w:r>
      <w:r w:rsidRPr="00A021B7">
        <w:rPr>
          <w:rFonts w:ascii="Arial" w:hAnsi="Arial" w:cs="Arial"/>
          <w:sz w:val="20"/>
          <w:szCs w:val="20"/>
          <w:lang w:val="sr-Cyrl-RS"/>
        </w:rPr>
        <w:t xml:space="preserve"> и укључ</w:t>
      </w:r>
      <w:r w:rsidR="00AB5288">
        <w:rPr>
          <w:rFonts w:ascii="Arial" w:hAnsi="Arial" w:cs="Arial"/>
          <w:sz w:val="20"/>
          <w:szCs w:val="20"/>
          <w:lang w:val="sr-Cyrl-RS"/>
        </w:rPr>
        <w:t>е</w:t>
      </w:r>
      <w:r w:rsidRPr="00A021B7">
        <w:rPr>
          <w:rFonts w:ascii="Arial" w:hAnsi="Arial" w:cs="Arial"/>
          <w:sz w:val="20"/>
          <w:szCs w:val="20"/>
          <w:lang w:val="sr-Cyrl-RS"/>
        </w:rPr>
        <w:t xml:space="preserve"> у процес приступних преговора и </w:t>
      </w:r>
      <w:r w:rsidR="00AB5288">
        <w:rPr>
          <w:rFonts w:ascii="Arial" w:hAnsi="Arial" w:cs="Arial"/>
          <w:sz w:val="20"/>
          <w:szCs w:val="20"/>
          <w:lang w:val="sr-Cyrl-RS"/>
        </w:rPr>
        <w:t>да се</w:t>
      </w:r>
      <w:r w:rsidR="00AB5288" w:rsidRPr="00A021B7">
        <w:rPr>
          <w:rFonts w:ascii="Arial" w:hAnsi="Arial" w:cs="Arial"/>
          <w:sz w:val="20"/>
          <w:szCs w:val="20"/>
          <w:lang w:val="sr-Cyrl-RS"/>
        </w:rPr>
        <w:t xml:space="preserve"> </w:t>
      </w:r>
      <w:r w:rsidRPr="00A021B7">
        <w:rPr>
          <w:rFonts w:ascii="Arial" w:hAnsi="Arial" w:cs="Arial"/>
          <w:sz w:val="20"/>
          <w:szCs w:val="20"/>
          <w:lang w:val="sr-Cyrl-RS"/>
        </w:rPr>
        <w:t>адекватно информи</w:t>
      </w:r>
      <w:r w:rsidR="00AB5288">
        <w:rPr>
          <w:rFonts w:ascii="Arial" w:hAnsi="Arial" w:cs="Arial"/>
          <w:sz w:val="20"/>
          <w:szCs w:val="20"/>
          <w:lang w:val="sr-Cyrl-RS"/>
        </w:rPr>
        <w:t>шу</w:t>
      </w:r>
      <w:r w:rsidR="1B1225A8" w:rsidRPr="00A021B7">
        <w:rPr>
          <w:rFonts w:ascii="Arial" w:hAnsi="Arial" w:cs="Arial"/>
          <w:sz w:val="20"/>
          <w:szCs w:val="20"/>
          <w:lang w:val="sr-Cyrl-RS"/>
        </w:rPr>
        <w:t>,</w:t>
      </w:r>
      <w:r w:rsidRPr="1A8E6423">
        <w:rPr>
          <w:rFonts w:ascii="Arial" w:hAnsi="Arial" w:cs="Arial"/>
          <w:b/>
          <w:bCs/>
          <w:i/>
          <w:iCs/>
          <w:sz w:val="20"/>
          <w:szCs w:val="20"/>
          <w:lang w:val="sr-Cyrl-RS"/>
        </w:rPr>
        <w:t xml:space="preserve"> </w:t>
      </w:r>
      <w:r w:rsidRPr="00A021B7">
        <w:rPr>
          <w:rFonts w:ascii="Arial" w:hAnsi="Arial" w:cs="Arial"/>
          <w:sz w:val="20"/>
          <w:szCs w:val="20"/>
          <w:lang w:val="sr-Cyrl-RS"/>
        </w:rPr>
        <w:t>односно</w:t>
      </w:r>
      <w:r w:rsidRPr="1A8E6423">
        <w:rPr>
          <w:rFonts w:ascii="Arial" w:hAnsi="Arial" w:cs="Arial"/>
          <w:b/>
          <w:bCs/>
          <w:i/>
          <w:iCs/>
          <w:sz w:val="20"/>
          <w:szCs w:val="20"/>
          <w:lang w:val="sr-Cyrl-RS"/>
        </w:rPr>
        <w:t xml:space="preserve"> </w:t>
      </w:r>
      <w:r w:rsidR="00AB5288" w:rsidRPr="00AB5288">
        <w:rPr>
          <w:rFonts w:ascii="Arial" w:hAnsi="Arial" w:cs="Arial"/>
          <w:sz w:val="20"/>
          <w:szCs w:val="20"/>
          <w:lang w:val="sr-Cyrl-RS"/>
        </w:rPr>
        <w:t xml:space="preserve">да се </w:t>
      </w:r>
      <w:r w:rsidRPr="00AB5288">
        <w:rPr>
          <w:rFonts w:ascii="Arial" w:hAnsi="Arial" w:cs="Arial"/>
          <w:sz w:val="20"/>
          <w:szCs w:val="20"/>
          <w:lang w:val="sr-Cyrl-RS"/>
        </w:rPr>
        <w:t>доследн</w:t>
      </w:r>
      <w:r w:rsidR="00AB5288">
        <w:rPr>
          <w:rFonts w:ascii="Arial" w:hAnsi="Arial" w:cs="Arial"/>
          <w:sz w:val="20"/>
          <w:szCs w:val="20"/>
          <w:lang w:val="sr-Cyrl-RS"/>
        </w:rPr>
        <w:t>о</w:t>
      </w:r>
      <w:r w:rsidRPr="00A021B7">
        <w:rPr>
          <w:rFonts w:ascii="Arial" w:hAnsi="Arial" w:cs="Arial"/>
          <w:sz w:val="20"/>
          <w:szCs w:val="20"/>
          <w:lang w:val="sr-Cyrl-RS"/>
        </w:rPr>
        <w:t xml:space="preserve"> приме</w:t>
      </w:r>
      <w:r w:rsidR="00AB5288">
        <w:rPr>
          <w:rFonts w:ascii="Arial" w:hAnsi="Arial" w:cs="Arial"/>
          <w:sz w:val="20"/>
          <w:szCs w:val="20"/>
          <w:lang w:val="sr-Cyrl-RS"/>
        </w:rPr>
        <w:t>њују</w:t>
      </w:r>
      <w:r w:rsidRPr="00A021B7">
        <w:rPr>
          <w:rFonts w:ascii="Arial" w:hAnsi="Arial" w:cs="Arial"/>
          <w:sz w:val="20"/>
          <w:szCs w:val="20"/>
          <w:lang w:val="sr-Cyrl-RS"/>
        </w:rPr>
        <w:t xml:space="preserve"> начела партнерства у процесу </w:t>
      </w:r>
      <w:r w:rsidR="5A99A05F" w:rsidRPr="00A021B7">
        <w:rPr>
          <w:rFonts w:ascii="Arial" w:hAnsi="Arial" w:cs="Arial"/>
          <w:sz w:val="20"/>
          <w:szCs w:val="20"/>
          <w:lang w:val="sr-Cyrl-RS"/>
        </w:rPr>
        <w:t xml:space="preserve">европских </w:t>
      </w:r>
      <w:r w:rsidRPr="00A021B7">
        <w:rPr>
          <w:rFonts w:ascii="Arial" w:hAnsi="Arial" w:cs="Arial"/>
          <w:sz w:val="20"/>
          <w:szCs w:val="20"/>
          <w:lang w:val="sr-Cyrl-RS"/>
        </w:rPr>
        <w:t>интеграција између свих нивоа на којима се врше јавна овлашћења. Процесом приступања ЕУ руководи национални ниво</w:t>
      </w:r>
      <w:r w:rsidR="00AB5288">
        <w:rPr>
          <w:rFonts w:ascii="Arial" w:hAnsi="Arial" w:cs="Arial"/>
          <w:sz w:val="20"/>
          <w:szCs w:val="20"/>
          <w:lang w:val="sr-Cyrl-RS"/>
        </w:rPr>
        <w:t>,</w:t>
      </w:r>
      <w:r w:rsidRPr="00A021B7">
        <w:rPr>
          <w:rFonts w:ascii="Arial" w:hAnsi="Arial" w:cs="Arial"/>
          <w:sz w:val="20"/>
          <w:szCs w:val="20"/>
          <w:lang w:val="sr-Cyrl-RS"/>
        </w:rPr>
        <w:t xml:space="preserve"> </w:t>
      </w:r>
      <w:r w:rsidR="00B93900">
        <w:rPr>
          <w:rFonts w:ascii="Arial" w:hAnsi="Arial" w:cs="Arial"/>
          <w:sz w:val="20"/>
          <w:szCs w:val="20"/>
          <w:lang w:val="sr-Cyrl-RS"/>
        </w:rPr>
        <w:t>али је активно</w:t>
      </w:r>
      <w:r w:rsidRPr="00A021B7">
        <w:rPr>
          <w:rFonts w:ascii="Arial" w:hAnsi="Arial" w:cs="Arial"/>
          <w:sz w:val="20"/>
          <w:szCs w:val="20"/>
          <w:lang w:val="sr-Cyrl-RS"/>
        </w:rPr>
        <w:t xml:space="preserve"> укључ</w:t>
      </w:r>
      <w:r w:rsidR="00B93900">
        <w:rPr>
          <w:rFonts w:ascii="Arial" w:hAnsi="Arial" w:cs="Arial"/>
          <w:sz w:val="20"/>
          <w:szCs w:val="20"/>
          <w:lang w:val="sr-Cyrl-RS"/>
        </w:rPr>
        <w:t>ивање других нивоа јавне управе, веома значајно за</w:t>
      </w:r>
      <w:r w:rsidRPr="00A021B7">
        <w:rPr>
          <w:rFonts w:ascii="Arial" w:hAnsi="Arial" w:cs="Arial"/>
          <w:sz w:val="20"/>
          <w:szCs w:val="20"/>
          <w:lang w:val="sr-Cyrl-RS"/>
        </w:rPr>
        <w:t xml:space="preserve"> његово спровођење. Овај процес подразумева вишеструке обавезе за ЈЛС, укључујући нове надлежности или нове послове у оквиру постојећих надлежности – попут доношења стратешких и планских докумената, оснивања тела, успостављања нових радних места или увођења нових послова у оквиру постојећих радних места, доношење локалних аката у примени закона усклађених са стандардима</w:t>
      </w:r>
      <w:r w:rsidR="00AB5288">
        <w:rPr>
          <w:rFonts w:ascii="Arial" w:hAnsi="Arial" w:cs="Arial"/>
          <w:sz w:val="20"/>
          <w:szCs w:val="20"/>
          <w:lang w:val="sr-Cyrl-RS"/>
        </w:rPr>
        <w:t xml:space="preserve"> ЕУ</w:t>
      </w:r>
      <w:r w:rsidRPr="00A021B7">
        <w:rPr>
          <w:rFonts w:ascii="Arial" w:hAnsi="Arial" w:cs="Arial"/>
          <w:sz w:val="20"/>
          <w:szCs w:val="20"/>
          <w:lang w:val="sr-Cyrl-RS"/>
        </w:rPr>
        <w:t>.</w:t>
      </w:r>
      <w:r w:rsidR="00640238" w:rsidRPr="00A021B7">
        <w:rPr>
          <w:rStyle w:val="FootnoteReference"/>
          <w:rFonts w:ascii="Arial" w:hAnsi="Arial" w:cs="Arial"/>
          <w:sz w:val="20"/>
          <w:szCs w:val="20"/>
          <w:lang w:val="sr-Cyrl-RS"/>
        </w:rPr>
        <w:footnoteReference w:id="171"/>
      </w:r>
    </w:p>
    <w:p w14:paraId="69D47ADF" w14:textId="77777777" w:rsidR="0033389E" w:rsidRPr="00A021B7" w:rsidRDefault="0033389E" w:rsidP="1A8E6423">
      <w:pPr>
        <w:ind w:firstLine="720"/>
        <w:jc w:val="both"/>
        <w:rPr>
          <w:rFonts w:ascii="Arial" w:hAnsi="Arial" w:cs="Arial"/>
          <w:sz w:val="20"/>
          <w:szCs w:val="20"/>
          <w:lang w:val="sr-Cyrl-RS"/>
        </w:rPr>
      </w:pPr>
    </w:p>
    <w:p w14:paraId="48D00942" w14:textId="64D04D01" w:rsidR="00AF2905" w:rsidRDefault="47B5AC75"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Приступни преговори Републике Србије са ЕУ започели су </w:t>
      </w:r>
      <w:r w:rsidRPr="00A021B7">
        <w:rPr>
          <w:rStyle w:val="Strong"/>
          <w:rFonts w:ascii="Arial" w:hAnsi="Arial" w:cs="Arial"/>
          <w:b w:val="0"/>
          <w:bCs w:val="0"/>
          <w:sz w:val="20"/>
          <w:szCs w:val="20"/>
          <w:lang w:val="sr-Cyrl-RS"/>
        </w:rPr>
        <w:t>2014</w:t>
      </w:r>
      <w:r w:rsidRPr="00A021B7">
        <w:rPr>
          <w:rFonts w:ascii="Arial" w:hAnsi="Arial" w:cs="Arial"/>
          <w:sz w:val="20"/>
          <w:szCs w:val="20"/>
          <w:lang w:val="sr-Cyrl-RS"/>
        </w:rPr>
        <w:t xml:space="preserve">. године. </w:t>
      </w:r>
      <w:r w:rsidRPr="00A021B7">
        <w:rPr>
          <w:rFonts w:ascii="Arial" w:hAnsi="Arial" w:cs="Arial"/>
          <w:sz w:val="20"/>
          <w:szCs w:val="20"/>
          <w:shd w:val="clear" w:color="auto" w:fill="FFFFFF"/>
          <w:lang w:val="sr-Cyrl-RS"/>
        </w:rPr>
        <w:t xml:space="preserve">До сада је отворено 18 поглавља, </w:t>
      </w:r>
      <w:r w:rsidR="477DB858" w:rsidRPr="00A021B7">
        <w:rPr>
          <w:rFonts w:ascii="Arial" w:hAnsi="Arial" w:cs="Arial"/>
          <w:sz w:val="20"/>
          <w:szCs w:val="20"/>
          <w:shd w:val="clear" w:color="auto" w:fill="FFFFFF"/>
          <w:lang w:val="sr-Cyrl-RS"/>
        </w:rPr>
        <w:t xml:space="preserve">а </w:t>
      </w:r>
      <w:r w:rsidRPr="00A021B7">
        <w:rPr>
          <w:rFonts w:ascii="Arial" w:hAnsi="Arial" w:cs="Arial"/>
          <w:sz w:val="20"/>
          <w:szCs w:val="20"/>
          <w:shd w:val="clear" w:color="auto" w:fill="FFFFFF"/>
          <w:lang w:val="sr-Cyrl-RS"/>
        </w:rPr>
        <w:t xml:space="preserve">два (25 и 26) </w:t>
      </w:r>
      <w:r w:rsidR="477DB858" w:rsidRPr="00A021B7">
        <w:rPr>
          <w:rFonts w:ascii="Arial" w:hAnsi="Arial" w:cs="Arial"/>
          <w:sz w:val="20"/>
          <w:szCs w:val="20"/>
          <w:shd w:val="clear" w:color="auto" w:fill="FFFFFF"/>
          <w:lang w:val="sr-Cyrl-RS"/>
        </w:rPr>
        <w:t xml:space="preserve">су </w:t>
      </w:r>
      <w:r w:rsidRPr="00A021B7">
        <w:rPr>
          <w:rFonts w:ascii="Arial" w:hAnsi="Arial" w:cs="Arial"/>
          <w:sz w:val="20"/>
          <w:szCs w:val="20"/>
          <w:shd w:val="clear" w:color="auto" w:fill="FFFFFF"/>
          <w:lang w:val="sr-Cyrl-RS"/>
        </w:rPr>
        <w:t xml:space="preserve">привремено затворена. </w:t>
      </w:r>
      <w:r w:rsidRPr="00A021B7">
        <w:rPr>
          <w:rFonts w:ascii="Arial" w:hAnsi="Arial" w:cs="Arial"/>
          <w:sz w:val="20"/>
          <w:szCs w:val="20"/>
          <w:lang w:val="sr-Cyrl-RS"/>
        </w:rPr>
        <w:t xml:space="preserve">Приступни преговори подразумевају одрживу преговарачку структуру и одговарајуће </w:t>
      </w:r>
      <w:r w:rsidR="477DB858" w:rsidRPr="00A021B7">
        <w:rPr>
          <w:rFonts w:ascii="Arial" w:hAnsi="Arial" w:cs="Arial"/>
          <w:sz w:val="20"/>
          <w:szCs w:val="20"/>
          <w:lang w:val="sr-Cyrl-RS"/>
        </w:rPr>
        <w:t xml:space="preserve">административне </w:t>
      </w:r>
      <w:r w:rsidRPr="00A021B7">
        <w:rPr>
          <w:rFonts w:ascii="Arial" w:hAnsi="Arial" w:cs="Arial"/>
          <w:sz w:val="20"/>
          <w:szCs w:val="20"/>
          <w:lang w:val="sr-Cyrl-RS"/>
        </w:rPr>
        <w:t>капацитете, пре свега, али не и искључиво на централном нивоу.</w:t>
      </w:r>
      <w:r w:rsidR="00640238" w:rsidRPr="00A021B7">
        <w:rPr>
          <w:rStyle w:val="FootnoteReference"/>
          <w:rFonts w:ascii="Arial" w:hAnsi="Arial" w:cs="Arial"/>
          <w:sz w:val="20"/>
          <w:szCs w:val="20"/>
          <w:lang w:val="sr-Cyrl-RS"/>
        </w:rPr>
        <w:footnoteReference w:id="172"/>
      </w:r>
      <w:r w:rsidRPr="00A021B7">
        <w:rPr>
          <w:rFonts w:ascii="Arial" w:hAnsi="Arial" w:cs="Arial"/>
          <w:sz w:val="20"/>
          <w:szCs w:val="20"/>
          <w:lang w:val="sr-Cyrl-RS"/>
        </w:rPr>
        <w:t xml:space="preserve"> </w:t>
      </w:r>
      <w:r w:rsidR="004B4288">
        <w:rPr>
          <w:rFonts w:ascii="Arial" w:hAnsi="Arial" w:cs="Arial"/>
          <w:sz w:val="20"/>
          <w:szCs w:val="20"/>
          <w:lang w:val="sr-Cyrl-RS"/>
        </w:rPr>
        <w:t xml:space="preserve">Иако има примера добре праксе укључивања локалних власти у овај процес, </w:t>
      </w:r>
      <w:r w:rsidRPr="00A021B7">
        <w:rPr>
          <w:rFonts w:ascii="Arial" w:hAnsi="Arial" w:cs="Arial"/>
          <w:sz w:val="20"/>
          <w:szCs w:val="20"/>
          <w:lang w:val="sr-Cyrl-RS"/>
        </w:rPr>
        <w:t xml:space="preserve">ЈЛС у Србији нису формални чланови преговарачких </w:t>
      </w:r>
      <w:r w:rsidRPr="00A021B7">
        <w:rPr>
          <w:rFonts w:ascii="Arial" w:hAnsi="Arial" w:cs="Arial"/>
          <w:sz w:val="20"/>
          <w:szCs w:val="20"/>
          <w:lang w:val="sr-Cyrl-RS"/>
        </w:rPr>
        <w:lastRenderedPageBreak/>
        <w:t>група на националном нивоу</w:t>
      </w:r>
      <w:r w:rsidR="00AF2905">
        <w:rPr>
          <w:rFonts w:ascii="Arial" w:hAnsi="Arial" w:cs="Arial"/>
          <w:sz w:val="20"/>
          <w:szCs w:val="20"/>
          <w:lang w:val="sr-Cyrl-RS"/>
        </w:rPr>
        <w:t>.</w:t>
      </w:r>
      <w:r w:rsidR="00640238" w:rsidRPr="00A021B7">
        <w:rPr>
          <w:rStyle w:val="FootnoteReference"/>
          <w:rFonts w:ascii="Arial" w:hAnsi="Arial" w:cs="Arial"/>
          <w:color w:val="222222"/>
          <w:sz w:val="20"/>
          <w:szCs w:val="20"/>
          <w:lang w:val="sr-Cyrl-RS"/>
        </w:rPr>
        <w:footnoteReference w:id="173"/>
      </w:r>
      <w:r w:rsidRPr="00A021B7">
        <w:rPr>
          <w:rFonts w:ascii="Arial" w:hAnsi="Arial" w:cs="Arial"/>
          <w:sz w:val="20"/>
          <w:szCs w:val="20"/>
          <w:lang w:val="sr-Cyrl-RS"/>
        </w:rPr>
        <w:t xml:space="preserve"> Иако сложена институционална структура</w:t>
      </w:r>
      <w:r w:rsidR="00640238" w:rsidRPr="00A021B7">
        <w:rPr>
          <w:rStyle w:val="FootnoteReference"/>
          <w:rFonts w:ascii="Arial" w:hAnsi="Arial" w:cs="Arial"/>
          <w:sz w:val="20"/>
          <w:szCs w:val="20"/>
          <w:lang w:val="sr-Cyrl-RS"/>
        </w:rPr>
        <w:footnoteReference w:id="174"/>
      </w:r>
      <w:r w:rsidRPr="00A021B7">
        <w:rPr>
          <w:rFonts w:ascii="Arial" w:hAnsi="Arial" w:cs="Arial"/>
          <w:sz w:val="20"/>
          <w:szCs w:val="20"/>
          <w:lang w:val="sr-Cyrl-RS"/>
        </w:rPr>
        <w:t xml:space="preserve"> не укључује формално учешће представника ЈЛС, председавајући преговарачких група имају право да, у случају потребе и на предлог преговарачке групе, укључе у рад групе и друге стручне организације и истакнуте стручњаке.</w:t>
      </w:r>
      <w:r w:rsidR="00640238" w:rsidRPr="00A021B7">
        <w:rPr>
          <w:rStyle w:val="FootnoteReference"/>
          <w:rFonts w:ascii="Arial" w:hAnsi="Arial" w:cs="Arial"/>
          <w:sz w:val="20"/>
          <w:szCs w:val="20"/>
          <w:lang w:val="sr-Cyrl-RS"/>
        </w:rPr>
        <w:footnoteReference w:id="175"/>
      </w:r>
      <w:r w:rsidRPr="00A021B7">
        <w:rPr>
          <w:rFonts w:ascii="Arial" w:hAnsi="Arial" w:cs="Arial"/>
          <w:sz w:val="20"/>
          <w:szCs w:val="20"/>
          <w:lang w:val="sr-Cyrl-RS"/>
        </w:rPr>
        <w:t xml:space="preserve"> На овај начин, ствара се простор да се ЈЛС укључе у рад група, првенствено посредством њихове националне асоцијације. Међутим, сарадња локалне самоуправе са националним телима задуженим за процес приступања је спорадична и више је изузетак него правило. Са друге стране, врло често се локалне власти</w:t>
      </w:r>
      <w:r w:rsidR="00AB5288">
        <w:rPr>
          <w:rFonts w:ascii="Arial" w:hAnsi="Arial" w:cs="Arial"/>
          <w:sz w:val="20"/>
          <w:szCs w:val="20"/>
          <w:lang w:val="sr-Cyrl-RS"/>
        </w:rPr>
        <w:t>, односно</w:t>
      </w:r>
      <w:r w:rsidRPr="00A021B7">
        <w:rPr>
          <w:rFonts w:ascii="Arial" w:hAnsi="Arial" w:cs="Arial"/>
          <w:sz w:val="20"/>
          <w:szCs w:val="20"/>
          <w:lang w:val="sr-Cyrl-RS"/>
        </w:rPr>
        <w:t xml:space="preserve"> СКГО као њихова национална асоцијација, чак и формално, наводи у документима који се користе у раду преговарачких група као тело одговорно за спровођење и извештавање. Тиме се улога ЈЛС у </w:t>
      </w:r>
      <w:r w:rsidR="004B4288">
        <w:rPr>
          <w:rFonts w:ascii="Arial" w:hAnsi="Arial" w:cs="Arial"/>
          <w:sz w:val="20"/>
          <w:szCs w:val="20"/>
          <w:lang w:val="sr-Cyrl-RS"/>
        </w:rPr>
        <w:t xml:space="preserve"> </w:t>
      </w:r>
      <w:r w:rsidR="000F0CBD">
        <w:rPr>
          <w:rFonts w:ascii="Arial" w:hAnsi="Arial" w:cs="Arial"/>
          <w:sz w:val="20"/>
          <w:szCs w:val="20"/>
          <w:lang w:val="sr-Cyrl-RS"/>
        </w:rPr>
        <w:t>једном броју</w:t>
      </w:r>
      <w:r w:rsidR="004B4288">
        <w:rPr>
          <w:rFonts w:ascii="Arial" w:hAnsi="Arial" w:cs="Arial"/>
          <w:sz w:val="20"/>
          <w:szCs w:val="20"/>
          <w:lang w:val="sr-Cyrl-RS"/>
        </w:rPr>
        <w:t xml:space="preserve"> области или питања кој</w:t>
      </w:r>
      <w:r w:rsidR="000F0CBD">
        <w:rPr>
          <w:rFonts w:ascii="Arial" w:hAnsi="Arial" w:cs="Arial"/>
          <w:sz w:val="20"/>
          <w:szCs w:val="20"/>
          <w:lang w:val="sr-Cyrl-RS"/>
        </w:rPr>
        <w:t>а</w:t>
      </w:r>
      <w:r w:rsidR="004B4288">
        <w:rPr>
          <w:rFonts w:ascii="Arial" w:hAnsi="Arial" w:cs="Arial"/>
          <w:sz w:val="20"/>
          <w:szCs w:val="20"/>
          <w:lang w:val="sr-Cyrl-RS"/>
        </w:rPr>
        <w:t xml:space="preserve"> су предмет преговора са ЕУ, </w:t>
      </w:r>
      <w:r w:rsidRPr="00A021B7">
        <w:rPr>
          <w:rFonts w:ascii="Arial" w:hAnsi="Arial" w:cs="Arial"/>
          <w:sz w:val="20"/>
          <w:szCs w:val="20"/>
          <w:lang w:val="sr-Cyrl-RS"/>
        </w:rPr>
        <w:t>своди на пасивн</w:t>
      </w:r>
      <w:r w:rsidR="00AB5288">
        <w:rPr>
          <w:rFonts w:ascii="Arial" w:hAnsi="Arial" w:cs="Arial"/>
          <w:sz w:val="20"/>
          <w:szCs w:val="20"/>
          <w:lang w:val="sr-Cyrl-RS"/>
        </w:rPr>
        <w:t>е</w:t>
      </w:r>
      <w:r w:rsidRPr="00A021B7">
        <w:rPr>
          <w:rFonts w:ascii="Arial" w:hAnsi="Arial" w:cs="Arial"/>
          <w:sz w:val="20"/>
          <w:szCs w:val="20"/>
          <w:lang w:val="sr-Cyrl-RS"/>
        </w:rPr>
        <w:t xml:space="preserve"> примаоц</w:t>
      </w:r>
      <w:r w:rsidR="00AB5288">
        <w:rPr>
          <w:rFonts w:ascii="Arial" w:hAnsi="Arial" w:cs="Arial"/>
          <w:sz w:val="20"/>
          <w:szCs w:val="20"/>
          <w:lang w:val="sr-Cyrl-RS"/>
        </w:rPr>
        <w:t>е</w:t>
      </w:r>
      <w:r w:rsidRPr="00A021B7">
        <w:rPr>
          <w:rFonts w:ascii="Arial" w:hAnsi="Arial" w:cs="Arial"/>
          <w:sz w:val="20"/>
          <w:szCs w:val="20"/>
          <w:lang w:val="sr-Cyrl-RS"/>
        </w:rPr>
        <w:t xml:space="preserve"> информација, задатака и инструкција, са смањеном могућношћу да се њихове потребе и интереси</w:t>
      </w:r>
      <w:r w:rsidR="004B4288">
        <w:rPr>
          <w:rFonts w:ascii="Arial" w:hAnsi="Arial" w:cs="Arial"/>
          <w:sz w:val="20"/>
          <w:szCs w:val="20"/>
          <w:lang w:val="sr-Cyrl-RS"/>
        </w:rPr>
        <w:t xml:space="preserve"> </w:t>
      </w:r>
      <w:r w:rsidRPr="00A021B7">
        <w:rPr>
          <w:rFonts w:ascii="Arial" w:hAnsi="Arial" w:cs="Arial"/>
          <w:sz w:val="20"/>
          <w:szCs w:val="20"/>
          <w:lang w:val="sr-Cyrl-RS"/>
        </w:rPr>
        <w:t>рефлектују у преговарачким позицијама. Недовољно укључивање локалних власти</w:t>
      </w:r>
      <w:r w:rsidR="7AC3ED7F" w:rsidRPr="00A021B7">
        <w:rPr>
          <w:rFonts w:ascii="Arial" w:hAnsi="Arial" w:cs="Arial"/>
          <w:sz w:val="20"/>
          <w:szCs w:val="20"/>
          <w:lang w:val="sr-Cyrl-RS"/>
        </w:rPr>
        <w:t>,</w:t>
      </w:r>
      <w:r w:rsidRPr="00A021B7">
        <w:rPr>
          <w:rFonts w:ascii="Arial" w:hAnsi="Arial" w:cs="Arial"/>
          <w:sz w:val="20"/>
          <w:szCs w:val="20"/>
          <w:lang w:val="sr-Cyrl-RS"/>
        </w:rPr>
        <w:t xml:space="preserve"> а у оквиру тога и недостатак разумевања њихових могућности</w:t>
      </w:r>
      <w:r w:rsidR="2F49892D" w:rsidRPr="00A021B7">
        <w:rPr>
          <w:rFonts w:ascii="Arial" w:hAnsi="Arial" w:cs="Arial"/>
          <w:sz w:val="20"/>
          <w:szCs w:val="20"/>
          <w:lang w:val="sr-Cyrl-RS"/>
        </w:rPr>
        <w:t>,</w:t>
      </w:r>
      <w:r w:rsidRPr="00A021B7">
        <w:rPr>
          <w:rFonts w:ascii="Arial" w:hAnsi="Arial" w:cs="Arial"/>
          <w:sz w:val="20"/>
          <w:szCs w:val="20"/>
          <w:lang w:val="sr-Cyrl-RS"/>
        </w:rPr>
        <w:t xml:space="preserve"> али и различитих капацитета у самом систему локалне самоуправе, подиже ризик да се током процес интеграција преузимају обавезе </w:t>
      </w:r>
      <w:r w:rsidR="00AF2905">
        <w:rPr>
          <w:rFonts w:ascii="Arial" w:hAnsi="Arial" w:cs="Arial"/>
          <w:sz w:val="20"/>
          <w:szCs w:val="20"/>
          <w:lang w:val="sr-Cyrl-RS"/>
        </w:rPr>
        <w:t>које треба да спроведу</w:t>
      </w:r>
      <w:r w:rsidRPr="00A021B7">
        <w:rPr>
          <w:rFonts w:ascii="Arial" w:hAnsi="Arial" w:cs="Arial"/>
          <w:sz w:val="20"/>
          <w:szCs w:val="20"/>
          <w:lang w:val="sr-Cyrl-RS"/>
        </w:rPr>
        <w:t xml:space="preserve"> ЈЛС</w:t>
      </w:r>
      <w:r w:rsidR="00AF2905">
        <w:rPr>
          <w:rFonts w:ascii="Arial" w:hAnsi="Arial" w:cs="Arial"/>
          <w:sz w:val="20"/>
          <w:szCs w:val="20"/>
          <w:lang w:val="sr-Cyrl-RS"/>
        </w:rPr>
        <w:t>,</w:t>
      </w:r>
      <w:r w:rsidRPr="00A021B7">
        <w:rPr>
          <w:rFonts w:ascii="Arial" w:hAnsi="Arial" w:cs="Arial"/>
          <w:sz w:val="20"/>
          <w:szCs w:val="20"/>
          <w:lang w:val="sr-Cyrl-RS"/>
        </w:rPr>
        <w:t xml:space="preserve"> без адекватне анализе њихове могућности за примену и без претходне припреме, што</w:t>
      </w:r>
      <w:r w:rsidR="004B4288">
        <w:rPr>
          <w:rFonts w:ascii="Arial" w:hAnsi="Arial" w:cs="Arial"/>
          <w:sz w:val="20"/>
          <w:szCs w:val="20"/>
          <w:lang w:val="sr-Cyrl-RS"/>
        </w:rPr>
        <w:t xml:space="preserve"> може значајно да</w:t>
      </w:r>
      <w:r w:rsidRPr="00A021B7">
        <w:rPr>
          <w:rFonts w:ascii="Arial" w:hAnsi="Arial" w:cs="Arial"/>
          <w:sz w:val="20"/>
          <w:szCs w:val="20"/>
          <w:lang w:val="sr-Cyrl-RS"/>
        </w:rPr>
        <w:t xml:space="preserve"> утиче на испуњеност услова за примену европских прописа</w:t>
      </w:r>
      <w:r w:rsidRPr="00AB5288">
        <w:rPr>
          <w:rFonts w:ascii="Arial" w:hAnsi="Arial" w:cs="Arial"/>
          <w:sz w:val="20"/>
          <w:szCs w:val="20"/>
          <w:lang w:val="sr-Cyrl-RS"/>
        </w:rPr>
        <w:t>.</w:t>
      </w:r>
      <w:r w:rsidR="004B4288">
        <w:rPr>
          <w:rFonts w:ascii="Arial" w:hAnsi="Arial" w:cs="Arial"/>
          <w:sz w:val="20"/>
          <w:szCs w:val="20"/>
          <w:lang w:val="sr-Cyrl-RS"/>
        </w:rPr>
        <w:t xml:space="preserve"> Зато </w:t>
      </w:r>
      <w:r w:rsidR="000F0CBD">
        <w:rPr>
          <w:rFonts w:ascii="Arial" w:hAnsi="Arial" w:cs="Arial"/>
          <w:sz w:val="20"/>
          <w:szCs w:val="20"/>
          <w:lang w:val="sr-Cyrl-RS"/>
        </w:rPr>
        <w:t xml:space="preserve">је веома важно да се </w:t>
      </w:r>
      <w:r w:rsidR="48C8EFA0" w:rsidRPr="00A021B7">
        <w:rPr>
          <w:rFonts w:ascii="Arial" w:hAnsi="Arial" w:cs="Arial"/>
          <w:sz w:val="20"/>
          <w:szCs w:val="20"/>
          <w:lang w:val="sr-Cyrl-RS"/>
        </w:rPr>
        <w:t>благовремено артикулиш</w:t>
      </w:r>
      <w:r w:rsidR="00AB5288">
        <w:rPr>
          <w:rFonts w:ascii="Arial" w:hAnsi="Arial" w:cs="Arial"/>
          <w:sz w:val="20"/>
          <w:szCs w:val="20"/>
          <w:lang w:val="sr-Cyrl-RS"/>
        </w:rPr>
        <w:t>у</w:t>
      </w:r>
      <w:r w:rsidR="00B93900">
        <w:rPr>
          <w:rFonts w:ascii="Arial" w:hAnsi="Arial" w:cs="Arial"/>
          <w:sz w:val="20"/>
          <w:szCs w:val="20"/>
          <w:lang w:val="sr-Cyrl-RS"/>
        </w:rPr>
        <w:t xml:space="preserve"> потребе и</w:t>
      </w:r>
      <w:r w:rsidR="48C8EFA0" w:rsidRPr="00A021B7">
        <w:rPr>
          <w:rFonts w:ascii="Arial" w:hAnsi="Arial" w:cs="Arial"/>
          <w:sz w:val="20"/>
          <w:szCs w:val="20"/>
          <w:lang w:val="sr-Cyrl-RS"/>
        </w:rPr>
        <w:t xml:space="preserve"> правц</w:t>
      </w:r>
      <w:r w:rsidR="004B4288">
        <w:rPr>
          <w:rFonts w:ascii="Arial" w:hAnsi="Arial" w:cs="Arial"/>
          <w:sz w:val="20"/>
          <w:szCs w:val="20"/>
          <w:lang w:val="sr-Cyrl-RS"/>
        </w:rPr>
        <w:t>и</w:t>
      </w:r>
      <w:r w:rsidR="48C8EFA0" w:rsidRPr="00A021B7">
        <w:rPr>
          <w:rFonts w:ascii="Arial" w:hAnsi="Arial" w:cs="Arial"/>
          <w:sz w:val="20"/>
          <w:szCs w:val="20"/>
          <w:lang w:val="sr-Cyrl-RS"/>
        </w:rPr>
        <w:t xml:space="preserve"> промена у ЈЛС ради преузимања и спровођења нових </w:t>
      </w:r>
      <w:r w:rsidR="37745228" w:rsidRPr="00A021B7">
        <w:rPr>
          <w:rFonts w:ascii="Arial" w:hAnsi="Arial" w:cs="Arial"/>
          <w:sz w:val="20"/>
          <w:szCs w:val="20"/>
          <w:lang w:val="sr-Cyrl-RS"/>
        </w:rPr>
        <w:t>обавеза</w:t>
      </w:r>
      <w:r w:rsidR="00B93900">
        <w:rPr>
          <w:rFonts w:ascii="Arial" w:hAnsi="Arial" w:cs="Arial"/>
          <w:sz w:val="20"/>
          <w:szCs w:val="20"/>
          <w:lang w:val="sr-Cyrl-RS"/>
        </w:rPr>
        <w:t>, што се најбоље може урадити кроз њихово активно укључивање у процес преговора о чланству у ЕУ</w:t>
      </w:r>
      <w:r w:rsidR="48C8EFA0" w:rsidRPr="00A021B7">
        <w:rPr>
          <w:rFonts w:ascii="Arial" w:hAnsi="Arial" w:cs="Arial"/>
          <w:sz w:val="20"/>
          <w:szCs w:val="20"/>
          <w:lang w:val="sr-Cyrl-RS"/>
        </w:rPr>
        <w:t>.</w:t>
      </w:r>
      <w:r w:rsidR="26603F96" w:rsidRPr="00A021B7">
        <w:rPr>
          <w:rFonts w:ascii="Arial" w:hAnsi="Arial" w:cs="Arial"/>
          <w:sz w:val="20"/>
          <w:szCs w:val="20"/>
          <w:lang w:val="sr-Cyrl-RS"/>
        </w:rPr>
        <w:t xml:space="preserve"> </w:t>
      </w:r>
    </w:p>
    <w:p w14:paraId="4C14169D" w14:textId="77777777" w:rsidR="00AF2905" w:rsidRDefault="00AF2905" w:rsidP="1A8E6423">
      <w:pPr>
        <w:ind w:firstLine="720"/>
        <w:jc w:val="both"/>
        <w:rPr>
          <w:rFonts w:ascii="Arial" w:hAnsi="Arial" w:cs="Arial"/>
          <w:sz w:val="20"/>
          <w:szCs w:val="20"/>
          <w:lang w:val="sr-Cyrl-RS"/>
        </w:rPr>
      </w:pPr>
    </w:p>
    <w:p w14:paraId="177AA41E" w14:textId="05763CFC" w:rsidR="005719AB" w:rsidRPr="00A021B7" w:rsidRDefault="00AF2905" w:rsidP="1A8E6423">
      <w:pPr>
        <w:ind w:firstLine="720"/>
        <w:jc w:val="both"/>
        <w:rPr>
          <w:rFonts w:ascii="Arial" w:hAnsi="Arial" w:cs="Arial"/>
          <w:sz w:val="20"/>
          <w:szCs w:val="20"/>
          <w:lang w:val="sr-Cyrl-RS"/>
        </w:rPr>
      </w:pPr>
      <w:r>
        <w:rPr>
          <w:rFonts w:ascii="Arial" w:hAnsi="Arial" w:cs="Arial"/>
          <w:sz w:val="20"/>
          <w:szCs w:val="20"/>
          <w:lang w:val="sr-Cyrl-RS"/>
        </w:rPr>
        <w:t>Од</w:t>
      </w:r>
      <w:r w:rsidR="26603F96" w:rsidRPr="00A021B7">
        <w:rPr>
          <w:rFonts w:ascii="Arial" w:hAnsi="Arial" w:cs="Arial"/>
          <w:sz w:val="20"/>
          <w:szCs w:val="20"/>
          <w:lang w:val="sr-Cyrl-RS"/>
        </w:rPr>
        <w:t xml:space="preserve"> посебног значаја је правовремена припрема ЈЛС за учешће у спровођењу кохезионе политике ЕУ након приступања, односно за ефективно коришћење средстава из европских структурних и инвестиционих фондова за остваривање домаћих развојних приоритета/пројеката. Спремност ЈЛС у овом смислу, између осталог, подразумева постојање одговарајућих планских докумената на локалном нивоу, административних капацитета за развој, спровођење, праћење и вредновање пројеката, фина</w:t>
      </w:r>
      <w:r w:rsidR="00AB5288">
        <w:rPr>
          <w:rFonts w:ascii="Arial" w:hAnsi="Arial" w:cs="Arial"/>
          <w:sz w:val="20"/>
          <w:szCs w:val="20"/>
          <w:lang w:val="sr-Cyrl-RS"/>
        </w:rPr>
        <w:t>н</w:t>
      </w:r>
      <w:r w:rsidR="26603F96" w:rsidRPr="00A021B7">
        <w:rPr>
          <w:rFonts w:ascii="Arial" w:hAnsi="Arial" w:cs="Arial"/>
          <w:sz w:val="20"/>
          <w:szCs w:val="20"/>
          <w:lang w:val="sr-Cyrl-RS"/>
        </w:rPr>
        <w:t>сијских капацитета и инструмената за пре</w:t>
      </w:r>
      <w:r w:rsidR="00AB5288">
        <w:rPr>
          <w:rFonts w:ascii="Arial" w:hAnsi="Arial" w:cs="Arial"/>
          <w:sz w:val="20"/>
          <w:szCs w:val="20"/>
          <w:lang w:val="sr-Cyrl-RS"/>
        </w:rPr>
        <w:t>т</w:t>
      </w:r>
      <w:r w:rsidR="26603F96" w:rsidRPr="00A021B7">
        <w:rPr>
          <w:rFonts w:ascii="Arial" w:hAnsi="Arial" w:cs="Arial"/>
          <w:sz w:val="20"/>
          <w:szCs w:val="20"/>
          <w:lang w:val="sr-Cyrl-RS"/>
        </w:rPr>
        <w:t xml:space="preserve">финансирање и кофинансирање пројеката, развијен систем финансијског управљања и контроле. Сходно томе, припреме се обављају у оквиру различитих преговарачких поглавља у којима је заступљеност ЈЛС нужна (нпр. у оквиру поглавља 32 за финансијску контролу, поглавља 5 за јавне набавке, секторским поглављима која се односе на конкурентност, пољопривреду, енергетику, социјалну политику и запошљавање, заштиту животне средине итд., </w:t>
      </w:r>
      <w:r w:rsidR="00B93900">
        <w:rPr>
          <w:rFonts w:ascii="Arial" w:hAnsi="Arial" w:cs="Arial"/>
          <w:sz w:val="20"/>
          <w:szCs w:val="20"/>
          <w:lang w:val="sr-Cyrl-RS"/>
        </w:rPr>
        <w:t>и посебно</w:t>
      </w:r>
      <w:r w:rsidR="26603F96" w:rsidRPr="00A021B7">
        <w:rPr>
          <w:rFonts w:ascii="Arial" w:hAnsi="Arial" w:cs="Arial"/>
          <w:sz w:val="20"/>
          <w:szCs w:val="20"/>
          <w:lang w:val="sr-Cyrl-RS"/>
        </w:rPr>
        <w:t xml:space="preserve"> у оквиру поглавља 22 за регионалну политику и координацију структурних инструмената</w:t>
      </w:r>
      <w:r w:rsidR="00F35B19">
        <w:rPr>
          <w:rFonts w:ascii="Arial" w:hAnsi="Arial" w:cs="Arial"/>
          <w:sz w:val="20"/>
          <w:szCs w:val="20"/>
          <w:lang w:val="sr-Cyrl-RS"/>
        </w:rPr>
        <w:t>,</w:t>
      </w:r>
      <w:r>
        <w:rPr>
          <w:rFonts w:ascii="Arial" w:hAnsi="Arial" w:cs="Arial"/>
          <w:sz w:val="20"/>
          <w:szCs w:val="20"/>
          <w:lang w:val="sr-Cyrl-RS"/>
        </w:rPr>
        <w:t xml:space="preserve"> где су </w:t>
      </w:r>
      <w:r w:rsidR="00F35B19">
        <w:rPr>
          <w:rFonts w:ascii="Arial" w:hAnsi="Arial" w:cs="Arial"/>
          <w:sz w:val="20"/>
          <w:szCs w:val="20"/>
          <w:lang w:val="sr-Cyrl-RS"/>
        </w:rPr>
        <w:t>локалне власти и њихова национална асоцијација</w:t>
      </w:r>
      <w:r w:rsidR="004B4288">
        <w:rPr>
          <w:rFonts w:ascii="Arial" w:hAnsi="Arial" w:cs="Arial"/>
          <w:sz w:val="20"/>
          <w:szCs w:val="20"/>
          <w:lang w:val="sr-Cyrl-RS"/>
        </w:rPr>
        <w:t xml:space="preserve"> и</w:t>
      </w:r>
      <w:r w:rsidR="00F35B19">
        <w:rPr>
          <w:rFonts w:ascii="Arial" w:hAnsi="Arial" w:cs="Arial"/>
          <w:sz w:val="20"/>
          <w:szCs w:val="20"/>
          <w:lang w:val="sr-Cyrl-RS"/>
        </w:rPr>
        <w:t xml:space="preserve"> укључен</w:t>
      </w:r>
      <w:r w:rsidR="004B4288">
        <w:rPr>
          <w:rFonts w:ascii="Arial" w:hAnsi="Arial" w:cs="Arial"/>
          <w:sz w:val="20"/>
          <w:szCs w:val="20"/>
          <w:lang w:val="sr-Cyrl-RS"/>
        </w:rPr>
        <w:t>е</w:t>
      </w:r>
      <w:r w:rsidR="00F35B19">
        <w:rPr>
          <w:rFonts w:ascii="Arial" w:hAnsi="Arial" w:cs="Arial"/>
          <w:sz w:val="20"/>
          <w:szCs w:val="20"/>
          <w:lang w:val="sr-Cyrl-RS"/>
        </w:rPr>
        <w:t xml:space="preserve"> у</w:t>
      </w:r>
      <w:r>
        <w:rPr>
          <w:rFonts w:ascii="Arial" w:hAnsi="Arial" w:cs="Arial"/>
          <w:sz w:val="20"/>
          <w:szCs w:val="20"/>
          <w:lang w:val="sr-Cyrl-RS"/>
        </w:rPr>
        <w:t xml:space="preserve"> </w:t>
      </w:r>
      <w:r w:rsidR="00F35B19">
        <w:rPr>
          <w:rFonts w:ascii="Arial" w:hAnsi="Arial" w:cs="Arial"/>
          <w:sz w:val="20"/>
          <w:szCs w:val="20"/>
          <w:lang w:val="sr-Cyrl-RS"/>
        </w:rPr>
        <w:t>разматрање и планирање будућих процеса</w:t>
      </w:r>
      <w:r w:rsidR="00B93900">
        <w:rPr>
          <w:rFonts w:ascii="Arial" w:hAnsi="Arial" w:cs="Arial"/>
          <w:sz w:val="20"/>
          <w:szCs w:val="20"/>
          <w:lang w:val="sr-Cyrl-RS"/>
        </w:rPr>
        <w:t xml:space="preserve"> и корака које ће бити предузети</w:t>
      </w:r>
      <w:r w:rsidR="26603F96" w:rsidRPr="00A021B7">
        <w:rPr>
          <w:rFonts w:ascii="Arial" w:hAnsi="Arial" w:cs="Arial"/>
          <w:sz w:val="20"/>
          <w:szCs w:val="20"/>
          <w:lang w:val="sr-Cyrl-RS"/>
        </w:rPr>
        <w:t>).</w:t>
      </w:r>
    </w:p>
    <w:p w14:paraId="53C926AF" w14:textId="77777777" w:rsidR="00640238" w:rsidRPr="00A021B7" w:rsidRDefault="00640238" w:rsidP="1A8E6423">
      <w:pPr>
        <w:ind w:firstLine="720"/>
        <w:jc w:val="both"/>
        <w:rPr>
          <w:rFonts w:ascii="Arial" w:hAnsi="Arial" w:cs="Arial"/>
          <w:b/>
          <w:bCs/>
          <w:sz w:val="20"/>
          <w:szCs w:val="20"/>
          <w:lang w:val="sr-Cyrl-RS"/>
        </w:rPr>
      </w:pPr>
    </w:p>
    <w:p w14:paraId="66DDF1BF" w14:textId="3D1CAB19" w:rsidR="00640238" w:rsidRPr="00A021B7" w:rsidRDefault="47B5AC75" w:rsidP="1A8E6423">
      <w:pPr>
        <w:ind w:firstLine="720"/>
        <w:jc w:val="both"/>
        <w:rPr>
          <w:rFonts w:ascii="Arial" w:eastAsia="Arial" w:hAnsi="Arial" w:cs="Arial"/>
          <w:sz w:val="20"/>
          <w:szCs w:val="20"/>
          <w:lang w:val="sr-Cyrl-RS"/>
        </w:rPr>
      </w:pPr>
      <w:r w:rsidRPr="00A021B7">
        <w:rPr>
          <w:rFonts w:ascii="Arial" w:eastAsia="Arial" w:hAnsi="Arial" w:cs="Arial"/>
          <w:sz w:val="20"/>
          <w:szCs w:val="20"/>
          <w:lang w:val="sr-Cyrl-RS"/>
        </w:rPr>
        <w:t xml:space="preserve">Процес </w:t>
      </w:r>
      <w:r w:rsidR="005C63D3">
        <w:rPr>
          <w:rFonts w:ascii="Arial" w:eastAsia="Arial" w:hAnsi="Arial" w:cs="Arial"/>
          <w:sz w:val="20"/>
          <w:szCs w:val="20"/>
          <w:lang w:val="sr-Cyrl-RS"/>
        </w:rPr>
        <w:t>усклађивања</w:t>
      </w:r>
      <w:r w:rsidR="005C63D3" w:rsidRPr="00A021B7">
        <w:rPr>
          <w:rFonts w:ascii="Arial" w:eastAsia="Arial" w:hAnsi="Arial" w:cs="Arial"/>
          <w:sz w:val="20"/>
          <w:szCs w:val="20"/>
          <w:lang w:val="sr-Cyrl-RS"/>
        </w:rPr>
        <w:t xml:space="preserve"> </w:t>
      </w:r>
      <w:r w:rsidRPr="00A021B7">
        <w:rPr>
          <w:rFonts w:ascii="Arial" w:eastAsia="Arial" w:hAnsi="Arial" w:cs="Arial"/>
          <w:sz w:val="20"/>
          <w:szCs w:val="20"/>
          <w:lang w:val="sr-Cyrl-RS"/>
        </w:rPr>
        <w:t xml:space="preserve">правног и стратешког оквира кандидата за чланство у ЕУ са правним тековинама ЕУ одвија се транспоновањем правних тековина ЕУ у национални правни поредак, доношењем закона на националном нивоу </w:t>
      </w:r>
      <w:r w:rsidRPr="00A021B7">
        <w:rPr>
          <w:rFonts w:ascii="Arial" w:hAnsi="Arial" w:cs="Arial"/>
          <w:color w:val="222222"/>
          <w:sz w:val="20"/>
          <w:szCs w:val="20"/>
          <w:lang w:val="sr-Cyrl-RS"/>
        </w:rPr>
        <w:t xml:space="preserve">и </w:t>
      </w:r>
      <w:r w:rsidRPr="00A021B7">
        <w:rPr>
          <w:rFonts w:ascii="Arial" w:hAnsi="Arial" w:cs="Arial"/>
          <w:sz w:val="20"/>
          <w:szCs w:val="20"/>
          <w:lang w:val="sr-Cyrl-RS"/>
        </w:rPr>
        <w:t>усвајањем стратешких докумената</w:t>
      </w:r>
      <w:r w:rsidRPr="00A021B7">
        <w:rPr>
          <w:rFonts w:ascii="Arial" w:eastAsia="Arial" w:hAnsi="Arial" w:cs="Arial"/>
          <w:sz w:val="20"/>
          <w:szCs w:val="20"/>
          <w:lang w:val="sr-Cyrl-RS"/>
        </w:rPr>
        <w:t xml:space="preserve">. Саме ЈЛС су, у процесу усклађивања с правним тековинама ЕУ, дужне да усклађују локалне акте са законима и другим националним актима. </w:t>
      </w:r>
      <w:r w:rsidRPr="00A021B7">
        <w:rPr>
          <w:rFonts w:ascii="Arial" w:hAnsi="Arial" w:cs="Arial"/>
          <w:sz w:val="20"/>
          <w:szCs w:val="20"/>
          <w:lang w:val="sr-Cyrl-RS"/>
        </w:rPr>
        <w:t xml:space="preserve">Све то претпоставља веома добру хоризонталну и вертикалну комуникацију и координацију у креирању политика и доношењу правних аката којима се врши усаглашавање правног система са ЕУ, на свим нивоима управљања. Управо недостатак пуне хоризонталне и вертикалне координације </w:t>
      </w:r>
      <w:r w:rsidR="005C63D3">
        <w:rPr>
          <w:rFonts w:ascii="Arial" w:hAnsi="Arial" w:cs="Arial"/>
          <w:sz w:val="20"/>
          <w:szCs w:val="20"/>
          <w:lang w:val="sr-Cyrl-RS"/>
        </w:rPr>
        <w:t>у</w:t>
      </w:r>
      <w:r w:rsidR="005C63D3" w:rsidRPr="00A021B7">
        <w:rPr>
          <w:rFonts w:ascii="Arial" w:hAnsi="Arial" w:cs="Arial"/>
          <w:sz w:val="20"/>
          <w:szCs w:val="20"/>
          <w:lang w:val="sr-Cyrl-RS"/>
        </w:rPr>
        <w:t xml:space="preserve"> </w:t>
      </w:r>
      <w:r w:rsidRPr="00A021B7">
        <w:rPr>
          <w:rFonts w:ascii="Arial" w:hAnsi="Arial" w:cs="Arial"/>
          <w:sz w:val="20"/>
          <w:szCs w:val="20"/>
          <w:lang w:val="sr-Cyrl-RS"/>
        </w:rPr>
        <w:t>процесу конкретног усаглашавања правног система Републике Србије са ЕУ, представља други изазов који има негативне последице по локалну самоуправу и њен допринос процесу европских интеграција. Последица тога јес</w:t>
      </w:r>
      <w:r w:rsidR="005C63D3">
        <w:rPr>
          <w:rFonts w:ascii="Arial" w:hAnsi="Arial" w:cs="Arial"/>
          <w:sz w:val="20"/>
          <w:szCs w:val="20"/>
          <w:lang w:val="sr-Cyrl-RS"/>
        </w:rPr>
        <w:t>у</w:t>
      </w:r>
      <w:r w:rsidRPr="00A021B7">
        <w:rPr>
          <w:rFonts w:ascii="Arial" w:hAnsi="Arial" w:cs="Arial"/>
          <w:sz w:val="20"/>
          <w:szCs w:val="20"/>
          <w:lang w:val="sr-Cyrl-RS"/>
        </w:rPr>
        <w:t xml:space="preserve"> </w:t>
      </w:r>
      <w:r w:rsidRPr="00A021B7">
        <w:rPr>
          <w:rFonts w:ascii="Arial" w:eastAsia="Arial" w:hAnsi="Arial" w:cs="Arial"/>
          <w:sz w:val="20"/>
          <w:szCs w:val="20"/>
          <w:lang w:val="sr-Cyrl-RS"/>
        </w:rPr>
        <w:t>недовољна међусобна усаглашеност националних</w:t>
      </w:r>
      <w:r w:rsidR="512CDFFD" w:rsidRPr="00A021B7">
        <w:rPr>
          <w:rFonts w:ascii="Arial" w:eastAsia="Arial" w:hAnsi="Arial" w:cs="Arial"/>
          <w:sz w:val="20"/>
          <w:szCs w:val="20"/>
          <w:lang w:val="sr-Cyrl-RS"/>
        </w:rPr>
        <w:t xml:space="preserve"> </w:t>
      </w:r>
      <w:r w:rsidRPr="00A021B7">
        <w:rPr>
          <w:rFonts w:ascii="Arial" w:eastAsia="Arial" w:hAnsi="Arial" w:cs="Arial"/>
          <w:sz w:val="20"/>
          <w:szCs w:val="20"/>
          <w:lang w:val="sr-Cyrl-RS"/>
        </w:rPr>
        <w:t xml:space="preserve">политика и прописа, преклапање и фрагментација функција и све </w:t>
      </w:r>
      <w:r w:rsidR="2E07AEB2" w:rsidRPr="00A021B7">
        <w:rPr>
          <w:rFonts w:ascii="Arial" w:eastAsia="Arial" w:hAnsi="Arial" w:cs="Arial"/>
          <w:sz w:val="20"/>
          <w:szCs w:val="20"/>
          <w:lang w:val="sr-Cyrl-RS"/>
        </w:rPr>
        <w:t xml:space="preserve">сложенији </w:t>
      </w:r>
      <w:r w:rsidRPr="00A021B7">
        <w:rPr>
          <w:rFonts w:ascii="Arial" w:eastAsia="Arial" w:hAnsi="Arial" w:cs="Arial"/>
          <w:sz w:val="20"/>
          <w:szCs w:val="20"/>
          <w:lang w:val="sr-Cyrl-RS"/>
        </w:rPr>
        <w:t xml:space="preserve">систем извештавања унутар целе јавне управе, што посебно отежава деловање ЈЛС које често спроводе нове националне политике и прописе у пракси. То даље за последицу има недовољну кохерентност националних и локалних политика и правних аката и </w:t>
      </w:r>
      <w:r w:rsidR="2E07AEB2" w:rsidRPr="00A021B7">
        <w:rPr>
          <w:rFonts w:ascii="Arial" w:eastAsia="Arial" w:hAnsi="Arial" w:cs="Arial"/>
          <w:sz w:val="20"/>
          <w:szCs w:val="20"/>
          <w:lang w:val="sr-Cyrl-RS"/>
        </w:rPr>
        <w:t xml:space="preserve">њихово </w:t>
      </w:r>
      <w:r w:rsidRPr="00A021B7">
        <w:rPr>
          <w:rFonts w:ascii="Arial" w:eastAsia="Arial" w:hAnsi="Arial" w:cs="Arial"/>
          <w:sz w:val="20"/>
          <w:szCs w:val="20"/>
          <w:lang w:val="sr-Cyrl-RS"/>
        </w:rPr>
        <w:t xml:space="preserve">одсуство или отежано спровођење у пракси. </w:t>
      </w:r>
      <w:r w:rsidR="2E07AEB2" w:rsidRPr="00A021B7">
        <w:rPr>
          <w:rFonts w:ascii="Arial" w:eastAsia="Arial" w:hAnsi="Arial" w:cs="Arial"/>
          <w:sz w:val="20"/>
          <w:szCs w:val="20"/>
          <w:lang w:val="sr-Cyrl-RS"/>
        </w:rPr>
        <w:t>И</w:t>
      </w:r>
      <w:r w:rsidRPr="00A021B7">
        <w:rPr>
          <w:rFonts w:ascii="Arial" w:hAnsi="Arial" w:cs="Arial"/>
          <w:sz w:val="20"/>
          <w:szCs w:val="20"/>
          <w:lang w:val="sr-Cyrl-RS"/>
        </w:rPr>
        <w:t>ако су</w:t>
      </w:r>
      <w:r w:rsidR="00640238" w:rsidRPr="00A021B7">
        <w:rPr>
          <w:rStyle w:val="FootnoteReference"/>
          <w:rFonts w:ascii="Arial" w:hAnsi="Arial" w:cs="Arial"/>
          <w:sz w:val="20"/>
          <w:szCs w:val="20"/>
          <w:lang w:val="sr-Cyrl-RS"/>
        </w:rPr>
        <w:footnoteReference w:id="176"/>
      </w:r>
      <w:r w:rsidRPr="00A021B7">
        <w:rPr>
          <w:rFonts w:ascii="Arial" w:hAnsi="Arial" w:cs="Arial"/>
          <w:sz w:val="20"/>
          <w:szCs w:val="20"/>
          <w:lang w:val="sr-Cyrl-RS"/>
        </w:rPr>
        <w:t xml:space="preserve"> представници </w:t>
      </w:r>
      <w:r w:rsidRPr="00A021B7">
        <w:rPr>
          <w:rFonts w:ascii="Arial" w:hAnsi="Arial" w:cs="Arial"/>
          <w:sz w:val="20"/>
          <w:szCs w:val="20"/>
          <w:lang w:val="sr-Cyrl-RS"/>
        </w:rPr>
        <w:lastRenderedPageBreak/>
        <w:t xml:space="preserve">ЈЛС упознати са тренутним стањем </w:t>
      </w:r>
      <w:r w:rsidR="005C63D3">
        <w:rPr>
          <w:rFonts w:ascii="Arial" w:hAnsi="Arial" w:cs="Arial"/>
          <w:sz w:val="20"/>
          <w:szCs w:val="20"/>
          <w:lang w:val="sr-Cyrl-RS"/>
        </w:rPr>
        <w:t xml:space="preserve">у </w:t>
      </w:r>
      <w:r w:rsidRPr="00A021B7">
        <w:rPr>
          <w:rFonts w:ascii="Arial" w:hAnsi="Arial" w:cs="Arial"/>
          <w:sz w:val="20"/>
          <w:szCs w:val="20"/>
          <w:lang w:val="sr-Cyrl-RS"/>
        </w:rPr>
        <w:t>процес</w:t>
      </w:r>
      <w:r w:rsidR="005C63D3">
        <w:rPr>
          <w:rFonts w:ascii="Arial" w:hAnsi="Arial" w:cs="Arial"/>
          <w:sz w:val="20"/>
          <w:szCs w:val="20"/>
          <w:lang w:val="sr-Cyrl-RS"/>
        </w:rPr>
        <w:t>у</w:t>
      </w:r>
      <w:r w:rsidRPr="00A021B7">
        <w:rPr>
          <w:rFonts w:ascii="Arial" w:hAnsi="Arial" w:cs="Arial"/>
          <w:sz w:val="20"/>
          <w:szCs w:val="20"/>
          <w:lang w:val="sr-Cyrl-RS"/>
        </w:rPr>
        <w:t xml:space="preserve"> </w:t>
      </w:r>
      <w:r w:rsidR="005C63D3">
        <w:rPr>
          <w:rFonts w:ascii="Arial" w:hAnsi="Arial" w:cs="Arial"/>
          <w:sz w:val="20"/>
          <w:szCs w:val="20"/>
          <w:lang w:val="sr-Cyrl-RS"/>
        </w:rPr>
        <w:t>европских</w:t>
      </w:r>
      <w:r w:rsidRPr="00A021B7">
        <w:rPr>
          <w:rFonts w:ascii="Arial" w:hAnsi="Arial" w:cs="Arial"/>
          <w:sz w:val="20"/>
          <w:szCs w:val="20"/>
          <w:lang w:val="sr-Cyrl-RS"/>
        </w:rPr>
        <w:t xml:space="preserve"> интеграција и приступних преговора, кључним институцијама и током преговарачког процеса, </w:t>
      </w:r>
      <w:r w:rsidRPr="00A021B7">
        <w:rPr>
          <w:rFonts w:ascii="Arial" w:eastAsia="Arial" w:hAnsi="Arial" w:cs="Arial"/>
          <w:sz w:val="20"/>
          <w:szCs w:val="20"/>
          <w:lang w:val="sr-Cyrl-RS"/>
        </w:rPr>
        <w:t xml:space="preserve">као и </w:t>
      </w:r>
      <w:r w:rsidR="40ABB280" w:rsidRPr="00A021B7">
        <w:rPr>
          <w:rFonts w:ascii="Arial" w:eastAsia="Arial" w:hAnsi="Arial" w:cs="Arial"/>
          <w:sz w:val="20"/>
          <w:szCs w:val="20"/>
          <w:lang w:val="sr-Cyrl-RS"/>
        </w:rPr>
        <w:t xml:space="preserve">са </w:t>
      </w:r>
      <w:r w:rsidRPr="00A021B7">
        <w:rPr>
          <w:rFonts w:ascii="Arial" w:eastAsia="Arial" w:hAnsi="Arial" w:cs="Arial"/>
          <w:sz w:val="20"/>
          <w:szCs w:val="20"/>
          <w:lang w:val="sr-Cyrl-RS"/>
        </w:rPr>
        <w:t>значајем</w:t>
      </w:r>
      <w:r w:rsidR="40ABB280" w:rsidRPr="00A021B7">
        <w:rPr>
          <w:rFonts w:ascii="Arial" w:eastAsia="Arial" w:hAnsi="Arial" w:cs="Arial"/>
          <w:sz w:val="20"/>
          <w:szCs w:val="20"/>
          <w:lang w:val="sr-Cyrl-RS"/>
        </w:rPr>
        <w:t xml:space="preserve"> овог процеса</w:t>
      </w:r>
      <w:r w:rsidRPr="00A021B7">
        <w:rPr>
          <w:rFonts w:ascii="Arial" w:eastAsia="Arial" w:hAnsi="Arial" w:cs="Arial"/>
          <w:sz w:val="20"/>
          <w:szCs w:val="20"/>
          <w:lang w:val="sr-Cyrl-RS"/>
        </w:rPr>
        <w:t xml:space="preserve"> за </w:t>
      </w:r>
      <w:r w:rsidR="40ABB280" w:rsidRPr="00A021B7">
        <w:rPr>
          <w:rFonts w:ascii="Arial" w:eastAsia="Arial" w:hAnsi="Arial" w:cs="Arial"/>
          <w:sz w:val="20"/>
          <w:szCs w:val="20"/>
          <w:lang w:val="sr-Cyrl-RS"/>
        </w:rPr>
        <w:t>њих</w:t>
      </w:r>
      <w:r w:rsidR="2E07AEB2" w:rsidRPr="00A021B7">
        <w:rPr>
          <w:rFonts w:ascii="Arial" w:eastAsia="Arial" w:hAnsi="Arial" w:cs="Arial"/>
          <w:sz w:val="20"/>
          <w:szCs w:val="20"/>
          <w:lang w:val="sr-Cyrl-RS"/>
        </w:rPr>
        <w:t>,</w:t>
      </w:r>
      <w:r w:rsidR="40ABB280" w:rsidRPr="00A021B7">
        <w:rPr>
          <w:rFonts w:ascii="Arial" w:eastAsia="Arial" w:hAnsi="Arial" w:cs="Arial"/>
          <w:sz w:val="20"/>
          <w:szCs w:val="20"/>
          <w:lang w:val="sr-Cyrl-RS"/>
        </w:rPr>
        <w:t xml:space="preserve"> </w:t>
      </w:r>
      <w:r w:rsidRPr="00A021B7">
        <w:rPr>
          <w:rFonts w:ascii="Arial" w:eastAsia="Arial" w:hAnsi="Arial" w:cs="Arial"/>
          <w:sz w:val="20"/>
          <w:szCs w:val="20"/>
          <w:lang w:val="sr-Cyrl-RS"/>
        </w:rPr>
        <w:t>недостаје системско и континуирано информисање локалног нивоа.</w:t>
      </w:r>
      <w:r w:rsidR="512CDFFD" w:rsidRPr="00A021B7">
        <w:rPr>
          <w:rFonts w:ascii="Arial" w:eastAsia="Arial" w:hAnsi="Arial" w:cs="Arial"/>
          <w:sz w:val="20"/>
          <w:szCs w:val="20"/>
          <w:lang w:val="sr-Cyrl-RS"/>
        </w:rPr>
        <w:t xml:space="preserve"> </w:t>
      </w:r>
      <w:r w:rsidRPr="00A021B7">
        <w:rPr>
          <w:rFonts w:ascii="Arial" w:eastAsia="Arial" w:hAnsi="Arial" w:cs="Arial"/>
          <w:sz w:val="20"/>
          <w:szCs w:val="20"/>
          <w:lang w:val="sr-Cyrl-RS"/>
        </w:rPr>
        <w:t xml:space="preserve">ЈЛС су свесне да процес </w:t>
      </w:r>
      <w:r w:rsidR="005C63D3">
        <w:rPr>
          <w:rFonts w:ascii="Arial" w:eastAsia="Arial" w:hAnsi="Arial" w:cs="Arial"/>
          <w:sz w:val="20"/>
          <w:szCs w:val="20"/>
          <w:lang w:val="sr-Cyrl-RS"/>
        </w:rPr>
        <w:t>европских</w:t>
      </w:r>
      <w:r w:rsidR="005C63D3" w:rsidRPr="00A021B7">
        <w:rPr>
          <w:rFonts w:ascii="Arial" w:eastAsia="Arial" w:hAnsi="Arial" w:cs="Arial"/>
          <w:sz w:val="20"/>
          <w:szCs w:val="20"/>
          <w:lang w:val="sr-Cyrl-RS"/>
        </w:rPr>
        <w:t xml:space="preserve"> </w:t>
      </w:r>
      <w:r w:rsidRPr="00A021B7">
        <w:rPr>
          <w:rFonts w:ascii="Arial" w:eastAsia="Arial" w:hAnsi="Arial" w:cs="Arial"/>
          <w:sz w:val="20"/>
          <w:szCs w:val="20"/>
          <w:lang w:val="sr-Cyrl-RS"/>
        </w:rPr>
        <w:t>интеграција доноси неке промене за локални ниво, али ус</w:t>
      </w:r>
      <w:r w:rsidR="005C63D3">
        <w:rPr>
          <w:rFonts w:ascii="Arial" w:eastAsia="Arial" w:hAnsi="Arial" w:cs="Arial"/>
          <w:sz w:val="20"/>
          <w:szCs w:val="20"/>
          <w:lang w:val="sr-Cyrl-RS"/>
        </w:rPr>
        <w:t>л</w:t>
      </w:r>
      <w:r w:rsidRPr="00A021B7">
        <w:rPr>
          <w:rFonts w:ascii="Arial" w:eastAsia="Arial" w:hAnsi="Arial" w:cs="Arial"/>
          <w:sz w:val="20"/>
          <w:szCs w:val="20"/>
          <w:lang w:val="sr-Cyrl-RS"/>
        </w:rPr>
        <w:t>ед недовољног нивоа вертикалне комуникације у оквиру јавне управе, оне често не препознају да је одређена законодавна или институционална промена део процеса хармонизације, нити могу да направе везу са конкретним утицајем на ЈЛС.</w:t>
      </w:r>
    </w:p>
    <w:p w14:paraId="6B9014FC" w14:textId="77777777" w:rsidR="00640238" w:rsidRPr="00A021B7" w:rsidRDefault="00640238" w:rsidP="1A8E6423">
      <w:pPr>
        <w:ind w:firstLine="720"/>
        <w:jc w:val="both"/>
        <w:rPr>
          <w:rFonts w:ascii="Arial" w:hAnsi="Arial" w:cs="Arial"/>
          <w:sz w:val="20"/>
          <w:szCs w:val="20"/>
          <w:lang w:val="sr-Cyrl-RS"/>
        </w:rPr>
      </w:pPr>
    </w:p>
    <w:p w14:paraId="1181F745" w14:textId="6E455E25" w:rsidR="00640238" w:rsidRPr="00A021B7" w:rsidRDefault="47B5AC75" w:rsidP="1A8E6423">
      <w:pPr>
        <w:ind w:firstLine="720"/>
        <w:jc w:val="both"/>
        <w:rPr>
          <w:rFonts w:ascii="Arial" w:hAnsi="Arial" w:cs="Arial"/>
          <w:sz w:val="20"/>
          <w:szCs w:val="20"/>
          <w:lang w:val="sr-Cyrl-RS"/>
        </w:rPr>
      </w:pPr>
      <w:r w:rsidRPr="00A021B7">
        <w:rPr>
          <w:rFonts w:ascii="Arial" w:hAnsi="Arial" w:cs="Arial"/>
          <w:color w:val="222222"/>
          <w:sz w:val="20"/>
          <w:szCs w:val="20"/>
          <w:lang w:val="sr-Cyrl-RS"/>
        </w:rPr>
        <w:t xml:space="preserve">Изазови су присутни и у процесу </w:t>
      </w:r>
      <w:r w:rsidRPr="00A021B7">
        <w:rPr>
          <w:rFonts w:ascii="Arial" w:hAnsi="Arial" w:cs="Arial"/>
          <w:sz w:val="20"/>
          <w:szCs w:val="20"/>
          <w:lang w:val="sr-Cyrl-RS"/>
        </w:rPr>
        <w:t xml:space="preserve">непосредне </w:t>
      </w:r>
      <w:r w:rsidR="005C63D3" w:rsidRPr="00A021B7">
        <w:rPr>
          <w:rFonts w:ascii="Arial" w:hAnsi="Arial" w:cs="Arial"/>
          <w:sz w:val="20"/>
          <w:szCs w:val="20"/>
          <w:lang w:val="sr-Cyrl-RS"/>
        </w:rPr>
        <w:t>сарадње</w:t>
      </w:r>
      <w:r w:rsidRPr="00A021B7">
        <w:rPr>
          <w:rFonts w:ascii="Arial" w:hAnsi="Arial" w:cs="Arial"/>
          <w:sz w:val="20"/>
          <w:szCs w:val="20"/>
          <w:lang w:val="sr-Cyrl-RS"/>
        </w:rPr>
        <w:t xml:space="preserve"> ЈЛС </w:t>
      </w:r>
      <w:r w:rsidR="5C29E881" w:rsidRPr="00A021B7">
        <w:rPr>
          <w:rFonts w:ascii="Arial" w:hAnsi="Arial" w:cs="Arial"/>
          <w:sz w:val="20"/>
          <w:szCs w:val="20"/>
          <w:lang w:val="sr-Cyrl-RS"/>
        </w:rPr>
        <w:t>са</w:t>
      </w:r>
      <w:r w:rsidR="512CDFFD" w:rsidRPr="00A021B7">
        <w:rPr>
          <w:rFonts w:ascii="Arial" w:hAnsi="Arial" w:cs="Arial"/>
          <w:sz w:val="20"/>
          <w:szCs w:val="20"/>
          <w:lang w:val="sr-Cyrl-RS"/>
        </w:rPr>
        <w:t xml:space="preserve"> </w:t>
      </w:r>
      <w:r w:rsidR="5C29E881" w:rsidRPr="00A021B7">
        <w:rPr>
          <w:rFonts w:ascii="Arial" w:hAnsi="Arial" w:cs="Arial"/>
          <w:sz w:val="20"/>
          <w:szCs w:val="20"/>
          <w:lang w:val="sr-Cyrl-RS"/>
        </w:rPr>
        <w:t xml:space="preserve">институцијама </w:t>
      </w:r>
      <w:r w:rsidR="005C63D3" w:rsidRPr="00A021B7">
        <w:rPr>
          <w:rFonts w:ascii="Arial" w:hAnsi="Arial" w:cs="Arial"/>
          <w:sz w:val="20"/>
          <w:szCs w:val="20"/>
          <w:lang w:val="sr-Cyrl-RS"/>
        </w:rPr>
        <w:t xml:space="preserve">ЕУ </w:t>
      </w:r>
      <w:r w:rsidR="5C29E881" w:rsidRPr="00A021B7">
        <w:rPr>
          <w:rFonts w:ascii="Arial" w:hAnsi="Arial" w:cs="Arial"/>
          <w:sz w:val="20"/>
          <w:szCs w:val="20"/>
          <w:lang w:val="sr-Cyrl-RS"/>
        </w:rPr>
        <w:t xml:space="preserve">у </w:t>
      </w:r>
      <w:r w:rsidRPr="00A021B7">
        <w:rPr>
          <w:rFonts w:ascii="Arial" w:hAnsi="Arial" w:cs="Arial"/>
          <w:sz w:val="20"/>
          <w:szCs w:val="20"/>
          <w:lang w:val="sr-Cyrl-RS"/>
        </w:rPr>
        <w:t>Србији</w:t>
      </w:r>
      <w:r w:rsidR="005C63D3">
        <w:rPr>
          <w:rFonts w:ascii="Arial" w:hAnsi="Arial" w:cs="Arial"/>
          <w:sz w:val="20"/>
          <w:szCs w:val="20"/>
          <w:lang w:val="sr-Cyrl-RS"/>
        </w:rPr>
        <w:t>,</w:t>
      </w:r>
      <w:r w:rsidRPr="00A021B7">
        <w:rPr>
          <w:rFonts w:ascii="Arial" w:hAnsi="Arial" w:cs="Arial"/>
          <w:sz w:val="20"/>
          <w:szCs w:val="20"/>
          <w:lang w:val="sr-Cyrl-RS"/>
        </w:rPr>
        <w:t xml:space="preserve"> која је још увек ниског интензитета. Непосредна сарадња Делегације ЕУ у Србији са неким градом или општином организује се углавном у вези са </w:t>
      </w:r>
      <w:r w:rsidR="3ADE0006" w:rsidRPr="00A021B7">
        <w:rPr>
          <w:rFonts w:ascii="Arial" w:hAnsi="Arial" w:cs="Arial"/>
          <w:sz w:val="20"/>
          <w:szCs w:val="20"/>
          <w:lang w:val="sr-Cyrl-RS"/>
        </w:rPr>
        <w:t xml:space="preserve">спровођењем </w:t>
      </w:r>
      <w:r w:rsidRPr="00A021B7">
        <w:rPr>
          <w:rFonts w:ascii="Arial" w:hAnsi="Arial" w:cs="Arial"/>
          <w:sz w:val="20"/>
          <w:szCs w:val="20"/>
          <w:lang w:val="sr-Cyrl-RS"/>
        </w:rPr>
        <w:t>пројеката</w:t>
      </w:r>
      <w:r w:rsidR="00F35B19">
        <w:rPr>
          <w:rFonts w:ascii="Arial" w:hAnsi="Arial" w:cs="Arial"/>
          <w:sz w:val="20"/>
          <w:szCs w:val="20"/>
          <w:lang w:val="sr-Cyrl-RS"/>
        </w:rPr>
        <w:t xml:space="preserve"> или неке друге конкретне активности</w:t>
      </w:r>
      <w:r w:rsidRPr="00A021B7">
        <w:rPr>
          <w:rFonts w:ascii="Arial" w:hAnsi="Arial" w:cs="Arial"/>
          <w:sz w:val="20"/>
          <w:szCs w:val="20"/>
          <w:lang w:val="sr-Cyrl-RS"/>
        </w:rPr>
        <w:t xml:space="preserve"> </w:t>
      </w:r>
      <w:r w:rsidR="00F35B19">
        <w:rPr>
          <w:rFonts w:ascii="Arial" w:hAnsi="Arial" w:cs="Arial"/>
          <w:sz w:val="20"/>
          <w:szCs w:val="20"/>
          <w:lang w:val="sr-Cyrl-RS"/>
        </w:rPr>
        <w:t>односно око</w:t>
      </w:r>
      <w:r w:rsidRPr="00A021B7">
        <w:rPr>
          <w:rFonts w:ascii="Arial" w:hAnsi="Arial" w:cs="Arial"/>
          <w:sz w:val="20"/>
          <w:szCs w:val="20"/>
          <w:lang w:val="sr-Cyrl-RS"/>
        </w:rPr>
        <w:t xml:space="preserve"> посета званичника</w:t>
      </w:r>
      <w:r w:rsidR="005C63D3" w:rsidRPr="005C63D3">
        <w:rPr>
          <w:rFonts w:ascii="Arial" w:hAnsi="Arial" w:cs="Arial"/>
          <w:sz w:val="20"/>
          <w:szCs w:val="20"/>
          <w:lang w:val="sr-Cyrl-RS"/>
        </w:rPr>
        <w:t xml:space="preserve"> </w:t>
      </w:r>
      <w:r w:rsidR="005C63D3" w:rsidRPr="00A021B7">
        <w:rPr>
          <w:rFonts w:ascii="Arial" w:hAnsi="Arial" w:cs="Arial"/>
          <w:sz w:val="20"/>
          <w:szCs w:val="20"/>
          <w:lang w:val="sr-Cyrl-RS"/>
        </w:rPr>
        <w:t>ЕУ</w:t>
      </w:r>
      <w:r w:rsidR="00F35B19">
        <w:rPr>
          <w:rFonts w:ascii="Arial" w:hAnsi="Arial" w:cs="Arial"/>
          <w:sz w:val="20"/>
          <w:szCs w:val="20"/>
          <w:lang w:val="sr-Cyrl-RS"/>
        </w:rPr>
        <w:t xml:space="preserve"> некој локалној заједници</w:t>
      </w:r>
      <w:r w:rsidRPr="00A021B7">
        <w:rPr>
          <w:rFonts w:ascii="Arial" w:hAnsi="Arial" w:cs="Arial"/>
          <w:sz w:val="20"/>
          <w:szCs w:val="20"/>
          <w:lang w:val="sr-Cyrl-RS"/>
        </w:rPr>
        <w:t>. Поред тога</w:t>
      </w:r>
      <w:r w:rsidR="3ADE0006" w:rsidRPr="00A021B7">
        <w:rPr>
          <w:rFonts w:ascii="Arial" w:hAnsi="Arial" w:cs="Arial"/>
          <w:sz w:val="20"/>
          <w:szCs w:val="20"/>
          <w:lang w:val="sr-Cyrl-RS"/>
        </w:rPr>
        <w:t>,</w:t>
      </w:r>
      <w:r w:rsidRPr="00A021B7">
        <w:rPr>
          <w:rFonts w:ascii="Arial" w:hAnsi="Arial" w:cs="Arial"/>
          <w:sz w:val="20"/>
          <w:szCs w:val="20"/>
          <w:lang w:val="sr-Cyrl-RS"/>
        </w:rPr>
        <w:t xml:space="preserve"> други координисани и континуирани начин сарадње одвија се</w:t>
      </w:r>
      <w:r w:rsidR="00F35B19">
        <w:rPr>
          <w:rFonts w:ascii="Arial" w:hAnsi="Arial" w:cs="Arial"/>
          <w:sz w:val="20"/>
          <w:szCs w:val="20"/>
          <w:lang w:val="sr-Cyrl-RS"/>
        </w:rPr>
        <w:t xml:space="preserve"> и</w:t>
      </w:r>
      <w:r w:rsidRPr="00A021B7">
        <w:rPr>
          <w:rFonts w:ascii="Arial" w:hAnsi="Arial" w:cs="Arial"/>
          <w:sz w:val="20"/>
          <w:szCs w:val="20"/>
          <w:lang w:val="sr-Cyrl-RS"/>
        </w:rPr>
        <w:t xml:space="preserve"> кроз чланство ЈЛС у појединим делегацијама у организацијама</w:t>
      </w:r>
      <w:r w:rsidR="005C63D3" w:rsidRPr="005C63D3">
        <w:rPr>
          <w:rFonts w:ascii="Arial" w:hAnsi="Arial" w:cs="Arial"/>
          <w:sz w:val="20"/>
          <w:szCs w:val="20"/>
          <w:lang w:val="sr-Cyrl-RS"/>
        </w:rPr>
        <w:t xml:space="preserve"> </w:t>
      </w:r>
      <w:r w:rsidR="005C63D3" w:rsidRPr="00A021B7">
        <w:rPr>
          <w:rFonts w:ascii="Arial" w:hAnsi="Arial" w:cs="Arial"/>
          <w:sz w:val="20"/>
          <w:szCs w:val="20"/>
          <w:lang w:val="sr-Cyrl-RS"/>
        </w:rPr>
        <w:t>ЕУ</w:t>
      </w:r>
      <w:r w:rsidRPr="00A021B7">
        <w:rPr>
          <w:rFonts w:ascii="Arial" w:hAnsi="Arial" w:cs="Arial"/>
          <w:sz w:val="20"/>
          <w:szCs w:val="20"/>
          <w:lang w:val="sr-Cyrl-RS"/>
        </w:rPr>
        <w:t>, односно приликом организовањ</w:t>
      </w:r>
      <w:r w:rsidR="005C63D3">
        <w:rPr>
          <w:rFonts w:ascii="Arial" w:hAnsi="Arial" w:cs="Arial"/>
          <w:sz w:val="20"/>
          <w:szCs w:val="20"/>
          <w:lang w:val="sr-Cyrl-RS"/>
        </w:rPr>
        <w:t>а</w:t>
      </w:r>
      <w:r w:rsidRPr="00A021B7">
        <w:rPr>
          <w:rFonts w:ascii="Arial" w:hAnsi="Arial" w:cs="Arial"/>
          <w:sz w:val="20"/>
          <w:szCs w:val="20"/>
          <w:lang w:val="sr-Cyrl-RS"/>
        </w:rPr>
        <w:t xml:space="preserve"> студијских и других посета некој институцији ЕУ. </w:t>
      </w:r>
      <w:r w:rsidR="00F35B19">
        <w:rPr>
          <w:rFonts w:ascii="Arial" w:hAnsi="Arial" w:cs="Arial"/>
          <w:sz w:val="20"/>
          <w:szCs w:val="20"/>
          <w:lang w:val="sr-Cyrl-RS"/>
        </w:rPr>
        <w:t xml:space="preserve">У овом тренутнку, </w:t>
      </w:r>
      <w:r w:rsidRPr="00A021B7">
        <w:rPr>
          <w:rFonts w:ascii="Arial" w:hAnsi="Arial" w:cs="Arial"/>
          <w:sz w:val="20"/>
          <w:szCs w:val="20"/>
          <w:lang w:val="sr-Cyrl-RS"/>
        </w:rPr>
        <w:t xml:space="preserve">ЈЛС немају другу </w:t>
      </w:r>
      <w:r w:rsidR="00F35B19">
        <w:rPr>
          <w:rFonts w:ascii="Arial" w:hAnsi="Arial" w:cs="Arial"/>
          <w:sz w:val="20"/>
          <w:szCs w:val="20"/>
          <w:lang w:val="sr-Cyrl-RS"/>
        </w:rPr>
        <w:t xml:space="preserve">значајнију </w:t>
      </w:r>
      <w:r w:rsidRPr="00A021B7">
        <w:rPr>
          <w:rFonts w:ascii="Arial" w:hAnsi="Arial" w:cs="Arial"/>
          <w:sz w:val="20"/>
          <w:szCs w:val="20"/>
          <w:lang w:val="sr-Cyrl-RS"/>
        </w:rPr>
        <w:t>развијену сарадњу са институцијама ЕУ, па самим ти</w:t>
      </w:r>
      <w:r w:rsidR="00F35B19">
        <w:rPr>
          <w:rFonts w:ascii="Arial" w:hAnsi="Arial" w:cs="Arial"/>
          <w:sz w:val="20"/>
          <w:szCs w:val="20"/>
          <w:lang w:val="sr-Cyrl-RS"/>
        </w:rPr>
        <w:t>м</w:t>
      </w:r>
      <w:r w:rsidRPr="00A021B7">
        <w:rPr>
          <w:rFonts w:ascii="Arial" w:hAnsi="Arial" w:cs="Arial"/>
          <w:sz w:val="20"/>
          <w:szCs w:val="20"/>
          <w:lang w:val="sr-Cyrl-RS"/>
        </w:rPr>
        <w:t xml:space="preserve"> ни довољно знања о њиховом функционисању, односно о начину доношења одлука и креирању политика, као ни на који начин оне томе могу </w:t>
      </w:r>
      <w:r w:rsidR="6F6E13C7" w:rsidRPr="00A021B7">
        <w:rPr>
          <w:rFonts w:ascii="Arial" w:hAnsi="Arial" w:cs="Arial"/>
          <w:sz w:val="20"/>
          <w:szCs w:val="20"/>
          <w:lang w:val="sr-Cyrl-RS"/>
        </w:rPr>
        <w:t xml:space="preserve">у будућности </w:t>
      </w:r>
      <w:r w:rsidRPr="00A021B7">
        <w:rPr>
          <w:rFonts w:ascii="Arial" w:hAnsi="Arial" w:cs="Arial"/>
          <w:sz w:val="20"/>
          <w:szCs w:val="20"/>
          <w:lang w:val="sr-Cyrl-RS"/>
        </w:rPr>
        <w:t xml:space="preserve">допринети. Посебан изазов у вези са тим представља чињеница да тренутно не постоји </w:t>
      </w:r>
      <w:r w:rsidR="00F35B19">
        <w:rPr>
          <w:rFonts w:ascii="Arial" w:hAnsi="Arial" w:cs="Arial"/>
          <w:sz w:val="20"/>
          <w:szCs w:val="20"/>
          <w:lang w:val="sr-Cyrl-RS"/>
        </w:rPr>
        <w:t xml:space="preserve">ни </w:t>
      </w:r>
      <w:r w:rsidRPr="00A021B7">
        <w:rPr>
          <w:rFonts w:ascii="Arial" w:hAnsi="Arial" w:cs="Arial"/>
          <w:sz w:val="20"/>
          <w:szCs w:val="20"/>
          <w:lang w:val="sr-Cyrl-RS"/>
        </w:rPr>
        <w:t xml:space="preserve">представничка канцеларија неке ЈЛС или </w:t>
      </w:r>
      <w:r w:rsidR="1140B754" w:rsidRPr="00A021B7">
        <w:rPr>
          <w:rFonts w:ascii="Arial" w:hAnsi="Arial" w:cs="Arial"/>
          <w:sz w:val="20"/>
          <w:szCs w:val="20"/>
          <w:lang w:val="sr-Cyrl-RS"/>
        </w:rPr>
        <w:t xml:space="preserve">националне асоцијације локалних власти </w:t>
      </w:r>
      <w:r w:rsidRPr="00A021B7">
        <w:rPr>
          <w:rFonts w:ascii="Arial" w:hAnsi="Arial" w:cs="Arial"/>
          <w:sz w:val="20"/>
          <w:szCs w:val="20"/>
          <w:lang w:val="sr-Cyrl-RS"/>
        </w:rPr>
        <w:t>у Бриселу, што знатно отежава ефикасно праћење процеса у европским институцијама. Иако кроз сарадњу са партнерским асоцијацијама или Саветом општина и региона Европе (</w:t>
      </w:r>
      <w:r w:rsidRPr="1A8E6423">
        <w:rPr>
          <w:rFonts w:ascii="Arial" w:hAnsi="Arial" w:cs="Arial"/>
          <w:i/>
          <w:iCs/>
          <w:sz w:val="20"/>
          <w:szCs w:val="20"/>
          <w:lang w:val="sr-Cyrl-RS"/>
        </w:rPr>
        <w:t>CEMR</w:t>
      </w:r>
      <w:r w:rsidRPr="00A021B7">
        <w:rPr>
          <w:rFonts w:ascii="Arial" w:hAnsi="Arial" w:cs="Arial"/>
          <w:sz w:val="20"/>
          <w:szCs w:val="20"/>
          <w:lang w:val="sr-Cyrl-RS"/>
        </w:rPr>
        <w:t>) СКГО настоји да превазиђе ове препреке, са даљим интензивирањем процеса интеграције, потреба за непосредним представљањем локални</w:t>
      </w:r>
      <w:r w:rsidR="22CEFA59" w:rsidRPr="00A021B7">
        <w:rPr>
          <w:rFonts w:ascii="Arial" w:hAnsi="Arial" w:cs="Arial"/>
          <w:sz w:val="20"/>
          <w:szCs w:val="20"/>
          <w:lang w:val="sr-Cyrl-RS"/>
        </w:rPr>
        <w:t>х</w:t>
      </w:r>
      <w:r w:rsidRPr="00A021B7">
        <w:rPr>
          <w:rFonts w:ascii="Arial" w:hAnsi="Arial" w:cs="Arial"/>
          <w:sz w:val="20"/>
          <w:szCs w:val="20"/>
          <w:lang w:val="sr-Cyrl-RS"/>
        </w:rPr>
        <w:t xml:space="preserve"> власти пред европским институцијама биће све већа. </w:t>
      </w:r>
      <w:r w:rsidR="789AD3FE" w:rsidRPr="00A021B7">
        <w:rPr>
          <w:rFonts w:ascii="Arial" w:hAnsi="Arial" w:cs="Arial"/>
          <w:sz w:val="20"/>
          <w:szCs w:val="20"/>
          <w:lang w:val="sr-Cyrl-RS"/>
        </w:rPr>
        <w:t>И</w:t>
      </w:r>
      <w:r w:rsidRPr="00A021B7">
        <w:rPr>
          <w:rFonts w:ascii="Arial" w:hAnsi="Arial" w:cs="Arial"/>
          <w:sz w:val="20"/>
          <w:szCs w:val="20"/>
          <w:lang w:val="sr-Cyrl-RS"/>
        </w:rPr>
        <w:t>ако национални органи и СКГО промовишу европске манифестације и иницијативе у којима могу да учествују ЈЛС из Србије, попут Европске недеље мобилности или Европске недеље локалне демократије, ЈЛС још увек нису довољно упознате са њима.</w:t>
      </w:r>
      <w:r w:rsidR="00640238" w:rsidRPr="00A021B7">
        <w:rPr>
          <w:rStyle w:val="FootnoteReference"/>
          <w:rFonts w:ascii="Arial" w:hAnsi="Arial" w:cs="Arial"/>
          <w:sz w:val="20"/>
          <w:szCs w:val="20"/>
          <w:lang w:val="sr-Cyrl-RS"/>
        </w:rPr>
        <w:footnoteReference w:id="177"/>
      </w:r>
    </w:p>
    <w:p w14:paraId="41F7BEF3" w14:textId="77777777" w:rsidR="00640238" w:rsidRPr="00A021B7" w:rsidRDefault="00640238" w:rsidP="1A8E6423">
      <w:pPr>
        <w:ind w:firstLine="720"/>
        <w:jc w:val="both"/>
        <w:rPr>
          <w:rFonts w:ascii="Arial" w:eastAsia="Arial" w:hAnsi="Arial" w:cs="Arial"/>
          <w:sz w:val="20"/>
          <w:szCs w:val="20"/>
          <w:lang w:val="sr-Cyrl-RS"/>
        </w:rPr>
      </w:pPr>
    </w:p>
    <w:p w14:paraId="5865428C" w14:textId="76399BB0" w:rsidR="00640238" w:rsidRPr="00A021B7" w:rsidRDefault="00640238" w:rsidP="1A8E6423">
      <w:pPr>
        <w:ind w:firstLine="720"/>
        <w:jc w:val="both"/>
        <w:rPr>
          <w:rFonts w:ascii="Arial" w:hAnsi="Arial" w:cs="Arial"/>
          <w:sz w:val="20"/>
          <w:szCs w:val="20"/>
          <w:lang w:val="sr-Cyrl-RS"/>
        </w:rPr>
      </w:pPr>
      <w:r w:rsidRPr="1A8E6423">
        <w:rPr>
          <w:rFonts w:ascii="Arial" w:hAnsi="Arial" w:cs="Arial"/>
          <w:color w:val="222222"/>
          <w:sz w:val="20"/>
          <w:szCs w:val="20"/>
          <w:lang w:val="sr-Cyrl-RS"/>
        </w:rPr>
        <w:t>За интензивнију улогу локалних власти у процесу интеграција у ЕУ, неопходно је развијати квалитетну сарадњу између градова и општина, јер је недостатак ове сарадње такође изазов за остваривање њихове улоге у овом процесу. Стање у областима које су део процеса европских интеграциј</w:t>
      </w:r>
      <w:r w:rsidR="00534052" w:rsidRPr="1A8E6423">
        <w:rPr>
          <w:rFonts w:ascii="Arial" w:hAnsi="Arial" w:cs="Arial"/>
          <w:color w:val="222222"/>
          <w:sz w:val="20"/>
          <w:szCs w:val="20"/>
          <w:lang w:val="sr-Cyrl-RS"/>
        </w:rPr>
        <w:t>а</w:t>
      </w:r>
      <w:r w:rsidRPr="1A8E6423">
        <w:rPr>
          <w:rFonts w:ascii="Arial" w:hAnsi="Arial" w:cs="Arial"/>
          <w:color w:val="222222"/>
          <w:sz w:val="20"/>
          <w:szCs w:val="20"/>
          <w:lang w:val="sr-Cyrl-RS"/>
        </w:rPr>
        <w:t xml:space="preserve">, </w:t>
      </w:r>
      <w:r w:rsidR="005C63D3" w:rsidRPr="1A8E6423">
        <w:rPr>
          <w:rFonts w:ascii="Arial" w:hAnsi="Arial" w:cs="Arial"/>
          <w:color w:val="222222"/>
          <w:sz w:val="20"/>
          <w:szCs w:val="20"/>
          <w:lang w:val="sr-Cyrl-RS"/>
        </w:rPr>
        <w:t>у погледу</w:t>
      </w:r>
      <w:r w:rsidRPr="1A8E6423">
        <w:rPr>
          <w:rFonts w:ascii="Arial" w:hAnsi="Arial" w:cs="Arial"/>
          <w:color w:val="222222"/>
          <w:sz w:val="20"/>
          <w:szCs w:val="20"/>
          <w:lang w:val="sr-Cyrl-RS"/>
        </w:rPr>
        <w:t xml:space="preserve"> недостатка потребне </w:t>
      </w:r>
      <w:r w:rsidR="00F35B19">
        <w:rPr>
          <w:rFonts w:ascii="Arial" w:hAnsi="Arial" w:cs="Arial"/>
          <w:color w:val="222222"/>
          <w:sz w:val="20"/>
          <w:szCs w:val="20"/>
          <w:lang w:val="sr-Cyrl-RS"/>
        </w:rPr>
        <w:t>међуопштинске сарадње</w:t>
      </w:r>
      <w:r w:rsidRPr="1A8E6423">
        <w:rPr>
          <w:rFonts w:ascii="Arial" w:hAnsi="Arial" w:cs="Arial"/>
          <w:color w:val="222222"/>
          <w:sz w:val="20"/>
          <w:szCs w:val="20"/>
          <w:lang w:val="sr-Cyrl-RS"/>
        </w:rPr>
        <w:t xml:space="preserve">, није </w:t>
      </w:r>
      <w:r w:rsidR="005C63D3" w:rsidRPr="1A8E6423">
        <w:rPr>
          <w:rFonts w:ascii="Arial" w:hAnsi="Arial" w:cs="Arial"/>
          <w:color w:val="222222"/>
          <w:sz w:val="20"/>
          <w:szCs w:val="20"/>
          <w:lang w:val="sr-Cyrl-RS"/>
        </w:rPr>
        <w:t xml:space="preserve">по </w:t>
      </w:r>
      <w:r w:rsidRPr="1A8E6423">
        <w:rPr>
          <w:rFonts w:ascii="Arial" w:hAnsi="Arial" w:cs="Arial"/>
          <w:color w:val="222222"/>
          <w:sz w:val="20"/>
          <w:szCs w:val="20"/>
          <w:lang w:val="sr-Cyrl-RS"/>
        </w:rPr>
        <w:t>себи различито од других области деловања локалних власти. Комуникација и сарадња између ЈЛС у области европских интеграција се првенствено свод</w:t>
      </w:r>
      <w:r w:rsidR="005C63D3" w:rsidRPr="1A8E6423">
        <w:rPr>
          <w:rFonts w:ascii="Arial" w:hAnsi="Arial" w:cs="Arial"/>
          <w:color w:val="222222"/>
          <w:sz w:val="20"/>
          <w:szCs w:val="20"/>
          <w:lang w:val="sr-Cyrl-RS"/>
        </w:rPr>
        <w:t>е</w:t>
      </w:r>
      <w:r w:rsidRPr="1A8E6423">
        <w:rPr>
          <w:rFonts w:ascii="Arial" w:hAnsi="Arial" w:cs="Arial"/>
          <w:color w:val="222222"/>
          <w:sz w:val="20"/>
          <w:szCs w:val="20"/>
          <w:lang w:val="sr-Cyrl-RS"/>
        </w:rPr>
        <w:t xml:space="preserve"> на пројектну сарадњу у циљу аплицирања са пројектним предлозима на релевантне конкурсе за </w:t>
      </w:r>
      <w:r w:rsidR="008940A3" w:rsidRPr="1A8E6423">
        <w:rPr>
          <w:rFonts w:ascii="Arial" w:hAnsi="Arial" w:cs="Arial"/>
          <w:color w:val="222222"/>
          <w:sz w:val="20"/>
          <w:szCs w:val="20"/>
          <w:lang w:val="sr-Cyrl-RS"/>
        </w:rPr>
        <w:t xml:space="preserve">средства </w:t>
      </w:r>
      <w:r w:rsidRPr="1A8E6423">
        <w:rPr>
          <w:rFonts w:ascii="Arial" w:hAnsi="Arial" w:cs="Arial"/>
          <w:color w:val="222222"/>
          <w:sz w:val="20"/>
          <w:szCs w:val="20"/>
          <w:lang w:val="sr-Cyrl-RS"/>
        </w:rPr>
        <w:t>ЕУ, као и у погледу спровођења пројеката. Други примери сарадње су ретки</w:t>
      </w:r>
      <w:r w:rsidR="005C63D3" w:rsidRPr="1A8E6423">
        <w:rPr>
          <w:rFonts w:ascii="Arial" w:hAnsi="Arial" w:cs="Arial"/>
          <w:color w:val="222222"/>
          <w:sz w:val="20"/>
          <w:szCs w:val="20"/>
          <w:lang w:val="sr-Cyrl-RS"/>
        </w:rPr>
        <w:t>,</w:t>
      </w:r>
      <w:r w:rsidRPr="1A8E6423">
        <w:rPr>
          <w:rFonts w:ascii="Arial" w:hAnsi="Arial" w:cs="Arial"/>
          <w:color w:val="222222"/>
          <w:sz w:val="20"/>
          <w:szCs w:val="20"/>
          <w:lang w:val="sr-Cyrl-RS"/>
        </w:rPr>
        <w:t xml:space="preserve"> посебно у смислу формирања дугорочније и институционализоване сарадње на организовању комплекснијих послова који су део процеса усклађивања са правним оквиром ЕУ. Ипак, у претходне две године, са унапређењем услова за реализацију међуопштинске сарадње у оснивању заједничких органа и пружању заједничких услуга, ЈЛС све више разумеју потребе</w:t>
      </w:r>
      <w:r w:rsidR="005C63D3" w:rsidRPr="1A8E6423">
        <w:rPr>
          <w:rFonts w:ascii="Arial" w:hAnsi="Arial" w:cs="Arial"/>
          <w:color w:val="222222"/>
          <w:sz w:val="20"/>
          <w:szCs w:val="20"/>
          <w:lang w:val="sr-Cyrl-RS"/>
        </w:rPr>
        <w:t xml:space="preserve"> и</w:t>
      </w:r>
      <w:r w:rsidRPr="1A8E6423">
        <w:rPr>
          <w:rFonts w:ascii="Arial" w:hAnsi="Arial" w:cs="Arial"/>
          <w:color w:val="222222"/>
          <w:sz w:val="20"/>
          <w:szCs w:val="20"/>
          <w:lang w:val="sr-Cyrl-RS"/>
        </w:rPr>
        <w:t xml:space="preserve"> могућности које се отварају у погледу заједничк</w:t>
      </w:r>
      <w:r w:rsidR="005C63D3" w:rsidRPr="1A8E6423">
        <w:rPr>
          <w:rFonts w:ascii="Arial" w:hAnsi="Arial" w:cs="Arial"/>
          <w:color w:val="222222"/>
          <w:sz w:val="20"/>
          <w:szCs w:val="20"/>
          <w:lang w:val="sr-Cyrl-RS"/>
        </w:rPr>
        <w:t>е</w:t>
      </w:r>
      <w:r w:rsidRPr="1A8E6423">
        <w:rPr>
          <w:rFonts w:ascii="Arial" w:hAnsi="Arial" w:cs="Arial"/>
          <w:color w:val="222222"/>
          <w:sz w:val="20"/>
          <w:szCs w:val="20"/>
          <w:lang w:val="sr-Cyrl-RS"/>
        </w:rPr>
        <w:t xml:space="preserve"> </w:t>
      </w:r>
      <w:r w:rsidR="005C63D3" w:rsidRPr="1A8E6423">
        <w:rPr>
          <w:rFonts w:ascii="Arial" w:hAnsi="Arial" w:cs="Arial"/>
          <w:color w:val="222222"/>
          <w:sz w:val="20"/>
          <w:szCs w:val="20"/>
          <w:lang w:val="sr-Cyrl-RS"/>
        </w:rPr>
        <w:t>примене</w:t>
      </w:r>
      <w:r w:rsidRPr="1A8E6423">
        <w:rPr>
          <w:rFonts w:ascii="Arial" w:hAnsi="Arial" w:cs="Arial"/>
          <w:color w:val="222222"/>
          <w:sz w:val="20"/>
          <w:szCs w:val="20"/>
          <w:lang w:val="sr-Cyrl-RS"/>
        </w:rPr>
        <w:t xml:space="preserve"> стандарда </w:t>
      </w:r>
      <w:r w:rsidR="006047CD" w:rsidRPr="1A8E6423">
        <w:rPr>
          <w:rFonts w:ascii="Arial" w:hAnsi="Arial" w:cs="Arial"/>
          <w:color w:val="222222"/>
          <w:sz w:val="20"/>
          <w:szCs w:val="20"/>
          <w:lang w:val="sr-Cyrl-RS"/>
        </w:rPr>
        <w:t xml:space="preserve">ЕУ </w:t>
      </w:r>
      <w:r w:rsidRPr="1A8E6423">
        <w:rPr>
          <w:rFonts w:ascii="Arial" w:hAnsi="Arial" w:cs="Arial"/>
          <w:color w:val="222222"/>
          <w:sz w:val="20"/>
          <w:szCs w:val="20"/>
          <w:lang w:val="sr-Cyrl-RS"/>
        </w:rPr>
        <w:t>(односно удруживања ресурса и капацитета ради спровођења надлежности и пружања услуга грађанима</w:t>
      </w:r>
      <w:r w:rsidR="005C63D3" w:rsidRPr="1A8E6423">
        <w:rPr>
          <w:rFonts w:ascii="Arial" w:hAnsi="Arial" w:cs="Arial"/>
          <w:color w:val="222222"/>
          <w:sz w:val="20"/>
          <w:szCs w:val="20"/>
          <w:lang w:val="sr-Cyrl-RS"/>
        </w:rPr>
        <w:t>,</w:t>
      </w:r>
      <w:r w:rsidRPr="1A8E6423">
        <w:rPr>
          <w:rFonts w:ascii="Arial" w:hAnsi="Arial" w:cs="Arial"/>
          <w:color w:val="222222"/>
          <w:sz w:val="20"/>
          <w:szCs w:val="20"/>
          <w:lang w:val="sr-Cyrl-RS"/>
        </w:rPr>
        <w:t xml:space="preserve"> попут удруживања у решавању проблема отпада). Веома је важна и квалитетна </w:t>
      </w:r>
      <w:r w:rsidRPr="1A8E6423">
        <w:rPr>
          <w:rFonts w:ascii="Arial" w:hAnsi="Arial" w:cs="Arial"/>
          <w:sz w:val="20"/>
          <w:szCs w:val="20"/>
          <w:lang w:val="sr-Cyrl-RS"/>
        </w:rPr>
        <w:t>сарадња локалних актера (ЈЛС, ОЦД и пословни сектор), која још увек није довољно развијена. Квалитетна сарадња у оквиру локалне заједнице изузетно је важна за примену стандарда</w:t>
      </w:r>
      <w:r w:rsidR="006047CD" w:rsidRPr="1A8E6423">
        <w:rPr>
          <w:rFonts w:ascii="Arial" w:hAnsi="Arial" w:cs="Arial"/>
          <w:sz w:val="20"/>
          <w:szCs w:val="20"/>
          <w:lang w:val="sr-Cyrl-RS"/>
        </w:rPr>
        <w:t xml:space="preserve"> ЕУ</w:t>
      </w:r>
      <w:r w:rsidRPr="1A8E6423">
        <w:rPr>
          <w:rFonts w:ascii="Arial" w:hAnsi="Arial" w:cs="Arial"/>
          <w:sz w:val="20"/>
          <w:szCs w:val="20"/>
          <w:lang w:val="sr-Cyrl-RS"/>
        </w:rPr>
        <w:t>, креирање локалних политика и стратегија, као и припрем</w:t>
      </w:r>
      <w:r w:rsidR="00661268" w:rsidRPr="1A8E6423">
        <w:rPr>
          <w:rFonts w:ascii="Arial" w:hAnsi="Arial" w:cs="Arial"/>
          <w:sz w:val="20"/>
          <w:szCs w:val="20"/>
          <w:lang w:val="sr-Cyrl-RS"/>
        </w:rPr>
        <w:t>у</w:t>
      </w:r>
      <w:r w:rsidRPr="1A8E6423">
        <w:rPr>
          <w:rFonts w:ascii="Arial" w:hAnsi="Arial" w:cs="Arial"/>
          <w:sz w:val="20"/>
          <w:szCs w:val="20"/>
          <w:lang w:val="sr-Cyrl-RS"/>
        </w:rPr>
        <w:t xml:space="preserve"> и спровођење пројеката </w:t>
      </w:r>
      <w:r w:rsidR="005C63D3" w:rsidRPr="1A8E6423">
        <w:rPr>
          <w:rFonts w:ascii="Arial" w:hAnsi="Arial" w:cs="Arial"/>
          <w:sz w:val="20"/>
          <w:szCs w:val="20"/>
          <w:lang w:val="sr-Cyrl-RS"/>
        </w:rPr>
        <w:t xml:space="preserve">који се </w:t>
      </w:r>
      <w:r w:rsidRPr="1A8E6423">
        <w:rPr>
          <w:rFonts w:ascii="Arial" w:hAnsi="Arial" w:cs="Arial"/>
          <w:sz w:val="20"/>
          <w:szCs w:val="20"/>
          <w:lang w:val="sr-Cyrl-RS"/>
        </w:rPr>
        <w:t>финансира</w:t>
      </w:r>
      <w:r w:rsidR="005C63D3" w:rsidRPr="1A8E6423">
        <w:rPr>
          <w:rFonts w:ascii="Arial" w:hAnsi="Arial" w:cs="Arial"/>
          <w:sz w:val="20"/>
          <w:szCs w:val="20"/>
          <w:lang w:val="sr-Cyrl-RS"/>
        </w:rPr>
        <w:t>ју</w:t>
      </w:r>
      <w:r w:rsidRPr="1A8E6423">
        <w:rPr>
          <w:rFonts w:ascii="Arial" w:hAnsi="Arial" w:cs="Arial"/>
          <w:sz w:val="20"/>
          <w:szCs w:val="20"/>
          <w:lang w:val="sr-Cyrl-RS"/>
        </w:rPr>
        <w:t xml:space="preserve"> из средстава</w:t>
      </w:r>
      <w:r w:rsidR="006047CD" w:rsidRPr="1A8E6423">
        <w:rPr>
          <w:rFonts w:ascii="Arial" w:hAnsi="Arial" w:cs="Arial"/>
          <w:sz w:val="20"/>
          <w:szCs w:val="20"/>
          <w:lang w:val="sr-Cyrl-RS"/>
        </w:rPr>
        <w:t xml:space="preserve"> ЕУ</w:t>
      </w:r>
      <w:r w:rsidRPr="1A8E6423">
        <w:rPr>
          <w:rFonts w:ascii="Arial" w:hAnsi="Arial" w:cs="Arial"/>
          <w:sz w:val="20"/>
          <w:szCs w:val="20"/>
          <w:lang w:val="sr-Cyrl-RS"/>
        </w:rPr>
        <w:t xml:space="preserve">. Процес европских интеграција и примена европских стандарда подразумевају трансформацију деловања локалне самоуправе. Локалне власти треба да унапређују своје услуге како би ефикасно одговориле </w:t>
      </w:r>
      <w:r w:rsidR="005C63D3" w:rsidRPr="1A8E6423">
        <w:rPr>
          <w:rFonts w:ascii="Arial" w:hAnsi="Arial" w:cs="Arial"/>
          <w:sz w:val="20"/>
          <w:szCs w:val="20"/>
          <w:lang w:val="sr-Cyrl-RS"/>
        </w:rPr>
        <w:t xml:space="preserve">на </w:t>
      </w:r>
      <w:r w:rsidRPr="1A8E6423">
        <w:rPr>
          <w:rFonts w:ascii="Arial" w:hAnsi="Arial" w:cs="Arial"/>
          <w:sz w:val="20"/>
          <w:szCs w:val="20"/>
          <w:lang w:val="sr-Cyrl-RS"/>
        </w:rPr>
        <w:t>потреб</w:t>
      </w:r>
      <w:r w:rsidR="005C63D3" w:rsidRPr="1A8E6423">
        <w:rPr>
          <w:rFonts w:ascii="Arial" w:hAnsi="Arial" w:cs="Arial"/>
          <w:sz w:val="20"/>
          <w:szCs w:val="20"/>
          <w:lang w:val="sr-Cyrl-RS"/>
        </w:rPr>
        <w:t>е</w:t>
      </w:r>
      <w:r w:rsidRPr="1A8E6423">
        <w:rPr>
          <w:rFonts w:ascii="Arial" w:hAnsi="Arial" w:cs="Arial"/>
          <w:sz w:val="20"/>
          <w:szCs w:val="20"/>
          <w:lang w:val="sr-Cyrl-RS"/>
        </w:rPr>
        <w:t xml:space="preserve"> других сектора (нпр. за ефикасно издавање дозвола које су потребне приватном сектору за припрему и спровођење европских пројеката), развијају дијалог и сарадњу (на заједничким пројектима или услугама са ОЦД или кроз социо</w:t>
      </w:r>
      <w:r w:rsidR="005C63D3" w:rsidRPr="1A8E6423">
        <w:rPr>
          <w:rFonts w:ascii="Arial" w:hAnsi="Arial" w:cs="Arial"/>
          <w:sz w:val="20"/>
          <w:szCs w:val="20"/>
          <w:lang w:val="sr-Cyrl-RS"/>
        </w:rPr>
        <w:t>-</w:t>
      </w:r>
      <w:r w:rsidRPr="1A8E6423">
        <w:rPr>
          <w:rFonts w:ascii="Arial" w:hAnsi="Arial" w:cs="Arial"/>
          <w:sz w:val="20"/>
          <w:szCs w:val="20"/>
          <w:lang w:val="sr-Cyrl-RS"/>
        </w:rPr>
        <w:t xml:space="preserve">економски дијалог са привредом за креирање услова за стварање радних места) или да трансформишу своје послове и процедуре у складу са захтевима из процеса </w:t>
      </w:r>
      <w:r w:rsidR="005C63D3" w:rsidRPr="1A8E6423">
        <w:rPr>
          <w:rFonts w:ascii="Arial" w:hAnsi="Arial" w:cs="Arial"/>
          <w:sz w:val="20"/>
          <w:szCs w:val="20"/>
          <w:lang w:val="sr-Cyrl-RS"/>
        </w:rPr>
        <w:t xml:space="preserve">усклађивања </w:t>
      </w:r>
      <w:r w:rsidRPr="1A8E6423">
        <w:rPr>
          <w:rFonts w:ascii="Arial" w:hAnsi="Arial" w:cs="Arial"/>
          <w:sz w:val="20"/>
          <w:szCs w:val="20"/>
          <w:lang w:val="sr-Cyrl-RS"/>
        </w:rPr>
        <w:t xml:space="preserve">са ЕУ (нпр. у вези са државном помоћи </w:t>
      </w:r>
      <w:r w:rsidR="00FA01B1" w:rsidRPr="1A8E6423">
        <w:rPr>
          <w:rFonts w:ascii="Arial" w:hAnsi="Arial" w:cs="Arial"/>
          <w:sz w:val="20"/>
          <w:szCs w:val="20"/>
          <w:lang w:val="sr-Cyrl-RS"/>
        </w:rPr>
        <w:t>–</w:t>
      </w:r>
      <w:r w:rsidRPr="1A8E6423">
        <w:rPr>
          <w:rFonts w:ascii="Arial" w:hAnsi="Arial" w:cs="Arial"/>
          <w:sz w:val="20"/>
          <w:szCs w:val="20"/>
          <w:lang w:val="sr-Cyrl-RS"/>
        </w:rPr>
        <w:t xml:space="preserve"> доделом</w:t>
      </w:r>
      <w:r w:rsidR="00FA01B1" w:rsidRPr="1A8E6423">
        <w:rPr>
          <w:rFonts w:ascii="Arial" w:hAnsi="Arial" w:cs="Arial"/>
          <w:sz w:val="20"/>
          <w:szCs w:val="20"/>
          <w:lang w:val="sr-Cyrl-RS"/>
        </w:rPr>
        <w:t xml:space="preserve"> </w:t>
      </w:r>
      <w:r w:rsidRPr="1A8E6423">
        <w:rPr>
          <w:rFonts w:ascii="Arial" w:hAnsi="Arial" w:cs="Arial"/>
          <w:sz w:val="20"/>
          <w:szCs w:val="20"/>
          <w:lang w:val="sr-Cyrl-RS"/>
        </w:rPr>
        <w:t>финансијских средстава привреди или инспекцијским пословима у области животне средине).</w:t>
      </w:r>
    </w:p>
    <w:p w14:paraId="3FB6DFA2" w14:textId="77777777" w:rsidR="00640238" w:rsidRPr="00A021B7" w:rsidRDefault="00640238" w:rsidP="1A8E6423">
      <w:pPr>
        <w:ind w:firstLine="720"/>
        <w:jc w:val="both"/>
        <w:rPr>
          <w:rFonts w:ascii="Arial" w:hAnsi="Arial" w:cs="Arial"/>
          <w:i/>
          <w:iCs/>
          <w:sz w:val="20"/>
          <w:szCs w:val="20"/>
          <w:lang w:val="sr-Cyrl-RS"/>
        </w:rPr>
      </w:pPr>
    </w:p>
    <w:p w14:paraId="65AE1D78" w14:textId="4DD16647" w:rsidR="00640238" w:rsidRPr="00A021B7" w:rsidRDefault="47B5AC75" w:rsidP="1A8E6423">
      <w:pPr>
        <w:ind w:firstLine="720"/>
        <w:jc w:val="both"/>
        <w:rPr>
          <w:rFonts w:ascii="Arial" w:hAnsi="Arial" w:cs="Arial"/>
          <w:sz w:val="20"/>
          <w:szCs w:val="20"/>
          <w:lang w:val="sr-Cyrl-RS"/>
        </w:rPr>
      </w:pPr>
      <w:r w:rsidRPr="00A021B7">
        <w:rPr>
          <w:rFonts w:ascii="Arial" w:hAnsi="Arial" w:cs="Arial"/>
          <w:color w:val="222222"/>
          <w:sz w:val="20"/>
          <w:szCs w:val="20"/>
          <w:lang w:val="sr-Cyrl-RS"/>
        </w:rPr>
        <w:t xml:space="preserve">Коначно, за квалитетан допринос ефикасној интеграцији Србије у ЕУ и за остваривање њихових функција у овом процесу, локалним властима су неопходни </w:t>
      </w:r>
      <w:r w:rsidRPr="00A021B7">
        <w:rPr>
          <w:rFonts w:ascii="Arial" w:hAnsi="Arial" w:cs="Arial"/>
          <w:sz w:val="20"/>
          <w:szCs w:val="20"/>
          <w:lang w:val="sr-Cyrl-RS"/>
        </w:rPr>
        <w:t>капацитети и финансијски ресурси ЈЛС за примену европских стандарда</w:t>
      </w:r>
      <w:r w:rsidR="005C63D3">
        <w:rPr>
          <w:rFonts w:ascii="Arial" w:hAnsi="Arial" w:cs="Arial"/>
          <w:sz w:val="20"/>
          <w:szCs w:val="20"/>
          <w:lang w:val="sr-Cyrl-RS"/>
        </w:rPr>
        <w:t xml:space="preserve"> </w:t>
      </w:r>
      <w:r w:rsidRPr="00A021B7">
        <w:rPr>
          <w:rFonts w:ascii="Arial" w:hAnsi="Arial" w:cs="Arial"/>
          <w:sz w:val="20"/>
          <w:szCs w:val="20"/>
          <w:lang w:val="sr-Cyrl-RS"/>
        </w:rPr>
        <w:t>/</w:t>
      </w:r>
      <w:r w:rsidR="005C63D3">
        <w:rPr>
          <w:rFonts w:ascii="Arial" w:hAnsi="Arial" w:cs="Arial"/>
          <w:sz w:val="20"/>
          <w:szCs w:val="20"/>
          <w:lang w:val="sr-Cyrl-RS"/>
        </w:rPr>
        <w:t xml:space="preserve"> </w:t>
      </w:r>
      <w:r w:rsidRPr="00A021B7">
        <w:rPr>
          <w:rFonts w:ascii="Arial" w:hAnsi="Arial" w:cs="Arial"/>
          <w:sz w:val="20"/>
          <w:szCs w:val="20"/>
          <w:lang w:val="sr-Cyrl-RS"/>
        </w:rPr>
        <w:t>правних тековина ЕУ</w:t>
      </w:r>
      <w:r w:rsidRPr="1A8E6423">
        <w:rPr>
          <w:rFonts w:ascii="Arial" w:hAnsi="Arial" w:cs="Arial"/>
          <w:i/>
          <w:iCs/>
          <w:sz w:val="20"/>
          <w:szCs w:val="20"/>
          <w:lang w:val="sr-Cyrl-RS"/>
        </w:rPr>
        <w:t xml:space="preserve">. </w:t>
      </w:r>
      <w:r w:rsidRPr="00A021B7">
        <w:rPr>
          <w:rFonts w:ascii="Arial" w:hAnsi="Arial" w:cs="Arial"/>
          <w:sz w:val="20"/>
          <w:szCs w:val="20"/>
          <w:lang w:val="sr-Cyrl-RS"/>
        </w:rPr>
        <w:t xml:space="preserve">Процес </w:t>
      </w:r>
      <w:r w:rsidR="36E3BA13" w:rsidRPr="00A021B7">
        <w:rPr>
          <w:rFonts w:ascii="Arial" w:hAnsi="Arial" w:cs="Arial"/>
          <w:sz w:val="20"/>
          <w:szCs w:val="20"/>
          <w:lang w:val="sr-Cyrl-RS"/>
        </w:rPr>
        <w:t xml:space="preserve">европских </w:t>
      </w:r>
      <w:r w:rsidRPr="00A021B7">
        <w:rPr>
          <w:rFonts w:ascii="Arial" w:hAnsi="Arial" w:cs="Arial"/>
          <w:sz w:val="20"/>
          <w:szCs w:val="20"/>
          <w:lang w:val="sr-Cyrl-RS"/>
        </w:rPr>
        <w:t xml:space="preserve">интеграција захтева јачање институционалних и административних капацитета за примену </w:t>
      </w:r>
      <w:r w:rsidRPr="00A021B7">
        <w:rPr>
          <w:rFonts w:ascii="Arial" w:hAnsi="Arial" w:cs="Arial"/>
          <w:sz w:val="20"/>
          <w:szCs w:val="20"/>
          <w:lang w:val="sr-Cyrl-RS"/>
        </w:rPr>
        <w:lastRenderedPageBreak/>
        <w:t xml:space="preserve">правних тековина ЕУ. Ове промене могу донети и потребу </w:t>
      </w:r>
      <w:r w:rsidR="005C63D3">
        <w:rPr>
          <w:rFonts w:ascii="Arial" w:hAnsi="Arial" w:cs="Arial"/>
          <w:sz w:val="20"/>
          <w:szCs w:val="20"/>
          <w:lang w:val="sr-Cyrl-RS"/>
        </w:rPr>
        <w:t xml:space="preserve">за </w:t>
      </w:r>
      <w:r w:rsidRPr="00A021B7">
        <w:rPr>
          <w:rFonts w:ascii="Arial" w:hAnsi="Arial" w:cs="Arial"/>
          <w:sz w:val="20"/>
          <w:szCs w:val="20"/>
          <w:lang w:val="sr-Cyrl-RS"/>
        </w:rPr>
        <w:t>успостављањ</w:t>
      </w:r>
      <w:r w:rsidR="005C63D3">
        <w:rPr>
          <w:rFonts w:ascii="Arial" w:hAnsi="Arial" w:cs="Arial"/>
          <w:sz w:val="20"/>
          <w:szCs w:val="20"/>
          <w:lang w:val="sr-Cyrl-RS"/>
        </w:rPr>
        <w:t>ем</w:t>
      </w:r>
      <w:r w:rsidRPr="00A021B7">
        <w:rPr>
          <w:rFonts w:ascii="Arial" w:hAnsi="Arial" w:cs="Arial"/>
          <w:sz w:val="20"/>
          <w:szCs w:val="20"/>
          <w:lang w:val="sr-Cyrl-RS"/>
        </w:rPr>
        <w:t xml:space="preserve"> нових функција у локалној самоуправи или нових радних места. Врло често, посебно у мањим ЈЛС</w:t>
      </w:r>
      <w:r w:rsidR="36E3BA13" w:rsidRPr="00A021B7">
        <w:rPr>
          <w:rFonts w:ascii="Arial" w:hAnsi="Arial" w:cs="Arial"/>
          <w:sz w:val="20"/>
          <w:szCs w:val="20"/>
          <w:lang w:val="sr-Cyrl-RS"/>
        </w:rPr>
        <w:t>,</w:t>
      </w:r>
      <w:r w:rsidRPr="00A021B7">
        <w:rPr>
          <w:rFonts w:ascii="Arial" w:hAnsi="Arial" w:cs="Arial"/>
          <w:sz w:val="20"/>
          <w:szCs w:val="20"/>
          <w:lang w:val="sr-Cyrl-RS"/>
        </w:rPr>
        <w:t xml:space="preserve"> то </w:t>
      </w:r>
      <w:r w:rsidR="36E3BA13" w:rsidRPr="00A021B7">
        <w:rPr>
          <w:rFonts w:ascii="Arial" w:hAnsi="Arial" w:cs="Arial"/>
          <w:sz w:val="20"/>
          <w:szCs w:val="20"/>
          <w:lang w:val="sr-Cyrl-RS"/>
        </w:rPr>
        <w:t xml:space="preserve">је </w:t>
      </w:r>
      <w:r w:rsidRPr="00A021B7">
        <w:rPr>
          <w:rFonts w:ascii="Arial" w:hAnsi="Arial" w:cs="Arial"/>
          <w:sz w:val="20"/>
          <w:szCs w:val="20"/>
          <w:lang w:val="sr-Cyrl-RS"/>
        </w:rPr>
        <w:t xml:space="preserve">неизводљиво због недостатака финансијских и административних капацитета. Критеријуми за чланство у ЕУ подразумевају изградњу професионалне, деполитизоване, транспарентне и ефикасне </w:t>
      </w:r>
      <w:r w:rsidR="36E3BA13" w:rsidRPr="00A021B7">
        <w:rPr>
          <w:rFonts w:ascii="Arial" w:hAnsi="Arial" w:cs="Arial"/>
          <w:sz w:val="20"/>
          <w:szCs w:val="20"/>
          <w:lang w:val="sr-Cyrl-RS"/>
        </w:rPr>
        <w:t xml:space="preserve">управе </w:t>
      </w:r>
      <w:r w:rsidRPr="00A021B7">
        <w:rPr>
          <w:rFonts w:ascii="Arial" w:hAnsi="Arial" w:cs="Arial"/>
          <w:sz w:val="20"/>
          <w:szCs w:val="20"/>
          <w:lang w:val="sr-Cyrl-RS"/>
        </w:rPr>
        <w:t>као сервиса грађана, што је</w:t>
      </w:r>
      <w:r w:rsidR="512CDFFD" w:rsidRPr="00A021B7">
        <w:rPr>
          <w:rFonts w:ascii="Arial" w:hAnsi="Arial" w:cs="Arial"/>
          <w:sz w:val="20"/>
          <w:szCs w:val="20"/>
          <w:lang w:val="sr-Cyrl-RS"/>
        </w:rPr>
        <w:t xml:space="preserve"> </w:t>
      </w:r>
      <w:r w:rsidRPr="00A021B7">
        <w:rPr>
          <w:rFonts w:ascii="Arial" w:hAnsi="Arial" w:cs="Arial"/>
          <w:sz w:val="20"/>
          <w:szCs w:val="20"/>
          <w:lang w:val="sr-Cyrl-RS"/>
        </w:rPr>
        <w:t>дуготрајан и скуп процес. Флуктуација запослених, односно одлив висококвалификованих и недостатак обучених кадрова је</w:t>
      </w:r>
      <w:r w:rsidR="005C63D3">
        <w:rPr>
          <w:rFonts w:ascii="Arial" w:hAnsi="Arial" w:cs="Arial"/>
          <w:sz w:val="20"/>
          <w:szCs w:val="20"/>
          <w:lang w:val="sr-Cyrl-RS"/>
        </w:rPr>
        <w:t>сте</w:t>
      </w:r>
      <w:r w:rsidRPr="00A021B7">
        <w:rPr>
          <w:rFonts w:ascii="Arial" w:hAnsi="Arial" w:cs="Arial"/>
          <w:sz w:val="20"/>
          <w:szCs w:val="20"/>
          <w:lang w:val="sr-Cyrl-RS"/>
        </w:rPr>
        <w:t xml:space="preserve"> проблем не само </w:t>
      </w:r>
      <w:r w:rsidR="18157C3D" w:rsidRPr="00A021B7">
        <w:rPr>
          <w:rFonts w:ascii="Arial" w:hAnsi="Arial" w:cs="Arial"/>
          <w:sz w:val="20"/>
          <w:szCs w:val="20"/>
          <w:lang w:val="sr-Cyrl-RS"/>
        </w:rPr>
        <w:t>ЈЛС</w:t>
      </w:r>
      <w:r w:rsidRPr="00A021B7">
        <w:rPr>
          <w:rFonts w:ascii="Arial" w:hAnsi="Arial" w:cs="Arial"/>
          <w:sz w:val="20"/>
          <w:szCs w:val="20"/>
          <w:lang w:val="sr-Cyrl-RS"/>
        </w:rPr>
        <w:t xml:space="preserve">, </w:t>
      </w:r>
      <w:r w:rsidR="18157C3D" w:rsidRPr="00A021B7">
        <w:rPr>
          <w:rFonts w:ascii="Arial" w:hAnsi="Arial" w:cs="Arial"/>
          <w:sz w:val="20"/>
          <w:szCs w:val="20"/>
          <w:lang w:val="sr-Cyrl-RS"/>
        </w:rPr>
        <w:t xml:space="preserve">него </w:t>
      </w:r>
      <w:r w:rsidRPr="00A021B7">
        <w:rPr>
          <w:rFonts w:ascii="Arial" w:hAnsi="Arial" w:cs="Arial"/>
          <w:sz w:val="20"/>
          <w:szCs w:val="20"/>
          <w:lang w:val="sr-Cyrl-RS"/>
        </w:rPr>
        <w:t>и државне управе и приватног сектора, што на дуги рок може да отежа примену европских стандарда. Са друге стране, ЈЛС се суочавају са ограничењем запошљавања у јавном сектору, у сврху рационализације јавних расхода. Овакви</w:t>
      </w:r>
      <w:r w:rsidR="00F35B19">
        <w:rPr>
          <w:rFonts w:ascii="Arial" w:hAnsi="Arial" w:cs="Arial"/>
          <w:sz w:val="20"/>
          <w:szCs w:val="20"/>
          <w:lang w:val="sr-Cyrl-RS"/>
        </w:rPr>
        <w:t xml:space="preserve"> чини се</w:t>
      </w:r>
      <w:r w:rsidRPr="00A021B7">
        <w:rPr>
          <w:rFonts w:ascii="Arial" w:hAnsi="Arial" w:cs="Arial"/>
          <w:sz w:val="20"/>
          <w:szCs w:val="20"/>
          <w:lang w:val="sr-Cyrl-RS"/>
        </w:rPr>
        <w:t xml:space="preserve"> контрадикторни захтеви доводе ЈЛС у ситуацију да не могу да испуне своје обавезе на квалитетан начин.</w:t>
      </w:r>
      <w:r w:rsidRPr="1A8E6423">
        <w:rPr>
          <w:rFonts w:ascii="Arial" w:hAnsi="Arial" w:cs="Arial"/>
          <w:i/>
          <w:iCs/>
          <w:sz w:val="20"/>
          <w:szCs w:val="20"/>
          <w:lang w:val="sr-Cyrl-RS"/>
        </w:rPr>
        <w:t xml:space="preserve"> </w:t>
      </w:r>
      <w:r w:rsidR="005C63D3">
        <w:rPr>
          <w:rFonts w:ascii="Arial" w:hAnsi="Arial" w:cs="Arial"/>
          <w:sz w:val="20"/>
          <w:szCs w:val="20"/>
          <w:lang w:val="sr-Cyrl-RS"/>
        </w:rPr>
        <w:t>Ако се и</w:t>
      </w:r>
      <w:r w:rsidRPr="00A021B7">
        <w:rPr>
          <w:rFonts w:ascii="Arial" w:hAnsi="Arial" w:cs="Arial"/>
          <w:sz w:val="20"/>
          <w:szCs w:val="20"/>
          <w:lang w:val="sr-Cyrl-RS"/>
        </w:rPr>
        <w:t xml:space="preserve">мају у виду </w:t>
      </w:r>
      <w:r w:rsidR="7C7A8106" w:rsidRPr="00A021B7">
        <w:rPr>
          <w:rFonts w:ascii="Arial" w:hAnsi="Arial" w:cs="Arial"/>
          <w:sz w:val="20"/>
          <w:szCs w:val="20"/>
          <w:lang w:val="sr-Cyrl-RS"/>
        </w:rPr>
        <w:t xml:space="preserve">и </w:t>
      </w:r>
      <w:r w:rsidRPr="00A021B7">
        <w:rPr>
          <w:rFonts w:ascii="Arial" w:hAnsi="Arial" w:cs="Arial"/>
          <w:sz w:val="20"/>
          <w:szCs w:val="20"/>
          <w:lang w:val="sr-Cyrl-RS"/>
        </w:rPr>
        <w:t>висок</w:t>
      </w:r>
      <w:r w:rsidR="005C63D3">
        <w:rPr>
          <w:rFonts w:ascii="Arial" w:hAnsi="Arial" w:cs="Arial"/>
          <w:sz w:val="20"/>
          <w:szCs w:val="20"/>
          <w:lang w:val="sr-Cyrl-RS"/>
        </w:rPr>
        <w:t>и</w:t>
      </w:r>
      <w:r w:rsidRPr="00A021B7">
        <w:rPr>
          <w:rFonts w:ascii="Arial" w:hAnsi="Arial" w:cs="Arial"/>
          <w:sz w:val="20"/>
          <w:szCs w:val="20"/>
          <w:lang w:val="sr-Cyrl-RS"/>
        </w:rPr>
        <w:t xml:space="preserve"> трошков</w:t>
      </w:r>
      <w:r w:rsidR="005C63D3">
        <w:rPr>
          <w:rFonts w:ascii="Arial" w:hAnsi="Arial" w:cs="Arial"/>
          <w:sz w:val="20"/>
          <w:szCs w:val="20"/>
          <w:lang w:val="sr-Cyrl-RS"/>
        </w:rPr>
        <w:t>и</w:t>
      </w:r>
      <w:r w:rsidRPr="00A021B7">
        <w:rPr>
          <w:rFonts w:ascii="Arial" w:hAnsi="Arial" w:cs="Arial"/>
          <w:sz w:val="20"/>
          <w:szCs w:val="20"/>
          <w:lang w:val="sr-Cyrl-RS"/>
        </w:rPr>
        <w:t xml:space="preserve"> увођења европских стандарда (нпр. </w:t>
      </w:r>
      <w:r w:rsidR="005C63D3">
        <w:rPr>
          <w:rFonts w:ascii="Arial" w:hAnsi="Arial" w:cs="Arial"/>
          <w:sz w:val="20"/>
          <w:szCs w:val="20"/>
          <w:lang w:val="sr-Cyrl-RS"/>
        </w:rPr>
        <w:t xml:space="preserve">у </w:t>
      </w:r>
      <w:r w:rsidRPr="00A021B7">
        <w:rPr>
          <w:rFonts w:ascii="Arial" w:hAnsi="Arial" w:cs="Arial"/>
          <w:sz w:val="20"/>
          <w:szCs w:val="20"/>
          <w:lang w:val="sr-Cyrl-RS"/>
        </w:rPr>
        <w:t>области животне средине и енергетске ефикасности), недовољност финансијских ресурса којима располаже локална самоуправа остаје велики изазов. Приходи ЈЛС су знатно испод просека</w:t>
      </w:r>
      <w:r w:rsidR="7C7A8106" w:rsidRPr="00A021B7">
        <w:rPr>
          <w:rFonts w:ascii="Arial" w:hAnsi="Arial" w:cs="Arial"/>
          <w:sz w:val="20"/>
          <w:szCs w:val="20"/>
          <w:lang w:val="sr-Cyrl-RS"/>
        </w:rPr>
        <w:t xml:space="preserve"> ЕУ</w:t>
      </w:r>
      <w:r w:rsidRPr="00A021B7">
        <w:rPr>
          <w:rFonts w:ascii="Arial" w:hAnsi="Arial" w:cs="Arial"/>
          <w:sz w:val="20"/>
          <w:szCs w:val="20"/>
          <w:lang w:val="sr-Cyrl-RS"/>
        </w:rPr>
        <w:t xml:space="preserve">, што представља препреку за коришћење </w:t>
      </w:r>
      <w:r w:rsidR="7C7A8106" w:rsidRPr="00A021B7">
        <w:rPr>
          <w:rFonts w:ascii="Arial" w:hAnsi="Arial" w:cs="Arial"/>
          <w:sz w:val="20"/>
          <w:szCs w:val="20"/>
          <w:lang w:val="sr-Cyrl-RS"/>
        </w:rPr>
        <w:t>њених средстава</w:t>
      </w:r>
      <w:r w:rsidRPr="00A021B7">
        <w:rPr>
          <w:rFonts w:ascii="Arial" w:hAnsi="Arial" w:cs="Arial"/>
          <w:sz w:val="20"/>
          <w:szCs w:val="20"/>
          <w:lang w:val="sr-Cyrl-RS"/>
        </w:rPr>
        <w:t>, нарочито за мале ЈЛС (посебан изазов јесте пре</w:t>
      </w:r>
      <w:r w:rsidR="005C63D3">
        <w:rPr>
          <w:rFonts w:ascii="Arial" w:hAnsi="Arial" w:cs="Arial"/>
          <w:sz w:val="20"/>
          <w:szCs w:val="20"/>
          <w:lang w:val="sr-Cyrl-RS"/>
        </w:rPr>
        <w:t>т</w:t>
      </w:r>
      <w:r w:rsidRPr="00A021B7">
        <w:rPr>
          <w:rFonts w:ascii="Arial" w:hAnsi="Arial" w:cs="Arial"/>
          <w:sz w:val="20"/>
          <w:szCs w:val="20"/>
          <w:lang w:val="sr-Cyrl-RS"/>
        </w:rPr>
        <w:t xml:space="preserve">финансирање пројеката </w:t>
      </w:r>
      <w:r w:rsidR="64546DAD" w:rsidRPr="00A021B7">
        <w:rPr>
          <w:rFonts w:ascii="Arial" w:hAnsi="Arial" w:cs="Arial"/>
          <w:sz w:val="20"/>
          <w:szCs w:val="20"/>
          <w:lang w:val="sr-Cyrl-RS"/>
        </w:rPr>
        <w:t xml:space="preserve">средствима </w:t>
      </w:r>
      <w:r w:rsidRPr="00A021B7">
        <w:rPr>
          <w:rFonts w:ascii="Arial" w:hAnsi="Arial" w:cs="Arial"/>
          <w:sz w:val="20"/>
          <w:szCs w:val="20"/>
          <w:lang w:val="sr-Cyrl-RS"/>
        </w:rPr>
        <w:t>ЈЛС)</w:t>
      </w:r>
      <w:r w:rsidR="7B30BCB3" w:rsidRPr="00A021B7">
        <w:rPr>
          <w:rFonts w:ascii="Arial" w:hAnsi="Arial" w:cs="Arial"/>
          <w:sz w:val="20"/>
          <w:szCs w:val="20"/>
          <w:lang w:val="sr-Cyrl-RS"/>
        </w:rPr>
        <w:t>.</w:t>
      </w:r>
      <w:r w:rsidR="00640238" w:rsidRPr="00A021B7">
        <w:rPr>
          <w:rStyle w:val="FootnoteReference"/>
          <w:rFonts w:ascii="Arial" w:hAnsi="Arial" w:cs="Arial"/>
          <w:sz w:val="20"/>
          <w:szCs w:val="20"/>
          <w:lang w:val="sr-Cyrl-RS"/>
        </w:rPr>
        <w:footnoteReference w:id="178"/>
      </w:r>
      <w:r w:rsidR="5B98CC33" w:rsidRPr="00A021B7">
        <w:rPr>
          <w:rFonts w:ascii="Arial" w:hAnsi="Arial" w:cs="Arial"/>
          <w:sz w:val="20"/>
          <w:szCs w:val="20"/>
          <w:lang w:val="sr-Cyrl-RS"/>
        </w:rPr>
        <w:t xml:space="preserve"> Иако се не може рећи да ЈЛС нису активне у настојању да привуку средства ЕУ</w:t>
      </w:r>
      <w:r w:rsidR="00F35B19">
        <w:rPr>
          <w:rFonts w:ascii="Arial" w:hAnsi="Arial" w:cs="Arial"/>
          <w:sz w:val="20"/>
          <w:szCs w:val="20"/>
          <w:lang w:val="sr-Cyrl-RS"/>
        </w:rPr>
        <w:t>,</w:t>
      </w:r>
      <w:r w:rsidR="00774515" w:rsidRPr="00A021B7">
        <w:rPr>
          <w:rStyle w:val="FootnoteReference"/>
          <w:rFonts w:ascii="Arial" w:hAnsi="Arial" w:cs="Arial"/>
          <w:sz w:val="20"/>
          <w:szCs w:val="20"/>
          <w:lang w:val="sr-Cyrl-RS"/>
        </w:rPr>
        <w:footnoteReference w:id="179"/>
      </w:r>
      <w:r w:rsidR="512CDFFD" w:rsidRPr="00A021B7">
        <w:rPr>
          <w:rFonts w:ascii="Arial" w:hAnsi="Arial" w:cs="Arial"/>
          <w:sz w:val="20"/>
          <w:szCs w:val="20"/>
          <w:lang w:val="sr-Cyrl-RS"/>
        </w:rPr>
        <w:t xml:space="preserve"> </w:t>
      </w:r>
      <w:r w:rsidR="2A2C45D7" w:rsidRPr="00A021B7">
        <w:rPr>
          <w:rFonts w:ascii="Arial" w:hAnsi="Arial" w:cs="Arial"/>
          <w:sz w:val="20"/>
          <w:szCs w:val="20"/>
          <w:lang w:val="sr-Cyrl-RS"/>
        </w:rPr>
        <w:t>е</w:t>
      </w:r>
      <w:r w:rsidRPr="00A021B7">
        <w:rPr>
          <w:rFonts w:ascii="Arial" w:hAnsi="Arial" w:cs="Arial"/>
          <w:sz w:val="20"/>
          <w:szCs w:val="20"/>
          <w:lang w:val="sr-Cyrl-RS"/>
        </w:rPr>
        <w:t>фикасно коришћење</w:t>
      </w:r>
      <w:r w:rsidR="005C63D3">
        <w:rPr>
          <w:rFonts w:ascii="Arial" w:hAnsi="Arial" w:cs="Arial"/>
          <w:sz w:val="20"/>
          <w:szCs w:val="20"/>
          <w:lang w:val="sr-Cyrl-RS"/>
        </w:rPr>
        <w:t xml:space="preserve"> тих средстава</w:t>
      </w:r>
      <w:r w:rsidRPr="00A021B7">
        <w:rPr>
          <w:rFonts w:ascii="Arial" w:hAnsi="Arial" w:cs="Arial"/>
          <w:sz w:val="20"/>
          <w:szCs w:val="20"/>
          <w:lang w:val="sr-Cyrl-RS"/>
        </w:rPr>
        <w:t xml:space="preserve"> је </w:t>
      </w:r>
      <w:r w:rsidR="7E964F13" w:rsidRPr="00A021B7">
        <w:rPr>
          <w:rFonts w:ascii="Arial" w:hAnsi="Arial" w:cs="Arial"/>
          <w:sz w:val="20"/>
          <w:szCs w:val="20"/>
          <w:lang w:val="sr-Cyrl-RS"/>
        </w:rPr>
        <w:t>и даље отворено питање</w:t>
      </w:r>
      <w:r w:rsidR="2A2C45D7" w:rsidRPr="00A021B7">
        <w:rPr>
          <w:rFonts w:ascii="Arial" w:hAnsi="Arial" w:cs="Arial"/>
          <w:sz w:val="20"/>
          <w:szCs w:val="20"/>
          <w:lang w:val="sr-Cyrl-RS"/>
        </w:rPr>
        <w:t xml:space="preserve">. Узроци тога првенствено </w:t>
      </w:r>
      <w:r w:rsidR="66A53682" w:rsidRPr="00A021B7">
        <w:rPr>
          <w:rFonts w:ascii="Arial" w:hAnsi="Arial" w:cs="Arial"/>
          <w:sz w:val="20"/>
          <w:szCs w:val="20"/>
          <w:lang w:val="sr-Cyrl-RS"/>
        </w:rPr>
        <w:t>су</w:t>
      </w:r>
      <w:r w:rsidRPr="00A021B7">
        <w:rPr>
          <w:rFonts w:ascii="Arial" w:hAnsi="Arial" w:cs="Arial"/>
          <w:sz w:val="20"/>
          <w:szCs w:val="20"/>
          <w:lang w:val="sr-Cyrl-RS"/>
        </w:rPr>
        <w:t xml:space="preserve"> мањ</w:t>
      </w:r>
      <w:r w:rsidR="2A2C45D7" w:rsidRPr="00A021B7">
        <w:rPr>
          <w:rFonts w:ascii="Arial" w:hAnsi="Arial" w:cs="Arial"/>
          <w:sz w:val="20"/>
          <w:szCs w:val="20"/>
          <w:lang w:val="sr-Cyrl-RS"/>
        </w:rPr>
        <w:t>а</w:t>
      </w:r>
      <w:r w:rsidRPr="00A021B7">
        <w:rPr>
          <w:rFonts w:ascii="Arial" w:hAnsi="Arial" w:cs="Arial"/>
          <w:sz w:val="20"/>
          <w:szCs w:val="20"/>
          <w:lang w:val="sr-Cyrl-RS"/>
        </w:rPr>
        <w:t xml:space="preserve">к </w:t>
      </w:r>
      <w:r w:rsidR="00A038AB">
        <w:rPr>
          <w:rFonts w:ascii="Arial" w:hAnsi="Arial" w:cs="Arial"/>
          <w:sz w:val="20"/>
          <w:szCs w:val="20"/>
          <w:lang w:val="sr-Cyrl-RS"/>
        </w:rPr>
        <w:t>стручних</w:t>
      </w:r>
      <w:r w:rsidR="00A038AB" w:rsidRPr="00A021B7">
        <w:rPr>
          <w:rFonts w:ascii="Arial" w:hAnsi="Arial" w:cs="Arial"/>
          <w:sz w:val="20"/>
          <w:szCs w:val="20"/>
          <w:lang w:val="sr-Cyrl-RS"/>
        </w:rPr>
        <w:t xml:space="preserve"> </w:t>
      </w:r>
      <w:r w:rsidRPr="00A021B7">
        <w:rPr>
          <w:rFonts w:ascii="Arial" w:hAnsi="Arial" w:cs="Arial"/>
          <w:sz w:val="20"/>
          <w:szCs w:val="20"/>
          <w:lang w:val="sr-Cyrl-RS"/>
        </w:rPr>
        <w:t>кадрова</w:t>
      </w:r>
      <w:r w:rsidR="45B3842F" w:rsidRPr="00A021B7">
        <w:rPr>
          <w:rFonts w:ascii="Arial" w:hAnsi="Arial" w:cs="Arial"/>
          <w:sz w:val="20"/>
          <w:szCs w:val="20"/>
          <w:lang w:val="sr-Cyrl-RS"/>
        </w:rPr>
        <w:t xml:space="preserve"> </w:t>
      </w:r>
      <w:r w:rsidRPr="00A021B7">
        <w:rPr>
          <w:rFonts w:ascii="Arial" w:hAnsi="Arial" w:cs="Arial"/>
          <w:sz w:val="20"/>
          <w:szCs w:val="20"/>
          <w:lang w:val="sr-Cyrl-RS"/>
        </w:rPr>
        <w:t>за припрему и спровођење пројеката по процедурама</w:t>
      </w:r>
      <w:r w:rsidR="64546DAD" w:rsidRPr="00A021B7">
        <w:rPr>
          <w:rFonts w:ascii="Arial" w:hAnsi="Arial" w:cs="Arial"/>
          <w:sz w:val="20"/>
          <w:szCs w:val="20"/>
          <w:lang w:val="sr-Cyrl-RS"/>
        </w:rPr>
        <w:t xml:space="preserve"> ЕУ</w:t>
      </w:r>
      <w:r w:rsidR="005C63D3" w:rsidRPr="005C63D3">
        <w:rPr>
          <w:rFonts w:ascii="Arial" w:hAnsi="Arial" w:cs="Arial"/>
          <w:sz w:val="20"/>
          <w:szCs w:val="20"/>
          <w:lang w:val="sr-Cyrl-RS"/>
        </w:rPr>
        <w:t xml:space="preserve"> </w:t>
      </w:r>
      <w:r w:rsidR="005C63D3" w:rsidRPr="00A021B7">
        <w:rPr>
          <w:rFonts w:ascii="Arial" w:hAnsi="Arial" w:cs="Arial"/>
          <w:sz w:val="20"/>
          <w:szCs w:val="20"/>
          <w:lang w:val="sr-Cyrl-RS"/>
        </w:rPr>
        <w:t>у знатном броју ЈЛС</w:t>
      </w:r>
      <w:r w:rsidRPr="00A021B7">
        <w:rPr>
          <w:rFonts w:ascii="Arial" w:hAnsi="Arial" w:cs="Arial"/>
          <w:sz w:val="20"/>
          <w:szCs w:val="20"/>
          <w:lang w:val="sr-Cyrl-RS"/>
        </w:rPr>
        <w:t>, недостат</w:t>
      </w:r>
      <w:r w:rsidR="2A2C45D7" w:rsidRPr="00A021B7">
        <w:rPr>
          <w:rFonts w:ascii="Arial" w:hAnsi="Arial" w:cs="Arial"/>
          <w:sz w:val="20"/>
          <w:szCs w:val="20"/>
          <w:lang w:val="sr-Cyrl-RS"/>
        </w:rPr>
        <w:t>а</w:t>
      </w:r>
      <w:r w:rsidRPr="00A021B7">
        <w:rPr>
          <w:rFonts w:ascii="Arial" w:hAnsi="Arial" w:cs="Arial"/>
          <w:sz w:val="20"/>
          <w:szCs w:val="20"/>
          <w:lang w:val="sr-Cyrl-RS"/>
        </w:rPr>
        <w:t xml:space="preserve">к стратешких и акционих планова са </w:t>
      </w:r>
      <w:r w:rsidR="6088EC73" w:rsidRPr="00A021B7">
        <w:rPr>
          <w:rFonts w:ascii="Arial" w:hAnsi="Arial" w:cs="Arial"/>
          <w:sz w:val="20"/>
          <w:szCs w:val="20"/>
          <w:lang w:val="sr-Cyrl-RS"/>
        </w:rPr>
        <w:t xml:space="preserve">развојним </w:t>
      </w:r>
      <w:r w:rsidRPr="00A021B7">
        <w:rPr>
          <w:rFonts w:ascii="Arial" w:hAnsi="Arial" w:cs="Arial"/>
          <w:sz w:val="20"/>
          <w:szCs w:val="20"/>
          <w:lang w:val="sr-Cyrl-RS"/>
        </w:rPr>
        <w:t xml:space="preserve">приоритетима за финансирање и припремљене пројектно-техничке </w:t>
      </w:r>
      <w:r w:rsidR="6088EC73" w:rsidRPr="00A021B7">
        <w:rPr>
          <w:rFonts w:ascii="Arial" w:hAnsi="Arial" w:cs="Arial"/>
          <w:sz w:val="20"/>
          <w:szCs w:val="20"/>
          <w:lang w:val="sr-Cyrl-RS"/>
        </w:rPr>
        <w:t xml:space="preserve">документације </w:t>
      </w:r>
      <w:r w:rsidRPr="00A021B7">
        <w:rPr>
          <w:rFonts w:ascii="Arial" w:hAnsi="Arial" w:cs="Arial"/>
          <w:sz w:val="20"/>
          <w:szCs w:val="20"/>
          <w:lang w:val="sr-Cyrl-RS"/>
        </w:rPr>
        <w:t>за спровођење пројеката.</w:t>
      </w:r>
    </w:p>
    <w:p w14:paraId="63AD79B4" w14:textId="77777777" w:rsidR="00640238" w:rsidRPr="00A021B7" w:rsidRDefault="00640238" w:rsidP="003E7BC9">
      <w:pPr>
        <w:jc w:val="both"/>
        <w:rPr>
          <w:rFonts w:ascii="Arial" w:hAnsi="Arial" w:cs="Arial"/>
          <w:b/>
          <w:bCs/>
          <w:sz w:val="20"/>
          <w:szCs w:val="20"/>
          <w:lang w:val="sr-Cyrl-RS"/>
        </w:rPr>
      </w:pPr>
    </w:p>
    <w:p w14:paraId="039B353B" w14:textId="44E60C98" w:rsidR="00CE205B" w:rsidRPr="00A021B7" w:rsidRDefault="000A20B1" w:rsidP="004935B9">
      <w:pPr>
        <w:pStyle w:val="Heading1"/>
        <w:numPr>
          <w:ilvl w:val="0"/>
          <w:numId w:val="30"/>
        </w:numPr>
        <w:rPr>
          <w:lang w:val="sr-Cyrl-RS"/>
        </w:rPr>
      </w:pPr>
      <w:bookmarkStart w:id="112" w:name="_Toc56508448"/>
      <w:bookmarkStart w:id="113" w:name="_Toc60136085"/>
      <w:bookmarkStart w:id="114" w:name="_Toc52865788"/>
      <w:bookmarkStart w:id="115" w:name="_Toc52866199"/>
      <w:r w:rsidRPr="1A8E6423">
        <w:rPr>
          <w:lang w:val="sr-Cyrl-RS"/>
        </w:rPr>
        <w:t xml:space="preserve">УПОРЕДНИ ПРЕГЛЕД КЉУЧНИХ ОДРЕДНИЦА СИСТЕМА ЛОКАЛНЕ САМОУПРАВЕ У </w:t>
      </w:r>
      <w:r w:rsidR="00AC0C6F" w:rsidRPr="1A8E6423">
        <w:rPr>
          <w:lang w:val="sr-Cyrl-RS"/>
        </w:rPr>
        <w:t xml:space="preserve">ЕВРОПСКИМ </w:t>
      </w:r>
      <w:r w:rsidRPr="1A8E6423">
        <w:rPr>
          <w:lang w:val="sr-Cyrl-RS"/>
        </w:rPr>
        <w:t>ЗЕМЉАМА</w:t>
      </w:r>
      <w:bookmarkEnd w:id="112"/>
      <w:bookmarkEnd w:id="113"/>
      <w:bookmarkEnd w:id="114"/>
      <w:bookmarkEnd w:id="115"/>
    </w:p>
    <w:p w14:paraId="7455D592" w14:textId="77777777" w:rsidR="007546B6" w:rsidRPr="00A021B7" w:rsidRDefault="007546B6" w:rsidP="003E7BC9">
      <w:pPr>
        <w:pStyle w:val="ListParagraph"/>
        <w:jc w:val="both"/>
        <w:rPr>
          <w:rFonts w:ascii="Arial" w:hAnsi="Arial" w:cs="Arial"/>
          <w:b/>
          <w:bCs/>
          <w:lang w:val="sr-Cyrl-RS"/>
        </w:rPr>
      </w:pPr>
    </w:p>
    <w:p w14:paraId="1BEF4AA3" w14:textId="77777777" w:rsidR="00CE205B" w:rsidRPr="00A021B7" w:rsidRDefault="007546B6" w:rsidP="004935B9">
      <w:pPr>
        <w:pStyle w:val="Heading2"/>
        <w:rPr>
          <w:lang w:val="sr-Cyrl-RS"/>
        </w:rPr>
      </w:pPr>
      <w:bookmarkStart w:id="116" w:name="_Toc52865789"/>
      <w:bookmarkStart w:id="117" w:name="_Toc52866200"/>
      <w:bookmarkStart w:id="118" w:name="_Toc56508449"/>
      <w:bookmarkStart w:id="119" w:name="_Toc60136086"/>
      <w:r w:rsidRPr="00A021B7">
        <w:rPr>
          <w:lang w:val="sr-Cyrl-RS"/>
        </w:rPr>
        <w:t xml:space="preserve">V.1. </w:t>
      </w:r>
      <w:r w:rsidR="00EA469B" w:rsidRPr="00A021B7">
        <w:rPr>
          <w:lang w:val="sr-Cyrl-RS"/>
        </w:rPr>
        <w:t>Положај и организација система локалне самоуправе</w:t>
      </w:r>
      <w:bookmarkEnd w:id="116"/>
      <w:bookmarkEnd w:id="117"/>
      <w:bookmarkEnd w:id="118"/>
      <w:bookmarkEnd w:id="119"/>
    </w:p>
    <w:p w14:paraId="460F07C9" w14:textId="77777777" w:rsidR="007546B6" w:rsidRPr="00A021B7" w:rsidRDefault="007546B6" w:rsidP="003E7BC9">
      <w:pPr>
        <w:jc w:val="both"/>
        <w:rPr>
          <w:rFonts w:ascii="Arial" w:hAnsi="Arial" w:cs="Arial"/>
          <w:b/>
          <w:bCs/>
          <w:sz w:val="20"/>
          <w:szCs w:val="20"/>
          <w:lang w:val="sr-Cyrl-RS"/>
        </w:rPr>
      </w:pPr>
    </w:p>
    <w:p w14:paraId="49AA892E" w14:textId="23064E18" w:rsidR="00EA469B" w:rsidRPr="00A021B7" w:rsidRDefault="38C9BEDD" w:rsidP="1A8E6423">
      <w:pPr>
        <w:ind w:firstLine="720"/>
        <w:jc w:val="both"/>
        <w:rPr>
          <w:rFonts w:ascii="Arial" w:hAnsi="Arial" w:cs="Arial"/>
          <w:sz w:val="20"/>
          <w:szCs w:val="20"/>
          <w:lang w:val="sr-Cyrl-RS"/>
        </w:rPr>
      </w:pPr>
      <w:r w:rsidRPr="00A021B7">
        <w:rPr>
          <w:rFonts w:ascii="Arial" w:hAnsi="Arial" w:cs="Arial"/>
          <w:sz w:val="20"/>
          <w:szCs w:val="20"/>
          <w:lang w:val="sr-Cyrl-RS"/>
        </w:rPr>
        <w:t>Изузев Велике Британије</w:t>
      </w:r>
      <w:r w:rsidR="005C63D3">
        <w:rPr>
          <w:rFonts w:ascii="Arial" w:hAnsi="Arial" w:cs="Arial"/>
          <w:sz w:val="20"/>
          <w:szCs w:val="20"/>
          <w:lang w:val="sr-Cyrl-RS"/>
        </w:rPr>
        <w:t>,</w:t>
      </w:r>
      <w:r w:rsidRPr="00A021B7">
        <w:rPr>
          <w:rFonts w:ascii="Arial" w:hAnsi="Arial" w:cs="Arial"/>
          <w:sz w:val="20"/>
          <w:szCs w:val="20"/>
          <w:lang w:val="sr-Cyrl-RS"/>
        </w:rPr>
        <w:t xml:space="preserve"> коју карактерише англо-саксонска традиција, за европске континенталне државе се може рећи да их карактерише иста традиција (континентално-европска са утицајем англо-саксонских елемената). Битна детерминанта организационог дизајна локалне самоуправе јесте величина општине. У земљама са тзв. наполеонском административном традицијом (нпр. Шпанија, Француска, Италија, Чешка, Словачка, Словенија, Хрватска) просечна општина је изузетно мала</w:t>
      </w:r>
      <w:r w:rsidR="4059F94C" w:rsidRPr="00A021B7">
        <w:rPr>
          <w:rFonts w:ascii="Arial" w:hAnsi="Arial" w:cs="Arial"/>
          <w:sz w:val="20"/>
          <w:szCs w:val="20"/>
          <w:lang w:val="sr-Cyrl-RS"/>
        </w:rPr>
        <w:t>,</w:t>
      </w:r>
      <w:r w:rsidRPr="00A021B7">
        <w:rPr>
          <w:rFonts w:ascii="Arial" w:hAnsi="Arial" w:cs="Arial"/>
          <w:sz w:val="20"/>
          <w:szCs w:val="20"/>
          <w:lang w:val="sr-Cyrl-RS"/>
        </w:rPr>
        <w:t xml:space="preserve"> што за последицу има недовољне капацитете за обављање послова из </w:t>
      </w:r>
      <w:r w:rsidR="005C63D3">
        <w:rPr>
          <w:rFonts w:ascii="Arial" w:hAnsi="Arial" w:cs="Arial"/>
          <w:sz w:val="20"/>
          <w:szCs w:val="20"/>
          <w:lang w:val="sr-Cyrl-RS"/>
        </w:rPr>
        <w:t>њен</w:t>
      </w:r>
      <w:r w:rsidR="005C63D3" w:rsidRPr="00A021B7">
        <w:rPr>
          <w:rFonts w:ascii="Arial" w:hAnsi="Arial" w:cs="Arial"/>
          <w:sz w:val="20"/>
          <w:szCs w:val="20"/>
          <w:lang w:val="sr-Cyrl-RS"/>
        </w:rPr>
        <w:t xml:space="preserve">е </w:t>
      </w:r>
      <w:r w:rsidRPr="00A021B7">
        <w:rPr>
          <w:rFonts w:ascii="Arial" w:hAnsi="Arial" w:cs="Arial"/>
          <w:sz w:val="20"/>
          <w:szCs w:val="20"/>
          <w:lang w:val="sr-Cyrl-RS"/>
        </w:rPr>
        <w:t>надлежности. Север Европе карактеришу знатно веће општине. Не постоји универзално прихваћен критеријум мале или велике општине (гледано по броју становника), али</w:t>
      </w:r>
      <w:r w:rsidR="005C63D3">
        <w:rPr>
          <w:rFonts w:ascii="Arial" w:hAnsi="Arial" w:cs="Arial"/>
          <w:sz w:val="20"/>
          <w:szCs w:val="20"/>
          <w:lang w:val="sr-Cyrl-RS"/>
        </w:rPr>
        <w:t>,</w:t>
      </w:r>
      <w:r w:rsidRPr="00A021B7">
        <w:rPr>
          <w:rFonts w:ascii="Arial" w:hAnsi="Arial" w:cs="Arial"/>
          <w:sz w:val="20"/>
          <w:szCs w:val="20"/>
          <w:lang w:val="sr-Cyrl-RS"/>
        </w:rPr>
        <w:t xml:space="preserve"> ако се узме да је просечна величина општине у </w:t>
      </w:r>
      <w:r w:rsidR="25F6856D" w:rsidRPr="00A021B7">
        <w:rPr>
          <w:rFonts w:ascii="Arial" w:hAnsi="Arial" w:cs="Arial"/>
          <w:sz w:val="20"/>
          <w:szCs w:val="20"/>
          <w:lang w:val="sr-Cyrl-RS"/>
        </w:rPr>
        <w:t>Европи</w:t>
      </w:r>
      <w:r w:rsidRPr="00A021B7">
        <w:rPr>
          <w:rFonts w:ascii="Arial" w:hAnsi="Arial" w:cs="Arial"/>
          <w:sz w:val="20"/>
          <w:szCs w:val="20"/>
          <w:lang w:val="sr-Cyrl-RS"/>
        </w:rPr>
        <w:t xml:space="preserve"> око </w:t>
      </w:r>
      <w:r w:rsidR="0B3AED45" w:rsidRPr="00A021B7">
        <w:rPr>
          <w:rFonts w:ascii="Arial" w:hAnsi="Arial" w:cs="Arial"/>
          <w:sz w:val="20"/>
          <w:szCs w:val="20"/>
          <w:lang w:val="sr-Cyrl-RS"/>
        </w:rPr>
        <w:t>25.</w:t>
      </w:r>
      <w:r w:rsidRPr="00A021B7">
        <w:rPr>
          <w:rFonts w:ascii="Arial" w:hAnsi="Arial" w:cs="Arial"/>
          <w:sz w:val="20"/>
          <w:szCs w:val="20"/>
          <w:lang w:val="sr-Cyrl-RS"/>
        </w:rPr>
        <w:t>000 становника</w:t>
      </w:r>
      <w:r w:rsidR="00DD077C" w:rsidRPr="00A021B7">
        <w:rPr>
          <w:rStyle w:val="FootnoteReference"/>
          <w:rFonts w:ascii="Arial" w:hAnsi="Arial" w:cs="Arial"/>
          <w:sz w:val="20"/>
          <w:szCs w:val="20"/>
          <w:lang w:val="sr-Cyrl-RS"/>
        </w:rPr>
        <w:footnoteReference w:id="180"/>
      </w:r>
      <w:r w:rsidR="005C63D3">
        <w:rPr>
          <w:rFonts w:ascii="Arial" w:hAnsi="Arial" w:cs="Arial"/>
          <w:sz w:val="20"/>
          <w:szCs w:val="20"/>
          <w:lang w:val="sr-Cyrl-RS"/>
        </w:rPr>
        <w:t>,</w:t>
      </w:r>
      <w:r w:rsidRPr="00A021B7">
        <w:rPr>
          <w:rFonts w:ascii="Arial" w:hAnsi="Arial" w:cs="Arial"/>
          <w:sz w:val="20"/>
          <w:szCs w:val="20"/>
          <w:lang w:val="sr-Cyrl-RS"/>
        </w:rPr>
        <w:t xml:space="preserve"> може се говорити о величини општине на основу одступања од овог броја.</w:t>
      </w:r>
    </w:p>
    <w:p w14:paraId="2E5D776A" w14:textId="77777777" w:rsidR="007546B6" w:rsidRPr="00A021B7" w:rsidRDefault="007546B6" w:rsidP="003E7BC9">
      <w:pPr>
        <w:jc w:val="both"/>
        <w:rPr>
          <w:rFonts w:ascii="Arial" w:hAnsi="Arial" w:cs="Arial"/>
          <w:sz w:val="20"/>
          <w:szCs w:val="20"/>
          <w:lang w:val="sr-Cyrl-RS"/>
        </w:rPr>
      </w:pPr>
    </w:p>
    <w:p w14:paraId="52BADED8" w14:textId="07FCDE4E" w:rsidR="00EA469B" w:rsidRPr="00A021B7" w:rsidRDefault="008E544D" w:rsidP="1A8E6423">
      <w:pPr>
        <w:rPr>
          <w:rFonts w:ascii="Arial" w:hAnsi="Arial" w:cs="Arial"/>
          <w:i/>
          <w:iCs/>
          <w:sz w:val="20"/>
          <w:szCs w:val="20"/>
          <w:lang w:val="sr-Cyrl-RS"/>
        </w:rPr>
      </w:pPr>
      <w:r w:rsidRPr="1A8E6423">
        <w:rPr>
          <w:rFonts w:ascii="Arial" w:hAnsi="Arial" w:cs="Arial"/>
          <w:i/>
          <w:iCs/>
          <w:sz w:val="20"/>
          <w:szCs w:val="20"/>
          <w:lang w:val="sr-Cyrl-RS"/>
        </w:rPr>
        <w:t xml:space="preserve">Табела </w:t>
      </w:r>
      <w:r w:rsidR="002139C8" w:rsidRPr="1A8E6423">
        <w:rPr>
          <w:rFonts w:ascii="Arial" w:hAnsi="Arial" w:cs="Arial"/>
          <w:i/>
          <w:iCs/>
          <w:sz w:val="20"/>
          <w:szCs w:val="20"/>
          <w:lang w:val="sr-Cyrl-RS"/>
        </w:rPr>
        <w:t>9</w:t>
      </w:r>
      <w:r w:rsidRPr="1A8E6423">
        <w:rPr>
          <w:rFonts w:ascii="Arial" w:hAnsi="Arial" w:cs="Arial"/>
          <w:i/>
          <w:iCs/>
          <w:sz w:val="20"/>
          <w:szCs w:val="20"/>
          <w:lang w:val="sr-Cyrl-RS"/>
        </w:rPr>
        <w:t xml:space="preserve">: </w:t>
      </w:r>
      <w:r w:rsidR="00EA469B" w:rsidRPr="1A8E6423">
        <w:rPr>
          <w:rFonts w:ascii="Arial" w:hAnsi="Arial" w:cs="Arial"/>
          <w:i/>
          <w:iCs/>
          <w:sz w:val="20"/>
          <w:szCs w:val="20"/>
          <w:lang w:val="sr-Cyrl-RS"/>
        </w:rPr>
        <w:t>Европске (континенталне) државе са најмањим и највећим општинама</w:t>
      </w:r>
    </w:p>
    <w:p w14:paraId="6603ED4B" w14:textId="77777777" w:rsidR="007546B6" w:rsidRPr="00A021B7" w:rsidRDefault="007546B6" w:rsidP="003E7BC9">
      <w:pPr>
        <w:ind w:firstLine="720"/>
        <w:jc w:val="center"/>
        <w:rPr>
          <w:rFonts w:ascii="Arial" w:hAnsi="Arial" w:cs="Arial"/>
          <w:i/>
          <w:sz w:val="20"/>
          <w:szCs w:val="20"/>
          <w:lang w:val="sr-Cyrl-RS"/>
        </w:rPr>
      </w:pPr>
    </w:p>
    <w:tbl>
      <w:tblPr>
        <w:tblStyle w:val="GridTable1Light1"/>
        <w:tblW w:w="0" w:type="auto"/>
        <w:tblInd w:w="-5" w:type="dxa"/>
        <w:tblLook w:val="04A0" w:firstRow="1" w:lastRow="0" w:firstColumn="1" w:lastColumn="0" w:noHBand="0" w:noVBand="1"/>
      </w:tblPr>
      <w:tblGrid>
        <w:gridCol w:w="4050"/>
        <w:gridCol w:w="4860"/>
      </w:tblGrid>
      <w:tr w:rsidR="007546B6" w:rsidRPr="00A021B7" w14:paraId="5CA9F3B2" w14:textId="77777777" w:rsidTr="1A8E6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3FB33482" w14:textId="77777777" w:rsidR="00EA469B" w:rsidRPr="00A021B7" w:rsidRDefault="0072212E" w:rsidP="003E7BC9">
            <w:pPr>
              <w:jc w:val="center"/>
              <w:rPr>
                <w:rFonts w:ascii="Arial" w:hAnsi="Arial" w:cs="Arial"/>
                <w:sz w:val="20"/>
                <w:szCs w:val="20"/>
                <w:lang w:val="sr-Cyrl-RS"/>
              </w:rPr>
            </w:pPr>
            <w:r w:rsidRPr="00A021B7">
              <w:rPr>
                <w:rFonts w:ascii="Arial" w:hAnsi="Arial" w:cs="Arial"/>
                <w:sz w:val="20"/>
                <w:szCs w:val="20"/>
                <w:lang w:val="sr-Cyrl-RS"/>
              </w:rPr>
              <w:t>Д</w:t>
            </w:r>
            <w:r w:rsidR="00EA469B" w:rsidRPr="00A021B7">
              <w:rPr>
                <w:rFonts w:ascii="Arial" w:hAnsi="Arial" w:cs="Arial"/>
                <w:sz w:val="20"/>
                <w:szCs w:val="20"/>
                <w:lang w:val="sr-Cyrl-RS"/>
              </w:rPr>
              <w:t>ржава</w:t>
            </w:r>
          </w:p>
        </w:tc>
        <w:tc>
          <w:tcPr>
            <w:tcW w:w="4860" w:type="dxa"/>
          </w:tcPr>
          <w:p w14:paraId="58F22608" w14:textId="77777777" w:rsidR="00EA469B" w:rsidRPr="00A021B7" w:rsidRDefault="008832DD" w:rsidP="003E7BC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П</w:t>
            </w:r>
            <w:r w:rsidR="00EA469B" w:rsidRPr="00A021B7">
              <w:rPr>
                <w:rFonts w:ascii="Arial" w:hAnsi="Arial" w:cs="Arial"/>
                <w:sz w:val="20"/>
                <w:szCs w:val="20"/>
                <w:lang w:val="sr-Cyrl-RS"/>
              </w:rPr>
              <w:t>росеч</w:t>
            </w:r>
            <w:r w:rsidRPr="00A021B7">
              <w:rPr>
                <w:rFonts w:ascii="Arial" w:hAnsi="Arial" w:cs="Arial"/>
                <w:sz w:val="20"/>
                <w:szCs w:val="20"/>
                <w:lang w:val="sr-Cyrl-RS"/>
              </w:rPr>
              <w:t xml:space="preserve">ан </w:t>
            </w:r>
            <w:r w:rsidR="00EA469B" w:rsidRPr="00A021B7">
              <w:rPr>
                <w:rFonts w:ascii="Arial" w:hAnsi="Arial" w:cs="Arial"/>
                <w:sz w:val="20"/>
                <w:szCs w:val="20"/>
                <w:lang w:val="sr-Cyrl-RS"/>
              </w:rPr>
              <w:t>број становника</w:t>
            </w:r>
          </w:p>
        </w:tc>
      </w:tr>
      <w:tr w:rsidR="007546B6" w:rsidRPr="00A021B7" w14:paraId="62150D00"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7EF6D7FD"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Чешка</w:t>
            </w:r>
          </w:p>
        </w:tc>
        <w:tc>
          <w:tcPr>
            <w:tcW w:w="4860" w:type="dxa"/>
          </w:tcPr>
          <w:p w14:paraId="5EC90D6E" w14:textId="3FDC4715" w:rsidR="00EA469B" w:rsidRPr="00A021B7" w:rsidRDefault="00EA469B"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1700</w:t>
            </w:r>
          </w:p>
        </w:tc>
      </w:tr>
      <w:tr w:rsidR="007546B6" w:rsidRPr="00A021B7" w14:paraId="33F628BD"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5CA0A33F"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Словачка</w:t>
            </w:r>
          </w:p>
        </w:tc>
        <w:tc>
          <w:tcPr>
            <w:tcW w:w="4860" w:type="dxa"/>
          </w:tcPr>
          <w:p w14:paraId="19A39775" w14:textId="4FC69CDC" w:rsidR="00EA469B" w:rsidRPr="00A021B7" w:rsidRDefault="00EA469B"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1850</w:t>
            </w:r>
          </w:p>
        </w:tc>
      </w:tr>
      <w:tr w:rsidR="007546B6" w:rsidRPr="00A021B7" w14:paraId="5E77068E"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0585AE36"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Француска</w:t>
            </w:r>
          </w:p>
        </w:tc>
        <w:tc>
          <w:tcPr>
            <w:tcW w:w="4860" w:type="dxa"/>
          </w:tcPr>
          <w:p w14:paraId="7478EF08" w14:textId="6178BFB9" w:rsidR="00EA469B" w:rsidRPr="00A021B7" w:rsidRDefault="00EA469B"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1900</w:t>
            </w:r>
          </w:p>
        </w:tc>
      </w:tr>
      <w:tr w:rsidR="007546B6" w:rsidRPr="00A021B7" w14:paraId="066A8542"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17437125"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Мађарска</w:t>
            </w:r>
          </w:p>
        </w:tc>
        <w:tc>
          <w:tcPr>
            <w:tcW w:w="4860" w:type="dxa"/>
          </w:tcPr>
          <w:p w14:paraId="11586013" w14:textId="214AC2D5" w:rsidR="00EA469B" w:rsidRPr="00A021B7" w:rsidRDefault="00EA469B"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3100</w:t>
            </w:r>
          </w:p>
        </w:tc>
      </w:tr>
      <w:tr w:rsidR="007546B6" w:rsidRPr="00A021B7" w14:paraId="41D824D0"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3F86EBF9"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Швајцарска</w:t>
            </w:r>
          </w:p>
        </w:tc>
        <w:tc>
          <w:tcPr>
            <w:tcW w:w="4860" w:type="dxa"/>
          </w:tcPr>
          <w:p w14:paraId="361795BC" w14:textId="0EDDE66A" w:rsidR="00EA469B" w:rsidRPr="00A021B7" w:rsidRDefault="00EA469B"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3800</w:t>
            </w:r>
          </w:p>
        </w:tc>
      </w:tr>
      <w:tr w:rsidR="00607E95" w:rsidRPr="00A021B7" w14:paraId="7D94A0FF"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1C091F66" w14:textId="77777777" w:rsidR="00607E95" w:rsidRPr="00A021B7" w:rsidRDefault="00607E95" w:rsidP="003E7BC9">
            <w:pPr>
              <w:jc w:val="both"/>
              <w:rPr>
                <w:rFonts w:ascii="Arial" w:hAnsi="Arial" w:cs="Arial"/>
                <w:sz w:val="20"/>
                <w:szCs w:val="20"/>
                <w:lang w:val="sr-Cyrl-RS"/>
              </w:rPr>
            </w:pPr>
            <w:r w:rsidRPr="00A021B7">
              <w:rPr>
                <w:rFonts w:ascii="Arial" w:hAnsi="Arial" w:cs="Arial"/>
                <w:sz w:val="20"/>
                <w:szCs w:val="20"/>
                <w:lang w:val="sr-Cyrl-RS"/>
              </w:rPr>
              <w:t>Аустрија</w:t>
            </w:r>
          </w:p>
        </w:tc>
        <w:tc>
          <w:tcPr>
            <w:tcW w:w="4860" w:type="dxa"/>
          </w:tcPr>
          <w:p w14:paraId="25064BBF" w14:textId="77777777" w:rsidR="00607E95" w:rsidRPr="00A021B7" w:rsidRDefault="00607E95"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40</w:t>
            </w:r>
            <w:r w:rsidR="0042013A" w:rsidRPr="00A021B7">
              <w:rPr>
                <w:rFonts w:ascii="Arial" w:hAnsi="Arial" w:cs="Arial"/>
                <w:sz w:val="20"/>
                <w:szCs w:val="20"/>
                <w:lang w:val="sr-Cyrl-RS"/>
              </w:rPr>
              <w:t>.</w:t>
            </w:r>
            <w:r w:rsidRPr="00A021B7">
              <w:rPr>
                <w:rFonts w:ascii="Arial" w:hAnsi="Arial" w:cs="Arial"/>
                <w:sz w:val="20"/>
                <w:szCs w:val="20"/>
                <w:lang w:val="sr-Cyrl-RS"/>
              </w:rPr>
              <w:t>100</w:t>
            </w:r>
          </w:p>
        </w:tc>
      </w:tr>
      <w:tr w:rsidR="00B07D4D" w:rsidRPr="00A021B7" w14:paraId="0B6705E1"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49F142D5" w14:textId="77777777" w:rsidR="00B07D4D" w:rsidRPr="00A021B7" w:rsidRDefault="00B07D4D" w:rsidP="003E7BC9">
            <w:pPr>
              <w:jc w:val="both"/>
              <w:rPr>
                <w:rFonts w:ascii="Arial" w:hAnsi="Arial" w:cs="Arial"/>
                <w:sz w:val="20"/>
                <w:szCs w:val="20"/>
                <w:lang w:val="sr-Cyrl-RS"/>
              </w:rPr>
            </w:pPr>
            <w:r w:rsidRPr="00A021B7">
              <w:rPr>
                <w:rFonts w:ascii="Arial" w:hAnsi="Arial" w:cs="Arial"/>
                <w:sz w:val="20"/>
                <w:szCs w:val="20"/>
                <w:lang w:val="sr-Cyrl-RS"/>
              </w:rPr>
              <w:t>Холандија</w:t>
            </w:r>
          </w:p>
        </w:tc>
        <w:tc>
          <w:tcPr>
            <w:tcW w:w="4860" w:type="dxa"/>
          </w:tcPr>
          <w:p w14:paraId="479DCA4F" w14:textId="77777777" w:rsidR="00B07D4D" w:rsidRPr="00A021B7" w:rsidRDefault="00B07D4D"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44</w:t>
            </w:r>
            <w:r w:rsidR="0042013A" w:rsidRPr="00A021B7">
              <w:rPr>
                <w:rFonts w:ascii="Arial" w:hAnsi="Arial" w:cs="Arial"/>
                <w:sz w:val="20"/>
                <w:szCs w:val="20"/>
                <w:lang w:val="sr-Cyrl-RS"/>
              </w:rPr>
              <w:t>.</w:t>
            </w:r>
            <w:r w:rsidRPr="00A021B7">
              <w:rPr>
                <w:rFonts w:ascii="Arial" w:hAnsi="Arial" w:cs="Arial"/>
                <w:sz w:val="20"/>
                <w:szCs w:val="20"/>
                <w:lang w:val="sr-Cyrl-RS"/>
              </w:rPr>
              <w:t>800</w:t>
            </w:r>
          </w:p>
        </w:tc>
      </w:tr>
      <w:tr w:rsidR="00B07D4D" w:rsidRPr="00A021B7" w14:paraId="28097608"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0A593FAA" w14:textId="77777777" w:rsidR="00B07D4D" w:rsidRPr="00A021B7" w:rsidRDefault="00B07D4D" w:rsidP="003E7BC9">
            <w:pPr>
              <w:jc w:val="both"/>
              <w:rPr>
                <w:rFonts w:ascii="Arial" w:hAnsi="Arial" w:cs="Arial"/>
                <w:sz w:val="20"/>
                <w:szCs w:val="20"/>
                <w:lang w:val="sr-Cyrl-RS"/>
              </w:rPr>
            </w:pPr>
            <w:r w:rsidRPr="00A021B7">
              <w:rPr>
                <w:rFonts w:ascii="Arial" w:hAnsi="Arial" w:cs="Arial"/>
                <w:sz w:val="20"/>
                <w:szCs w:val="20"/>
                <w:lang w:val="sr-Cyrl-RS"/>
              </w:rPr>
              <w:t>Литванија</w:t>
            </w:r>
          </w:p>
        </w:tc>
        <w:tc>
          <w:tcPr>
            <w:tcW w:w="4860" w:type="dxa"/>
          </w:tcPr>
          <w:p w14:paraId="1CEC15B5" w14:textId="77777777" w:rsidR="00B07D4D" w:rsidRPr="00A021B7" w:rsidRDefault="00B07D4D"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48</w:t>
            </w:r>
            <w:r w:rsidR="0042013A" w:rsidRPr="00A021B7">
              <w:rPr>
                <w:rFonts w:ascii="Arial" w:hAnsi="Arial" w:cs="Arial"/>
                <w:sz w:val="20"/>
                <w:szCs w:val="20"/>
                <w:lang w:val="sr-Cyrl-RS"/>
              </w:rPr>
              <w:t>.</w:t>
            </w:r>
            <w:r w:rsidRPr="00A021B7">
              <w:rPr>
                <w:rFonts w:ascii="Arial" w:hAnsi="Arial" w:cs="Arial"/>
                <w:sz w:val="20"/>
                <w:szCs w:val="20"/>
                <w:lang w:val="sr-Cyrl-RS"/>
              </w:rPr>
              <w:t>800</w:t>
            </w:r>
          </w:p>
        </w:tc>
      </w:tr>
      <w:tr w:rsidR="00B07D4D" w:rsidRPr="00A021B7" w14:paraId="60F31D9E"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0E01CA01" w14:textId="77777777" w:rsidR="00B07D4D" w:rsidRPr="00A021B7" w:rsidRDefault="00B07D4D" w:rsidP="003E7BC9">
            <w:pPr>
              <w:jc w:val="both"/>
              <w:rPr>
                <w:rFonts w:ascii="Arial" w:hAnsi="Arial" w:cs="Arial"/>
                <w:sz w:val="20"/>
                <w:szCs w:val="20"/>
                <w:lang w:val="sr-Cyrl-RS"/>
              </w:rPr>
            </w:pPr>
            <w:r w:rsidRPr="00A021B7">
              <w:rPr>
                <w:rFonts w:ascii="Arial" w:hAnsi="Arial" w:cs="Arial"/>
                <w:sz w:val="20"/>
                <w:szCs w:val="20"/>
                <w:lang w:val="sr-Cyrl-RS"/>
              </w:rPr>
              <w:t>Албанија</w:t>
            </w:r>
          </w:p>
        </w:tc>
        <w:tc>
          <w:tcPr>
            <w:tcW w:w="4860" w:type="dxa"/>
          </w:tcPr>
          <w:p w14:paraId="75AF4B92" w14:textId="77777777" w:rsidR="00B07D4D" w:rsidRPr="00A021B7" w:rsidRDefault="00B07D4D"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52</w:t>
            </w:r>
            <w:r w:rsidR="0042013A" w:rsidRPr="00A021B7">
              <w:rPr>
                <w:rFonts w:ascii="Arial" w:hAnsi="Arial" w:cs="Arial"/>
                <w:sz w:val="20"/>
                <w:szCs w:val="20"/>
                <w:lang w:val="sr-Cyrl-RS"/>
              </w:rPr>
              <w:t>.</w:t>
            </w:r>
            <w:r w:rsidRPr="00A021B7">
              <w:rPr>
                <w:rFonts w:ascii="Arial" w:hAnsi="Arial" w:cs="Arial"/>
                <w:sz w:val="20"/>
                <w:szCs w:val="20"/>
                <w:lang w:val="sr-Cyrl-RS"/>
              </w:rPr>
              <w:t>500</w:t>
            </w:r>
          </w:p>
        </w:tc>
      </w:tr>
      <w:tr w:rsidR="00B07D4D" w:rsidRPr="00A021B7" w14:paraId="33C855B7" w14:textId="77777777" w:rsidTr="1A8E6423">
        <w:tc>
          <w:tcPr>
            <w:cnfStyle w:val="001000000000" w:firstRow="0" w:lastRow="0" w:firstColumn="1" w:lastColumn="0" w:oddVBand="0" w:evenVBand="0" w:oddHBand="0" w:evenHBand="0" w:firstRowFirstColumn="0" w:firstRowLastColumn="0" w:lastRowFirstColumn="0" w:lastRowLastColumn="0"/>
            <w:tcW w:w="4050" w:type="dxa"/>
          </w:tcPr>
          <w:p w14:paraId="69C420B8" w14:textId="77777777" w:rsidR="00B07D4D" w:rsidRPr="00A021B7" w:rsidRDefault="00B07D4D" w:rsidP="003E7BC9">
            <w:pPr>
              <w:jc w:val="both"/>
              <w:rPr>
                <w:rFonts w:ascii="Arial" w:hAnsi="Arial" w:cs="Arial"/>
                <w:sz w:val="20"/>
                <w:szCs w:val="20"/>
                <w:lang w:val="sr-Cyrl-RS"/>
              </w:rPr>
            </w:pPr>
            <w:r w:rsidRPr="00A021B7">
              <w:rPr>
                <w:rFonts w:ascii="Arial" w:hAnsi="Arial" w:cs="Arial"/>
                <w:sz w:val="20"/>
                <w:szCs w:val="20"/>
                <w:lang w:val="sr-Cyrl-RS"/>
              </w:rPr>
              <w:lastRenderedPageBreak/>
              <w:t>Данска</w:t>
            </w:r>
          </w:p>
        </w:tc>
        <w:tc>
          <w:tcPr>
            <w:tcW w:w="4860" w:type="dxa"/>
          </w:tcPr>
          <w:p w14:paraId="24282962" w14:textId="77777777" w:rsidR="00B07D4D" w:rsidRPr="00A021B7" w:rsidRDefault="00B07D4D"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58</w:t>
            </w:r>
            <w:r w:rsidR="0042013A" w:rsidRPr="00A021B7">
              <w:rPr>
                <w:rFonts w:ascii="Arial" w:hAnsi="Arial" w:cs="Arial"/>
                <w:sz w:val="20"/>
                <w:szCs w:val="20"/>
                <w:lang w:val="sr-Cyrl-RS"/>
              </w:rPr>
              <w:t>.</w:t>
            </w:r>
            <w:r w:rsidRPr="00A021B7">
              <w:rPr>
                <w:rFonts w:ascii="Arial" w:hAnsi="Arial" w:cs="Arial"/>
                <w:sz w:val="20"/>
                <w:szCs w:val="20"/>
                <w:lang w:val="sr-Cyrl-RS"/>
              </w:rPr>
              <w:t>500</w:t>
            </w:r>
          </w:p>
        </w:tc>
      </w:tr>
    </w:tbl>
    <w:p w14:paraId="278D2167" w14:textId="77777777" w:rsidR="00EA469B" w:rsidRPr="00A021B7" w:rsidRDefault="00EA469B" w:rsidP="003E7BC9">
      <w:pPr>
        <w:jc w:val="both"/>
        <w:rPr>
          <w:rFonts w:ascii="Arial" w:hAnsi="Arial" w:cs="Arial"/>
          <w:sz w:val="20"/>
          <w:szCs w:val="20"/>
          <w:lang w:val="sr-Cyrl-RS"/>
        </w:rPr>
      </w:pPr>
    </w:p>
    <w:p w14:paraId="6C4730AD" w14:textId="024ACC82" w:rsidR="00E04FBF" w:rsidRPr="00A021B7" w:rsidRDefault="38DED8B4"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Европским државама заједничко је </w:t>
      </w:r>
      <w:r w:rsidR="38C9BEDD" w:rsidRPr="00A021B7">
        <w:rPr>
          <w:rFonts w:ascii="Arial" w:hAnsi="Arial" w:cs="Arial"/>
          <w:sz w:val="20"/>
          <w:szCs w:val="20"/>
          <w:lang w:val="sr-Cyrl-RS"/>
        </w:rPr>
        <w:t>да су опште одреднице локалне самоуправе дате у уставу</w:t>
      </w:r>
      <w:r w:rsidRPr="00A021B7">
        <w:rPr>
          <w:rFonts w:ascii="Arial" w:hAnsi="Arial" w:cs="Arial"/>
          <w:sz w:val="20"/>
          <w:szCs w:val="20"/>
          <w:lang w:val="sr-Cyrl-RS"/>
        </w:rPr>
        <w:t>,</w:t>
      </w:r>
      <w:r w:rsidR="38C9BEDD" w:rsidRPr="00A021B7">
        <w:rPr>
          <w:rFonts w:ascii="Arial" w:hAnsi="Arial" w:cs="Arial"/>
          <w:sz w:val="20"/>
          <w:szCs w:val="20"/>
          <w:lang w:val="sr-Cyrl-RS"/>
        </w:rPr>
        <w:t xml:space="preserve"> а да </w:t>
      </w:r>
      <w:r w:rsidRPr="00A021B7">
        <w:rPr>
          <w:rFonts w:ascii="Arial" w:hAnsi="Arial" w:cs="Arial"/>
          <w:sz w:val="20"/>
          <w:szCs w:val="20"/>
          <w:lang w:val="sr-Cyrl-RS"/>
        </w:rPr>
        <w:t xml:space="preserve">су </w:t>
      </w:r>
      <w:r w:rsidR="38C9BEDD" w:rsidRPr="00A021B7">
        <w:rPr>
          <w:rFonts w:ascii="Arial" w:hAnsi="Arial" w:cs="Arial"/>
          <w:sz w:val="20"/>
          <w:szCs w:val="20"/>
          <w:lang w:val="sr-Cyrl-RS"/>
        </w:rPr>
        <w:t xml:space="preserve">детаљи система </w:t>
      </w:r>
      <w:r w:rsidRPr="00A021B7">
        <w:rPr>
          <w:rFonts w:ascii="Arial" w:hAnsi="Arial" w:cs="Arial"/>
          <w:sz w:val="20"/>
          <w:szCs w:val="20"/>
          <w:lang w:val="sr-Cyrl-RS"/>
        </w:rPr>
        <w:t xml:space="preserve">дефинисани </w:t>
      </w:r>
      <w:r w:rsidR="38C9BEDD" w:rsidRPr="00A021B7">
        <w:rPr>
          <w:rFonts w:ascii="Arial" w:hAnsi="Arial" w:cs="Arial"/>
          <w:sz w:val="20"/>
          <w:szCs w:val="20"/>
          <w:lang w:val="sr-Cyrl-RS"/>
        </w:rPr>
        <w:t>законом. Уставима се гарантује право (грађана) на локалну самоуправу и даје њена основна дефиниција. Она подразумева да територијалном јединицом која чини локалну самоуправу управљају грађани преко непосредно бираних власти. Када је реч о непосредности избора власти, мисли се превасходно на представничку</w:t>
      </w:r>
      <w:r w:rsidR="000414A7">
        <w:rPr>
          <w:rFonts w:ascii="Arial" w:hAnsi="Arial" w:cs="Arial"/>
          <w:sz w:val="20"/>
          <w:szCs w:val="20"/>
          <w:lang w:val="sr-Cyrl-RS"/>
        </w:rPr>
        <w:t xml:space="preserve"> власт</w:t>
      </w:r>
      <w:r w:rsidR="38C9BEDD" w:rsidRPr="00A021B7">
        <w:rPr>
          <w:rFonts w:ascii="Arial" w:hAnsi="Arial" w:cs="Arial"/>
          <w:sz w:val="20"/>
          <w:szCs w:val="20"/>
          <w:lang w:val="sr-Cyrl-RS"/>
        </w:rPr>
        <w:t>, док је питање извршне власти остављено да се регулише законом. Поред непосредно бираних локалних власти</w:t>
      </w:r>
      <w:r w:rsidR="6C37E68C" w:rsidRPr="00A021B7">
        <w:rPr>
          <w:rFonts w:ascii="Arial" w:hAnsi="Arial" w:cs="Arial"/>
          <w:sz w:val="20"/>
          <w:szCs w:val="20"/>
          <w:lang w:val="sr-Cyrl-RS"/>
        </w:rPr>
        <w:t>,</w:t>
      </w:r>
      <w:r w:rsidR="38C9BEDD" w:rsidRPr="00A021B7">
        <w:rPr>
          <w:rFonts w:ascii="Arial" w:hAnsi="Arial" w:cs="Arial"/>
          <w:sz w:val="20"/>
          <w:szCs w:val="20"/>
          <w:lang w:val="sr-Cyrl-RS"/>
        </w:rPr>
        <w:t xml:space="preserve"> уставима се </w:t>
      </w:r>
      <w:r w:rsidR="2EDC8384" w:rsidRPr="00A021B7">
        <w:rPr>
          <w:rFonts w:ascii="Arial" w:hAnsi="Arial" w:cs="Arial"/>
          <w:sz w:val="20"/>
          <w:szCs w:val="20"/>
          <w:lang w:val="sr-Cyrl-RS"/>
        </w:rPr>
        <w:t>често</w:t>
      </w:r>
      <w:r w:rsidR="38C9BEDD" w:rsidRPr="00A021B7">
        <w:rPr>
          <w:rFonts w:ascii="Arial" w:hAnsi="Arial" w:cs="Arial"/>
          <w:sz w:val="20"/>
          <w:szCs w:val="20"/>
          <w:lang w:val="sr-Cyrl-RS"/>
        </w:rPr>
        <w:t xml:space="preserve"> </w:t>
      </w:r>
      <w:r w:rsidR="6C37E68C" w:rsidRPr="00A021B7">
        <w:rPr>
          <w:rFonts w:ascii="Arial" w:hAnsi="Arial" w:cs="Arial"/>
          <w:sz w:val="20"/>
          <w:szCs w:val="20"/>
          <w:lang w:val="sr-Cyrl-RS"/>
        </w:rPr>
        <w:t xml:space="preserve">гарантују </w:t>
      </w:r>
      <w:r w:rsidR="38C9BEDD" w:rsidRPr="00A021B7">
        <w:rPr>
          <w:rFonts w:ascii="Arial" w:hAnsi="Arial" w:cs="Arial"/>
          <w:sz w:val="20"/>
          <w:szCs w:val="20"/>
          <w:lang w:val="sr-Cyrl-RS"/>
        </w:rPr>
        <w:t>надлежности и финансијска средства, али без навођења конкретних надлежности.</w:t>
      </w:r>
      <w:r w:rsidR="00EA469B" w:rsidRPr="00A021B7">
        <w:rPr>
          <w:rStyle w:val="FootnoteReference"/>
          <w:rFonts w:ascii="Arial" w:hAnsi="Arial" w:cs="Arial"/>
          <w:sz w:val="20"/>
          <w:szCs w:val="20"/>
          <w:lang w:val="sr-Cyrl-RS"/>
        </w:rPr>
        <w:footnoteReference w:id="181"/>
      </w:r>
      <w:r w:rsidR="38C9BEDD" w:rsidRPr="00A021B7">
        <w:rPr>
          <w:rFonts w:ascii="Arial" w:hAnsi="Arial" w:cs="Arial"/>
          <w:sz w:val="20"/>
          <w:szCs w:val="20"/>
          <w:lang w:val="sr-Cyrl-RS"/>
        </w:rPr>
        <w:t xml:space="preserve"> Поред ових заједничких карактеристика, приметно је да се у неким уставима локалн</w:t>
      </w:r>
      <w:r w:rsidR="000414A7">
        <w:rPr>
          <w:rFonts w:ascii="Arial" w:hAnsi="Arial" w:cs="Arial"/>
          <w:sz w:val="20"/>
          <w:szCs w:val="20"/>
          <w:lang w:val="sr-Cyrl-RS"/>
        </w:rPr>
        <w:t>е</w:t>
      </w:r>
      <w:r w:rsidR="38C9BEDD" w:rsidRPr="00A021B7">
        <w:rPr>
          <w:rFonts w:ascii="Arial" w:hAnsi="Arial" w:cs="Arial"/>
          <w:sz w:val="20"/>
          <w:szCs w:val="20"/>
          <w:lang w:val="sr-Cyrl-RS"/>
        </w:rPr>
        <w:t xml:space="preserve"> самоуправ</w:t>
      </w:r>
      <w:r w:rsidR="000414A7">
        <w:rPr>
          <w:rFonts w:ascii="Arial" w:hAnsi="Arial" w:cs="Arial"/>
          <w:sz w:val="20"/>
          <w:szCs w:val="20"/>
          <w:lang w:val="sr-Cyrl-RS"/>
        </w:rPr>
        <w:t>е</w:t>
      </w:r>
      <w:r w:rsidR="38C9BEDD" w:rsidRPr="00A021B7">
        <w:rPr>
          <w:rFonts w:ascii="Arial" w:hAnsi="Arial" w:cs="Arial"/>
          <w:sz w:val="20"/>
          <w:szCs w:val="20"/>
          <w:lang w:val="sr-Cyrl-RS"/>
        </w:rPr>
        <w:t xml:space="preserve"> дефинишу као конститутивни делови државе, што указује на значај локалне власти и њихова изворна права и моћ (нпр. Италија, Аустрија).</w:t>
      </w:r>
    </w:p>
    <w:p w14:paraId="022348E6" w14:textId="77777777" w:rsidR="005213E1" w:rsidRPr="00A021B7" w:rsidRDefault="005213E1" w:rsidP="1A8E6423">
      <w:pPr>
        <w:ind w:firstLine="720"/>
        <w:jc w:val="both"/>
        <w:rPr>
          <w:rFonts w:ascii="Arial" w:hAnsi="Arial" w:cs="Arial"/>
          <w:sz w:val="20"/>
          <w:szCs w:val="20"/>
          <w:lang w:val="sr-Cyrl-RS"/>
        </w:rPr>
      </w:pPr>
    </w:p>
    <w:p w14:paraId="1EB05056" w14:textId="11042BEA" w:rsidR="00EA469B" w:rsidRPr="00A021B7" w:rsidRDefault="38C9BEDD" w:rsidP="1A8E6423">
      <w:pPr>
        <w:ind w:firstLine="720"/>
        <w:jc w:val="both"/>
        <w:rPr>
          <w:rFonts w:ascii="Arial" w:eastAsia="Calibri" w:hAnsi="Arial" w:cs="Arial"/>
          <w:sz w:val="20"/>
          <w:szCs w:val="20"/>
          <w:lang w:val="sr-Cyrl-RS"/>
        </w:rPr>
      </w:pPr>
      <w:r w:rsidRPr="00A021B7">
        <w:rPr>
          <w:rFonts w:ascii="Arial" w:eastAsia="Calibri" w:hAnsi="Arial" w:cs="Arial"/>
          <w:sz w:val="20"/>
          <w:szCs w:val="20"/>
          <w:lang w:val="sr-Cyrl-RS"/>
        </w:rPr>
        <w:t>Када је реч о броју нивоа (степени) локалне власти</w:t>
      </w:r>
      <w:r w:rsidR="6C37E68C" w:rsidRPr="00A021B7">
        <w:rPr>
          <w:rFonts w:ascii="Arial" w:eastAsia="Calibri" w:hAnsi="Arial" w:cs="Arial"/>
          <w:sz w:val="20"/>
          <w:szCs w:val="20"/>
          <w:lang w:val="sr-Cyrl-RS"/>
        </w:rPr>
        <w:t>,</w:t>
      </w:r>
      <w:r w:rsidRPr="00A021B7">
        <w:rPr>
          <w:rFonts w:ascii="Arial" w:eastAsia="Calibri" w:hAnsi="Arial" w:cs="Arial"/>
          <w:sz w:val="20"/>
          <w:szCs w:val="20"/>
          <w:lang w:val="sr-Cyrl-RS"/>
        </w:rPr>
        <w:t xml:space="preserve"> може се констатовати да је једностепена локална самоуправа (нарочито код већих држава) пре изузетак него правило</w:t>
      </w:r>
      <w:r w:rsidR="6C37E68C" w:rsidRPr="00A021B7">
        <w:rPr>
          <w:rFonts w:ascii="Arial" w:eastAsia="Calibri" w:hAnsi="Arial" w:cs="Arial"/>
          <w:sz w:val="20"/>
          <w:szCs w:val="20"/>
          <w:lang w:val="sr-Cyrl-RS"/>
        </w:rPr>
        <w:t>,</w:t>
      </w:r>
      <w:r w:rsidRPr="00A021B7">
        <w:rPr>
          <w:rFonts w:ascii="Arial" w:eastAsia="Calibri" w:hAnsi="Arial" w:cs="Arial"/>
          <w:sz w:val="20"/>
          <w:szCs w:val="20"/>
          <w:lang w:val="sr-Cyrl-RS"/>
        </w:rPr>
        <w:t xml:space="preserve"> јер је присутна тек код неколико држава. Слично томе</w:t>
      </w:r>
      <w:r w:rsidR="000414A7">
        <w:rPr>
          <w:rFonts w:ascii="Arial" w:eastAsia="Calibri" w:hAnsi="Arial" w:cs="Arial"/>
          <w:sz w:val="20"/>
          <w:szCs w:val="20"/>
          <w:lang w:val="sr-Cyrl-RS"/>
        </w:rPr>
        <w:t>,</w:t>
      </w:r>
      <w:r w:rsidRPr="00A021B7">
        <w:rPr>
          <w:rFonts w:ascii="Arial" w:eastAsia="Calibri" w:hAnsi="Arial" w:cs="Arial"/>
          <w:sz w:val="20"/>
          <w:szCs w:val="20"/>
          <w:lang w:val="sr-Cyrl-RS"/>
        </w:rPr>
        <w:t xml:space="preserve"> и тростепена локална самоуправа је ређа појава – прецизније јавља се код територијално већих држава попут Француске, Пољске или Италије, док се код територијално мањих држава готово и не јавља.</w:t>
      </w:r>
      <w:r w:rsidR="00EA469B" w:rsidRPr="00A021B7">
        <w:rPr>
          <w:rStyle w:val="FootnoteReference"/>
          <w:rFonts w:ascii="Arial" w:eastAsia="Calibri" w:hAnsi="Arial" w:cs="Arial"/>
          <w:sz w:val="20"/>
          <w:szCs w:val="20"/>
          <w:lang w:val="sr-Cyrl-RS"/>
        </w:rPr>
        <w:footnoteReference w:id="182"/>
      </w:r>
      <w:r w:rsidRPr="00A021B7">
        <w:rPr>
          <w:rFonts w:ascii="Arial" w:eastAsia="Calibri" w:hAnsi="Arial" w:cs="Arial"/>
          <w:sz w:val="20"/>
          <w:szCs w:val="20"/>
          <w:lang w:val="sr-Cyrl-RS"/>
        </w:rPr>
        <w:t xml:space="preserve"> Сходно реченом, двостепена локална самоуправа је модел који се најчешће среће на европском континенту.</w:t>
      </w:r>
    </w:p>
    <w:p w14:paraId="14830362" w14:textId="77777777" w:rsidR="00E17BCD" w:rsidRPr="00A021B7" w:rsidRDefault="00E17BCD" w:rsidP="003E7BC9">
      <w:pPr>
        <w:jc w:val="both"/>
        <w:rPr>
          <w:rFonts w:ascii="Arial" w:eastAsia="Calibri" w:hAnsi="Arial" w:cs="Arial"/>
          <w:sz w:val="20"/>
          <w:szCs w:val="20"/>
          <w:lang w:val="sr-Cyrl-RS"/>
        </w:rPr>
      </w:pPr>
    </w:p>
    <w:p w14:paraId="01257908" w14:textId="64A86600" w:rsidR="00EA469B" w:rsidRPr="00A021B7" w:rsidRDefault="008E544D" w:rsidP="1A8E6423">
      <w:pPr>
        <w:rPr>
          <w:rFonts w:ascii="Arial" w:eastAsia="Calibri" w:hAnsi="Arial" w:cs="Arial"/>
          <w:i/>
          <w:iCs/>
          <w:sz w:val="20"/>
          <w:szCs w:val="20"/>
          <w:lang w:val="sr-Cyrl-RS"/>
        </w:rPr>
      </w:pPr>
      <w:r w:rsidRPr="1A8E6423">
        <w:rPr>
          <w:rFonts w:ascii="Arial" w:eastAsia="Calibri" w:hAnsi="Arial" w:cs="Arial"/>
          <w:i/>
          <w:iCs/>
          <w:sz w:val="20"/>
          <w:szCs w:val="20"/>
          <w:lang w:val="sr-Cyrl-RS"/>
        </w:rPr>
        <w:t xml:space="preserve">Табела </w:t>
      </w:r>
      <w:r w:rsidR="002139C8" w:rsidRPr="1A8E6423">
        <w:rPr>
          <w:rFonts w:ascii="Arial" w:eastAsia="Calibri" w:hAnsi="Arial" w:cs="Arial"/>
          <w:i/>
          <w:iCs/>
          <w:sz w:val="20"/>
          <w:szCs w:val="20"/>
          <w:lang w:val="sr-Cyrl-RS"/>
        </w:rPr>
        <w:t>10</w:t>
      </w:r>
      <w:r w:rsidRPr="1A8E6423">
        <w:rPr>
          <w:rFonts w:ascii="Arial" w:eastAsia="Calibri" w:hAnsi="Arial" w:cs="Arial"/>
          <w:i/>
          <w:iCs/>
          <w:sz w:val="20"/>
          <w:szCs w:val="20"/>
          <w:lang w:val="sr-Cyrl-RS"/>
        </w:rPr>
        <w:t xml:space="preserve">: </w:t>
      </w:r>
      <w:r w:rsidR="00EA469B" w:rsidRPr="1A8E6423">
        <w:rPr>
          <w:rFonts w:ascii="Arial" w:eastAsia="Calibri" w:hAnsi="Arial" w:cs="Arial"/>
          <w:i/>
          <w:iCs/>
          <w:sz w:val="20"/>
          <w:szCs w:val="20"/>
          <w:lang w:val="sr-Cyrl-RS"/>
        </w:rPr>
        <w:t xml:space="preserve">Број нивоа </w:t>
      </w:r>
      <w:r w:rsidR="00516620" w:rsidRPr="1A8E6423">
        <w:rPr>
          <w:rFonts w:ascii="Arial" w:eastAsia="Calibri" w:hAnsi="Arial" w:cs="Arial"/>
          <w:i/>
          <w:iCs/>
          <w:sz w:val="20"/>
          <w:szCs w:val="20"/>
          <w:lang w:val="sr-Cyrl-RS"/>
        </w:rPr>
        <w:t xml:space="preserve">субнационалне </w:t>
      </w:r>
      <w:r w:rsidR="00EA469B" w:rsidRPr="1A8E6423">
        <w:rPr>
          <w:rFonts w:ascii="Arial" w:eastAsia="Calibri" w:hAnsi="Arial" w:cs="Arial"/>
          <w:i/>
          <w:iCs/>
          <w:sz w:val="20"/>
          <w:szCs w:val="20"/>
          <w:lang w:val="sr-Cyrl-RS"/>
        </w:rPr>
        <w:t>(нецентралне) власти у европским државама</w:t>
      </w:r>
    </w:p>
    <w:p w14:paraId="15A0E4C0" w14:textId="77777777" w:rsidR="007546B6" w:rsidRPr="00A021B7" w:rsidRDefault="007546B6" w:rsidP="003E7BC9">
      <w:pPr>
        <w:jc w:val="center"/>
        <w:rPr>
          <w:rFonts w:ascii="Arial" w:eastAsia="Calibri" w:hAnsi="Arial" w:cs="Arial"/>
          <w:i/>
          <w:sz w:val="20"/>
          <w:szCs w:val="20"/>
          <w:lang w:val="sr-Cyrl-RS"/>
        </w:rPr>
      </w:pPr>
    </w:p>
    <w:tbl>
      <w:tblPr>
        <w:tblStyle w:val="PlainTable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4"/>
      </w:tblGrid>
      <w:tr w:rsidR="00E04FBF" w:rsidRPr="00A021B7" w14:paraId="757879F8" w14:textId="77777777" w:rsidTr="1A8E6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874601C" w14:textId="3C234110" w:rsidR="00EA469B" w:rsidRPr="00A021B7" w:rsidRDefault="007546B6" w:rsidP="003E7BC9">
            <w:pPr>
              <w:jc w:val="center"/>
              <w:rPr>
                <w:rFonts w:ascii="Arial" w:eastAsia="Calibri" w:hAnsi="Arial" w:cs="Arial"/>
                <w:sz w:val="20"/>
                <w:szCs w:val="20"/>
                <w:lang w:val="sr-Cyrl-RS"/>
              </w:rPr>
            </w:pPr>
            <w:r w:rsidRPr="1A8E6423">
              <w:rPr>
                <w:rFonts w:ascii="Arial" w:eastAsia="Calibri" w:hAnsi="Arial" w:cs="Arial"/>
                <w:sz w:val="20"/>
                <w:szCs w:val="20"/>
                <w:lang w:val="sr-Cyrl-RS"/>
              </w:rPr>
              <w:t>Б</w:t>
            </w:r>
            <w:r w:rsidR="00EA469B" w:rsidRPr="1A8E6423">
              <w:rPr>
                <w:rFonts w:ascii="Arial" w:eastAsia="Calibri" w:hAnsi="Arial" w:cs="Arial"/>
                <w:sz w:val="20"/>
                <w:szCs w:val="20"/>
                <w:lang w:val="sr-Cyrl-RS"/>
              </w:rPr>
              <w:t>рој ни</w:t>
            </w:r>
            <w:r w:rsidR="000414A7" w:rsidRPr="1A8E6423">
              <w:rPr>
                <w:rFonts w:ascii="Arial" w:eastAsia="Calibri" w:hAnsi="Arial" w:cs="Arial"/>
                <w:sz w:val="20"/>
                <w:szCs w:val="20"/>
                <w:lang w:val="sr-Cyrl-RS"/>
              </w:rPr>
              <w:t>в</w:t>
            </w:r>
            <w:r w:rsidR="00EA469B" w:rsidRPr="1A8E6423">
              <w:rPr>
                <w:rFonts w:ascii="Arial" w:eastAsia="Calibri" w:hAnsi="Arial" w:cs="Arial"/>
                <w:sz w:val="20"/>
                <w:szCs w:val="20"/>
                <w:lang w:val="sr-Cyrl-RS"/>
              </w:rPr>
              <w:t>оа субнацион</w:t>
            </w:r>
            <w:r w:rsidR="2F758AA5" w:rsidRPr="1A8E6423">
              <w:rPr>
                <w:rFonts w:ascii="Arial" w:eastAsia="Calibri" w:hAnsi="Arial" w:cs="Arial"/>
                <w:sz w:val="20"/>
                <w:szCs w:val="20"/>
                <w:lang w:val="sr-Cyrl-RS"/>
              </w:rPr>
              <w:t>а</w:t>
            </w:r>
            <w:r w:rsidR="00EA469B" w:rsidRPr="1A8E6423">
              <w:rPr>
                <w:rFonts w:ascii="Arial" w:eastAsia="Calibri" w:hAnsi="Arial" w:cs="Arial"/>
                <w:sz w:val="20"/>
                <w:szCs w:val="20"/>
                <w:lang w:val="sr-Cyrl-RS"/>
              </w:rPr>
              <w:t>лних власти</w:t>
            </w:r>
          </w:p>
        </w:tc>
        <w:tc>
          <w:tcPr>
            <w:tcW w:w="6094" w:type="dxa"/>
            <w:vAlign w:val="center"/>
          </w:tcPr>
          <w:p w14:paraId="0397E6A8" w14:textId="77777777" w:rsidR="00EA469B" w:rsidRPr="00A021B7" w:rsidRDefault="007546B6" w:rsidP="003E7BC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sr-Cyrl-RS"/>
              </w:rPr>
            </w:pPr>
            <w:r w:rsidRPr="00A021B7">
              <w:rPr>
                <w:rFonts w:ascii="Arial" w:eastAsia="Calibri" w:hAnsi="Arial" w:cs="Arial"/>
                <w:sz w:val="20"/>
                <w:szCs w:val="20"/>
                <w:lang w:val="sr-Cyrl-RS"/>
              </w:rPr>
              <w:t>Д</w:t>
            </w:r>
            <w:r w:rsidR="00EA469B" w:rsidRPr="00A021B7">
              <w:rPr>
                <w:rFonts w:ascii="Arial" w:eastAsia="Calibri" w:hAnsi="Arial" w:cs="Arial"/>
                <w:sz w:val="20"/>
                <w:szCs w:val="20"/>
                <w:lang w:val="sr-Cyrl-RS"/>
              </w:rPr>
              <w:t>ржаве</w:t>
            </w:r>
          </w:p>
        </w:tc>
      </w:tr>
      <w:tr w:rsidR="00E04FBF" w:rsidRPr="00A021B7" w14:paraId="5DA1C308" w14:textId="77777777" w:rsidTr="1A8E64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9EC0F1D" w14:textId="77777777" w:rsidR="00EA469B" w:rsidRPr="00A021B7" w:rsidRDefault="00EA469B" w:rsidP="003E7BC9">
            <w:pPr>
              <w:jc w:val="center"/>
              <w:rPr>
                <w:rFonts w:ascii="Arial" w:eastAsia="Calibri" w:hAnsi="Arial" w:cs="Arial"/>
                <w:sz w:val="20"/>
                <w:szCs w:val="20"/>
                <w:lang w:val="sr-Cyrl-RS"/>
              </w:rPr>
            </w:pPr>
            <w:r w:rsidRPr="00A021B7">
              <w:rPr>
                <w:rFonts w:ascii="Arial" w:eastAsia="Calibri" w:hAnsi="Arial" w:cs="Arial"/>
                <w:sz w:val="20"/>
                <w:szCs w:val="20"/>
                <w:lang w:val="sr-Cyrl-RS"/>
              </w:rPr>
              <w:t>један</w:t>
            </w:r>
          </w:p>
        </w:tc>
        <w:tc>
          <w:tcPr>
            <w:tcW w:w="6094" w:type="dxa"/>
          </w:tcPr>
          <w:p w14:paraId="600C944A"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sr-Cyrl-RS"/>
              </w:rPr>
            </w:pPr>
            <w:r w:rsidRPr="00A021B7">
              <w:rPr>
                <w:rFonts w:ascii="Arial" w:eastAsia="Calibri" w:hAnsi="Arial" w:cs="Arial"/>
                <w:sz w:val="20"/>
                <w:szCs w:val="20"/>
                <w:lang w:val="sr-Cyrl-RS"/>
              </w:rPr>
              <w:t>Бугарска, Естонија, Ирска, Литванија, Летонија, Португал, Северна Македонија, Словенија, Црна Гора</w:t>
            </w:r>
          </w:p>
        </w:tc>
      </w:tr>
      <w:tr w:rsidR="00E04FBF" w:rsidRPr="00A021B7" w14:paraId="15F121F2" w14:textId="77777777" w:rsidTr="1A8E6423">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1C3F62E" w14:textId="77777777" w:rsidR="00EA469B" w:rsidRPr="00A021B7" w:rsidRDefault="00EA469B" w:rsidP="003E7BC9">
            <w:pPr>
              <w:jc w:val="center"/>
              <w:rPr>
                <w:rFonts w:ascii="Arial" w:eastAsia="Calibri" w:hAnsi="Arial" w:cs="Arial"/>
                <w:sz w:val="20"/>
                <w:szCs w:val="20"/>
                <w:lang w:val="sr-Cyrl-RS"/>
              </w:rPr>
            </w:pPr>
            <w:r w:rsidRPr="00A021B7">
              <w:rPr>
                <w:rFonts w:ascii="Arial" w:eastAsia="Calibri" w:hAnsi="Arial" w:cs="Arial"/>
                <w:sz w:val="20"/>
                <w:szCs w:val="20"/>
                <w:lang w:val="sr-Cyrl-RS"/>
              </w:rPr>
              <w:t>два</w:t>
            </w:r>
          </w:p>
        </w:tc>
        <w:tc>
          <w:tcPr>
            <w:tcW w:w="6094" w:type="dxa"/>
          </w:tcPr>
          <w:p w14:paraId="75C8083E" w14:textId="524596E0"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sr-Cyrl-RS"/>
              </w:rPr>
            </w:pPr>
            <w:r w:rsidRPr="1A8E6423">
              <w:rPr>
                <w:rFonts w:ascii="Arial" w:eastAsia="Calibri" w:hAnsi="Arial" w:cs="Arial"/>
                <w:sz w:val="20"/>
                <w:szCs w:val="20"/>
                <w:lang w:val="sr-Cyrl-RS"/>
              </w:rPr>
              <w:t>Албанија, Аустрија, Грчка, Данска, Мађарска,</w:t>
            </w:r>
            <w:r w:rsidR="000414A7" w:rsidRPr="1A8E6423">
              <w:rPr>
                <w:rFonts w:ascii="Arial" w:eastAsia="Calibri" w:hAnsi="Arial" w:cs="Arial"/>
                <w:sz w:val="20"/>
                <w:szCs w:val="20"/>
                <w:lang w:val="sr-Cyrl-RS"/>
              </w:rPr>
              <w:t xml:space="preserve"> </w:t>
            </w:r>
            <w:r w:rsidRPr="1A8E6423">
              <w:rPr>
                <w:rFonts w:ascii="Arial" w:eastAsia="Calibri" w:hAnsi="Arial" w:cs="Arial"/>
                <w:sz w:val="20"/>
                <w:szCs w:val="20"/>
                <w:lang w:val="sr-Cyrl-RS"/>
              </w:rPr>
              <w:t>Норвешка, Румунија, Словачка, Холандија, Хрватска, Чешка, Швајцарска, Шведска</w:t>
            </w:r>
          </w:p>
        </w:tc>
      </w:tr>
      <w:tr w:rsidR="00E04FBF" w:rsidRPr="00A021B7" w14:paraId="4652C5B4" w14:textId="77777777" w:rsidTr="1A8E64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EAFF849" w14:textId="77777777" w:rsidR="00EA469B" w:rsidRPr="00A021B7" w:rsidRDefault="00EA469B" w:rsidP="003E7BC9">
            <w:pPr>
              <w:jc w:val="center"/>
              <w:rPr>
                <w:rFonts w:ascii="Arial" w:eastAsia="Calibri" w:hAnsi="Arial" w:cs="Arial"/>
                <w:sz w:val="20"/>
                <w:szCs w:val="20"/>
                <w:lang w:val="sr-Cyrl-RS"/>
              </w:rPr>
            </w:pPr>
            <w:r w:rsidRPr="00A021B7">
              <w:rPr>
                <w:rFonts w:ascii="Arial" w:eastAsia="Calibri" w:hAnsi="Arial" w:cs="Arial"/>
                <w:sz w:val="20"/>
                <w:szCs w:val="20"/>
                <w:lang w:val="sr-Cyrl-RS"/>
              </w:rPr>
              <w:t>три</w:t>
            </w:r>
          </w:p>
        </w:tc>
        <w:tc>
          <w:tcPr>
            <w:tcW w:w="6094" w:type="dxa"/>
          </w:tcPr>
          <w:p w14:paraId="1FD4EB47" w14:textId="77777777" w:rsidR="00EA469B" w:rsidRPr="00A021B7" w:rsidRDefault="00194B07" w:rsidP="003E7BC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sr-Cyrl-RS"/>
              </w:rPr>
            </w:pPr>
            <w:r w:rsidRPr="00A021B7">
              <w:rPr>
                <w:rFonts w:ascii="Arial" w:eastAsia="Calibri" w:hAnsi="Arial" w:cs="Arial"/>
                <w:sz w:val="20"/>
                <w:szCs w:val="20"/>
                <w:lang w:val="sr-Cyrl-RS"/>
              </w:rPr>
              <w:t xml:space="preserve">Велика Британија, </w:t>
            </w:r>
            <w:r w:rsidR="00EA469B" w:rsidRPr="00A021B7">
              <w:rPr>
                <w:rFonts w:ascii="Arial" w:eastAsia="Calibri" w:hAnsi="Arial" w:cs="Arial"/>
                <w:sz w:val="20"/>
                <w:szCs w:val="20"/>
                <w:lang w:val="sr-Cyrl-RS"/>
              </w:rPr>
              <w:t>Белгија, Италија, Немачка, Пољска, Француска, Шпанија</w:t>
            </w:r>
          </w:p>
        </w:tc>
      </w:tr>
    </w:tbl>
    <w:p w14:paraId="70776C18" w14:textId="77777777" w:rsidR="00EA469B" w:rsidRPr="00A021B7" w:rsidRDefault="00EA469B" w:rsidP="003E7BC9">
      <w:pPr>
        <w:jc w:val="both"/>
        <w:rPr>
          <w:rFonts w:ascii="Arial" w:eastAsia="Calibri" w:hAnsi="Arial" w:cs="Arial"/>
          <w:sz w:val="20"/>
          <w:szCs w:val="20"/>
          <w:lang w:val="sr-Cyrl-RS"/>
        </w:rPr>
      </w:pPr>
    </w:p>
    <w:p w14:paraId="307ACF87" w14:textId="34913ECA" w:rsidR="00EA469B" w:rsidRPr="00A021B7" w:rsidRDefault="00EA469B" w:rsidP="1A8E6423">
      <w:pPr>
        <w:ind w:firstLine="720"/>
        <w:jc w:val="both"/>
        <w:rPr>
          <w:rFonts w:ascii="Arial" w:eastAsia="Calibri" w:hAnsi="Arial" w:cs="Arial"/>
          <w:sz w:val="20"/>
          <w:szCs w:val="20"/>
          <w:lang w:val="sr-Cyrl-RS"/>
        </w:rPr>
      </w:pPr>
      <w:r w:rsidRPr="1A8E6423">
        <w:rPr>
          <w:rFonts w:ascii="Arial" w:eastAsia="Calibri" w:hAnsi="Arial" w:cs="Arial"/>
          <w:sz w:val="20"/>
          <w:szCs w:val="20"/>
          <w:lang w:val="sr-Cyrl-RS"/>
        </w:rPr>
        <w:t>Још једна тенденција коју је могуће идентификовати јесте доминација политипског модела локалне самоуправе. У неким системима је политипност експлицитно наведена</w:t>
      </w:r>
      <w:r w:rsidR="001A0825"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тако што су установљене различите групе општина разврстане по неком критеријуму (најчешће број становника или тип насеља </w:t>
      </w:r>
      <w:r w:rsidR="00DF6178"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рурално</w:t>
      </w:r>
      <w:r w:rsidR="00D60DA3" w:rsidRPr="1A8E6423">
        <w:rPr>
          <w:rFonts w:ascii="Arial" w:eastAsia="Calibri" w:hAnsi="Arial" w:cs="Arial"/>
          <w:sz w:val="20"/>
          <w:szCs w:val="20"/>
          <w:lang w:val="sr-Cyrl-RS"/>
        </w:rPr>
        <w:t>/</w:t>
      </w:r>
      <w:r w:rsidRPr="1A8E6423">
        <w:rPr>
          <w:rFonts w:ascii="Arial" w:eastAsia="Calibri" w:hAnsi="Arial" w:cs="Arial"/>
          <w:sz w:val="20"/>
          <w:szCs w:val="20"/>
          <w:lang w:val="sr-Cyrl-RS"/>
        </w:rPr>
        <w:t>урбано). Ово груписање служи најчешће као основ за доделу надлежности</w:t>
      </w:r>
      <w:r w:rsidR="001A0825"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али и за различита решења </w:t>
      </w:r>
      <w:r w:rsidR="000C38D3" w:rsidRPr="1A8E6423">
        <w:rPr>
          <w:rFonts w:ascii="Arial" w:eastAsia="Calibri" w:hAnsi="Arial" w:cs="Arial"/>
          <w:sz w:val="20"/>
          <w:szCs w:val="20"/>
          <w:lang w:val="sr-Cyrl-RS"/>
        </w:rPr>
        <w:t xml:space="preserve">уређења </w:t>
      </w:r>
      <w:r w:rsidRPr="1A8E6423">
        <w:rPr>
          <w:rFonts w:ascii="Arial" w:eastAsia="Calibri" w:hAnsi="Arial" w:cs="Arial"/>
          <w:sz w:val="20"/>
          <w:szCs w:val="20"/>
          <w:lang w:val="sr-Cyrl-RS"/>
        </w:rPr>
        <w:t xml:space="preserve">локалне власти и системе финансирања различитих категорија </w:t>
      </w:r>
      <w:r w:rsidR="000C38D3" w:rsidRPr="1A8E6423">
        <w:rPr>
          <w:rFonts w:ascii="Arial" w:eastAsia="Calibri" w:hAnsi="Arial" w:cs="Arial"/>
          <w:sz w:val="20"/>
          <w:szCs w:val="20"/>
          <w:lang w:val="sr-Cyrl-RS"/>
        </w:rPr>
        <w:t>ЈЛС</w:t>
      </w:r>
      <w:r w:rsidRPr="1A8E6423">
        <w:rPr>
          <w:rFonts w:ascii="Arial" w:eastAsia="Calibri" w:hAnsi="Arial" w:cs="Arial"/>
          <w:sz w:val="20"/>
          <w:szCs w:val="20"/>
          <w:lang w:val="sr-Cyrl-RS"/>
        </w:rPr>
        <w:t xml:space="preserve">. </w:t>
      </w:r>
      <w:r w:rsidR="000C38D3" w:rsidRPr="1A8E6423">
        <w:rPr>
          <w:rFonts w:ascii="Arial" w:eastAsia="Calibri" w:hAnsi="Arial" w:cs="Arial"/>
          <w:sz w:val="20"/>
          <w:szCs w:val="20"/>
          <w:lang w:val="sr-Cyrl-RS"/>
        </w:rPr>
        <w:t>П</w:t>
      </w:r>
      <w:r w:rsidRPr="1A8E6423">
        <w:rPr>
          <w:rFonts w:ascii="Arial" w:eastAsia="Calibri" w:hAnsi="Arial" w:cs="Arial"/>
          <w:sz w:val="20"/>
          <w:szCs w:val="20"/>
          <w:lang w:val="sr-Cyrl-RS"/>
        </w:rPr>
        <w:t>олитипност не мора да буде увек експлицитно изражена на овај начин (формално-</w:t>
      </w:r>
      <w:r w:rsidR="000C38D3" w:rsidRPr="1A8E6423">
        <w:rPr>
          <w:rFonts w:ascii="Arial" w:eastAsia="Calibri" w:hAnsi="Arial" w:cs="Arial"/>
          <w:sz w:val="20"/>
          <w:szCs w:val="20"/>
          <w:lang w:val="sr-Cyrl-RS"/>
        </w:rPr>
        <w:t>правно</w:t>
      </w:r>
      <w:r w:rsidRPr="1A8E6423">
        <w:rPr>
          <w:rFonts w:ascii="Arial" w:eastAsia="Calibri" w:hAnsi="Arial" w:cs="Arial"/>
          <w:sz w:val="20"/>
          <w:szCs w:val="20"/>
          <w:lang w:val="sr-Cyrl-RS"/>
        </w:rPr>
        <w:t xml:space="preserve">), јер има примера да је општинама остављена велика слобода у избору начина на који ће обављати своје послове (и да ли ће их уопште обављати), као и када је реч о </w:t>
      </w:r>
      <w:r w:rsidR="000C38D3" w:rsidRPr="1A8E6423">
        <w:rPr>
          <w:rFonts w:ascii="Arial" w:eastAsia="Calibri" w:hAnsi="Arial" w:cs="Arial"/>
          <w:sz w:val="20"/>
          <w:szCs w:val="20"/>
          <w:lang w:val="sr-Cyrl-RS"/>
        </w:rPr>
        <w:t xml:space="preserve">уређењу </w:t>
      </w:r>
      <w:r w:rsidRPr="1A8E6423">
        <w:rPr>
          <w:rFonts w:ascii="Arial" w:eastAsia="Calibri" w:hAnsi="Arial" w:cs="Arial"/>
          <w:sz w:val="20"/>
          <w:szCs w:val="20"/>
          <w:lang w:val="sr-Cyrl-RS"/>
        </w:rPr>
        <w:t>власти, па различито коришћење ове слободе доводи практично до политипности.</w:t>
      </w:r>
    </w:p>
    <w:p w14:paraId="72783CCA" w14:textId="77777777" w:rsidR="00EA469B" w:rsidRPr="00A021B7" w:rsidRDefault="00EA469B" w:rsidP="003E7BC9">
      <w:pPr>
        <w:jc w:val="both"/>
        <w:rPr>
          <w:rFonts w:ascii="Arial" w:eastAsia="Calibri" w:hAnsi="Arial" w:cs="Arial"/>
          <w:sz w:val="20"/>
          <w:szCs w:val="20"/>
          <w:lang w:val="sr-Cyrl-RS"/>
        </w:rPr>
      </w:pPr>
      <w:r w:rsidRPr="00A021B7">
        <w:rPr>
          <w:rFonts w:ascii="Arial" w:eastAsia="Calibri" w:hAnsi="Arial" w:cs="Arial"/>
          <w:sz w:val="20"/>
          <w:szCs w:val="20"/>
          <w:lang w:val="sr-Cyrl-RS"/>
        </w:rPr>
        <w:tab/>
      </w:r>
    </w:p>
    <w:p w14:paraId="09C10DEB" w14:textId="77777777" w:rsidR="00CE205B" w:rsidRPr="00A021B7" w:rsidRDefault="007546B6" w:rsidP="004935B9">
      <w:pPr>
        <w:pStyle w:val="Heading2"/>
        <w:rPr>
          <w:lang w:val="sr-Cyrl-RS"/>
        </w:rPr>
      </w:pPr>
      <w:bookmarkStart w:id="120" w:name="_Toc52865790"/>
      <w:bookmarkStart w:id="121" w:name="_Toc52866201"/>
      <w:bookmarkStart w:id="122" w:name="_Toc56508450"/>
      <w:bookmarkStart w:id="123" w:name="_Toc60136087"/>
      <w:r w:rsidRPr="00A021B7">
        <w:rPr>
          <w:lang w:val="sr-Cyrl-RS"/>
        </w:rPr>
        <w:t>V.</w:t>
      </w:r>
      <w:r w:rsidR="00E04FBF" w:rsidRPr="00A021B7">
        <w:rPr>
          <w:lang w:val="sr-Cyrl-RS"/>
        </w:rPr>
        <w:t>2</w:t>
      </w:r>
      <w:r w:rsidRPr="00A021B7">
        <w:rPr>
          <w:lang w:val="sr-Cyrl-RS"/>
        </w:rPr>
        <w:t xml:space="preserve">. </w:t>
      </w:r>
      <w:r w:rsidR="00EA469B" w:rsidRPr="00A021B7">
        <w:rPr>
          <w:lang w:val="sr-Cyrl-RS"/>
        </w:rPr>
        <w:t>Структура органа локалне самоуправе</w:t>
      </w:r>
      <w:bookmarkEnd w:id="120"/>
      <w:bookmarkEnd w:id="121"/>
      <w:bookmarkEnd w:id="122"/>
      <w:bookmarkEnd w:id="123"/>
    </w:p>
    <w:p w14:paraId="4E3F9FA6" w14:textId="77777777" w:rsidR="00EA469B" w:rsidRPr="00A021B7" w:rsidRDefault="00EA469B" w:rsidP="003E7BC9">
      <w:pPr>
        <w:jc w:val="both"/>
        <w:rPr>
          <w:rFonts w:ascii="Arial" w:eastAsia="Calibri" w:hAnsi="Arial" w:cs="Arial"/>
          <w:sz w:val="20"/>
          <w:szCs w:val="20"/>
          <w:lang w:val="sr-Cyrl-RS"/>
        </w:rPr>
      </w:pPr>
    </w:p>
    <w:p w14:paraId="79DC94BE" w14:textId="7A528DEF" w:rsidR="00EA469B" w:rsidRPr="00A021B7" w:rsidRDefault="00EA469B" w:rsidP="1A8E6423">
      <w:pPr>
        <w:ind w:firstLine="720"/>
        <w:jc w:val="both"/>
        <w:rPr>
          <w:rFonts w:ascii="Arial" w:eastAsia="Calibri" w:hAnsi="Arial" w:cs="Arial"/>
          <w:sz w:val="20"/>
          <w:szCs w:val="20"/>
          <w:lang w:val="sr-Cyrl-RS"/>
        </w:rPr>
      </w:pPr>
      <w:r w:rsidRPr="1A8E6423">
        <w:rPr>
          <w:rFonts w:ascii="Arial" w:eastAsia="Calibri" w:hAnsi="Arial" w:cs="Arial"/>
          <w:sz w:val="20"/>
          <w:szCs w:val="20"/>
          <w:lang w:val="sr-Cyrl-RS"/>
        </w:rPr>
        <w:t xml:space="preserve">Основну структуру локалне власти чине представничко тело и извршна власт. У свим системима представничко тело се бира на непосредним изборима. Мандат представничког тела (локалне скупштине) у највећем броју случајева је </w:t>
      </w:r>
      <w:r w:rsidR="00503AC2" w:rsidRPr="1A8E6423">
        <w:rPr>
          <w:rFonts w:ascii="Arial" w:eastAsia="Calibri" w:hAnsi="Arial" w:cs="Arial"/>
          <w:sz w:val="20"/>
          <w:szCs w:val="20"/>
          <w:lang w:val="sr-Cyrl-RS"/>
        </w:rPr>
        <w:t xml:space="preserve">четири </w:t>
      </w:r>
      <w:r w:rsidRPr="1A8E6423">
        <w:rPr>
          <w:rFonts w:ascii="Arial" w:eastAsia="Calibri" w:hAnsi="Arial" w:cs="Arial"/>
          <w:sz w:val="20"/>
          <w:szCs w:val="20"/>
          <w:lang w:val="sr-Cyrl-RS"/>
        </w:rPr>
        <w:t>године, мада је у појединим држава</w:t>
      </w:r>
      <w:r w:rsidR="003426BB" w:rsidRPr="1A8E6423">
        <w:rPr>
          <w:rFonts w:ascii="Arial" w:eastAsia="Calibri" w:hAnsi="Arial" w:cs="Arial"/>
          <w:sz w:val="20"/>
          <w:szCs w:val="20"/>
          <w:lang w:val="sr-Cyrl-RS"/>
        </w:rPr>
        <w:t>ма</w:t>
      </w:r>
      <w:r w:rsidRPr="1A8E6423">
        <w:rPr>
          <w:rFonts w:ascii="Arial" w:eastAsia="Calibri" w:hAnsi="Arial" w:cs="Arial"/>
          <w:sz w:val="20"/>
          <w:szCs w:val="20"/>
          <w:lang w:val="sr-Cyrl-RS"/>
        </w:rPr>
        <w:t xml:space="preserve"> </w:t>
      </w:r>
      <w:r w:rsidR="00503AC2" w:rsidRPr="1A8E6423">
        <w:rPr>
          <w:rFonts w:ascii="Arial" w:eastAsia="Calibri" w:hAnsi="Arial" w:cs="Arial"/>
          <w:sz w:val="20"/>
          <w:szCs w:val="20"/>
          <w:lang w:val="sr-Cyrl-RS"/>
        </w:rPr>
        <w:t xml:space="preserve">пет </w:t>
      </w:r>
      <w:r w:rsidRPr="1A8E6423">
        <w:rPr>
          <w:rFonts w:ascii="Arial" w:eastAsia="Calibri" w:hAnsi="Arial" w:cs="Arial"/>
          <w:sz w:val="20"/>
          <w:szCs w:val="20"/>
          <w:lang w:val="sr-Cyrl-RS"/>
        </w:rPr>
        <w:t xml:space="preserve">или чак </w:t>
      </w:r>
      <w:r w:rsidR="00503AC2" w:rsidRPr="1A8E6423">
        <w:rPr>
          <w:rFonts w:ascii="Arial" w:eastAsia="Calibri" w:hAnsi="Arial" w:cs="Arial"/>
          <w:sz w:val="20"/>
          <w:szCs w:val="20"/>
          <w:lang w:val="sr-Cyrl-RS"/>
        </w:rPr>
        <w:t xml:space="preserve">шест </w:t>
      </w:r>
      <w:r w:rsidRPr="1A8E6423">
        <w:rPr>
          <w:rFonts w:ascii="Arial" w:eastAsia="Calibri" w:hAnsi="Arial" w:cs="Arial"/>
          <w:sz w:val="20"/>
          <w:szCs w:val="20"/>
          <w:lang w:val="sr-Cyrl-RS"/>
        </w:rPr>
        <w:t xml:space="preserve">година. </w:t>
      </w:r>
      <w:r w:rsidR="00503AC2" w:rsidRPr="1A8E6423">
        <w:rPr>
          <w:rFonts w:ascii="Arial" w:eastAsia="Calibri" w:hAnsi="Arial" w:cs="Arial"/>
          <w:sz w:val="20"/>
          <w:szCs w:val="20"/>
          <w:lang w:val="sr-Cyrl-RS"/>
        </w:rPr>
        <w:t>У</w:t>
      </w:r>
      <w:r w:rsidRPr="1A8E6423">
        <w:rPr>
          <w:rFonts w:ascii="Arial" w:eastAsia="Calibri" w:hAnsi="Arial" w:cs="Arial"/>
          <w:sz w:val="20"/>
          <w:szCs w:val="20"/>
          <w:lang w:val="sr-Cyrl-RS"/>
        </w:rPr>
        <w:t>обичајено је да се мандат скупштине поклапа са мандатом градоначелника, мада и од овог правила има изузетака (Холандија, Ирска, Исланд).</w:t>
      </w:r>
    </w:p>
    <w:p w14:paraId="1E433D61" w14:textId="77777777" w:rsidR="00884B37" w:rsidRPr="00A021B7" w:rsidRDefault="00884B37" w:rsidP="003E7BC9">
      <w:pPr>
        <w:jc w:val="both"/>
        <w:rPr>
          <w:rFonts w:ascii="Arial" w:eastAsia="Calibri" w:hAnsi="Arial" w:cs="Arial"/>
          <w:sz w:val="20"/>
          <w:szCs w:val="20"/>
          <w:lang w:val="sr-Cyrl-RS"/>
        </w:rPr>
      </w:pPr>
    </w:p>
    <w:p w14:paraId="14966B90" w14:textId="7B7AB6D4" w:rsidR="00EA469B" w:rsidRPr="00A021B7" w:rsidRDefault="005764C9" w:rsidP="1A8E6423">
      <w:pPr>
        <w:rPr>
          <w:rFonts w:ascii="Arial" w:eastAsia="Calibri" w:hAnsi="Arial" w:cs="Arial"/>
          <w:i/>
          <w:iCs/>
          <w:sz w:val="20"/>
          <w:szCs w:val="20"/>
          <w:lang w:val="sr-Cyrl-RS"/>
        </w:rPr>
      </w:pPr>
      <w:r w:rsidRPr="1A8E6423">
        <w:rPr>
          <w:rFonts w:ascii="Arial" w:eastAsia="Calibri" w:hAnsi="Arial" w:cs="Arial"/>
          <w:i/>
          <w:iCs/>
          <w:sz w:val="20"/>
          <w:szCs w:val="20"/>
          <w:lang w:val="sr-Cyrl-RS"/>
        </w:rPr>
        <w:t xml:space="preserve">Табела </w:t>
      </w:r>
      <w:r w:rsidR="002139C8" w:rsidRPr="1A8E6423">
        <w:rPr>
          <w:rFonts w:ascii="Arial" w:eastAsia="Calibri" w:hAnsi="Arial" w:cs="Arial"/>
          <w:i/>
          <w:iCs/>
          <w:sz w:val="20"/>
          <w:szCs w:val="20"/>
          <w:lang w:val="sr-Cyrl-RS"/>
        </w:rPr>
        <w:t>11</w:t>
      </w:r>
      <w:r w:rsidRPr="1A8E6423">
        <w:rPr>
          <w:rFonts w:ascii="Arial" w:eastAsia="Calibri" w:hAnsi="Arial" w:cs="Arial"/>
          <w:i/>
          <w:iCs/>
          <w:sz w:val="20"/>
          <w:szCs w:val="20"/>
          <w:lang w:val="sr-Cyrl-RS"/>
        </w:rPr>
        <w:t xml:space="preserve">: </w:t>
      </w:r>
      <w:r w:rsidR="00EA469B" w:rsidRPr="1A8E6423">
        <w:rPr>
          <w:rFonts w:ascii="Arial" w:eastAsia="Calibri" w:hAnsi="Arial" w:cs="Arial"/>
          <w:i/>
          <w:iCs/>
          <w:sz w:val="20"/>
          <w:szCs w:val="20"/>
          <w:lang w:val="sr-Cyrl-RS"/>
        </w:rPr>
        <w:t>Трајање мандата локалне скупштине</w:t>
      </w:r>
    </w:p>
    <w:p w14:paraId="69A92510" w14:textId="77777777" w:rsidR="007546B6" w:rsidRPr="00A021B7" w:rsidRDefault="007546B6" w:rsidP="003E7BC9">
      <w:pPr>
        <w:ind w:firstLine="720"/>
        <w:jc w:val="center"/>
        <w:rPr>
          <w:rFonts w:ascii="Arial" w:eastAsia="Calibri" w:hAnsi="Arial" w:cs="Arial"/>
          <w:i/>
          <w:sz w:val="20"/>
          <w:szCs w:val="20"/>
          <w:lang w:val="sr-Cyrl-RS"/>
        </w:rPr>
      </w:pPr>
    </w:p>
    <w:tbl>
      <w:tblPr>
        <w:tblStyle w:val="PlainTable1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930"/>
      </w:tblGrid>
      <w:tr w:rsidR="00E04FBF" w:rsidRPr="00A021B7" w14:paraId="07D4E621" w14:textId="77777777" w:rsidTr="1A8E6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8FFC808"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Трајање мандата</w:t>
            </w:r>
          </w:p>
        </w:tc>
        <w:tc>
          <w:tcPr>
            <w:tcW w:w="6930" w:type="dxa"/>
          </w:tcPr>
          <w:p w14:paraId="27A99FFE" w14:textId="77777777" w:rsidR="00EA469B" w:rsidRPr="00A021B7" w:rsidRDefault="00EA469B" w:rsidP="003E7BC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Држава</w:t>
            </w:r>
          </w:p>
          <w:p w14:paraId="316B98E2" w14:textId="77777777" w:rsidR="00EA469B" w:rsidRPr="00A021B7" w:rsidRDefault="00EA469B" w:rsidP="003E7BC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p>
        </w:tc>
      </w:tr>
      <w:tr w:rsidR="007546B6" w:rsidRPr="00A021B7" w14:paraId="386028BF"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D8D332B"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lastRenderedPageBreak/>
              <w:t>4 године</w:t>
            </w:r>
          </w:p>
        </w:tc>
        <w:tc>
          <w:tcPr>
            <w:tcW w:w="6930" w:type="dxa"/>
          </w:tcPr>
          <w:p w14:paraId="7CF0AE6B" w14:textId="77777777" w:rsidR="00EA469B" w:rsidRPr="00A021B7" w:rsidRDefault="00EA469B"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bookmarkStart w:id="124" w:name="OLE_LINK1"/>
            <w:bookmarkStart w:id="125" w:name="OLE_LINK2"/>
            <w:r w:rsidRPr="00A021B7">
              <w:rPr>
                <w:rFonts w:ascii="Arial" w:hAnsi="Arial" w:cs="Arial"/>
                <w:sz w:val="20"/>
                <w:szCs w:val="20"/>
                <w:lang w:val="sr-Cyrl-RS"/>
              </w:rPr>
              <w:t>Албанија, Б</w:t>
            </w:r>
            <w:r w:rsidR="002E4364" w:rsidRPr="00A021B7">
              <w:rPr>
                <w:rFonts w:ascii="Arial" w:hAnsi="Arial" w:cs="Arial"/>
                <w:sz w:val="20"/>
                <w:szCs w:val="20"/>
                <w:lang w:val="sr-Cyrl-RS"/>
              </w:rPr>
              <w:t xml:space="preserve">осна </w:t>
            </w:r>
            <w:r w:rsidRPr="00A021B7">
              <w:rPr>
                <w:rFonts w:ascii="Arial" w:hAnsi="Arial" w:cs="Arial"/>
                <w:sz w:val="20"/>
                <w:szCs w:val="20"/>
                <w:lang w:val="sr-Cyrl-RS"/>
              </w:rPr>
              <w:t>и</w:t>
            </w:r>
            <w:r w:rsidR="002E4364" w:rsidRPr="00A021B7">
              <w:rPr>
                <w:rFonts w:ascii="Arial" w:hAnsi="Arial" w:cs="Arial"/>
                <w:sz w:val="20"/>
                <w:szCs w:val="20"/>
                <w:lang w:val="sr-Cyrl-RS"/>
              </w:rPr>
              <w:t xml:space="preserve"> </w:t>
            </w:r>
            <w:r w:rsidRPr="00A021B7">
              <w:rPr>
                <w:rFonts w:ascii="Arial" w:hAnsi="Arial" w:cs="Arial"/>
                <w:sz w:val="20"/>
                <w:szCs w:val="20"/>
                <w:lang w:val="sr-Cyrl-RS"/>
              </w:rPr>
              <w:t>Х</w:t>
            </w:r>
            <w:r w:rsidR="002E4364" w:rsidRPr="00A021B7">
              <w:rPr>
                <w:rFonts w:ascii="Arial" w:hAnsi="Arial" w:cs="Arial"/>
                <w:sz w:val="20"/>
                <w:szCs w:val="20"/>
                <w:lang w:val="sr-Cyrl-RS"/>
              </w:rPr>
              <w:t>ерцеговина</w:t>
            </w:r>
            <w:r w:rsidRPr="00A021B7">
              <w:rPr>
                <w:rFonts w:ascii="Arial" w:hAnsi="Arial" w:cs="Arial"/>
                <w:sz w:val="20"/>
                <w:szCs w:val="20"/>
                <w:lang w:val="sr-Cyrl-RS"/>
              </w:rPr>
              <w:t xml:space="preserve">, Бугарска, </w:t>
            </w:r>
            <w:r w:rsidR="00FD1C93" w:rsidRPr="00A021B7">
              <w:rPr>
                <w:rFonts w:ascii="Arial" w:hAnsi="Arial" w:cs="Arial"/>
                <w:sz w:val="20"/>
                <w:szCs w:val="20"/>
                <w:lang w:val="sr-Cyrl-RS"/>
              </w:rPr>
              <w:t xml:space="preserve">Велика Британија, Данска, Грчка, </w:t>
            </w:r>
            <w:r w:rsidRPr="00A021B7">
              <w:rPr>
                <w:rFonts w:ascii="Arial" w:hAnsi="Arial" w:cs="Arial"/>
                <w:sz w:val="20"/>
                <w:szCs w:val="20"/>
                <w:lang w:val="sr-Cyrl-RS"/>
              </w:rPr>
              <w:t>Естонија, Мађарска, Исланд, Летонија, Литванија, Норвешка, Пољска, Португал</w:t>
            </w:r>
            <w:r w:rsidR="00DF6178" w:rsidRPr="00A021B7">
              <w:rPr>
                <w:rFonts w:ascii="Arial" w:hAnsi="Arial" w:cs="Arial"/>
                <w:sz w:val="20"/>
                <w:szCs w:val="20"/>
                <w:lang w:val="sr-Cyrl-RS"/>
              </w:rPr>
              <w:t>ија</w:t>
            </w:r>
            <w:r w:rsidRPr="00A021B7">
              <w:rPr>
                <w:rFonts w:ascii="Arial" w:hAnsi="Arial" w:cs="Arial"/>
                <w:sz w:val="20"/>
                <w:szCs w:val="20"/>
                <w:lang w:val="sr-Cyrl-RS"/>
              </w:rPr>
              <w:t xml:space="preserve">, Румунија, </w:t>
            </w:r>
            <w:r w:rsidR="002D02B7" w:rsidRPr="00A021B7">
              <w:rPr>
                <w:rFonts w:ascii="Arial" w:hAnsi="Arial" w:cs="Arial"/>
                <w:sz w:val="20"/>
                <w:szCs w:val="20"/>
                <w:lang w:val="sr-Cyrl-RS"/>
              </w:rPr>
              <w:t xml:space="preserve">Северна Македонија, </w:t>
            </w:r>
            <w:r w:rsidRPr="00A021B7">
              <w:rPr>
                <w:rFonts w:ascii="Arial" w:hAnsi="Arial" w:cs="Arial"/>
                <w:sz w:val="20"/>
                <w:szCs w:val="20"/>
                <w:lang w:val="sr-Cyrl-RS"/>
              </w:rPr>
              <w:t xml:space="preserve">Словачка, Словенија, </w:t>
            </w:r>
            <w:r w:rsidR="00202161" w:rsidRPr="00A021B7">
              <w:rPr>
                <w:rFonts w:ascii="Arial" w:hAnsi="Arial" w:cs="Arial"/>
                <w:sz w:val="20"/>
                <w:szCs w:val="20"/>
                <w:lang w:val="sr-Cyrl-RS"/>
              </w:rPr>
              <w:t xml:space="preserve">Финска, Холандија, </w:t>
            </w:r>
            <w:r w:rsidR="002D02B7" w:rsidRPr="00A021B7">
              <w:rPr>
                <w:rFonts w:ascii="Arial" w:hAnsi="Arial" w:cs="Arial"/>
                <w:sz w:val="20"/>
                <w:szCs w:val="20"/>
                <w:lang w:val="sr-Cyrl-RS"/>
              </w:rPr>
              <w:t xml:space="preserve">Хрватска, </w:t>
            </w:r>
            <w:r w:rsidR="00202161" w:rsidRPr="00A021B7">
              <w:rPr>
                <w:rFonts w:ascii="Arial" w:hAnsi="Arial" w:cs="Arial"/>
                <w:sz w:val="20"/>
                <w:szCs w:val="20"/>
                <w:lang w:val="sr-Cyrl-RS"/>
              </w:rPr>
              <w:t xml:space="preserve">Црна Гора, </w:t>
            </w:r>
            <w:r w:rsidR="002D02B7" w:rsidRPr="00A021B7">
              <w:rPr>
                <w:rFonts w:ascii="Arial" w:hAnsi="Arial" w:cs="Arial"/>
                <w:sz w:val="20"/>
                <w:szCs w:val="20"/>
                <w:lang w:val="sr-Cyrl-RS"/>
              </w:rPr>
              <w:t xml:space="preserve">Чешка, </w:t>
            </w:r>
            <w:r w:rsidRPr="00A021B7">
              <w:rPr>
                <w:rFonts w:ascii="Arial" w:hAnsi="Arial" w:cs="Arial"/>
                <w:sz w:val="20"/>
                <w:szCs w:val="20"/>
                <w:lang w:val="sr-Cyrl-RS"/>
              </w:rPr>
              <w:t>Шпанија, Шведска</w:t>
            </w:r>
            <w:bookmarkEnd w:id="124"/>
            <w:bookmarkEnd w:id="125"/>
          </w:p>
        </w:tc>
      </w:tr>
      <w:tr w:rsidR="00E04FBF" w:rsidRPr="00A021B7" w14:paraId="196F5C71" w14:textId="77777777" w:rsidTr="1A8E6423">
        <w:tc>
          <w:tcPr>
            <w:cnfStyle w:val="001000000000" w:firstRow="0" w:lastRow="0" w:firstColumn="1" w:lastColumn="0" w:oddVBand="0" w:evenVBand="0" w:oddHBand="0" w:evenHBand="0" w:firstRowFirstColumn="0" w:firstRowLastColumn="0" w:lastRowFirstColumn="0" w:lastRowLastColumn="0"/>
            <w:tcW w:w="2065" w:type="dxa"/>
          </w:tcPr>
          <w:p w14:paraId="5C07F430"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5 година</w:t>
            </w:r>
          </w:p>
        </w:tc>
        <w:tc>
          <w:tcPr>
            <w:tcW w:w="6930" w:type="dxa"/>
          </w:tcPr>
          <w:p w14:paraId="382FB63F" w14:textId="77777777" w:rsidR="00EA469B" w:rsidRPr="00A021B7" w:rsidRDefault="00EA469B"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Аустрија (поједини региони), Ирска, Италија</w:t>
            </w:r>
          </w:p>
        </w:tc>
      </w:tr>
      <w:tr w:rsidR="007546B6" w:rsidRPr="00A021B7" w14:paraId="4B9635FB"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03A0E73"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6 година</w:t>
            </w:r>
          </w:p>
        </w:tc>
        <w:tc>
          <w:tcPr>
            <w:tcW w:w="6930" w:type="dxa"/>
          </w:tcPr>
          <w:p w14:paraId="2E4942D8" w14:textId="77777777" w:rsidR="00EA469B" w:rsidRPr="00A021B7" w:rsidRDefault="00EA469B"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 xml:space="preserve">Аустрија (поједини региони), Белгија, </w:t>
            </w:r>
            <w:r w:rsidR="002E4364" w:rsidRPr="00A021B7">
              <w:rPr>
                <w:rFonts w:ascii="Arial" w:hAnsi="Arial" w:cs="Arial"/>
                <w:sz w:val="20"/>
                <w:szCs w:val="20"/>
                <w:lang w:val="sr-Cyrl-RS"/>
              </w:rPr>
              <w:t xml:space="preserve">Луксембург, </w:t>
            </w:r>
            <w:r w:rsidRPr="00A021B7">
              <w:rPr>
                <w:rFonts w:ascii="Arial" w:hAnsi="Arial" w:cs="Arial"/>
                <w:sz w:val="20"/>
                <w:szCs w:val="20"/>
                <w:lang w:val="sr-Cyrl-RS"/>
              </w:rPr>
              <w:t>Француска</w:t>
            </w:r>
          </w:p>
        </w:tc>
      </w:tr>
      <w:tr w:rsidR="00E04FBF" w:rsidRPr="00A021B7" w14:paraId="74224913" w14:textId="77777777" w:rsidTr="1A8E6423">
        <w:tc>
          <w:tcPr>
            <w:cnfStyle w:val="001000000000" w:firstRow="0" w:lastRow="0" w:firstColumn="1" w:lastColumn="0" w:oddVBand="0" w:evenVBand="0" w:oddHBand="0" w:evenHBand="0" w:firstRowFirstColumn="0" w:firstRowLastColumn="0" w:lastRowFirstColumn="0" w:lastRowLastColumn="0"/>
            <w:tcW w:w="2065" w:type="dxa"/>
          </w:tcPr>
          <w:p w14:paraId="5CA1AC08"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специфично</w:t>
            </w:r>
          </w:p>
        </w:tc>
        <w:tc>
          <w:tcPr>
            <w:tcW w:w="6930" w:type="dxa"/>
          </w:tcPr>
          <w:p w14:paraId="4151A48B" w14:textId="71DA4AB1" w:rsidR="00EA469B" w:rsidRPr="00A021B7" w:rsidRDefault="00EA469B"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Немачка</w:t>
            </w:r>
            <w:r w:rsidR="6664547B" w:rsidRPr="1A8E6423">
              <w:rPr>
                <w:rFonts w:ascii="Arial" w:hAnsi="Arial" w:cs="Arial"/>
                <w:sz w:val="20"/>
                <w:szCs w:val="20"/>
                <w:lang w:val="sr-Cyrl-RS"/>
              </w:rPr>
              <w:t>:</w:t>
            </w:r>
            <w:r w:rsidRPr="1A8E6423">
              <w:rPr>
                <w:rFonts w:ascii="Arial" w:hAnsi="Arial" w:cs="Arial"/>
                <w:sz w:val="20"/>
                <w:szCs w:val="20"/>
                <w:lang w:val="sr-Cyrl-RS"/>
              </w:rPr>
              <w:t xml:space="preserve"> 4</w:t>
            </w:r>
            <w:r w:rsidR="003426BB" w:rsidRPr="1A8E6423">
              <w:rPr>
                <w:rFonts w:ascii="Arial" w:hAnsi="Arial" w:cs="Arial"/>
                <w:sz w:val="20"/>
                <w:szCs w:val="20"/>
                <w:lang w:val="sr-Cyrl-RS"/>
              </w:rPr>
              <w:t>–</w:t>
            </w:r>
            <w:r w:rsidRPr="1A8E6423">
              <w:rPr>
                <w:rFonts w:ascii="Arial" w:hAnsi="Arial" w:cs="Arial"/>
                <w:sz w:val="20"/>
                <w:szCs w:val="20"/>
                <w:lang w:val="sr-Cyrl-RS"/>
              </w:rPr>
              <w:t>9 година</w:t>
            </w:r>
          </w:p>
        </w:tc>
      </w:tr>
    </w:tbl>
    <w:p w14:paraId="625A6346" w14:textId="77777777" w:rsidR="00EA469B" w:rsidRPr="00A021B7" w:rsidRDefault="00EA469B" w:rsidP="003E7BC9">
      <w:pPr>
        <w:ind w:firstLine="720"/>
        <w:jc w:val="both"/>
        <w:rPr>
          <w:rFonts w:ascii="Arial" w:eastAsia="Calibri" w:hAnsi="Arial" w:cs="Arial"/>
          <w:sz w:val="20"/>
          <w:szCs w:val="20"/>
          <w:lang w:val="sr-Cyrl-RS"/>
        </w:rPr>
      </w:pPr>
    </w:p>
    <w:p w14:paraId="409F5A8F" w14:textId="4A255BE1" w:rsidR="00EA469B" w:rsidRPr="00A021B7" w:rsidRDefault="00EA469B" w:rsidP="1A8E6423">
      <w:pPr>
        <w:ind w:firstLine="720"/>
        <w:jc w:val="both"/>
        <w:rPr>
          <w:rFonts w:ascii="Arial" w:eastAsia="Calibri" w:hAnsi="Arial" w:cs="Arial"/>
          <w:sz w:val="20"/>
          <w:szCs w:val="20"/>
          <w:lang w:val="sr-Cyrl-RS"/>
        </w:rPr>
      </w:pPr>
      <w:r w:rsidRPr="1A8E6423">
        <w:rPr>
          <w:rFonts w:ascii="Arial" w:eastAsia="Calibri" w:hAnsi="Arial" w:cs="Arial"/>
          <w:sz w:val="20"/>
          <w:szCs w:val="20"/>
          <w:lang w:val="sr-Cyrl-RS"/>
        </w:rPr>
        <w:t>Карактер и модел локалне власти заправо одређује тип извршне власти</w:t>
      </w:r>
      <w:r w:rsidR="000667D4"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а посебно градоначелник. У зависности од снаге градоначелника</w:t>
      </w:r>
      <w:r w:rsidR="000667D4"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идентификују се два основна модела власти</w:t>
      </w:r>
      <w:r w:rsidR="003426BB"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јака скупштина – слаб градоначелник и јак градоначелник </w:t>
      </w:r>
      <w:r w:rsidR="0046630A" w:rsidRPr="1A8E6423">
        <w:rPr>
          <w:rFonts w:ascii="Arial" w:eastAsia="Calibri" w:hAnsi="Arial" w:cs="Arial"/>
          <w:sz w:val="20"/>
          <w:szCs w:val="20"/>
          <w:lang w:val="sr-Cyrl-RS"/>
        </w:rPr>
        <w:t xml:space="preserve">– </w:t>
      </w:r>
      <w:r w:rsidRPr="1A8E6423">
        <w:rPr>
          <w:rFonts w:ascii="Arial" w:eastAsia="Calibri" w:hAnsi="Arial" w:cs="Arial"/>
          <w:sz w:val="20"/>
          <w:szCs w:val="20"/>
          <w:lang w:val="sr-Cyrl-RS"/>
        </w:rPr>
        <w:t>слаба скупштина. Поред ова два модела постоји и менаџер-скупштина</w:t>
      </w:r>
      <w:r w:rsidR="003426BB"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који подразумев слабог градоначелника</w:t>
      </w:r>
      <w:r w:rsidR="0046630A"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али јаку извршну и професионализовану власт. Овај потоњи модел је нарочито карактеристичан за САД, али све више утицаја има и у Европи. Европске државе у којима доминира овај модел су </w:t>
      </w:r>
      <w:r w:rsidR="000053C2" w:rsidRPr="1A8E6423">
        <w:rPr>
          <w:rFonts w:ascii="Arial" w:eastAsia="Calibri" w:hAnsi="Arial" w:cs="Arial"/>
          <w:sz w:val="20"/>
          <w:szCs w:val="20"/>
          <w:lang w:val="sr-Cyrl-RS"/>
        </w:rPr>
        <w:t xml:space="preserve">Велика Британија, </w:t>
      </w:r>
      <w:r w:rsidRPr="1A8E6423">
        <w:rPr>
          <w:rFonts w:ascii="Arial" w:eastAsia="Calibri" w:hAnsi="Arial" w:cs="Arial"/>
          <w:sz w:val="20"/>
          <w:szCs w:val="20"/>
          <w:lang w:val="sr-Cyrl-RS"/>
        </w:rPr>
        <w:t>Ирска</w:t>
      </w:r>
      <w:r w:rsidR="000053C2" w:rsidRPr="1A8E6423">
        <w:rPr>
          <w:rFonts w:ascii="Arial" w:eastAsia="Calibri" w:hAnsi="Arial" w:cs="Arial"/>
          <w:sz w:val="20"/>
          <w:szCs w:val="20"/>
          <w:lang w:val="sr-Cyrl-RS"/>
        </w:rPr>
        <w:t xml:space="preserve"> и</w:t>
      </w:r>
      <w:r w:rsidRPr="1A8E6423">
        <w:rPr>
          <w:rFonts w:ascii="Arial" w:eastAsia="Calibri" w:hAnsi="Arial" w:cs="Arial"/>
          <w:sz w:val="20"/>
          <w:szCs w:val="20"/>
          <w:lang w:val="sr-Cyrl-RS"/>
        </w:rPr>
        <w:t xml:space="preserve"> Исланд</w:t>
      </w:r>
      <w:r w:rsidR="00D86DBC" w:rsidRPr="1A8E6423">
        <w:rPr>
          <w:rFonts w:ascii="Arial" w:eastAsia="Calibri" w:hAnsi="Arial" w:cs="Arial"/>
          <w:sz w:val="20"/>
          <w:szCs w:val="20"/>
          <w:lang w:val="sr-Cyrl-RS"/>
        </w:rPr>
        <w:t xml:space="preserve">, док </w:t>
      </w:r>
      <w:r w:rsidRPr="1A8E6423">
        <w:rPr>
          <w:rFonts w:ascii="Arial" w:eastAsia="Calibri" w:hAnsi="Arial" w:cs="Arial"/>
          <w:sz w:val="20"/>
          <w:szCs w:val="20"/>
          <w:lang w:val="sr-Cyrl-RS"/>
        </w:rPr>
        <w:t>европске континенталне државе више карактериш</w:t>
      </w:r>
      <w:r w:rsidR="003426BB" w:rsidRPr="1A8E6423">
        <w:rPr>
          <w:rFonts w:ascii="Arial" w:eastAsia="Calibri" w:hAnsi="Arial" w:cs="Arial"/>
          <w:sz w:val="20"/>
          <w:szCs w:val="20"/>
          <w:lang w:val="sr-Cyrl-RS"/>
        </w:rPr>
        <w:t>е</w:t>
      </w:r>
      <w:r w:rsidRPr="1A8E6423">
        <w:rPr>
          <w:rFonts w:ascii="Arial" w:eastAsia="Calibri" w:hAnsi="Arial" w:cs="Arial"/>
          <w:sz w:val="20"/>
          <w:szCs w:val="20"/>
          <w:lang w:val="sr-Cyrl-RS"/>
        </w:rPr>
        <w:t xml:space="preserve"> један од прва два наведена модела. Кључни показатељ да ли се ради о слабом или јаком градоначелнику јесте начин његовог избора (посредни или непосредни).</w:t>
      </w:r>
    </w:p>
    <w:p w14:paraId="3C61E988" w14:textId="77777777" w:rsidR="000053C2" w:rsidRPr="00A021B7" w:rsidRDefault="000053C2" w:rsidP="1A8E6423">
      <w:pPr>
        <w:ind w:firstLine="720"/>
        <w:jc w:val="both"/>
        <w:rPr>
          <w:rFonts w:ascii="Arial" w:eastAsia="Calibri" w:hAnsi="Arial" w:cs="Arial"/>
          <w:sz w:val="20"/>
          <w:szCs w:val="20"/>
          <w:lang w:val="sr-Cyrl-RS"/>
        </w:rPr>
      </w:pPr>
    </w:p>
    <w:p w14:paraId="1348C81F" w14:textId="4CBFDBA7"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Поред основних органа</w:t>
      </w:r>
      <w:r w:rsidR="003426BB" w:rsidRPr="1A8E6423">
        <w:rPr>
          <w:rFonts w:ascii="Arial" w:hAnsi="Arial" w:cs="Arial"/>
          <w:sz w:val="20"/>
          <w:szCs w:val="20"/>
          <w:lang w:val="sr-Cyrl-RS"/>
        </w:rPr>
        <w:t>,</w:t>
      </w:r>
      <w:r w:rsidRPr="1A8E6423">
        <w:rPr>
          <w:rFonts w:ascii="Arial" w:hAnsi="Arial" w:cs="Arial"/>
          <w:sz w:val="20"/>
          <w:szCs w:val="20"/>
          <w:lang w:val="sr-Cyrl-RS"/>
        </w:rPr>
        <w:t xml:space="preserve"> постоје и бројни други комитети (или управе) за разне послове и потребе конкретне локалне самоуправе. Приметна је тенденција ка либералнијем и флексибилнијем приступу овој области</w:t>
      </w:r>
      <w:r w:rsidR="003426BB" w:rsidRPr="1A8E6423">
        <w:rPr>
          <w:rFonts w:ascii="Arial" w:hAnsi="Arial" w:cs="Arial"/>
          <w:sz w:val="20"/>
          <w:szCs w:val="20"/>
          <w:lang w:val="sr-Cyrl-RS"/>
        </w:rPr>
        <w:t>,</w:t>
      </w:r>
      <w:r w:rsidRPr="1A8E6423">
        <w:rPr>
          <w:rFonts w:ascii="Arial" w:hAnsi="Arial" w:cs="Arial"/>
          <w:sz w:val="20"/>
          <w:szCs w:val="20"/>
          <w:lang w:val="sr-Cyrl-RS"/>
        </w:rPr>
        <w:t xml:space="preserve"> што подразумева да општина или град може слободно, сходно својим потребама</w:t>
      </w:r>
      <w:r w:rsidR="003426BB" w:rsidRPr="1A8E6423">
        <w:rPr>
          <w:rFonts w:ascii="Arial" w:hAnsi="Arial" w:cs="Arial"/>
          <w:sz w:val="20"/>
          <w:szCs w:val="20"/>
          <w:lang w:val="sr-Cyrl-RS"/>
        </w:rPr>
        <w:t>,</w:t>
      </w:r>
      <w:r w:rsidRPr="1A8E6423">
        <w:rPr>
          <w:rFonts w:ascii="Arial" w:hAnsi="Arial" w:cs="Arial"/>
          <w:sz w:val="20"/>
          <w:szCs w:val="20"/>
          <w:lang w:val="sr-Cyrl-RS"/>
        </w:rPr>
        <w:t xml:space="preserve"> да формира комитете.</w:t>
      </w:r>
    </w:p>
    <w:p w14:paraId="6A320C33" w14:textId="77777777" w:rsidR="00EA469B" w:rsidRPr="00A021B7" w:rsidRDefault="00EA469B" w:rsidP="1A8E6423">
      <w:pPr>
        <w:ind w:firstLine="720"/>
        <w:jc w:val="both"/>
        <w:rPr>
          <w:rFonts w:ascii="Arial" w:hAnsi="Arial" w:cs="Arial"/>
          <w:sz w:val="20"/>
          <w:szCs w:val="20"/>
          <w:lang w:val="sr-Cyrl-RS"/>
        </w:rPr>
      </w:pPr>
    </w:p>
    <w:p w14:paraId="1D0AF08C" w14:textId="77777777" w:rsidR="00CE205B" w:rsidRPr="00A021B7" w:rsidRDefault="00E961A9" w:rsidP="004935B9">
      <w:pPr>
        <w:pStyle w:val="Heading2"/>
        <w:rPr>
          <w:lang w:val="sr-Cyrl-RS"/>
        </w:rPr>
      </w:pPr>
      <w:bookmarkStart w:id="126" w:name="_Toc52865791"/>
      <w:bookmarkStart w:id="127" w:name="_Toc52866202"/>
      <w:bookmarkStart w:id="128" w:name="_Toc56508451"/>
      <w:bookmarkStart w:id="129" w:name="_Toc60136088"/>
      <w:r w:rsidRPr="00A021B7">
        <w:rPr>
          <w:lang w:val="sr-Cyrl-RS"/>
        </w:rPr>
        <w:t>V.</w:t>
      </w:r>
      <w:r w:rsidR="00E04FBF" w:rsidRPr="00A021B7">
        <w:rPr>
          <w:lang w:val="sr-Cyrl-RS"/>
        </w:rPr>
        <w:t>3</w:t>
      </w:r>
      <w:r w:rsidRPr="00A021B7">
        <w:rPr>
          <w:lang w:val="sr-Cyrl-RS"/>
        </w:rPr>
        <w:t xml:space="preserve">. </w:t>
      </w:r>
      <w:r w:rsidR="00EA469B" w:rsidRPr="00A021B7">
        <w:rPr>
          <w:lang w:val="sr-Cyrl-RS"/>
        </w:rPr>
        <w:t>Изборни системи за представничке и извршне органе</w:t>
      </w:r>
      <w:bookmarkEnd w:id="126"/>
      <w:bookmarkEnd w:id="127"/>
      <w:bookmarkEnd w:id="128"/>
      <w:bookmarkEnd w:id="129"/>
    </w:p>
    <w:p w14:paraId="47BAF38A" w14:textId="77777777" w:rsidR="007546B6" w:rsidRPr="00A021B7" w:rsidRDefault="007546B6" w:rsidP="003E7BC9">
      <w:pPr>
        <w:ind w:left="360"/>
        <w:jc w:val="center"/>
        <w:rPr>
          <w:rFonts w:ascii="Arial" w:hAnsi="Arial" w:cs="Arial"/>
          <w:b/>
          <w:bCs/>
          <w:sz w:val="20"/>
          <w:szCs w:val="20"/>
          <w:lang w:val="sr-Cyrl-RS"/>
        </w:rPr>
      </w:pPr>
    </w:p>
    <w:p w14:paraId="6A1DD650" w14:textId="1250A683"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Локални изборни систем </w:t>
      </w:r>
      <w:r w:rsidR="004C6F9C" w:rsidRPr="1A8E6423">
        <w:rPr>
          <w:rFonts w:ascii="Arial" w:hAnsi="Arial" w:cs="Arial"/>
          <w:sz w:val="20"/>
          <w:szCs w:val="20"/>
          <w:lang w:val="sr-Cyrl-RS"/>
        </w:rPr>
        <w:t xml:space="preserve">дефинише </w:t>
      </w:r>
      <w:r w:rsidRPr="1A8E6423">
        <w:rPr>
          <w:rFonts w:ascii="Arial" w:hAnsi="Arial" w:cs="Arial"/>
          <w:sz w:val="20"/>
          <w:szCs w:val="20"/>
          <w:lang w:val="sr-Cyrl-RS"/>
        </w:rPr>
        <w:t>начин избора представничког тела и градоначелника. Као и код избора на националном нивоу, постоји опција између већинског и пропорционалног принципа репрезентације. Оба приступа су честа у европским државама</w:t>
      </w:r>
      <w:r w:rsidR="004C6F9C" w:rsidRPr="1A8E6423">
        <w:rPr>
          <w:rFonts w:ascii="Arial" w:hAnsi="Arial" w:cs="Arial"/>
          <w:sz w:val="20"/>
          <w:szCs w:val="20"/>
          <w:lang w:val="sr-Cyrl-RS"/>
        </w:rPr>
        <w:t>,</w:t>
      </w:r>
      <w:r w:rsidRPr="1A8E6423">
        <w:rPr>
          <w:rFonts w:ascii="Arial" w:hAnsi="Arial" w:cs="Arial"/>
          <w:sz w:val="20"/>
          <w:szCs w:val="20"/>
          <w:lang w:val="sr-Cyrl-RS"/>
        </w:rPr>
        <w:t xml:space="preserve"> с тим што се у мањим општинама знатно чешће иде на већински. Изборни систем заснован на пропорционалном представљању присутан је у општинама и градовима многих држава Европе</w:t>
      </w:r>
      <w:r w:rsidR="003426BB" w:rsidRPr="1A8E6423">
        <w:rPr>
          <w:rFonts w:ascii="Arial" w:hAnsi="Arial" w:cs="Arial"/>
          <w:sz w:val="20"/>
          <w:szCs w:val="20"/>
          <w:lang w:val="sr-Cyrl-RS"/>
        </w:rPr>
        <w:t>, као што су</w:t>
      </w:r>
      <w:r w:rsidRPr="1A8E6423">
        <w:rPr>
          <w:rFonts w:ascii="Arial" w:hAnsi="Arial" w:cs="Arial"/>
          <w:sz w:val="20"/>
          <w:szCs w:val="20"/>
          <w:lang w:val="sr-Cyrl-RS"/>
        </w:rPr>
        <w:t xml:space="preserve"> Аустрија, Белгија, Бугарска, Естонија, Ирска, Норвешка, Румунија, Шпанија, Шведска, док се већински систем среће у деловима Француске, у Словачкој и Великој Британији.</w:t>
      </w:r>
    </w:p>
    <w:p w14:paraId="15B3AB75" w14:textId="77777777" w:rsidR="00E961A9" w:rsidRPr="00A021B7" w:rsidRDefault="00E961A9" w:rsidP="1A8E6423">
      <w:pPr>
        <w:ind w:firstLine="720"/>
        <w:jc w:val="both"/>
        <w:rPr>
          <w:rFonts w:ascii="Arial" w:hAnsi="Arial" w:cs="Arial"/>
          <w:sz w:val="20"/>
          <w:szCs w:val="20"/>
          <w:lang w:val="sr-Cyrl-RS"/>
        </w:rPr>
      </w:pPr>
    </w:p>
    <w:p w14:paraId="28C56CAA" w14:textId="31E718A7"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У пракси су могуће бројне комбинације ова два основна приступа и у многим </w:t>
      </w:r>
      <w:r w:rsidR="000E49B9" w:rsidRPr="1A8E6423">
        <w:rPr>
          <w:rFonts w:ascii="Arial" w:hAnsi="Arial" w:cs="Arial"/>
          <w:sz w:val="20"/>
          <w:szCs w:val="20"/>
          <w:lang w:val="sr-Cyrl-RS"/>
        </w:rPr>
        <w:t xml:space="preserve">ЈЛС </w:t>
      </w:r>
      <w:r w:rsidRPr="1A8E6423">
        <w:rPr>
          <w:rFonts w:ascii="Arial" w:hAnsi="Arial" w:cs="Arial"/>
          <w:sz w:val="20"/>
          <w:szCs w:val="20"/>
          <w:lang w:val="sr-Cyrl-RS"/>
        </w:rPr>
        <w:t>постоје мешовити системи (део представника се бира по већинском</w:t>
      </w:r>
      <w:r w:rsidR="000E49B9" w:rsidRPr="1A8E6423">
        <w:rPr>
          <w:rFonts w:ascii="Arial" w:hAnsi="Arial" w:cs="Arial"/>
          <w:sz w:val="20"/>
          <w:szCs w:val="20"/>
          <w:lang w:val="sr-Cyrl-RS"/>
        </w:rPr>
        <w:t>,</w:t>
      </w:r>
      <w:r w:rsidRPr="1A8E6423">
        <w:rPr>
          <w:rFonts w:ascii="Arial" w:hAnsi="Arial" w:cs="Arial"/>
          <w:sz w:val="20"/>
          <w:szCs w:val="20"/>
          <w:lang w:val="sr-Cyrl-RS"/>
        </w:rPr>
        <w:t xml:space="preserve"> а део по пропорционалном принципу). </w:t>
      </w:r>
      <w:r w:rsidR="000E49B9" w:rsidRPr="1A8E6423">
        <w:rPr>
          <w:rFonts w:ascii="Arial" w:hAnsi="Arial" w:cs="Arial"/>
          <w:sz w:val="20"/>
          <w:szCs w:val="20"/>
          <w:lang w:val="sr-Cyrl-RS"/>
        </w:rPr>
        <w:t>И</w:t>
      </w:r>
      <w:r w:rsidRPr="1A8E6423">
        <w:rPr>
          <w:rFonts w:ascii="Arial" w:hAnsi="Arial" w:cs="Arial"/>
          <w:sz w:val="20"/>
          <w:szCs w:val="20"/>
          <w:lang w:val="sr-Cyrl-RS"/>
        </w:rPr>
        <w:t>ма и доста примера политипности по овом питању, тј. различитих изборних аранжмана за различите општине унутар једне државе. Тако, на пример, у Пољској су у већим општинама</w:t>
      </w:r>
      <w:r w:rsidR="004D5004" w:rsidRPr="1A8E6423">
        <w:rPr>
          <w:rFonts w:ascii="Arial" w:hAnsi="Arial" w:cs="Arial"/>
          <w:sz w:val="20"/>
          <w:szCs w:val="20"/>
          <w:lang w:val="sr-Cyrl-RS"/>
        </w:rPr>
        <w:t xml:space="preserve"> </w:t>
      </w:r>
      <w:r w:rsidRPr="1A8E6423">
        <w:rPr>
          <w:rFonts w:ascii="Arial" w:hAnsi="Arial" w:cs="Arial"/>
          <w:sz w:val="20"/>
          <w:szCs w:val="20"/>
          <w:lang w:val="sr-Cyrl-RS"/>
        </w:rPr>
        <w:t xml:space="preserve">са </w:t>
      </w:r>
      <w:r w:rsidR="00311A2F" w:rsidRPr="1A8E6423">
        <w:rPr>
          <w:rFonts w:ascii="Arial" w:hAnsi="Arial" w:cs="Arial"/>
          <w:sz w:val="20"/>
          <w:szCs w:val="20"/>
          <w:lang w:val="sr-Cyrl-RS"/>
        </w:rPr>
        <w:t xml:space="preserve">више од </w:t>
      </w:r>
      <w:r w:rsidR="000C3682" w:rsidRPr="1A8E6423">
        <w:rPr>
          <w:rFonts w:ascii="Arial" w:hAnsi="Arial" w:cs="Arial"/>
          <w:sz w:val="20"/>
          <w:szCs w:val="20"/>
          <w:lang w:val="sr-Cyrl-RS"/>
        </w:rPr>
        <w:t>20.</w:t>
      </w:r>
      <w:r w:rsidRPr="1A8E6423">
        <w:rPr>
          <w:rFonts w:ascii="Arial" w:hAnsi="Arial" w:cs="Arial"/>
          <w:sz w:val="20"/>
          <w:szCs w:val="20"/>
          <w:lang w:val="sr-Cyrl-RS"/>
        </w:rPr>
        <w:t xml:space="preserve">000 становника избори пропорционални, док су у мањим избори већински (обично се бира један </w:t>
      </w:r>
      <w:r w:rsidR="000C3682" w:rsidRPr="1A8E6423">
        <w:rPr>
          <w:rFonts w:ascii="Arial" w:hAnsi="Arial" w:cs="Arial"/>
          <w:sz w:val="20"/>
          <w:szCs w:val="20"/>
          <w:lang w:val="sr-Cyrl-RS"/>
        </w:rPr>
        <w:t xml:space="preserve">одборник </w:t>
      </w:r>
      <w:r w:rsidRPr="1A8E6423">
        <w:rPr>
          <w:rFonts w:ascii="Arial" w:hAnsi="Arial" w:cs="Arial"/>
          <w:sz w:val="20"/>
          <w:szCs w:val="20"/>
          <w:lang w:val="sr-Cyrl-RS"/>
        </w:rPr>
        <w:t>у кварту</w:t>
      </w:r>
      <w:r w:rsidR="000C3682" w:rsidRPr="1A8E6423">
        <w:rPr>
          <w:rFonts w:ascii="Arial" w:hAnsi="Arial" w:cs="Arial"/>
          <w:sz w:val="20"/>
          <w:szCs w:val="20"/>
          <w:lang w:val="sr-Cyrl-RS"/>
        </w:rPr>
        <w:t xml:space="preserve"> или насељу</w:t>
      </w:r>
      <w:r w:rsidRPr="1A8E6423">
        <w:rPr>
          <w:rFonts w:ascii="Arial" w:hAnsi="Arial" w:cs="Arial"/>
          <w:sz w:val="20"/>
          <w:szCs w:val="20"/>
          <w:lang w:val="sr-Cyrl-RS"/>
        </w:rPr>
        <w:t>).</w:t>
      </w:r>
    </w:p>
    <w:p w14:paraId="38E68256" w14:textId="77777777" w:rsidR="00E961A9" w:rsidRPr="00A021B7" w:rsidRDefault="00E961A9" w:rsidP="1A8E6423">
      <w:pPr>
        <w:ind w:firstLine="720"/>
        <w:jc w:val="both"/>
        <w:rPr>
          <w:rFonts w:ascii="Arial" w:hAnsi="Arial" w:cs="Arial"/>
          <w:sz w:val="20"/>
          <w:szCs w:val="20"/>
          <w:lang w:val="sr-Cyrl-RS"/>
        </w:rPr>
      </w:pPr>
    </w:p>
    <w:p w14:paraId="7E22E924" w14:textId="3D0CB072"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Изборне листе су у највећем броју случајева затворене, али поларизованост постоји око тога да ли су и блокиране</w:t>
      </w:r>
      <w:r w:rsidR="004F40CF" w:rsidRPr="1A8E6423">
        <w:rPr>
          <w:rFonts w:ascii="Arial" w:hAnsi="Arial" w:cs="Arial"/>
          <w:sz w:val="20"/>
          <w:szCs w:val="20"/>
          <w:lang w:val="sr-Cyrl-RS"/>
        </w:rPr>
        <w:t xml:space="preserve"> или не,</w:t>
      </w:r>
      <w:r w:rsidRPr="1A8E6423">
        <w:rPr>
          <w:rFonts w:ascii="Arial" w:hAnsi="Arial" w:cs="Arial"/>
          <w:sz w:val="20"/>
          <w:szCs w:val="20"/>
          <w:lang w:val="sr-Cyrl-RS"/>
        </w:rPr>
        <w:t xml:space="preserve"> </w:t>
      </w:r>
      <w:r w:rsidR="004F40CF" w:rsidRPr="1A8E6423">
        <w:rPr>
          <w:rFonts w:ascii="Arial" w:hAnsi="Arial" w:cs="Arial"/>
          <w:sz w:val="20"/>
          <w:szCs w:val="20"/>
          <w:lang w:val="sr-Cyrl-RS"/>
        </w:rPr>
        <w:t xml:space="preserve">односно </w:t>
      </w:r>
      <w:r w:rsidRPr="1A8E6423">
        <w:rPr>
          <w:rFonts w:ascii="Arial" w:hAnsi="Arial" w:cs="Arial"/>
          <w:sz w:val="20"/>
          <w:szCs w:val="20"/>
          <w:lang w:val="sr-Cyrl-RS"/>
        </w:rPr>
        <w:t>да ли се гласа само за листу или за конкретне кандидате (персонализовано гласање) или је реч о комбинацији ова два приступа. У случају затворене и блокиране листе, бирач има могућност да гласа за само листу</w:t>
      </w:r>
      <w:r w:rsidR="004F40CF" w:rsidRPr="1A8E6423">
        <w:rPr>
          <w:rFonts w:ascii="Arial" w:hAnsi="Arial" w:cs="Arial"/>
          <w:sz w:val="20"/>
          <w:szCs w:val="20"/>
          <w:lang w:val="sr-Cyrl-RS"/>
        </w:rPr>
        <w:t>,</w:t>
      </w:r>
      <w:r w:rsidRPr="1A8E6423">
        <w:rPr>
          <w:rFonts w:ascii="Arial" w:hAnsi="Arial" w:cs="Arial"/>
          <w:sz w:val="20"/>
          <w:szCs w:val="20"/>
          <w:lang w:val="sr-Cyrl-RS"/>
        </w:rPr>
        <w:t xml:space="preserve"> али не и за индивидуалне кандидате. Овај случај се често среће, на пример у Бугарској, Румунији, Словачкој </w:t>
      </w:r>
      <w:r w:rsidR="004F40CF" w:rsidRPr="1A8E6423">
        <w:rPr>
          <w:rFonts w:ascii="Arial" w:hAnsi="Arial" w:cs="Arial"/>
          <w:sz w:val="20"/>
          <w:szCs w:val="20"/>
          <w:lang w:val="sr-Cyrl-RS"/>
        </w:rPr>
        <w:t xml:space="preserve">или </w:t>
      </w:r>
      <w:r w:rsidRPr="1A8E6423">
        <w:rPr>
          <w:rFonts w:ascii="Arial" w:hAnsi="Arial" w:cs="Arial"/>
          <w:sz w:val="20"/>
          <w:szCs w:val="20"/>
          <w:lang w:val="sr-Cyrl-RS"/>
        </w:rPr>
        <w:t xml:space="preserve">Шпанији. Са друге стране, у Аустрији, Белгији, Италији, Шведској </w:t>
      </w:r>
      <w:r w:rsidR="00F37883" w:rsidRPr="1A8E6423">
        <w:rPr>
          <w:rFonts w:ascii="Arial" w:hAnsi="Arial" w:cs="Arial"/>
          <w:sz w:val="20"/>
          <w:szCs w:val="20"/>
          <w:lang w:val="sr-Cyrl-RS"/>
        </w:rPr>
        <w:t xml:space="preserve">или </w:t>
      </w:r>
      <w:r w:rsidRPr="1A8E6423">
        <w:rPr>
          <w:rFonts w:ascii="Arial" w:hAnsi="Arial" w:cs="Arial"/>
          <w:sz w:val="20"/>
          <w:szCs w:val="20"/>
          <w:lang w:val="sr-Cyrl-RS"/>
        </w:rPr>
        <w:t>Естонији листе су затворене</w:t>
      </w:r>
      <w:r w:rsidR="000053C2" w:rsidRPr="1A8E6423">
        <w:rPr>
          <w:rFonts w:ascii="Arial" w:hAnsi="Arial" w:cs="Arial"/>
          <w:sz w:val="20"/>
          <w:szCs w:val="20"/>
          <w:lang w:val="sr-Cyrl-RS"/>
        </w:rPr>
        <w:t>,</w:t>
      </w:r>
      <w:r w:rsidRPr="1A8E6423">
        <w:rPr>
          <w:rFonts w:ascii="Arial" w:hAnsi="Arial" w:cs="Arial"/>
          <w:sz w:val="20"/>
          <w:szCs w:val="20"/>
          <w:lang w:val="sr-Cyrl-RS"/>
        </w:rPr>
        <w:t xml:space="preserve"> али нису и блокиране. То подразумева да бирач гласајући за једну листу има могућност и да гласа за конкретног </w:t>
      </w:r>
      <w:r w:rsidR="00F37883" w:rsidRPr="1A8E6423">
        <w:rPr>
          <w:rFonts w:ascii="Arial" w:hAnsi="Arial" w:cs="Arial"/>
          <w:sz w:val="20"/>
          <w:szCs w:val="20"/>
          <w:lang w:val="sr-Cyrl-RS"/>
        </w:rPr>
        <w:t>кандидата,</w:t>
      </w:r>
      <w:r w:rsidRPr="1A8E6423">
        <w:rPr>
          <w:rFonts w:ascii="Arial" w:hAnsi="Arial" w:cs="Arial"/>
          <w:sz w:val="20"/>
          <w:szCs w:val="20"/>
          <w:lang w:val="sr-Cyrl-RS"/>
        </w:rPr>
        <w:t xml:space="preserve"> тј. може да </w:t>
      </w:r>
      <w:r w:rsidR="00F37883" w:rsidRPr="1A8E6423">
        <w:rPr>
          <w:rFonts w:ascii="Arial" w:hAnsi="Arial" w:cs="Arial"/>
          <w:sz w:val="20"/>
          <w:szCs w:val="20"/>
          <w:lang w:val="sr-Cyrl-RS"/>
        </w:rPr>
        <w:t xml:space="preserve">утиче </w:t>
      </w:r>
      <w:r w:rsidRPr="1A8E6423">
        <w:rPr>
          <w:rFonts w:ascii="Arial" w:hAnsi="Arial" w:cs="Arial"/>
          <w:sz w:val="20"/>
          <w:szCs w:val="20"/>
          <w:lang w:val="sr-Cyrl-RS"/>
        </w:rPr>
        <w:t xml:space="preserve">на </w:t>
      </w:r>
      <w:r w:rsidR="00F37883" w:rsidRPr="1A8E6423">
        <w:rPr>
          <w:rFonts w:ascii="Arial" w:hAnsi="Arial" w:cs="Arial"/>
          <w:sz w:val="20"/>
          <w:szCs w:val="20"/>
          <w:lang w:val="sr-Cyrl-RS"/>
        </w:rPr>
        <w:t xml:space="preserve">њихов </w:t>
      </w:r>
      <w:r w:rsidRPr="1A8E6423">
        <w:rPr>
          <w:rFonts w:ascii="Arial" w:hAnsi="Arial" w:cs="Arial"/>
          <w:sz w:val="20"/>
          <w:szCs w:val="20"/>
          <w:lang w:val="sr-Cyrl-RS"/>
        </w:rPr>
        <w:t>распоред.</w:t>
      </w:r>
    </w:p>
    <w:p w14:paraId="1C570A5C" w14:textId="77777777" w:rsidR="00E961A9" w:rsidRPr="00A021B7" w:rsidRDefault="00E961A9" w:rsidP="1A8E6423">
      <w:pPr>
        <w:ind w:firstLine="720"/>
        <w:jc w:val="both"/>
        <w:rPr>
          <w:rFonts w:ascii="Arial" w:hAnsi="Arial" w:cs="Arial"/>
          <w:sz w:val="20"/>
          <w:szCs w:val="20"/>
          <w:lang w:val="sr-Cyrl-RS"/>
        </w:rPr>
      </w:pPr>
    </w:p>
    <w:p w14:paraId="52351DB3" w14:textId="5B8D23BA"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Основна дилема код избора градоначелника своди се на посредан (у скупштини) или непосредан избор (од стране грађана). Предност непосредно бираног градоначелника јесте његов легитимитет и већа везаност за грађане (демократичност). Недостатак је то што већина у локалној скупштини може бити опозициона</w:t>
      </w:r>
      <w:r w:rsidR="00626473" w:rsidRPr="1A8E6423">
        <w:rPr>
          <w:rFonts w:ascii="Arial" w:hAnsi="Arial" w:cs="Arial"/>
          <w:sz w:val="20"/>
          <w:szCs w:val="20"/>
          <w:lang w:val="sr-Cyrl-RS"/>
        </w:rPr>
        <w:t>,</w:t>
      </w:r>
      <w:r w:rsidRPr="1A8E6423">
        <w:rPr>
          <w:rFonts w:ascii="Arial" w:hAnsi="Arial" w:cs="Arial"/>
          <w:sz w:val="20"/>
          <w:szCs w:val="20"/>
          <w:lang w:val="sr-Cyrl-RS"/>
        </w:rPr>
        <w:t xml:space="preserve"> што </w:t>
      </w:r>
      <w:r w:rsidR="005262A8" w:rsidRPr="1A8E6423">
        <w:rPr>
          <w:rFonts w:ascii="Arial" w:hAnsi="Arial" w:cs="Arial"/>
          <w:sz w:val="20"/>
          <w:szCs w:val="20"/>
          <w:lang w:val="sr-Cyrl-RS"/>
        </w:rPr>
        <w:t xml:space="preserve">може да </w:t>
      </w:r>
      <w:r w:rsidRPr="1A8E6423">
        <w:rPr>
          <w:rFonts w:ascii="Arial" w:hAnsi="Arial" w:cs="Arial"/>
          <w:sz w:val="20"/>
          <w:szCs w:val="20"/>
          <w:lang w:val="sr-Cyrl-RS"/>
        </w:rPr>
        <w:t>ствара сметње</w:t>
      </w:r>
      <w:r w:rsidR="00311A2F" w:rsidRPr="1A8E6423">
        <w:rPr>
          <w:rFonts w:ascii="Arial" w:hAnsi="Arial" w:cs="Arial"/>
          <w:sz w:val="20"/>
          <w:szCs w:val="20"/>
          <w:lang w:val="sr-Cyrl-RS"/>
        </w:rPr>
        <w:t xml:space="preserve"> у</w:t>
      </w:r>
      <w:r w:rsidRPr="1A8E6423">
        <w:rPr>
          <w:rFonts w:ascii="Arial" w:hAnsi="Arial" w:cs="Arial"/>
          <w:sz w:val="20"/>
          <w:szCs w:val="20"/>
          <w:lang w:val="sr-Cyrl-RS"/>
        </w:rPr>
        <w:t xml:space="preserve"> функционисању локалне власти. Грубо говорећи</w:t>
      </w:r>
      <w:r w:rsidR="00626473" w:rsidRPr="1A8E6423">
        <w:rPr>
          <w:rFonts w:ascii="Arial" w:hAnsi="Arial" w:cs="Arial"/>
          <w:sz w:val="20"/>
          <w:szCs w:val="20"/>
          <w:lang w:val="sr-Cyrl-RS"/>
        </w:rPr>
        <w:t>,</w:t>
      </w:r>
      <w:r w:rsidRPr="1A8E6423">
        <w:rPr>
          <w:rFonts w:ascii="Arial" w:hAnsi="Arial" w:cs="Arial"/>
          <w:sz w:val="20"/>
          <w:szCs w:val="20"/>
          <w:lang w:val="sr-Cyrl-RS"/>
        </w:rPr>
        <w:t xml:space="preserve"> међу европским државама оба приступа су подједнако присутна.</w:t>
      </w:r>
    </w:p>
    <w:p w14:paraId="5AC1314B" w14:textId="77777777" w:rsidR="007546B6" w:rsidRPr="00A021B7" w:rsidRDefault="007546B6" w:rsidP="003E7BC9">
      <w:pPr>
        <w:jc w:val="both"/>
        <w:rPr>
          <w:rFonts w:ascii="Arial" w:hAnsi="Arial" w:cs="Arial"/>
          <w:sz w:val="20"/>
          <w:szCs w:val="20"/>
          <w:lang w:val="sr-Cyrl-RS"/>
        </w:rPr>
      </w:pPr>
    </w:p>
    <w:p w14:paraId="408CFF36" w14:textId="231AD525" w:rsidR="00EA469B" w:rsidRPr="00A021B7" w:rsidRDefault="005764C9" w:rsidP="1A8E6423">
      <w:pPr>
        <w:rPr>
          <w:rFonts w:ascii="Arial" w:hAnsi="Arial" w:cs="Arial"/>
          <w:i/>
          <w:iCs/>
          <w:sz w:val="20"/>
          <w:szCs w:val="20"/>
          <w:lang w:val="sr-Cyrl-RS"/>
        </w:rPr>
      </w:pPr>
      <w:r w:rsidRPr="1A8E6423">
        <w:rPr>
          <w:rFonts w:ascii="Arial" w:hAnsi="Arial" w:cs="Arial"/>
          <w:i/>
          <w:iCs/>
          <w:sz w:val="20"/>
          <w:szCs w:val="20"/>
          <w:lang w:val="sr-Cyrl-RS"/>
        </w:rPr>
        <w:t xml:space="preserve">Табела </w:t>
      </w:r>
      <w:r w:rsidR="002139C8" w:rsidRPr="1A8E6423">
        <w:rPr>
          <w:rFonts w:ascii="Arial" w:hAnsi="Arial" w:cs="Arial"/>
          <w:i/>
          <w:iCs/>
          <w:sz w:val="20"/>
          <w:szCs w:val="20"/>
          <w:lang w:val="sr-Cyrl-RS"/>
        </w:rPr>
        <w:t>12</w:t>
      </w:r>
      <w:r w:rsidRPr="1A8E6423">
        <w:rPr>
          <w:rFonts w:ascii="Arial" w:hAnsi="Arial" w:cs="Arial"/>
          <w:i/>
          <w:iCs/>
          <w:sz w:val="20"/>
          <w:szCs w:val="20"/>
          <w:lang w:val="sr-Cyrl-RS"/>
        </w:rPr>
        <w:t xml:space="preserve">: </w:t>
      </w:r>
      <w:r w:rsidR="00EA469B" w:rsidRPr="1A8E6423">
        <w:rPr>
          <w:rFonts w:ascii="Arial" w:hAnsi="Arial" w:cs="Arial"/>
          <w:i/>
          <w:iCs/>
          <w:sz w:val="20"/>
          <w:szCs w:val="20"/>
          <w:lang w:val="sr-Cyrl-RS"/>
        </w:rPr>
        <w:t>Избор градоначелника у европским државама</w:t>
      </w:r>
    </w:p>
    <w:p w14:paraId="7C2782D8" w14:textId="77777777" w:rsidR="007546B6" w:rsidRPr="00A021B7" w:rsidRDefault="007546B6" w:rsidP="003E7BC9">
      <w:pPr>
        <w:jc w:val="center"/>
        <w:rPr>
          <w:rFonts w:ascii="Arial" w:hAnsi="Arial" w:cs="Arial"/>
          <w:i/>
          <w:sz w:val="20"/>
          <w:szCs w:val="20"/>
          <w:lang w:val="sr-Cyrl-RS"/>
        </w:rPr>
      </w:pP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467"/>
      </w:tblGrid>
      <w:tr w:rsidR="00E961A9" w:rsidRPr="00A021B7" w14:paraId="0052CA1C" w14:textId="77777777" w:rsidTr="00854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12D39C92" w14:textId="77777777" w:rsidR="00EA469B" w:rsidRPr="00A021B7" w:rsidRDefault="00EA469B" w:rsidP="003E7BC9">
            <w:pPr>
              <w:rPr>
                <w:rFonts w:ascii="Arial" w:hAnsi="Arial" w:cs="Arial"/>
                <w:sz w:val="20"/>
                <w:szCs w:val="20"/>
                <w:lang w:val="sr-Cyrl-RS"/>
              </w:rPr>
            </w:pPr>
            <w:r w:rsidRPr="00A021B7">
              <w:rPr>
                <w:rFonts w:ascii="Arial" w:hAnsi="Arial" w:cs="Arial"/>
                <w:sz w:val="20"/>
                <w:szCs w:val="20"/>
                <w:lang w:val="sr-Cyrl-RS"/>
              </w:rPr>
              <w:t>Начин избора</w:t>
            </w:r>
          </w:p>
        </w:tc>
        <w:tc>
          <w:tcPr>
            <w:tcW w:w="0" w:type="dxa"/>
            <w:vAlign w:val="center"/>
          </w:tcPr>
          <w:p w14:paraId="5B2A4981" w14:textId="77777777" w:rsidR="00662B18" w:rsidRPr="00A021B7" w:rsidRDefault="00662B18" w:rsidP="003E7BC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RS"/>
              </w:rPr>
            </w:pPr>
            <w:r w:rsidRPr="00A021B7">
              <w:rPr>
                <w:rFonts w:ascii="Arial" w:hAnsi="Arial" w:cs="Arial"/>
                <w:sz w:val="20"/>
                <w:szCs w:val="20"/>
                <w:lang w:val="sr-Cyrl-RS"/>
              </w:rPr>
              <w:t>Д</w:t>
            </w:r>
            <w:r w:rsidR="00EA469B" w:rsidRPr="00A021B7">
              <w:rPr>
                <w:rFonts w:ascii="Arial" w:hAnsi="Arial" w:cs="Arial"/>
                <w:sz w:val="20"/>
                <w:szCs w:val="20"/>
                <w:lang w:val="sr-Cyrl-RS"/>
              </w:rPr>
              <w:t>ржаве</w:t>
            </w:r>
          </w:p>
        </w:tc>
      </w:tr>
      <w:tr w:rsidR="00E961A9" w:rsidRPr="00A021B7" w14:paraId="5BAD191E" w14:textId="77777777" w:rsidTr="00854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3204B66" w14:textId="77777777" w:rsidR="00EA469B" w:rsidRPr="00A021B7" w:rsidRDefault="00EA469B" w:rsidP="003E7BC9">
            <w:pPr>
              <w:rPr>
                <w:rFonts w:ascii="Arial" w:hAnsi="Arial" w:cs="Arial"/>
                <w:sz w:val="20"/>
                <w:szCs w:val="20"/>
                <w:lang w:val="sr-Cyrl-RS"/>
              </w:rPr>
            </w:pPr>
            <w:r w:rsidRPr="00A021B7">
              <w:rPr>
                <w:rFonts w:ascii="Arial" w:hAnsi="Arial" w:cs="Arial"/>
                <w:sz w:val="20"/>
                <w:szCs w:val="20"/>
                <w:lang w:val="sr-Cyrl-RS"/>
              </w:rPr>
              <w:lastRenderedPageBreak/>
              <w:t>Непосредно</w:t>
            </w:r>
          </w:p>
        </w:tc>
        <w:tc>
          <w:tcPr>
            <w:tcW w:w="0" w:type="dxa"/>
            <w:vAlign w:val="center"/>
          </w:tcPr>
          <w:p w14:paraId="08F93684"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Албанија, Аустрија, Белгија (фламански регион), Б</w:t>
            </w:r>
            <w:r w:rsidR="00F91F47" w:rsidRPr="00A021B7">
              <w:rPr>
                <w:rFonts w:ascii="Arial" w:hAnsi="Arial" w:cs="Arial"/>
                <w:sz w:val="20"/>
                <w:szCs w:val="20"/>
                <w:lang w:val="sr-Cyrl-RS"/>
              </w:rPr>
              <w:t xml:space="preserve">осна </w:t>
            </w:r>
            <w:r w:rsidRPr="00A021B7">
              <w:rPr>
                <w:rFonts w:ascii="Arial" w:hAnsi="Arial" w:cs="Arial"/>
                <w:sz w:val="20"/>
                <w:szCs w:val="20"/>
                <w:lang w:val="sr-Cyrl-RS"/>
              </w:rPr>
              <w:t>и</w:t>
            </w:r>
            <w:r w:rsidR="00F91F47" w:rsidRPr="00A021B7">
              <w:rPr>
                <w:rFonts w:ascii="Arial" w:hAnsi="Arial" w:cs="Arial"/>
                <w:sz w:val="20"/>
                <w:szCs w:val="20"/>
                <w:lang w:val="sr-Cyrl-RS"/>
              </w:rPr>
              <w:t xml:space="preserve"> </w:t>
            </w:r>
            <w:r w:rsidRPr="00A021B7">
              <w:rPr>
                <w:rFonts w:ascii="Arial" w:hAnsi="Arial" w:cs="Arial"/>
                <w:sz w:val="20"/>
                <w:szCs w:val="20"/>
                <w:lang w:val="sr-Cyrl-RS"/>
              </w:rPr>
              <w:t>Х</w:t>
            </w:r>
            <w:r w:rsidR="00F91F47" w:rsidRPr="00A021B7">
              <w:rPr>
                <w:rFonts w:ascii="Arial" w:hAnsi="Arial" w:cs="Arial"/>
                <w:sz w:val="20"/>
                <w:szCs w:val="20"/>
                <w:lang w:val="sr-Cyrl-RS"/>
              </w:rPr>
              <w:t>ерцеговина</w:t>
            </w:r>
            <w:r w:rsidRPr="00A021B7">
              <w:rPr>
                <w:rFonts w:ascii="Arial" w:hAnsi="Arial" w:cs="Arial"/>
                <w:sz w:val="20"/>
                <w:szCs w:val="20"/>
                <w:lang w:val="sr-Cyrl-RS"/>
              </w:rPr>
              <w:t xml:space="preserve">, Бугарска, </w:t>
            </w:r>
            <w:r w:rsidR="007C5E02" w:rsidRPr="00A021B7">
              <w:rPr>
                <w:rFonts w:ascii="Arial" w:hAnsi="Arial" w:cs="Arial"/>
                <w:sz w:val="20"/>
                <w:szCs w:val="20"/>
                <w:lang w:val="sr-Cyrl-RS"/>
              </w:rPr>
              <w:t xml:space="preserve">Грчка, Италија, </w:t>
            </w:r>
            <w:r w:rsidRPr="00A021B7">
              <w:rPr>
                <w:rFonts w:ascii="Arial" w:hAnsi="Arial" w:cs="Arial"/>
                <w:sz w:val="20"/>
                <w:szCs w:val="20"/>
                <w:lang w:val="sr-Cyrl-RS"/>
              </w:rPr>
              <w:t xml:space="preserve">Мађарска, </w:t>
            </w:r>
            <w:r w:rsidR="007C5E02" w:rsidRPr="00A021B7">
              <w:rPr>
                <w:rFonts w:ascii="Arial" w:hAnsi="Arial" w:cs="Arial"/>
                <w:sz w:val="20"/>
                <w:szCs w:val="20"/>
                <w:lang w:val="sr-Cyrl-RS"/>
              </w:rPr>
              <w:t xml:space="preserve">Немачка, </w:t>
            </w:r>
            <w:r w:rsidRPr="00A021B7">
              <w:rPr>
                <w:rFonts w:ascii="Arial" w:hAnsi="Arial" w:cs="Arial"/>
                <w:sz w:val="20"/>
                <w:szCs w:val="20"/>
                <w:lang w:val="sr-Cyrl-RS"/>
              </w:rPr>
              <w:t>Пољска, Португал</w:t>
            </w:r>
            <w:r w:rsidR="00F91F47" w:rsidRPr="00A021B7">
              <w:rPr>
                <w:rFonts w:ascii="Arial" w:hAnsi="Arial" w:cs="Arial"/>
                <w:sz w:val="20"/>
                <w:szCs w:val="20"/>
                <w:lang w:val="sr-Cyrl-RS"/>
              </w:rPr>
              <w:t>ија</w:t>
            </w:r>
            <w:r w:rsidRPr="00A021B7">
              <w:rPr>
                <w:rFonts w:ascii="Arial" w:hAnsi="Arial" w:cs="Arial"/>
                <w:sz w:val="20"/>
                <w:szCs w:val="20"/>
                <w:lang w:val="sr-Cyrl-RS"/>
              </w:rPr>
              <w:t xml:space="preserve">, Румунија, </w:t>
            </w:r>
            <w:r w:rsidR="00B21E13" w:rsidRPr="00A021B7">
              <w:rPr>
                <w:rFonts w:ascii="Arial" w:hAnsi="Arial" w:cs="Arial"/>
                <w:sz w:val="20"/>
                <w:szCs w:val="20"/>
                <w:lang w:val="sr-Cyrl-RS"/>
              </w:rPr>
              <w:t xml:space="preserve">Северна Македонија, </w:t>
            </w:r>
            <w:r w:rsidRPr="00A021B7">
              <w:rPr>
                <w:rFonts w:ascii="Arial" w:hAnsi="Arial" w:cs="Arial"/>
                <w:sz w:val="20"/>
                <w:szCs w:val="20"/>
                <w:lang w:val="sr-Cyrl-RS"/>
              </w:rPr>
              <w:t>Словачка, Словенија</w:t>
            </w:r>
          </w:p>
        </w:tc>
      </w:tr>
      <w:tr w:rsidR="00E04FBF" w:rsidRPr="00A021B7" w14:paraId="6BD240C7" w14:textId="77777777" w:rsidTr="00854DF4">
        <w:tc>
          <w:tcPr>
            <w:cnfStyle w:val="001000000000" w:firstRow="0" w:lastRow="0" w:firstColumn="1" w:lastColumn="0" w:oddVBand="0" w:evenVBand="0" w:oddHBand="0" w:evenHBand="0" w:firstRowFirstColumn="0" w:firstRowLastColumn="0" w:lastRowFirstColumn="0" w:lastRowLastColumn="0"/>
            <w:tcW w:w="2605" w:type="dxa"/>
            <w:vAlign w:val="center"/>
          </w:tcPr>
          <w:p w14:paraId="1AA9702D" w14:textId="77777777" w:rsidR="00EA469B" w:rsidRPr="00A021B7" w:rsidRDefault="00EA469B" w:rsidP="003E7BC9">
            <w:pPr>
              <w:rPr>
                <w:rFonts w:ascii="Arial" w:hAnsi="Arial" w:cs="Arial"/>
                <w:sz w:val="20"/>
                <w:szCs w:val="20"/>
                <w:lang w:val="sr-Cyrl-RS"/>
              </w:rPr>
            </w:pPr>
            <w:r w:rsidRPr="00A021B7">
              <w:rPr>
                <w:rFonts w:ascii="Arial" w:hAnsi="Arial" w:cs="Arial"/>
                <w:sz w:val="20"/>
                <w:szCs w:val="20"/>
                <w:lang w:val="sr-Cyrl-RS"/>
              </w:rPr>
              <w:t>Посредно – поставља га скупштина</w:t>
            </w:r>
          </w:p>
        </w:tc>
        <w:tc>
          <w:tcPr>
            <w:tcW w:w="6745" w:type="dxa"/>
            <w:vAlign w:val="center"/>
          </w:tcPr>
          <w:p w14:paraId="71412917" w14:textId="77777777"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 xml:space="preserve">Аустрија (неки региони), Данска, Естонија, Ирска, Летонија, Литванија, Норвешка, </w:t>
            </w:r>
            <w:r w:rsidR="00BD0B2D" w:rsidRPr="00A021B7">
              <w:rPr>
                <w:rFonts w:ascii="Arial" w:hAnsi="Arial" w:cs="Arial"/>
                <w:sz w:val="20"/>
                <w:szCs w:val="20"/>
                <w:lang w:val="sr-Cyrl-RS"/>
              </w:rPr>
              <w:t xml:space="preserve">Финска, Француска, Хрватска, Црна Гора, </w:t>
            </w:r>
            <w:r w:rsidR="007C5E02" w:rsidRPr="00A021B7">
              <w:rPr>
                <w:rFonts w:ascii="Arial" w:hAnsi="Arial" w:cs="Arial"/>
                <w:sz w:val="20"/>
                <w:szCs w:val="20"/>
                <w:lang w:val="sr-Cyrl-RS"/>
              </w:rPr>
              <w:t xml:space="preserve">Чешка, </w:t>
            </w:r>
            <w:r w:rsidRPr="00A021B7">
              <w:rPr>
                <w:rFonts w:ascii="Arial" w:hAnsi="Arial" w:cs="Arial"/>
                <w:sz w:val="20"/>
                <w:szCs w:val="20"/>
                <w:lang w:val="sr-Cyrl-RS"/>
              </w:rPr>
              <w:t>Шпанија, Шведска</w:t>
            </w:r>
          </w:p>
        </w:tc>
      </w:tr>
    </w:tbl>
    <w:p w14:paraId="7C0C0202" w14:textId="77777777" w:rsidR="00EA469B" w:rsidRPr="00A021B7" w:rsidRDefault="00EA469B" w:rsidP="003E7BC9">
      <w:pPr>
        <w:jc w:val="both"/>
        <w:rPr>
          <w:rFonts w:ascii="Arial" w:hAnsi="Arial" w:cs="Arial"/>
          <w:sz w:val="20"/>
          <w:szCs w:val="20"/>
          <w:lang w:val="sr-Cyrl-RS"/>
        </w:rPr>
      </w:pPr>
    </w:p>
    <w:p w14:paraId="73B60055" w14:textId="77777777" w:rsidR="00CE205B" w:rsidRPr="00A021B7" w:rsidRDefault="00E961A9" w:rsidP="004935B9">
      <w:pPr>
        <w:pStyle w:val="Heading2"/>
        <w:rPr>
          <w:lang w:val="sr-Cyrl-RS"/>
        </w:rPr>
      </w:pPr>
      <w:bookmarkStart w:id="130" w:name="_Toc52865792"/>
      <w:bookmarkStart w:id="131" w:name="_Toc52866203"/>
      <w:bookmarkStart w:id="132" w:name="_Toc56508452"/>
      <w:bookmarkStart w:id="133" w:name="_Toc60136089"/>
      <w:r w:rsidRPr="00A021B7">
        <w:rPr>
          <w:lang w:val="sr-Cyrl-RS"/>
        </w:rPr>
        <w:t>V.</w:t>
      </w:r>
      <w:r w:rsidR="00E04FBF" w:rsidRPr="00A021B7">
        <w:rPr>
          <w:lang w:val="sr-Cyrl-RS"/>
        </w:rPr>
        <w:t xml:space="preserve">4. </w:t>
      </w:r>
      <w:r w:rsidR="00EA469B" w:rsidRPr="00A021B7">
        <w:rPr>
          <w:lang w:val="sr-Cyrl-RS"/>
        </w:rPr>
        <w:t>Однос локалне самоуправе и грађана</w:t>
      </w:r>
      <w:bookmarkEnd w:id="130"/>
      <w:bookmarkEnd w:id="131"/>
      <w:bookmarkEnd w:id="132"/>
      <w:bookmarkEnd w:id="133"/>
    </w:p>
    <w:p w14:paraId="2837B597" w14:textId="77777777" w:rsidR="00EA469B" w:rsidRPr="00A021B7" w:rsidRDefault="00EA469B" w:rsidP="003E7BC9">
      <w:pPr>
        <w:jc w:val="both"/>
        <w:rPr>
          <w:rFonts w:ascii="Arial" w:hAnsi="Arial" w:cs="Arial"/>
          <w:sz w:val="20"/>
          <w:szCs w:val="20"/>
          <w:lang w:val="sr-Cyrl-RS"/>
        </w:rPr>
      </w:pPr>
    </w:p>
    <w:p w14:paraId="7C3E2D4E" w14:textId="794EF0A7"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Однос грађана и локалне власти (локална демократија) </w:t>
      </w:r>
      <w:r w:rsidR="004674F9" w:rsidRPr="1A8E6423">
        <w:rPr>
          <w:rFonts w:ascii="Arial" w:hAnsi="Arial" w:cs="Arial"/>
          <w:sz w:val="20"/>
          <w:szCs w:val="20"/>
          <w:lang w:val="sr-Cyrl-RS"/>
        </w:rPr>
        <w:t xml:space="preserve">заснива </w:t>
      </w:r>
      <w:r w:rsidRPr="1A8E6423">
        <w:rPr>
          <w:rFonts w:ascii="Arial" w:hAnsi="Arial" w:cs="Arial"/>
          <w:sz w:val="20"/>
          <w:szCs w:val="20"/>
          <w:lang w:val="sr-Cyrl-RS"/>
        </w:rPr>
        <w:t xml:space="preserve">се на идеји о грађанима као извору суверенитета и грађанима као корисницима (и финансијерима) јавних услуга. Осим што су корисници јавних услуга, грађани и </w:t>
      </w:r>
      <w:r w:rsidR="004674F9" w:rsidRPr="1A8E6423">
        <w:rPr>
          <w:rFonts w:ascii="Arial" w:hAnsi="Arial" w:cs="Arial"/>
          <w:sz w:val="20"/>
          <w:szCs w:val="20"/>
          <w:lang w:val="sr-Cyrl-RS"/>
        </w:rPr>
        <w:t xml:space="preserve">њихова удружења су </w:t>
      </w:r>
      <w:r w:rsidRPr="1A8E6423">
        <w:rPr>
          <w:rFonts w:ascii="Arial" w:hAnsi="Arial" w:cs="Arial"/>
          <w:sz w:val="20"/>
          <w:szCs w:val="20"/>
          <w:lang w:val="sr-Cyrl-RS"/>
        </w:rPr>
        <w:t>и партнери локалних власти</w:t>
      </w:r>
      <w:r w:rsidR="004674F9" w:rsidRPr="1A8E6423">
        <w:rPr>
          <w:rFonts w:ascii="Arial" w:hAnsi="Arial" w:cs="Arial"/>
          <w:sz w:val="20"/>
          <w:szCs w:val="20"/>
          <w:lang w:val="sr-Cyrl-RS"/>
        </w:rPr>
        <w:t>,</w:t>
      </w:r>
      <w:r w:rsidRPr="1A8E6423">
        <w:rPr>
          <w:rFonts w:ascii="Arial" w:hAnsi="Arial" w:cs="Arial"/>
          <w:sz w:val="20"/>
          <w:szCs w:val="20"/>
          <w:lang w:val="sr-Cyrl-RS"/>
        </w:rPr>
        <w:t xml:space="preserve"> са којима чине локалну заједницу. Када је реч о услугама и њиховом квалитету, кључна је стандардизација квалитета услуга (што је обично дужност националног законодавства), при чему су општине дужне да обезбеде минималне стандарде</w:t>
      </w:r>
      <w:r w:rsidR="004674F9" w:rsidRPr="1A8E6423">
        <w:rPr>
          <w:rFonts w:ascii="Arial" w:hAnsi="Arial" w:cs="Arial"/>
          <w:sz w:val="20"/>
          <w:szCs w:val="20"/>
          <w:lang w:val="sr-Cyrl-RS"/>
        </w:rPr>
        <w:t>,</w:t>
      </w:r>
      <w:r w:rsidRPr="1A8E6423">
        <w:rPr>
          <w:rFonts w:ascii="Arial" w:hAnsi="Arial" w:cs="Arial"/>
          <w:sz w:val="20"/>
          <w:szCs w:val="20"/>
          <w:lang w:val="sr-Cyrl-RS"/>
        </w:rPr>
        <w:t xml:space="preserve"> али и позване да се међусобно такмиче у достизању што виших стандарда.</w:t>
      </w:r>
    </w:p>
    <w:p w14:paraId="785D062A" w14:textId="77777777" w:rsidR="00884B37" w:rsidRPr="00A021B7" w:rsidRDefault="00884B37" w:rsidP="1A8E6423">
      <w:pPr>
        <w:ind w:firstLine="720"/>
        <w:jc w:val="both"/>
        <w:rPr>
          <w:rFonts w:ascii="Arial" w:hAnsi="Arial" w:cs="Arial"/>
          <w:sz w:val="20"/>
          <w:szCs w:val="20"/>
          <w:lang w:val="sr-Cyrl-RS"/>
        </w:rPr>
      </w:pPr>
    </w:p>
    <w:p w14:paraId="23C26AC7" w14:textId="77777777" w:rsidR="00EA469B" w:rsidRPr="00A021B7" w:rsidRDefault="00EA469B" w:rsidP="1A8E6423">
      <w:pPr>
        <w:ind w:firstLine="720"/>
        <w:jc w:val="both"/>
        <w:rPr>
          <w:rFonts w:ascii="Arial" w:eastAsia="Calibri" w:hAnsi="Arial" w:cs="Arial"/>
          <w:sz w:val="20"/>
          <w:szCs w:val="20"/>
          <w:lang w:val="sr-Cyrl-RS"/>
        </w:rPr>
      </w:pPr>
      <w:r w:rsidRPr="1A8E6423">
        <w:rPr>
          <w:rFonts w:ascii="Arial" w:hAnsi="Arial" w:cs="Arial"/>
          <w:sz w:val="20"/>
          <w:szCs w:val="20"/>
          <w:lang w:val="sr-Cyrl-RS"/>
        </w:rPr>
        <w:t xml:space="preserve">Међу законским обавезама локалне самоуправе је обезбеђивање </w:t>
      </w:r>
      <w:r w:rsidR="00D2560D" w:rsidRPr="1A8E6423">
        <w:rPr>
          <w:rFonts w:ascii="Arial" w:hAnsi="Arial" w:cs="Arial"/>
          <w:sz w:val="20"/>
          <w:szCs w:val="20"/>
          <w:lang w:val="sr-Cyrl-RS"/>
        </w:rPr>
        <w:t xml:space="preserve">учешћа </w:t>
      </w:r>
      <w:r w:rsidRPr="1A8E6423">
        <w:rPr>
          <w:rFonts w:ascii="Arial" w:hAnsi="Arial" w:cs="Arial"/>
          <w:sz w:val="20"/>
          <w:szCs w:val="20"/>
          <w:lang w:val="sr-Cyrl-RS"/>
        </w:rPr>
        <w:t xml:space="preserve">грађана. О конкретним механизмима је углавном остављено општинама да одлуче. </w:t>
      </w:r>
      <w:r w:rsidR="00FA0404" w:rsidRPr="1A8E6423">
        <w:rPr>
          <w:rFonts w:ascii="Arial" w:hAnsi="Arial" w:cs="Arial"/>
          <w:sz w:val="20"/>
          <w:szCs w:val="20"/>
          <w:lang w:val="sr-Cyrl-RS"/>
        </w:rPr>
        <w:t xml:space="preserve">Грађанско учешће </w:t>
      </w:r>
      <w:r w:rsidRPr="1A8E6423">
        <w:rPr>
          <w:rFonts w:ascii="Arial" w:hAnsi="Arial" w:cs="Arial"/>
          <w:sz w:val="20"/>
          <w:szCs w:val="20"/>
          <w:lang w:val="sr-Cyrl-RS"/>
        </w:rPr>
        <w:t>се креће у распону од информисања грађана (о донетим одлукама и кључним локалним документима)</w:t>
      </w:r>
      <w:r w:rsidR="00FA0404" w:rsidRPr="1A8E6423">
        <w:rPr>
          <w:rFonts w:ascii="Arial" w:hAnsi="Arial" w:cs="Arial"/>
          <w:sz w:val="20"/>
          <w:szCs w:val="20"/>
          <w:lang w:val="sr-Cyrl-RS"/>
        </w:rPr>
        <w:t>,</w:t>
      </w:r>
      <w:r w:rsidRPr="1A8E6423">
        <w:rPr>
          <w:rFonts w:ascii="Arial" w:hAnsi="Arial" w:cs="Arial"/>
          <w:sz w:val="20"/>
          <w:szCs w:val="20"/>
          <w:lang w:val="sr-Cyrl-RS"/>
        </w:rPr>
        <w:t xml:space="preserve"> преко њиховог консултовања, суодлучивања</w:t>
      </w:r>
      <w:r w:rsidR="00FA0404" w:rsidRPr="1A8E6423">
        <w:rPr>
          <w:rFonts w:ascii="Arial" w:hAnsi="Arial" w:cs="Arial"/>
          <w:sz w:val="20"/>
          <w:szCs w:val="20"/>
          <w:lang w:val="sr-Cyrl-RS"/>
        </w:rPr>
        <w:t>,</w:t>
      </w:r>
      <w:r w:rsidRPr="1A8E6423">
        <w:rPr>
          <w:rFonts w:ascii="Arial" w:hAnsi="Arial" w:cs="Arial"/>
          <w:sz w:val="20"/>
          <w:szCs w:val="20"/>
          <w:lang w:val="sr-Cyrl-RS"/>
        </w:rPr>
        <w:t xml:space="preserve"> па до овлашћивања група грађана да доносе одлуке. На европском нивоу постоје и документи који прописују одређена правила и стандарде у овој области (Пратећи протокол Европске повеље о локалној самоуправи о праву на </w:t>
      </w:r>
      <w:r w:rsidR="00FA0404" w:rsidRPr="1A8E6423">
        <w:rPr>
          <w:rFonts w:ascii="Arial" w:hAnsi="Arial" w:cs="Arial"/>
          <w:sz w:val="20"/>
          <w:szCs w:val="20"/>
          <w:lang w:val="sr-Cyrl-RS"/>
        </w:rPr>
        <w:t xml:space="preserve">учешће </w:t>
      </w:r>
      <w:r w:rsidRPr="1A8E6423">
        <w:rPr>
          <w:rFonts w:ascii="Arial" w:hAnsi="Arial" w:cs="Arial"/>
          <w:sz w:val="20"/>
          <w:szCs w:val="20"/>
          <w:lang w:val="sr-Cyrl-RS"/>
        </w:rPr>
        <w:t>у пословима локалне власти и Стратегија за иновације и добро управљање на локалном нивоу).</w:t>
      </w:r>
    </w:p>
    <w:p w14:paraId="74870EF5" w14:textId="09BAA508" w:rsidR="00E04FBF" w:rsidRPr="00A021B7" w:rsidRDefault="00E04FBF" w:rsidP="1A8E6423">
      <w:pPr>
        <w:ind w:firstLine="720"/>
        <w:jc w:val="both"/>
        <w:rPr>
          <w:rFonts w:ascii="Arial" w:hAnsi="Arial" w:cs="Arial"/>
          <w:sz w:val="20"/>
          <w:szCs w:val="20"/>
          <w:lang w:val="sr-Cyrl-RS"/>
        </w:rPr>
      </w:pPr>
    </w:p>
    <w:p w14:paraId="7C55D5D2" w14:textId="736B7BD9"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Све чешћи инструмент укључивања </w:t>
      </w:r>
      <w:r w:rsidR="00BC3D86" w:rsidRPr="1A8E6423">
        <w:rPr>
          <w:rFonts w:ascii="Arial" w:hAnsi="Arial" w:cs="Arial"/>
          <w:sz w:val="20"/>
          <w:szCs w:val="20"/>
          <w:lang w:val="sr-Cyrl-RS"/>
        </w:rPr>
        <w:t xml:space="preserve">грађанског </w:t>
      </w:r>
      <w:r w:rsidRPr="1A8E6423">
        <w:rPr>
          <w:rFonts w:ascii="Arial" w:hAnsi="Arial" w:cs="Arial"/>
          <w:sz w:val="20"/>
          <w:szCs w:val="20"/>
          <w:lang w:val="sr-Cyrl-RS"/>
        </w:rPr>
        <w:t>друштва (нарочито стручњака или представника различитих категорија грађана) јесу саветодавни одбори</w:t>
      </w:r>
      <w:r w:rsidR="00311A2F" w:rsidRPr="1A8E6423">
        <w:rPr>
          <w:rFonts w:ascii="Arial" w:hAnsi="Arial" w:cs="Arial"/>
          <w:sz w:val="20"/>
          <w:szCs w:val="20"/>
          <w:lang w:val="sr-Cyrl-RS"/>
        </w:rPr>
        <w:t>,</w:t>
      </w:r>
      <w:r w:rsidRPr="1A8E6423">
        <w:rPr>
          <w:rFonts w:ascii="Arial" w:hAnsi="Arial" w:cs="Arial"/>
          <w:sz w:val="20"/>
          <w:szCs w:val="20"/>
          <w:lang w:val="sr-Cyrl-RS"/>
        </w:rPr>
        <w:t xml:space="preserve"> који постају све значајнији актер у обликовању локалних јавних политика.</w:t>
      </w:r>
    </w:p>
    <w:p w14:paraId="03F8CD35" w14:textId="77777777" w:rsidR="00EA469B" w:rsidRPr="00A021B7" w:rsidRDefault="00EA469B" w:rsidP="003E7BC9">
      <w:pPr>
        <w:jc w:val="both"/>
        <w:rPr>
          <w:rFonts w:ascii="Arial" w:hAnsi="Arial" w:cs="Arial"/>
          <w:sz w:val="20"/>
          <w:szCs w:val="20"/>
          <w:lang w:val="sr-Cyrl-RS"/>
        </w:rPr>
      </w:pPr>
    </w:p>
    <w:p w14:paraId="7AE51DBA" w14:textId="7DBE7A8F" w:rsidR="00CE205B" w:rsidRPr="00A021B7" w:rsidRDefault="00E04FBF" w:rsidP="004935B9">
      <w:pPr>
        <w:pStyle w:val="Heading2"/>
        <w:rPr>
          <w:lang w:val="sr-Cyrl-RS"/>
        </w:rPr>
      </w:pPr>
      <w:bookmarkStart w:id="134" w:name="_Toc52865793"/>
      <w:bookmarkStart w:id="135" w:name="_Toc52866204"/>
      <w:bookmarkStart w:id="136" w:name="_Toc56508453"/>
      <w:bookmarkStart w:id="137" w:name="_Toc60136090"/>
      <w:r w:rsidRPr="00A021B7">
        <w:rPr>
          <w:lang w:val="sr-Cyrl-RS"/>
        </w:rPr>
        <w:t xml:space="preserve">V.5. </w:t>
      </w:r>
      <w:r w:rsidR="00EA469B" w:rsidRPr="00A021B7">
        <w:rPr>
          <w:lang w:val="sr-Cyrl-RS"/>
        </w:rPr>
        <w:t xml:space="preserve">Надлежности локалне самоуправе и основни </w:t>
      </w:r>
      <w:r w:rsidR="001B16F5" w:rsidRPr="00A021B7">
        <w:rPr>
          <w:lang w:val="sr-Cyrl-RS"/>
        </w:rPr>
        <w:t>начини њихове реализације</w:t>
      </w:r>
      <w:bookmarkEnd w:id="134"/>
      <w:bookmarkEnd w:id="135"/>
      <w:bookmarkEnd w:id="136"/>
      <w:bookmarkEnd w:id="137"/>
    </w:p>
    <w:p w14:paraId="42B2609B" w14:textId="77777777" w:rsidR="00EA469B" w:rsidRPr="00A021B7" w:rsidRDefault="00EA469B" w:rsidP="003E7BC9">
      <w:pPr>
        <w:jc w:val="both"/>
        <w:rPr>
          <w:rFonts w:ascii="Arial" w:hAnsi="Arial" w:cs="Arial"/>
          <w:sz w:val="20"/>
          <w:szCs w:val="20"/>
          <w:lang w:val="sr-Cyrl-RS"/>
        </w:rPr>
      </w:pPr>
    </w:p>
    <w:p w14:paraId="5030F3D9" w14:textId="58ADF71B"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Надлежности локалне самоуправе се утврђују законом и то на два начина. Први је експлицитна додела</w:t>
      </w:r>
      <w:r w:rsidR="00BC3D86" w:rsidRPr="1A8E6423">
        <w:rPr>
          <w:rFonts w:ascii="Arial" w:hAnsi="Arial" w:cs="Arial"/>
          <w:sz w:val="20"/>
          <w:szCs w:val="20"/>
          <w:lang w:val="sr-Cyrl-RS"/>
        </w:rPr>
        <w:t>,</w:t>
      </w:r>
      <w:r w:rsidRPr="1A8E6423">
        <w:rPr>
          <w:rFonts w:ascii="Arial" w:hAnsi="Arial" w:cs="Arial"/>
          <w:sz w:val="20"/>
          <w:szCs w:val="20"/>
          <w:lang w:val="sr-Cyrl-RS"/>
        </w:rPr>
        <w:t xml:space="preserve"> тј. утврђивање конкретних надлежности</w:t>
      </w:r>
      <w:r w:rsidR="00BC3D86" w:rsidRPr="1A8E6423">
        <w:rPr>
          <w:rFonts w:ascii="Arial" w:hAnsi="Arial" w:cs="Arial"/>
          <w:sz w:val="20"/>
          <w:szCs w:val="20"/>
          <w:lang w:val="sr-Cyrl-RS"/>
        </w:rPr>
        <w:t>,</w:t>
      </w:r>
      <w:r w:rsidRPr="1A8E6423">
        <w:rPr>
          <w:rFonts w:ascii="Arial" w:hAnsi="Arial" w:cs="Arial"/>
          <w:sz w:val="20"/>
          <w:szCs w:val="20"/>
          <w:lang w:val="sr-Cyrl-RS"/>
        </w:rPr>
        <w:t xml:space="preserve"> а други је општа претпоставка предности локалне самоуправе при расподели надлежности између различитих нивоа власти. Ова два начина нису међусобно искључива</w:t>
      </w:r>
      <w:r w:rsidR="00BC3D86" w:rsidRPr="1A8E6423">
        <w:rPr>
          <w:rFonts w:ascii="Arial" w:hAnsi="Arial" w:cs="Arial"/>
          <w:sz w:val="20"/>
          <w:szCs w:val="20"/>
          <w:lang w:val="sr-Cyrl-RS"/>
        </w:rPr>
        <w:t>, него подударна</w:t>
      </w:r>
      <w:r w:rsidRPr="1A8E6423">
        <w:rPr>
          <w:rFonts w:ascii="Arial" w:hAnsi="Arial" w:cs="Arial"/>
          <w:sz w:val="20"/>
          <w:szCs w:val="20"/>
          <w:lang w:val="sr-Cyrl-RS"/>
        </w:rPr>
        <w:t>. То значи да у закону могу да се одреде локалне надлежности</w:t>
      </w:r>
      <w:r w:rsidR="00BC3D86" w:rsidRPr="1A8E6423">
        <w:rPr>
          <w:rFonts w:ascii="Arial" w:hAnsi="Arial" w:cs="Arial"/>
          <w:sz w:val="20"/>
          <w:szCs w:val="20"/>
          <w:lang w:val="sr-Cyrl-RS"/>
        </w:rPr>
        <w:t>,</w:t>
      </w:r>
      <w:r w:rsidRPr="1A8E6423">
        <w:rPr>
          <w:rFonts w:ascii="Arial" w:hAnsi="Arial" w:cs="Arial"/>
          <w:sz w:val="20"/>
          <w:szCs w:val="20"/>
          <w:lang w:val="sr-Cyrl-RS"/>
        </w:rPr>
        <w:t xml:space="preserve"> али и да се остави општа клаузула по којој су локалне надлежности и све остале које нису </w:t>
      </w:r>
      <w:r w:rsidR="00BC3D86" w:rsidRPr="1A8E6423">
        <w:rPr>
          <w:rFonts w:ascii="Arial" w:hAnsi="Arial" w:cs="Arial"/>
          <w:sz w:val="20"/>
          <w:szCs w:val="20"/>
          <w:lang w:val="sr-Cyrl-RS"/>
        </w:rPr>
        <w:t xml:space="preserve">изричито </w:t>
      </w:r>
      <w:r w:rsidRPr="1A8E6423">
        <w:rPr>
          <w:rFonts w:ascii="Arial" w:hAnsi="Arial" w:cs="Arial"/>
          <w:sz w:val="20"/>
          <w:szCs w:val="20"/>
          <w:lang w:val="sr-Cyrl-RS"/>
        </w:rPr>
        <w:t>додељене другим нивоима власти. Ово је и индикатор значаја и снаге локалне самоуправе у једној држави</w:t>
      </w:r>
      <w:r w:rsidR="00AA0E3D" w:rsidRPr="1A8E6423">
        <w:rPr>
          <w:rFonts w:ascii="Arial" w:hAnsi="Arial" w:cs="Arial"/>
          <w:sz w:val="20"/>
          <w:szCs w:val="20"/>
          <w:lang w:val="sr-Cyrl-RS"/>
        </w:rPr>
        <w:t>,</w:t>
      </w:r>
      <w:r w:rsidRPr="1A8E6423">
        <w:rPr>
          <w:rFonts w:ascii="Arial" w:hAnsi="Arial" w:cs="Arial"/>
          <w:sz w:val="20"/>
          <w:szCs w:val="20"/>
          <w:lang w:val="sr-Cyrl-RS"/>
        </w:rPr>
        <w:t xml:space="preserve"> као и реалне примене </w:t>
      </w:r>
      <w:r w:rsidR="005D7248" w:rsidRPr="1A8E6423">
        <w:rPr>
          <w:rFonts w:ascii="Arial" w:hAnsi="Arial" w:cs="Arial"/>
          <w:sz w:val="20"/>
          <w:szCs w:val="20"/>
          <w:lang w:val="sr-Cyrl-RS"/>
        </w:rPr>
        <w:t>начел</w:t>
      </w:r>
      <w:r w:rsidRPr="1A8E6423">
        <w:rPr>
          <w:rFonts w:ascii="Arial" w:hAnsi="Arial" w:cs="Arial"/>
          <w:sz w:val="20"/>
          <w:szCs w:val="20"/>
          <w:lang w:val="sr-Cyrl-RS"/>
        </w:rPr>
        <w:t xml:space="preserve">а </w:t>
      </w:r>
      <w:r w:rsidR="00AA0E3D" w:rsidRPr="1A8E6423">
        <w:rPr>
          <w:rFonts w:ascii="Arial" w:hAnsi="Arial" w:cs="Arial"/>
          <w:sz w:val="20"/>
          <w:szCs w:val="20"/>
          <w:lang w:val="sr-Cyrl-RS"/>
        </w:rPr>
        <w:t>супсидијарности</w:t>
      </w:r>
      <w:r w:rsidRPr="1A8E6423">
        <w:rPr>
          <w:rFonts w:ascii="Arial" w:hAnsi="Arial" w:cs="Arial"/>
          <w:sz w:val="20"/>
          <w:szCs w:val="20"/>
          <w:lang w:val="sr-Cyrl-RS"/>
        </w:rPr>
        <w:t>.</w:t>
      </w:r>
    </w:p>
    <w:p w14:paraId="0107A7FF" w14:textId="77777777" w:rsidR="00E04FBF" w:rsidRPr="00A021B7" w:rsidRDefault="00E04FBF" w:rsidP="1A8E6423">
      <w:pPr>
        <w:ind w:firstLine="720"/>
        <w:jc w:val="both"/>
        <w:rPr>
          <w:rFonts w:ascii="Arial" w:hAnsi="Arial" w:cs="Arial"/>
          <w:sz w:val="20"/>
          <w:szCs w:val="20"/>
          <w:lang w:val="sr-Cyrl-RS"/>
        </w:rPr>
      </w:pPr>
    </w:p>
    <w:p w14:paraId="1DC4A526" w14:textId="6A204573"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Најчешће области локалних надлежности су: образовање (предшколско и основно), просторно планирање, комунална мрежа (водовод, канализација, отпад, хигијена итд.), путеви и јавни превоз, социјална политика, здравство</w:t>
      </w:r>
      <w:r w:rsidR="00D60322" w:rsidRPr="1A8E6423">
        <w:rPr>
          <w:rFonts w:ascii="Arial" w:hAnsi="Arial" w:cs="Arial"/>
          <w:sz w:val="20"/>
          <w:szCs w:val="20"/>
          <w:lang w:val="sr-Cyrl-RS"/>
        </w:rPr>
        <w:t>,</w:t>
      </w:r>
      <w:r w:rsidR="00385058" w:rsidRPr="1A8E6423">
        <w:rPr>
          <w:rFonts w:ascii="Arial" w:hAnsi="Arial" w:cs="Arial"/>
          <w:sz w:val="20"/>
          <w:szCs w:val="20"/>
          <w:lang w:val="sr-Cyrl-RS"/>
        </w:rPr>
        <w:t xml:space="preserve"> </w:t>
      </w:r>
      <w:r w:rsidRPr="1A8E6423">
        <w:rPr>
          <w:rFonts w:ascii="Arial" w:hAnsi="Arial" w:cs="Arial"/>
          <w:sz w:val="20"/>
          <w:szCs w:val="20"/>
          <w:lang w:val="sr-Cyrl-RS"/>
        </w:rPr>
        <w:t>спо</w:t>
      </w:r>
      <w:r w:rsidR="0048024A" w:rsidRPr="1A8E6423">
        <w:rPr>
          <w:rFonts w:ascii="Arial" w:hAnsi="Arial" w:cs="Arial"/>
          <w:sz w:val="20"/>
          <w:szCs w:val="20"/>
          <w:lang w:val="sr-Cyrl-RS"/>
        </w:rPr>
        <w:t>р</w:t>
      </w:r>
      <w:r w:rsidRPr="1A8E6423">
        <w:rPr>
          <w:rFonts w:ascii="Arial" w:hAnsi="Arial" w:cs="Arial"/>
          <w:sz w:val="20"/>
          <w:szCs w:val="20"/>
          <w:lang w:val="sr-Cyrl-RS"/>
        </w:rPr>
        <w:t>т и култура, јавни ред и безбедност, локални економски развој, животна средина, становање, као и бројне административне услуге.</w:t>
      </w:r>
    </w:p>
    <w:p w14:paraId="1C006F89" w14:textId="77777777" w:rsidR="00E04FBF" w:rsidRPr="00A021B7" w:rsidRDefault="00E04FBF" w:rsidP="1A8E6423">
      <w:pPr>
        <w:ind w:firstLine="720"/>
        <w:jc w:val="both"/>
        <w:rPr>
          <w:rFonts w:ascii="Arial" w:hAnsi="Arial" w:cs="Arial"/>
          <w:sz w:val="20"/>
          <w:szCs w:val="20"/>
          <w:lang w:val="sr-Cyrl-RS"/>
        </w:rPr>
      </w:pPr>
    </w:p>
    <w:p w14:paraId="57C399BF" w14:textId="31A92296" w:rsidR="00E04FBF"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Надлежност у некој области подразумева одговорност локалне власти за </w:t>
      </w:r>
      <w:r w:rsidR="00AA0E3D" w:rsidRPr="1A8E6423">
        <w:rPr>
          <w:rFonts w:ascii="Arial" w:hAnsi="Arial" w:cs="Arial"/>
          <w:sz w:val="20"/>
          <w:szCs w:val="20"/>
          <w:lang w:val="sr-Cyrl-RS"/>
        </w:rPr>
        <w:t>спровођење</w:t>
      </w:r>
      <w:r w:rsidR="00266A73" w:rsidRPr="1A8E6423">
        <w:rPr>
          <w:rFonts w:ascii="Arial" w:hAnsi="Arial" w:cs="Arial"/>
          <w:sz w:val="20"/>
          <w:szCs w:val="20"/>
          <w:lang w:val="sr-Cyrl-RS"/>
        </w:rPr>
        <w:t xml:space="preserve"> </w:t>
      </w:r>
      <w:r w:rsidRPr="1A8E6423">
        <w:rPr>
          <w:rFonts w:ascii="Arial" w:hAnsi="Arial" w:cs="Arial"/>
          <w:sz w:val="20"/>
          <w:szCs w:val="20"/>
          <w:lang w:val="sr-Cyrl-RS"/>
        </w:rPr>
        <w:t>те надлежности</w:t>
      </w:r>
      <w:r w:rsidR="00266A73" w:rsidRPr="1A8E6423">
        <w:rPr>
          <w:rFonts w:ascii="Arial" w:hAnsi="Arial" w:cs="Arial"/>
          <w:sz w:val="20"/>
          <w:szCs w:val="20"/>
          <w:lang w:val="sr-Cyrl-RS"/>
        </w:rPr>
        <w:t>,</w:t>
      </w:r>
      <w:r w:rsidRPr="1A8E6423">
        <w:rPr>
          <w:rFonts w:ascii="Arial" w:hAnsi="Arial" w:cs="Arial"/>
          <w:sz w:val="20"/>
          <w:szCs w:val="20"/>
          <w:lang w:val="sr-Cyrl-RS"/>
        </w:rPr>
        <w:t xml:space="preserve"> односно услуге на њеној територији, без обзира </w:t>
      </w:r>
      <w:r w:rsidR="00385058" w:rsidRPr="1A8E6423">
        <w:rPr>
          <w:rFonts w:ascii="Arial" w:hAnsi="Arial" w:cs="Arial"/>
          <w:sz w:val="20"/>
          <w:szCs w:val="20"/>
          <w:lang w:val="sr-Cyrl-RS"/>
        </w:rPr>
        <w:t xml:space="preserve">на то </w:t>
      </w:r>
      <w:r w:rsidRPr="1A8E6423">
        <w:rPr>
          <w:rFonts w:ascii="Arial" w:hAnsi="Arial" w:cs="Arial"/>
          <w:sz w:val="20"/>
          <w:szCs w:val="20"/>
          <w:lang w:val="sr-Cyrl-RS"/>
        </w:rPr>
        <w:t xml:space="preserve">да ли је </w:t>
      </w:r>
      <w:r w:rsidR="00E94138" w:rsidRPr="1A8E6423">
        <w:rPr>
          <w:rFonts w:ascii="Arial" w:hAnsi="Arial" w:cs="Arial"/>
          <w:sz w:val="20"/>
          <w:szCs w:val="20"/>
          <w:lang w:val="sr-Cyrl-RS"/>
        </w:rPr>
        <w:t xml:space="preserve">пружалац </w:t>
      </w:r>
      <w:r w:rsidRPr="1A8E6423">
        <w:rPr>
          <w:rFonts w:ascii="Arial" w:hAnsi="Arial" w:cs="Arial"/>
          <w:sz w:val="20"/>
          <w:szCs w:val="20"/>
          <w:lang w:val="sr-Cyrl-RS"/>
        </w:rPr>
        <w:t xml:space="preserve">услуге непосредно општина или неко друго тело из приватног или јавног сектора. </w:t>
      </w:r>
      <w:r w:rsidR="00266A73" w:rsidRPr="1A8E6423">
        <w:rPr>
          <w:rFonts w:ascii="Arial" w:hAnsi="Arial" w:cs="Arial"/>
          <w:sz w:val="20"/>
          <w:szCs w:val="20"/>
          <w:lang w:val="sr-Cyrl-RS"/>
        </w:rPr>
        <w:t>Л</w:t>
      </w:r>
      <w:r w:rsidRPr="1A8E6423">
        <w:rPr>
          <w:rFonts w:ascii="Arial" w:hAnsi="Arial" w:cs="Arial"/>
          <w:sz w:val="20"/>
          <w:szCs w:val="20"/>
          <w:lang w:val="sr-Cyrl-RS"/>
        </w:rPr>
        <w:t xml:space="preserve">окалне власти имају избор између више начина </w:t>
      </w:r>
      <w:r w:rsidR="00266A73" w:rsidRPr="1A8E6423">
        <w:rPr>
          <w:rFonts w:ascii="Arial" w:hAnsi="Arial" w:cs="Arial"/>
          <w:sz w:val="20"/>
          <w:szCs w:val="20"/>
          <w:lang w:val="sr-Cyrl-RS"/>
        </w:rPr>
        <w:t xml:space="preserve">остваривања </w:t>
      </w:r>
      <w:r w:rsidRPr="1A8E6423">
        <w:rPr>
          <w:rFonts w:ascii="Arial" w:hAnsi="Arial" w:cs="Arial"/>
          <w:sz w:val="20"/>
          <w:szCs w:val="20"/>
          <w:lang w:val="sr-Cyrl-RS"/>
        </w:rPr>
        <w:t>надлежности:</w:t>
      </w:r>
    </w:p>
    <w:p w14:paraId="05EE14B6" w14:textId="2E5D4D3D" w:rsidR="00EA469B" w:rsidRPr="00A021B7" w:rsidRDefault="00266A73" w:rsidP="00A57E7E">
      <w:pPr>
        <w:pStyle w:val="ListParagraph"/>
        <w:numPr>
          <w:ilvl w:val="0"/>
          <w:numId w:val="16"/>
        </w:numPr>
        <w:jc w:val="both"/>
        <w:rPr>
          <w:rFonts w:ascii="Arial" w:hAnsi="Arial" w:cs="Arial"/>
          <w:sz w:val="20"/>
          <w:szCs w:val="20"/>
          <w:lang w:val="sr-Cyrl-RS"/>
        </w:rPr>
      </w:pPr>
      <w:r w:rsidRPr="1A8E6423">
        <w:rPr>
          <w:rFonts w:ascii="Arial" w:hAnsi="Arial" w:cs="Arial"/>
          <w:sz w:val="20"/>
          <w:szCs w:val="20"/>
          <w:lang w:val="sr-Cyrl-RS"/>
        </w:rPr>
        <w:t xml:space="preserve">непосредно </w:t>
      </w:r>
      <w:r w:rsidR="00EA469B" w:rsidRPr="1A8E6423">
        <w:rPr>
          <w:rFonts w:ascii="Arial" w:hAnsi="Arial" w:cs="Arial"/>
          <w:sz w:val="20"/>
          <w:szCs w:val="20"/>
          <w:lang w:val="sr-Cyrl-RS"/>
        </w:rPr>
        <w:t>и самостално, преко јавног сектора (преко сопствене бирократије или предузећа);</w:t>
      </w:r>
    </w:p>
    <w:p w14:paraId="199D3D85" w14:textId="23A807D9" w:rsidR="00EA469B" w:rsidRPr="00A021B7" w:rsidRDefault="00EA469B" w:rsidP="00A57E7E">
      <w:pPr>
        <w:pStyle w:val="ListParagraph"/>
        <w:numPr>
          <w:ilvl w:val="0"/>
          <w:numId w:val="16"/>
        </w:numPr>
        <w:jc w:val="both"/>
        <w:rPr>
          <w:rFonts w:ascii="Arial" w:hAnsi="Arial" w:cs="Arial"/>
          <w:sz w:val="20"/>
          <w:szCs w:val="20"/>
          <w:lang w:val="sr-Cyrl-RS"/>
        </w:rPr>
      </w:pPr>
      <w:r w:rsidRPr="1A8E6423">
        <w:rPr>
          <w:rFonts w:ascii="Arial" w:hAnsi="Arial" w:cs="Arial"/>
          <w:sz w:val="20"/>
          <w:szCs w:val="20"/>
          <w:lang w:val="sr-Cyrl-RS"/>
        </w:rPr>
        <w:t>преко јавног сектора</w:t>
      </w:r>
      <w:r w:rsidR="00266A73" w:rsidRPr="1A8E6423">
        <w:rPr>
          <w:rFonts w:ascii="Arial" w:hAnsi="Arial" w:cs="Arial"/>
          <w:sz w:val="20"/>
          <w:szCs w:val="20"/>
          <w:lang w:val="sr-Cyrl-RS"/>
        </w:rPr>
        <w:t>,</w:t>
      </w:r>
      <w:r w:rsidRPr="1A8E6423">
        <w:rPr>
          <w:rFonts w:ascii="Arial" w:hAnsi="Arial" w:cs="Arial"/>
          <w:sz w:val="20"/>
          <w:szCs w:val="20"/>
          <w:lang w:val="sr-Cyrl-RS"/>
        </w:rPr>
        <w:t xml:space="preserve"> али у сарадњи са другим општинама (или вишим нивоима власти);</w:t>
      </w:r>
    </w:p>
    <w:p w14:paraId="404DE205" w14:textId="05E870E8" w:rsidR="00EA469B" w:rsidRPr="00A021B7" w:rsidRDefault="00EA469B" w:rsidP="00A57E7E">
      <w:pPr>
        <w:pStyle w:val="ListParagraph"/>
        <w:numPr>
          <w:ilvl w:val="0"/>
          <w:numId w:val="16"/>
        </w:numPr>
        <w:jc w:val="both"/>
        <w:rPr>
          <w:rFonts w:ascii="Arial" w:hAnsi="Arial" w:cs="Arial"/>
          <w:sz w:val="20"/>
          <w:szCs w:val="20"/>
          <w:lang w:val="sr-Cyrl-RS"/>
        </w:rPr>
      </w:pPr>
      <w:r w:rsidRPr="1A8E6423">
        <w:rPr>
          <w:rFonts w:ascii="Arial" w:hAnsi="Arial" w:cs="Arial"/>
          <w:sz w:val="20"/>
          <w:szCs w:val="20"/>
          <w:lang w:val="sr-Cyrl-RS"/>
        </w:rPr>
        <w:t>мешовито – сарадња са јавним сектором (јавно-приватна партнерства) и</w:t>
      </w:r>
    </w:p>
    <w:p w14:paraId="06E4B755" w14:textId="7240F390" w:rsidR="00EA469B" w:rsidRPr="00A021B7" w:rsidRDefault="00266A73" w:rsidP="00A57E7E">
      <w:pPr>
        <w:pStyle w:val="ListParagraph"/>
        <w:numPr>
          <w:ilvl w:val="0"/>
          <w:numId w:val="16"/>
        </w:numPr>
        <w:jc w:val="both"/>
        <w:rPr>
          <w:rFonts w:ascii="Arial" w:hAnsi="Arial" w:cs="Arial"/>
          <w:sz w:val="20"/>
          <w:szCs w:val="20"/>
          <w:lang w:val="sr-Cyrl-RS"/>
        </w:rPr>
      </w:pPr>
      <w:r w:rsidRPr="1A8E6423">
        <w:rPr>
          <w:rFonts w:ascii="Arial" w:hAnsi="Arial" w:cs="Arial"/>
          <w:sz w:val="20"/>
          <w:szCs w:val="20"/>
          <w:lang w:val="sr-Cyrl-RS"/>
        </w:rPr>
        <w:t xml:space="preserve">посредно </w:t>
      </w:r>
      <w:r w:rsidR="00EA469B" w:rsidRPr="1A8E6423">
        <w:rPr>
          <w:rFonts w:ascii="Arial" w:hAnsi="Arial" w:cs="Arial"/>
          <w:sz w:val="20"/>
          <w:szCs w:val="20"/>
          <w:lang w:val="sr-Cyrl-RS"/>
        </w:rPr>
        <w:t>– преко приватног сектора (приватизација, уговори).</w:t>
      </w:r>
    </w:p>
    <w:p w14:paraId="0F59DF5F" w14:textId="77777777" w:rsidR="004F04E8" w:rsidRPr="00A021B7" w:rsidRDefault="004F04E8" w:rsidP="003E7BC9">
      <w:pPr>
        <w:jc w:val="both"/>
        <w:rPr>
          <w:rFonts w:ascii="Arial" w:hAnsi="Arial" w:cs="Arial"/>
          <w:sz w:val="20"/>
          <w:szCs w:val="20"/>
          <w:lang w:val="sr-Cyrl-RS"/>
        </w:rPr>
      </w:pPr>
    </w:p>
    <w:p w14:paraId="05DAE86D" w14:textId="2E5CF265"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Први избор је традиционалан начин вршења надлежности и испоруке услуга</w:t>
      </w:r>
      <w:r w:rsidR="00385058" w:rsidRPr="1A8E6423">
        <w:rPr>
          <w:rFonts w:ascii="Arial" w:hAnsi="Arial" w:cs="Arial"/>
          <w:sz w:val="20"/>
          <w:szCs w:val="20"/>
          <w:lang w:val="sr-Cyrl-RS"/>
        </w:rPr>
        <w:t>.</w:t>
      </w:r>
      <w:r w:rsidRPr="1A8E6423">
        <w:rPr>
          <w:rFonts w:ascii="Arial" w:hAnsi="Arial" w:cs="Arial"/>
          <w:sz w:val="20"/>
          <w:szCs w:val="20"/>
          <w:lang w:val="sr-Cyrl-RS"/>
        </w:rPr>
        <w:t xml:space="preserve"> </w:t>
      </w:r>
      <w:r w:rsidR="00385058" w:rsidRPr="1A8E6423">
        <w:rPr>
          <w:rFonts w:ascii="Arial" w:hAnsi="Arial" w:cs="Arial"/>
          <w:sz w:val="20"/>
          <w:szCs w:val="20"/>
          <w:lang w:val="sr-Cyrl-RS"/>
        </w:rPr>
        <w:t>М</w:t>
      </w:r>
      <w:r w:rsidRPr="1A8E6423">
        <w:rPr>
          <w:rFonts w:ascii="Arial" w:hAnsi="Arial" w:cs="Arial"/>
          <w:sz w:val="20"/>
          <w:szCs w:val="20"/>
          <w:lang w:val="sr-Cyrl-RS"/>
        </w:rPr>
        <w:t>еђутим</w:t>
      </w:r>
      <w:r w:rsidR="00385058" w:rsidRPr="1A8E6423">
        <w:rPr>
          <w:rFonts w:ascii="Arial" w:hAnsi="Arial" w:cs="Arial"/>
          <w:sz w:val="20"/>
          <w:szCs w:val="20"/>
          <w:lang w:val="sr-Cyrl-RS"/>
        </w:rPr>
        <w:t>,</w:t>
      </w:r>
      <w:r w:rsidRPr="1A8E6423">
        <w:rPr>
          <w:rFonts w:ascii="Arial" w:hAnsi="Arial" w:cs="Arial"/>
          <w:sz w:val="20"/>
          <w:szCs w:val="20"/>
          <w:lang w:val="sr-Cyrl-RS"/>
        </w:rPr>
        <w:t xml:space="preserve"> у другој половини 20. века (од седамдесетих година), приметан је све већи значај осталих приступа. </w:t>
      </w:r>
      <w:r w:rsidR="007A23B6" w:rsidRPr="1A8E6423">
        <w:rPr>
          <w:rFonts w:ascii="Arial" w:hAnsi="Arial" w:cs="Arial"/>
          <w:sz w:val="20"/>
          <w:szCs w:val="20"/>
          <w:lang w:val="sr-Cyrl-RS"/>
        </w:rPr>
        <w:t xml:space="preserve">Једно од водећих начела </w:t>
      </w:r>
      <w:r w:rsidRPr="1A8E6423">
        <w:rPr>
          <w:rFonts w:ascii="Arial" w:hAnsi="Arial" w:cs="Arial"/>
          <w:sz w:val="20"/>
          <w:szCs w:val="20"/>
          <w:lang w:val="sr-Cyrl-RS"/>
        </w:rPr>
        <w:t xml:space="preserve">у избору начина реализације услуга јесте ефикасност. Општа </w:t>
      </w:r>
      <w:r w:rsidRPr="1A8E6423">
        <w:rPr>
          <w:rFonts w:ascii="Arial" w:hAnsi="Arial" w:cs="Arial"/>
          <w:sz w:val="20"/>
          <w:szCs w:val="20"/>
          <w:lang w:val="sr-Cyrl-RS"/>
        </w:rPr>
        <w:lastRenderedPageBreak/>
        <w:t>је тенденција и препорука међународних организација да локалне самоуправе користе алтернативне начине пружања услуга. Ипак стање у пракси зависи доста и од политичко-административног и идеолошког наслеђа, као и од тога о којој се конкретно области ради.</w:t>
      </w:r>
    </w:p>
    <w:p w14:paraId="3A1357D1" w14:textId="77777777" w:rsidR="00EA469B" w:rsidRPr="00A021B7" w:rsidRDefault="00EA469B" w:rsidP="003E7BC9">
      <w:pPr>
        <w:jc w:val="both"/>
        <w:rPr>
          <w:rFonts w:ascii="Arial" w:hAnsi="Arial" w:cs="Arial"/>
          <w:sz w:val="20"/>
          <w:szCs w:val="20"/>
          <w:lang w:val="sr-Cyrl-RS"/>
        </w:rPr>
      </w:pPr>
    </w:p>
    <w:p w14:paraId="131CCBF0" w14:textId="77777777" w:rsidR="00CE205B" w:rsidRPr="00A021B7" w:rsidRDefault="00E04FBF" w:rsidP="004935B9">
      <w:pPr>
        <w:pStyle w:val="Heading2"/>
        <w:rPr>
          <w:lang w:val="sr-Cyrl-RS"/>
        </w:rPr>
      </w:pPr>
      <w:bookmarkStart w:id="138" w:name="_Toc52865794"/>
      <w:bookmarkStart w:id="139" w:name="_Toc52866205"/>
      <w:bookmarkStart w:id="140" w:name="_Toc56508454"/>
      <w:bookmarkStart w:id="141" w:name="_Toc60136091"/>
      <w:r w:rsidRPr="00A021B7">
        <w:rPr>
          <w:lang w:val="sr-Cyrl-RS"/>
        </w:rPr>
        <w:t xml:space="preserve">V.6. </w:t>
      </w:r>
      <w:r w:rsidR="00EA469B" w:rsidRPr="00A021B7">
        <w:rPr>
          <w:lang w:val="sr-Cyrl-RS"/>
        </w:rPr>
        <w:t>Систем финансирања локалне самоуправе – приходи, расходи и удео у укупном јавном трошку</w:t>
      </w:r>
      <w:bookmarkEnd w:id="138"/>
      <w:bookmarkEnd w:id="139"/>
      <w:bookmarkEnd w:id="140"/>
      <w:bookmarkEnd w:id="141"/>
    </w:p>
    <w:p w14:paraId="52C875F3" w14:textId="77777777" w:rsidR="00EA469B" w:rsidRPr="00A021B7" w:rsidRDefault="00EA469B" w:rsidP="003E7BC9">
      <w:pPr>
        <w:jc w:val="center"/>
        <w:rPr>
          <w:rFonts w:ascii="Arial" w:hAnsi="Arial" w:cs="Arial"/>
          <w:b/>
          <w:sz w:val="20"/>
          <w:szCs w:val="20"/>
          <w:lang w:val="sr-Cyrl-RS"/>
        </w:rPr>
      </w:pPr>
    </w:p>
    <w:p w14:paraId="6F61DB38" w14:textId="0CE651E6"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Кључне теме у вези </w:t>
      </w:r>
      <w:r w:rsidR="00944068" w:rsidRPr="1A8E6423">
        <w:rPr>
          <w:rFonts w:ascii="Arial" w:hAnsi="Arial" w:cs="Arial"/>
          <w:sz w:val="20"/>
          <w:szCs w:val="20"/>
          <w:lang w:val="sr-Cyrl-RS"/>
        </w:rPr>
        <w:t xml:space="preserve">са системом </w:t>
      </w:r>
      <w:r w:rsidRPr="1A8E6423">
        <w:rPr>
          <w:rFonts w:ascii="Arial" w:hAnsi="Arial" w:cs="Arial"/>
          <w:sz w:val="20"/>
          <w:szCs w:val="20"/>
          <w:lang w:val="sr-Cyrl-RS"/>
        </w:rPr>
        <w:t xml:space="preserve">финансирања локалне самоуправе јесу локални приходи и расходи и количина новца која се издваја за локални ниво (посматра се као удео локалног јавног трошка у укупном јавном трошку, али и као удео </w:t>
      </w:r>
      <w:r w:rsidR="00944068" w:rsidRPr="1A8E6423">
        <w:rPr>
          <w:rFonts w:ascii="Arial" w:hAnsi="Arial" w:cs="Arial"/>
          <w:sz w:val="20"/>
          <w:szCs w:val="20"/>
          <w:lang w:val="sr-Cyrl-RS"/>
        </w:rPr>
        <w:t xml:space="preserve">у </w:t>
      </w:r>
      <w:r w:rsidRPr="1A8E6423">
        <w:rPr>
          <w:rFonts w:ascii="Arial" w:hAnsi="Arial" w:cs="Arial"/>
          <w:sz w:val="20"/>
          <w:szCs w:val="20"/>
          <w:lang w:val="sr-Cyrl-RS"/>
        </w:rPr>
        <w:t>БДП-</w:t>
      </w:r>
      <w:r w:rsidR="00944068" w:rsidRPr="1A8E6423">
        <w:rPr>
          <w:rFonts w:ascii="Arial" w:hAnsi="Arial" w:cs="Arial"/>
          <w:sz w:val="20"/>
          <w:szCs w:val="20"/>
          <w:lang w:val="sr-Cyrl-RS"/>
        </w:rPr>
        <w:t>у</w:t>
      </w:r>
      <w:r w:rsidRPr="1A8E6423">
        <w:rPr>
          <w:rFonts w:ascii="Arial" w:hAnsi="Arial" w:cs="Arial"/>
          <w:sz w:val="20"/>
          <w:szCs w:val="20"/>
          <w:lang w:val="sr-Cyrl-RS"/>
        </w:rPr>
        <w:t>).</w:t>
      </w:r>
    </w:p>
    <w:p w14:paraId="1823DB6C" w14:textId="77777777" w:rsidR="00E04FBF" w:rsidRPr="00A021B7" w:rsidRDefault="00E04FBF" w:rsidP="1A8E6423">
      <w:pPr>
        <w:ind w:firstLine="720"/>
        <w:jc w:val="both"/>
        <w:rPr>
          <w:rFonts w:ascii="Arial" w:hAnsi="Arial" w:cs="Arial"/>
          <w:sz w:val="20"/>
          <w:szCs w:val="20"/>
          <w:lang w:val="sr-Cyrl-RS"/>
        </w:rPr>
      </w:pPr>
    </w:p>
    <w:p w14:paraId="32A57D40" w14:textId="6BEB0AD3" w:rsidR="00EA469B" w:rsidRPr="00A021B7" w:rsidRDefault="00944068"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Код </w:t>
      </w:r>
      <w:r w:rsidR="00EA469B" w:rsidRPr="1A8E6423">
        <w:rPr>
          <w:rFonts w:ascii="Arial" w:hAnsi="Arial" w:cs="Arial"/>
          <w:sz w:val="20"/>
          <w:szCs w:val="20"/>
          <w:lang w:val="sr-Cyrl-RS"/>
        </w:rPr>
        <w:t xml:space="preserve">локалних прихода </w:t>
      </w:r>
      <w:r w:rsidRPr="1A8E6423">
        <w:rPr>
          <w:rFonts w:ascii="Arial" w:hAnsi="Arial" w:cs="Arial"/>
          <w:sz w:val="20"/>
          <w:szCs w:val="20"/>
          <w:lang w:val="sr-Cyrl-RS"/>
        </w:rPr>
        <w:t xml:space="preserve">разликују се </w:t>
      </w:r>
      <w:r w:rsidR="00EA469B" w:rsidRPr="1A8E6423">
        <w:rPr>
          <w:rFonts w:ascii="Arial" w:hAnsi="Arial" w:cs="Arial"/>
          <w:sz w:val="20"/>
          <w:szCs w:val="20"/>
          <w:lang w:val="sr-Cyrl-RS"/>
        </w:rPr>
        <w:t xml:space="preserve">сопствени и </w:t>
      </w:r>
      <w:r w:rsidRPr="1A8E6423">
        <w:rPr>
          <w:rFonts w:ascii="Arial" w:hAnsi="Arial" w:cs="Arial"/>
          <w:sz w:val="20"/>
          <w:szCs w:val="20"/>
          <w:lang w:val="sr-Cyrl-RS"/>
        </w:rPr>
        <w:t xml:space="preserve">приходи </w:t>
      </w:r>
      <w:r w:rsidR="00EA469B" w:rsidRPr="1A8E6423">
        <w:rPr>
          <w:rFonts w:ascii="Arial" w:hAnsi="Arial" w:cs="Arial"/>
          <w:sz w:val="20"/>
          <w:szCs w:val="20"/>
          <w:lang w:val="sr-Cyrl-RS"/>
        </w:rPr>
        <w:t xml:space="preserve">који долазе из централног буџета. Суштина овог разликовања је у томе што локалне власти имају потпуну слободу у управљању сопственим приходима, док у случају државних давања уобичајено постоје лимити које прописује држава (мада у оквиру овога има доста разноликости). Грубо говорећи, у просеку однос ова два дела буџета је </w:t>
      </w:r>
      <w:r w:rsidRPr="1A8E6423">
        <w:rPr>
          <w:rFonts w:ascii="Arial" w:hAnsi="Arial" w:cs="Arial"/>
          <w:sz w:val="20"/>
          <w:szCs w:val="20"/>
          <w:lang w:val="sr-Cyrl-RS"/>
        </w:rPr>
        <w:t>пола-пола</w:t>
      </w:r>
      <w:r w:rsidR="00EA469B" w:rsidRPr="1A8E6423">
        <w:rPr>
          <w:rFonts w:ascii="Arial" w:hAnsi="Arial" w:cs="Arial"/>
          <w:sz w:val="20"/>
          <w:szCs w:val="20"/>
          <w:lang w:val="sr-Cyrl-RS"/>
        </w:rPr>
        <w:t>, па се општине које имају сопствене приходе веће од 50% укупног буџета могу сматрати финансијски јачим или независнијим од централне власти. Локални приходи се у многим међународним извештајима поједностављено представљају као порески приходи (што чини највећи део сопствених прихода</w:t>
      </w:r>
      <w:r w:rsidR="00385058" w:rsidRPr="1A8E6423">
        <w:rPr>
          <w:rFonts w:ascii="Arial" w:hAnsi="Arial" w:cs="Arial"/>
          <w:sz w:val="20"/>
          <w:szCs w:val="20"/>
          <w:lang w:val="sr-Cyrl-RS"/>
        </w:rPr>
        <w:t xml:space="preserve"> и</w:t>
      </w:r>
      <w:r w:rsidR="00EA469B" w:rsidRPr="1A8E6423">
        <w:rPr>
          <w:rFonts w:ascii="Arial" w:hAnsi="Arial" w:cs="Arial"/>
          <w:sz w:val="20"/>
          <w:szCs w:val="20"/>
          <w:lang w:val="sr-Cyrl-RS"/>
        </w:rPr>
        <w:t xml:space="preserve"> као државна давања и остали приходи (који чине мањи део буџета</w:t>
      </w:r>
      <w:r w:rsidR="00385058" w:rsidRPr="1A8E6423">
        <w:rPr>
          <w:rFonts w:ascii="Arial" w:hAnsi="Arial" w:cs="Arial"/>
          <w:sz w:val="20"/>
          <w:szCs w:val="20"/>
          <w:lang w:val="sr-Cyrl-RS"/>
        </w:rPr>
        <w:t>,</w:t>
      </w:r>
      <w:r w:rsidR="00EA469B" w:rsidRPr="1A8E6423">
        <w:rPr>
          <w:rFonts w:ascii="Arial" w:hAnsi="Arial" w:cs="Arial"/>
          <w:sz w:val="20"/>
          <w:szCs w:val="20"/>
          <w:lang w:val="sr-Cyrl-RS"/>
        </w:rPr>
        <w:t xml:space="preserve"> 5</w:t>
      </w:r>
      <w:r w:rsidR="00385058" w:rsidRPr="1A8E6423">
        <w:rPr>
          <w:rFonts w:ascii="Arial" w:hAnsi="Arial" w:cs="Arial"/>
          <w:sz w:val="20"/>
          <w:szCs w:val="20"/>
          <w:lang w:val="sr-Cyrl-RS"/>
        </w:rPr>
        <w:t>–</w:t>
      </w:r>
      <w:r w:rsidR="00EA469B" w:rsidRPr="1A8E6423">
        <w:rPr>
          <w:rFonts w:ascii="Arial" w:hAnsi="Arial" w:cs="Arial"/>
          <w:sz w:val="20"/>
          <w:szCs w:val="20"/>
          <w:lang w:val="sr-Cyrl-RS"/>
        </w:rPr>
        <w:t>20%, али се такође могу сматрати сопственим приходима). Међу европским државама порески приходи се најчешће крећу у распону од 20</w:t>
      </w:r>
      <w:r w:rsidR="0022333F" w:rsidRPr="1A8E6423">
        <w:rPr>
          <w:rFonts w:ascii="Arial" w:hAnsi="Arial" w:cs="Arial"/>
          <w:sz w:val="20"/>
          <w:szCs w:val="20"/>
          <w:lang w:val="sr-Cyrl-RS"/>
        </w:rPr>
        <w:t>%</w:t>
      </w:r>
      <w:r w:rsidR="00EA469B" w:rsidRPr="1A8E6423">
        <w:rPr>
          <w:rFonts w:ascii="Arial" w:hAnsi="Arial" w:cs="Arial"/>
          <w:sz w:val="20"/>
          <w:szCs w:val="20"/>
          <w:lang w:val="sr-Cyrl-RS"/>
        </w:rPr>
        <w:t xml:space="preserve"> до 50% локалног буџета, остали (сопствени) приходи од 5</w:t>
      </w:r>
      <w:r w:rsidR="0022333F" w:rsidRPr="1A8E6423">
        <w:rPr>
          <w:rFonts w:ascii="Arial" w:hAnsi="Arial" w:cs="Arial"/>
          <w:sz w:val="20"/>
          <w:szCs w:val="20"/>
          <w:lang w:val="sr-Cyrl-RS"/>
        </w:rPr>
        <w:t>%</w:t>
      </w:r>
      <w:r w:rsidR="00EA469B" w:rsidRPr="1A8E6423">
        <w:rPr>
          <w:rFonts w:ascii="Arial" w:hAnsi="Arial" w:cs="Arial"/>
          <w:sz w:val="20"/>
          <w:szCs w:val="20"/>
          <w:lang w:val="sr-Cyrl-RS"/>
        </w:rPr>
        <w:t xml:space="preserve"> до 20% а државна давања углавном између</w:t>
      </w:r>
      <w:r w:rsidR="004D5004" w:rsidRPr="1A8E6423">
        <w:rPr>
          <w:rFonts w:ascii="Arial" w:hAnsi="Arial" w:cs="Arial"/>
          <w:sz w:val="20"/>
          <w:szCs w:val="20"/>
          <w:lang w:val="sr-Cyrl-RS"/>
        </w:rPr>
        <w:t xml:space="preserve"> </w:t>
      </w:r>
      <w:r w:rsidR="00EA469B" w:rsidRPr="1A8E6423">
        <w:rPr>
          <w:rFonts w:ascii="Arial" w:hAnsi="Arial" w:cs="Arial"/>
          <w:sz w:val="20"/>
          <w:szCs w:val="20"/>
          <w:lang w:val="sr-Cyrl-RS"/>
        </w:rPr>
        <w:t>30</w:t>
      </w:r>
      <w:r w:rsidR="0022333F" w:rsidRPr="1A8E6423">
        <w:rPr>
          <w:rFonts w:ascii="Arial" w:hAnsi="Arial" w:cs="Arial"/>
          <w:sz w:val="20"/>
          <w:szCs w:val="20"/>
          <w:lang w:val="sr-Cyrl-RS"/>
        </w:rPr>
        <w:t>%</w:t>
      </w:r>
      <w:r w:rsidR="00EA469B" w:rsidRPr="1A8E6423">
        <w:rPr>
          <w:rFonts w:ascii="Arial" w:hAnsi="Arial" w:cs="Arial"/>
          <w:sz w:val="20"/>
          <w:szCs w:val="20"/>
          <w:lang w:val="sr-Cyrl-RS"/>
        </w:rPr>
        <w:t xml:space="preserve"> и 70%.</w:t>
      </w:r>
    </w:p>
    <w:p w14:paraId="11C2D0E0" w14:textId="77777777" w:rsidR="00E04FBF" w:rsidRPr="00A021B7" w:rsidRDefault="00E04FBF" w:rsidP="1A8E6423">
      <w:pPr>
        <w:ind w:firstLine="720"/>
        <w:jc w:val="both"/>
        <w:rPr>
          <w:rFonts w:ascii="Arial" w:hAnsi="Arial" w:cs="Arial"/>
          <w:sz w:val="20"/>
          <w:szCs w:val="20"/>
          <w:lang w:val="sr-Cyrl-RS"/>
        </w:rPr>
      </w:pPr>
    </w:p>
    <w:p w14:paraId="79D3E5EE" w14:textId="61AEC227"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Велики део потрошње локалних власти </w:t>
      </w:r>
      <w:r w:rsidR="00385058" w:rsidRPr="1A8E6423">
        <w:rPr>
          <w:rFonts w:ascii="Arial" w:hAnsi="Arial" w:cs="Arial"/>
          <w:sz w:val="20"/>
          <w:szCs w:val="20"/>
          <w:lang w:val="sr-Cyrl-RS"/>
        </w:rPr>
        <w:t xml:space="preserve">одлази на </w:t>
      </w:r>
      <w:r w:rsidRPr="1A8E6423">
        <w:rPr>
          <w:rFonts w:ascii="Arial" w:hAnsi="Arial" w:cs="Arial"/>
          <w:sz w:val="20"/>
          <w:szCs w:val="20"/>
          <w:lang w:val="sr-Cyrl-RS"/>
        </w:rPr>
        <w:t>образовање, јавне службе и социјалн</w:t>
      </w:r>
      <w:r w:rsidR="00385058" w:rsidRPr="1A8E6423">
        <w:rPr>
          <w:rFonts w:ascii="Arial" w:hAnsi="Arial" w:cs="Arial"/>
          <w:sz w:val="20"/>
          <w:szCs w:val="20"/>
          <w:lang w:val="sr-Cyrl-RS"/>
        </w:rPr>
        <w:t>у</w:t>
      </w:r>
      <w:r w:rsidRPr="1A8E6423">
        <w:rPr>
          <w:rFonts w:ascii="Arial" w:hAnsi="Arial" w:cs="Arial"/>
          <w:sz w:val="20"/>
          <w:szCs w:val="20"/>
          <w:lang w:val="sr-Cyrl-RS"/>
        </w:rPr>
        <w:t xml:space="preserve"> заштит</w:t>
      </w:r>
      <w:r w:rsidR="00385058" w:rsidRPr="1A8E6423">
        <w:rPr>
          <w:rFonts w:ascii="Arial" w:hAnsi="Arial" w:cs="Arial"/>
          <w:sz w:val="20"/>
          <w:szCs w:val="20"/>
          <w:lang w:val="sr-Cyrl-RS"/>
        </w:rPr>
        <w:t>у</w:t>
      </w:r>
      <w:r w:rsidRPr="1A8E6423">
        <w:rPr>
          <w:rFonts w:ascii="Arial" w:hAnsi="Arial" w:cs="Arial"/>
          <w:sz w:val="20"/>
          <w:szCs w:val="20"/>
          <w:lang w:val="sr-Cyrl-RS"/>
        </w:rPr>
        <w:t xml:space="preserve">. Ипак, конкретна потрошња зависи од типа државе и концепције јавног сектора. </w:t>
      </w:r>
      <w:r w:rsidR="0022333F" w:rsidRPr="1A8E6423">
        <w:rPr>
          <w:rFonts w:ascii="Arial" w:hAnsi="Arial" w:cs="Arial"/>
          <w:sz w:val="20"/>
          <w:szCs w:val="20"/>
          <w:lang w:val="sr-Cyrl-RS"/>
        </w:rPr>
        <w:t>Н</w:t>
      </w:r>
      <w:r w:rsidRPr="1A8E6423">
        <w:rPr>
          <w:rFonts w:ascii="Arial" w:hAnsi="Arial" w:cs="Arial"/>
          <w:sz w:val="20"/>
          <w:szCs w:val="20"/>
          <w:lang w:val="sr-Cyrl-RS"/>
        </w:rPr>
        <w:t>а пример, у скандинавским земљама</w:t>
      </w:r>
      <w:r w:rsidR="0022333F" w:rsidRPr="1A8E6423">
        <w:rPr>
          <w:rFonts w:ascii="Arial" w:hAnsi="Arial" w:cs="Arial"/>
          <w:sz w:val="20"/>
          <w:szCs w:val="20"/>
          <w:lang w:val="sr-Cyrl-RS"/>
        </w:rPr>
        <w:t>,</w:t>
      </w:r>
      <w:r w:rsidRPr="1A8E6423">
        <w:rPr>
          <w:rFonts w:ascii="Arial" w:hAnsi="Arial" w:cs="Arial"/>
          <w:sz w:val="20"/>
          <w:szCs w:val="20"/>
          <w:lang w:val="sr-Cyrl-RS"/>
        </w:rPr>
        <w:t xml:space="preserve"> због политике благостања, локалне власти далеко више троше на здравство и социјалну заштиту у односу на друге европске земље.</w:t>
      </w:r>
    </w:p>
    <w:p w14:paraId="5128E361" w14:textId="77777777" w:rsidR="00E04FBF" w:rsidRPr="00A021B7" w:rsidRDefault="00E04FBF" w:rsidP="1A8E6423">
      <w:pPr>
        <w:ind w:firstLine="720"/>
        <w:jc w:val="both"/>
        <w:rPr>
          <w:rFonts w:ascii="Arial" w:hAnsi="Arial" w:cs="Arial"/>
          <w:sz w:val="20"/>
          <w:szCs w:val="20"/>
          <w:lang w:val="sr-Cyrl-RS"/>
        </w:rPr>
      </w:pPr>
    </w:p>
    <w:p w14:paraId="28A7ED43" w14:textId="60BE1A5C"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Однос локалног јавног </w:t>
      </w:r>
      <w:r w:rsidR="0022333F" w:rsidRPr="1A8E6423">
        <w:rPr>
          <w:rFonts w:ascii="Arial" w:hAnsi="Arial" w:cs="Arial"/>
          <w:sz w:val="20"/>
          <w:szCs w:val="20"/>
          <w:lang w:val="sr-Cyrl-RS"/>
        </w:rPr>
        <w:t xml:space="preserve">трошка </w:t>
      </w:r>
      <w:r w:rsidR="00CF0558" w:rsidRPr="1A8E6423">
        <w:rPr>
          <w:rFonts w:ascii="Arial" w:hAnsi="Arial" w:cs="Arial"/>
          <w:sz w:val="20"/>
          <w:szCs w:val="20"/>
          <w:lang w:val="sr-Cyrl-RS"/>
        </w:rPr>
        <w:t xml:space="preserve">према укупном јавном трошку, </w:t>
      </w:r>
      <w:r w:rsidRPr="1A8E6423">
        <w:rPr>
          <w:rFonts w:ascii="Arial" w:hAnsi="Arial" w:cs="Arial"/>
          <w:sz w:val="20"/>
          <w:szCs w:val="20"/>
          <w:lang w:val="sr-Cyrl-RS"/>
        </w:rPr>
        <w:t xml:space="preserve">као и </w:t>
      </w:r>
      <w:r w:rsidR="00D22D3F" w:rsidRPr="1A8E6423">
        <w:rPr>
          <w:rFonts w:ascii="Arial" w:hAnsi="Arial" w:cs="Arial"/>
          <w:sz w:val="20"/>
          <w:szCs w:val="20"/>
          <w:lang w:val="sr-Cyrl-RS"/>
        </w:rPr>
        <w:t xml:space="preserve">степен </w:t>
      </w:r>
      <w:r w:rsidR="00E969AD" w:rsidRPr="1A8E6423">
        <w:rPr>
          <w:rFonts w:ascii="Arial" w:hAnsi="Arial" w:cs="Arial"/>
          <w:sz w:val="20"/>
          <w:szCs w:val="20"/>
          <w:lang w:val="sr-Cyrl-RS"/>
        </w:rPr>
        <w:t xml:space="preserve">учешћа </w:t>
      </w:r>
      <w:r w:rsidR="00F4774C" w:rsidRPr="1A8E6423">
        <w:rPr>
          <w:rFonts w:ascii="Arial" w:hAnsi="Arial" w:cs="Arial"/>
          <w:sz w:val="20"/>
          <w:szCs w:val="20"/>
          <w:lang w:val="sr-Cyrl-RS"/>
        </w:rPr>
        <w:t>расхода локалних власти у</w:t>
      </w:r>
      <w:r w:rsidR="00E969AD" w:rsidRPr="1A8E6423">
        <w:rPr>
          <w:rFonts w:ascii="Arial" w:hAnsi="Arial" w:cs="Arial"/>
          <w:sz w:val="20"/>
          <w:szCs w:val="20"/>
          <w:lang w:val="sr-Cyrl-RS"/>
        </w:rPr>
        <w:t xml:space="preserve"> </w:t>
      </w:r>
      <w:r w:rsidRPr="1A8E6423">
        <w:rPr>
          <w:rFonts w:ascii="Arial" w:hAnsi="Arial" w:cs="Arial"/>
          <w:sz w:val="20"/>
          <w:szCs w:val="20"/>
          <w:lang w:val="sr-Cyrl-RS"/>
        </w:rPr>
        <w:t>БДП</w:t>
      </w:r>
      <w:r w:rsidR="00CF0558" w:rsidRPr="1A8E6423">
        <w:rPr>
          <w:rFonts w:ascii="Arial" w:hAnsi="Arial" w:cs="Arial"/>
          <w:sz w:val="20"/>
          <w:szCs w:val="20"/>
          <w:lang w:val="sr-Cyrl-RS"/>
        </w:rPr>
        <w:t>,</w:t>
      </w:r>
      <w:r w:rsidRPr="1A8E6423">
        <w:rPr>
          <w:rFonts w:ascii="Arial" w:hAnsi="Arial" w:cs="Arial"/>
          <w:sz w:val="20"/>
          <w:szCs w:val="20"/>
          <w:lang w:val="sr-Cyrl-RS"/>
        </w:rPr>
        <w:t xml:space="preserve"> добар </w:t>
      </w:r>
      <w:r w:rsidR="00CF0558" w:rsidRPr="1A8E6423">
        <w:rPr>
          <w:rFonts w:ascii="Arial" w:hAnsi="Arial" w:cs="Arial"/>
          <w:sz w:val="20"/>
          <w:szCs w:val="20"/>
          <w:lang w:val="sr-Cyrl-RS"/>
        </w:rPr>
        <w:t xml:space="preserve">су </w:t>
      </w:r>
      <w:r w:rsidRPr="1A8E6423">
        <w:rPr>
          <w:rFonts w:ascii="Arial" w:hAnsi="Arial" w:cs="Arial"/>
          <w:sz w:val="20"/>
          <w:szCs w:val="20"/>
          <w:lang w:val="sr-Cyrl-RS"/>
        </w:rPr>
        <w:t>показатељ децентрализованости државе. По овим критеријум</w:t>
      </w:r>
      <w:r w:rsidR="00385058" w:rsidRPr="1A8E6423">
        <w:rPr>
          <w:rFonts w:ascii="Arial" w:hAnsi="Arial" w:cs="Arial"/>
          <w:sz w:val="20"/>
          <w:szCs w:val="20"/>
          <w:lang w:val="sr-Cyrl-RS"/>
        </w:rPr>
        <w:t>им</w:t>
      </w:r>
      <w:r w:rsidRPr="1A8E6423">
        <w:rPr>
          <w:rFonts w:ascii="Arial" w:hAnsi="Arial" w:cs="Arial"/>
          <w:sz w:val="20"/>
          <w:szCs w:val="20"/>
          <w:lang w:val="sr-Cyrl-RS"/>
        </w:rPr>
        <w:t>а</w:t>
      </w:r>
      <w:r w:rsidR="00CF0558" w:rsidRPr="1A8E6423">
        <w:rPr>
          <w:rFonts w:ascii="Arial" w:hAnsi="Arial" w:cs="Arial"/>
          <w:sz w:val="20"/>
          <w:szCs w:val="20"/>
          <w:lang w:val="sr-Cyrl-RS"/>
        </w:rPr>
        <w:t>,</w:t>
      </w:r>
      <w:r w:rsidRPr="1A8E6423">
        <w:rPr>
          <w:rFonts w:ascii="Arial" w:hAnsi="Arial" w:cs="Arial"/>
          <w:sz w:val="20"/>
          <w:szCs w:val="20"/>
          <w:lang w:val="sr-Cyrl-RS"/>
        </w:rPr>
        <w:t xml:space="preserve"> као изразито децентрализоване државе се могу навести Данска и Шведска</w:t>
      </w:r>
      <w:r w:rsidR="00385058" w:rsidRPr="1A8E6423">
        <w:rPr>
          <w:rFonts w:ascii="Arial" w:hAnsi="Arial" w:cs="Arial"/>
          <w:sz w:val="20"/>
          <w:szCs w:val="20"/>
          <w:lang w:val="sr-Cyrl-RS"/>
        </w:rPr>
        <w:t>,</w:t>
      </w:r>
      <w:r w:rsidRPr="1A8E6423">
        <w:rPr>
          <w:rFonts w:ascii="Arial" w:hAnsi="Arial" w:cs="Arial"/>
          <w:sz w:val="20"/>
          <w:szCs w:val="20"/>
          <w:lang w:val="sr-Cyrl-RS"/>
        </w:rPr>
        <w:t xml:space="preserve"> у којима више од половине јавног трошка чини локални јавни трошак.</w:t>
      </w:r>
    </w:p>
    <w:p w14:paraId="4D45E1D4" w14:textId="77777777" w:rsidR="007546B6" w:rsidRPr="00A021B7" w:rsidRDefault="007546B6" w:rsidP="1A8E6423">
      <w:pPr>
        <w:ind w:firstLine="720"/>
        <w:jc w:val="both"/>
        <w:rPr>
          <w:rFonts w:ascii="Arial" w:hAnsi="Arial" w:cs="Arial"/>
          <w:sz w:val="20"/>
          <w:szCs w:val="20"/>
          <w:lang w:val="sr-Cyrl-RS"/>
        </w:rPr>
      </w:pPr>
    </w:p>
    <w:p w14:paraId="0CF56E97" w14:textId="0B31CB2F" w:rsidR="00EA469B" w:rsidRPr="00A021B7" w:rsidRDefault="005764C9" w:rsidP="1A8E6423">
      <w:pPr>
        <w:rPr>
          <w:rFonts w:ascii="Arial" w:hAnsi="Arial" w:cs="Arial"/>
          <w:i/>
          <w:iCs/>
          <w:sz w:val="20"/>
          <w:szCs w:val="20"/>
          <w:lang w:val="sr-Cyrl-RS"/>
        </w:rPr>
      </w:pPr>
      <w:r w:rsidRPr="1A8E6423">
        <w:rPr>
          <w:rFonts w:ascii="Arial" w:hAnsi="Arial" w:cs="Arial"/>
          <w:i/>
          <w:iCs/>
          <w:sz w:val="20"/>
          <w:szCs w:val="20"/>
          <w:lang w:val="sr-Cyrl-RS"/>
        </w:rPr>
        <w:t>Табела 1</w:t>
      </w:r>
      <w:r w:rsidR="002139C8" w:rsidRPr="1A8E6423">
        <w:rPr>
          <w:rFonts w:ascii="Arial" w:hAnsi="Arial" w:cs="Arial"/>
          <w:i/>
          <w:iCs/>
          <w:sz w:val="20"/>
          <w:szCs w:val="20"/>
          <w:lang w:val="sr-Cyrl-RS"/>
        </w:rPr>
        <w:t>3</w:t>
      </w:r>
      <w:r w:rsidRPr="1A8E6423">
        <w:rPr>
          <w:rFonts w:ascii="Arial" w:hAnsi="Arial" w:cs="Arial"/>
          <w:i/>
          <w:iCs/>
          <w:sz w:val="20"/>
          <w:szCs w:val="20"/>
          <w:lang w:val="sr-Cyrl-RS"/>
        </w:rPr>
        <w:t xml:space="preserve">: </w:t>
      </w:r>
      <w:r w:rsidR="00EA469B" w:rsidRPr="1A8E6423">
        <w:rPr>
          <w:rFonts w:ascii="Arial" w:hAnsi="Arial" w:cs="Arial"/>
          <w:i/>
          <w:iCs/>
          <w:sz w:val="20"/>
          <w:szCs w:val="20"/>
          <w:lang w:val="sr-Cyrl-RS"/>
        </w:rPr>
        <w:t>Изразито децентрализоване европске државе</w:t>
      </w:r>
    </w:p>
    <w:p w14:paraId="3EA051E6" w14:textId="77777777" w:rsidR="007546B6" w:rsidRPr="00A021B7" w:rsidRDefault="007546B6" w:rsidP="003E7BC9">
      <w:pPr>
        <w:jc w:val="center"/>
        <w:rPr>
          <w:rFonts w:ascii="Arial" w:hAnsi="Arial" w:cs="Arial"/>
          <w:i/>
          <w:sz w:val="20"/>
          <w:szCs w:val="20"/>
          <w:lang w:val="sr-Cyrl-RS"/>
        </w:rPr>
      </w:pP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371"/>
        <w:gridCol w:w="2286"/>
        <w:gridCol w:w="2853"/>
      </w:tblGrid>
      <w:tr w:rsidR="00E04FBF" w:rsidRPr="00A021B7" w14:paraId="3978771E" w14:textId="77777777" w:rsidTr="1A8E6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772C37E" w14:textId="77777777" w:rsidR="00EA469B" w:rsidRPr="00A021B7" w:rsidRDefault="00FC6F04" w:rsidP="003E7BC9">
            <w:pPr>
              <w:rPr>
                <w:rFonts w:ascii="Arial" w:hAnsi="Arial" w:cs="Arial"/>
                <w:sz w:val="20"/>
                <w:szCs w:val="20"/>
                <w:lang w:val="sr-Cyrl-RS"/>
              </w:rPr>
            </w:pPr>
            <w:r w:rsidRPr="00A021B7">
              <w:rPr>
                <w:rFonts w:ascii="Arial" w:hAnsi="Arial" w:cs="Arial"/>
                <w:sz w:val="20"/>
                <w:szCs w:val="20"/>
                <w:lang w:val="sr-Cyrl-RS"/>
              </w:rPr>
              <w:t>Д</w:t>
            </w:r>
            <w:r w:rsidR="00EA469B" w:rsidRPr="00A021B7">
              <w:rPr>
                <w:rFonts w:ascii="Arial" w:hAnsi="Arial" w:cs="Arial"/>
                <w:sz w:val="20"/>
                <w:szCs w:val="20"/>
                <w:lang w:val="sr-Cyrl-RS"/>
              </w:rPr>
              <w:t>ржава</w:t>
            </w:r>
          </w:p>
        </w:tc>
        <w:tc>
          <w:tcPr>
            <w:tcW w:w="2520" w:type="dxa"/>
          </w:tcPr>
          <w:p w14:paraId="78C27191" w14:textId="003A5323" w:rsidR="00EA469B" w:rsidRPr="00A021B7" w:rsidRDefault="00EA469B" w:rsidP="003E7BC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 xml:space="preserve">јавни </w:t>
            </w:r>
            <w:r w:rsidR="00E66568" w:rsidRPr="00A021B7">
              <w:rPr>
                <w:rFonts w:ascii="Arial" w:hAnsi="Arial" w:cs="Arial"/>
                <w:sz w:val="20"/>
                <w:szCs w:val="20"/>
                <w:lang w:val="sr-Cyrl-RS"/>
              </w:rPr>
              <w:t xml:space="preserve">расход </w:t>
            </w:r>
            <w:r w:rsidRPr="00A021B7">
              <w:rPr>
                <w:rFonts w:ascii="Arial" w:hAnsi="Arial" w:cs="Arial"/>
                <w:sz w:val="20"/>
                <w:szCs w:val="20"/>
                <w:lang w:val="sr-Cyrl-RS"/>
              </w:rPr>
              <w:t>као % БДП</w:t>
            </w:r>
          </w:p>
        </w:tc>
        <w:tc>
          <w:tcPr>
            <w:tcW w:w="2340" w:type="dxa"/>
          </w:tcPr>
          <w:p w14:paraId="568BBBBD" w14:textId="589421F5" w:rsidR="00EA469B" w:rsidRPr="00A021B7" w:rsidRDefault="00EA469B" w:rsidP="003E7BC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 xml:space="preserve">субнационални </w:t>
            </w:r>
            <w:r w:rsidR="39137F4C" w:rsidRPr="1A8E6423">
              <w:rPr>
                <w:rFonts w:ascii="Arial" w:hAnsi="Arial" w:cs="Arial"/>
                <w:sz w:val="20"/>
                <w:szCs w:val="20"/>
                <w:lang w:val="sr-Cyrl-RS"/>
              </w:rPr>
              <w:t xml:space="preserve">расходи </w:t>
            </w:r>
            <w:r w:rsidRPr="1A8E6423">
              <w:rPr>
                <w:rFonts w:ascii="Arial" w:hAnsi="Arial" w:cs="Arial"/>
                <w:sz w:val="20"/>
                <w:szCs w:val="20"/>
                <w:lang w:val="sr-Cyrl-RS"/>
              </w:rPr>
              <w:t>као % БДП</w:t>
            </w:r>
          </w:p>
        </w:tc>
        <w:tc>
          <w:tcPr>
            <w:tcW w:w="2965" w:type="dxa"/>
          </w:tcPr>
          <w:p w14:paraId="49AE2970" w14:textId="5F72F4F0" w:rsidR="00EA469B" w:rsidRPr="00A021B7" w:rsidRDefault="00EA469B" w:rsidP="003E7BC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 xml:space="preserve">субнационални </w:t>
            </w:r>
            <w:r w:rsidR="39137F4C" w:rsidRPr="1A8E6423">
              <w:rPr>
                <w:rFonts w:ascii="Arial" w:hAnsi="Arial" w:cs="Arial"/>
                <w:sz w:val="20"/>
                <w:szCs w:val="20"/>
                <w:lang w:val="sr-Cyrl-RS"/>
              </w:rPr>
              <w:t>расход</w:t>
            </w:r>
            <w:r w:rsidRPr="1A8E6423">
              <w:rPr>
                <w:rFonts w:ascii="Arial" w:hAnsi="Arial" w:cs="Arial"/>
                <w:sz w:val="20"/>
                <w:szCs w:val="20"/>
                <w:lang w:val="sr-Cyrl-RS"/>
              </w:rPr>
              <w:t xml:space="preserve"> као % укупног јавног трошка</w:t>
            </w:r>
          </w:p>
        </w:tc>
      </w:tr>
      <w:tr w:rsidR="00E04FBF" w:rsidRPr="00A021B7" w14:paraId="0ABF547A"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D7E9409"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Данска</w:t>
            </w:r>
          </w:p>
        </w:tc>
        <w:tc>
          <w:tcPr>
            <w:tcW w:w="2520" w:type="dxa"/>
          </w:tcPr>
          <w:p w14:paraId="5C020AD0" w14:textId="77777777" w:rsidR="00EA469B" w:rsidRPr="00A021B7" w:rsidRDefault="00EA469B"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53,6</w:t>
            </w:r>
          </w:p>
        </w:tc>
        <w:tc>
          <w:tcPr>
            <w:tcW w:w="2340" w:type="dxa"/>
          </w:tcPr>
          <w:p w14:paraId="5565BCD4" w14:textId="77777777" w:rsidR="00EA469B" w:rsidRPr="00A021B7" w:rsidRDefault="00EA469B"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34,8</w:t>
            </w:r>
          </w:p>
        </w:tc>
        <w:tc>
          <w:tcPr>
            <w:tcW w:w="2965" w:type="dxa"/>
          </w:tcPr>
          <w:p w14:paraId="3B0A071A" w14:textId="77777777" w:rsidR="00EA469B" w:rsidRPr="00A021B7" w:rsidRDefault="00EA469B"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65</w:t>
            </w:r>
          </w:p>
        </w:tc>
      </w:tr>
      <w:tr w:rsidR="00E04FBF" w:rsidRPr="00A021B7" w14:paraId="47F2E1DD" w14:textId="77777777" w:rsidTr="1A8E6423">
        <w:tc>
          <w:tcPr>
            <w:cnfStyle w:val="001000000000" w:firstRow="0" w:lastRow="0" w:firstColumn="1" w:lastColumn="0" w:oddVBand="0" w:evenVBand="0" w:oddHBand="0" w:evenHBand="0" w:firstRowFirstColumn="0" w:firstRowLastColumn="0" w:lastRowFirstColumn="0" w:lastRowLastColumn="0"/>
            <w:tcW w:w="1525" w:type="dxa"/>
          </w:tcPr>
          <w:p w14:paraId="6918929A" w14:textId="77777777" w:rsidR="00EA469B" w:rsidRPr="00A021B7" w:rsidRDefault="00EA469B" w:rsidP="003E7BC9">
            <w:pPr>
              <w:rPr>
                <w:rFonts w:ascii="Arial" w:hAnsi="Arial" w:cs="Arial"/>
                <w:sz w:val="20"/>
                <w:szCs w:val="20"/>
                <w:lang w:val="sr-Cyrl-RS"/>
              </w:rPr>
            </w:pPr>
            <w:r w:rsidRPr="00A021B7">
              <w:rPr>
                <w:rFonts w:ascii="Arial" w:hAnsi="Arial" w:cs="Arial"/>
                <w:sz w:val="20"/>
                <w:szCs w:val="20"/>
                <w:lang w:val="sr-Cyrl-RS"/>
              </w:rPr>
              <w:t>Шведска</w:t>
            </w:r>
          </w:p>
        </w:tc>
        <w:tc>
          <w:tcPr>
            <w:tcW w:w="2520" w:type="dxa"/>
          </w:tcPr>
          <w:p w14:paraId="6EBD0651" w14:textId="77777777"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49,5</w:t>
            </w:r>
          </w:p>
        </w:tc>
        <w:tc>
          <w:tcPr>
            <w:tcW w:w="2340" w:type="dxa"/>
          </w:tcPr>
          <w:p w14:paraId="64A8529A" w14:textId="77777777"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25</w:t>
            </w:r>
          </w:p>
        </w:tc>
        <w:tc>
          <w:tcPr>
            <w:tcW w:w="2965" w:type="dxa"/>
          </w:tcPr>
          <w:p w14:paraId="2875BD7B" w14:textId="77777777"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50,6</w:t>
            </w:r>
          </w:p>
        </w:tc>
      </w:tr>
      <w:tr w:rsidR="00E04FBF" w:rsidRPr="00A021B7" w14:paraId="763E367B"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BCFAE61" w14:textId="77777777" w:rsidR="00EA469B" w:rsidRPr="00A021B7" w:rsidRDefault="00EA469B" w:rsidP="003E7BC9">
            <w:pPr>
              <w:rPr>
                <w:rFonts w:ascii="Arial" w:hAnsi="Arial" w:cs="Arial"/>
                <w:sz w:val="20"/>
                <w:szCs w:val="20"/>
                <w:lang w:val="sr-Cyrl-RS"/>
              </w:rPr>
            </w:pPr>
            <w:r w:rsidRPr="00A021B7">
              <w:rPr>
                <w:rFonts w:ascii="Arial" w:hAnsi="Arial" w:cs="Arial"/>
                <w:sz w:val="20"/>
                <w:szCs w:val="20"/>
                <w:lang w:val="sr-Cyrl-RS"/>
              </w:rPr>
              <w:t>Финска</w:t>
            </w:r>
          </w:p>
        </w:tc>
        <w:tc>
          <w:tcPr>
            <w:tcW w:w="2520" w:type="dxa"/>
          </w:tcPr>
          <w:p w14:paraId="7961A9EF"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55,7</w:t>
            </w:r>
          </w:p>
        </w:tc>
        <w:tc>
          <w:tcPr>
            <w:tcW w:w="2340" w:type="dxa"/>
          </w:tcPr>
          <w:p w14:paraId="32C128D7"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22,4</w:t>
            </w:r>
          </w:p>
        </w:tc>
        <w:tc>
          <w:tcPr>
            <w:tcW w:w="2965" w:type="dxa"/>
          </w:tcPr>
          <w:p w14:paraId="3748930D"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40,2</w:t>
            </w:r>
          </w:p>
        </w:tc>
      </w:tr>
      <w:tr w:rsidR="00E04FBF" w:rsidRPr="00A021B7" w14:paraId="298FF2F3" w14:textId="77777777" w:rsidTr="1A8E6423">
        <w:tc>
          <w:tcPr>
            <w:cnfStyle w:val="001000000000" w:firstRow="0" w:lastRow="0" w:firstColumn="1" w:lastColumn="0" w:oddVBand="0" w:evenVBand="0" w:oddHBand="0" w:evenHBand="0" w:firstRowFirstColumn="0" w:firstRowLastColumn="0" w:lastRowFirstColumn="0" w:lastRowLastColumn="0"/>
            <w:tcW w:w="1525" w:type="dxa"/>
          </w:tcPr>
          <w:p w14:paraId="4BBD07F1" w14:textId="77777777" w:rsidR="00EA469B" w:rsidRPr="00A021B7" w:rsidRDefault="00EA469B" w:rsidP="003E7BC9">
            <w:pPr>
              <w:rPr>
                <w:rFonts w:ascii="Arial" w:hAnsi="Arial" w:cs="Arial"/>
                <w:sz w:val="20"/>
                <w:szCs w:val="20"/>
                <w:lang w:val="sr-Cyrl-RS"/>
              </w:rPr>
            </w:pPr>
            <w:r w:rsidRPr="00A021B7">
              <w:rPr>
                <w:rFonts w:ascii="Arial" w:hAnsi="Arial" w:cs="Arial"/>
                <w:sz w:val="20"/>
                <w:szCs w:val="20"/>
                <w:lang w:val="sr-Cyrl-RS"/>
              </w:rPr>
              <w:t>Норвешка</w:t>
            </w:r>
          </w:p>
        </w:tc>
        <w:tc>
          <w:tcPr>
            <w:tcW w:w="2520" w:type="dxa"/>
          </w:tcPr>
          <w:p w14:paraId="2DE67AC0" w14:textId="77777777"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50,8</w:t>
            </w:r>
          </w:p>
        </w:tc>
        <w:tc>
          <w:tcPr>
            <w:tcW w:w="2340" w:type="dxa"/>
          </w:tcPr>
          <w:p w14:paraId="7DFFD530" w14:textId="77777777"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16,9</w:t>
            </w:r>
          </w:p>
        </w:tc>
        <w:tc>
          <w:tcPr>
            <w:tcW w:w="2965" w:type="dxa"/>
          </w:tcPr>
          <w:p w14:paraId="5AA2908A" w14:textId="77777777" w:rsidR="00EA469B" w:rsidRPr="00A021B7" w:rsidRDefault="00EA469B"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33,2</w:t>
            </w:r>
          </w:p>
        </w:tc>
      </w:tr>
      <w:tr w:rsidR="00E04FBF" w:rsidRPr="00A021B7" w14:paraId="4E2DD8D8"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2680E93" w14:textId="77777777" w:rsidR="00EA469B" w:rsidRPr="00A021B7" w:rsidRDefault="00EA469B" w:rsidP="003E7BC9">
            <w:pPr>
              <w:rPr>
                <w:rFonts w:ascii="Arial" w:hAnsi="Arial" w:cs="Arial"/>
                <w:sz w:val="20"/>
                <w:szCs w:val="20"/>
                <w:lang w:val="sr-Cyrl-RS"/>
              </w:rPr>
            </w:pPr>
            <w:r w:rsidRPr="00A021B7">
              <w:rPr>
                <w:rFonts w:ascii="Arial" w:hAnsi="Arial" w:cs="Arial"/>
                <w:sz w:val="20"/>
                <w:szCs w:val="20"/>
                <w:lang w:val="sr-Cyrl-RS"/>
              </w:rPr>
              <w:t>Холандија</w:t>
            </w:r>
          </w:p>
        </w:tc>
        <w:tc>
          <w:tcPr>
            <w:tcW w:w="2520" w:type="dxa"/>
          </w:tcPr>
          <w:p w14:paraId="3D03DD04"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43,4</w:t>
            </w:r>
          </w:p>
        </w:tc>
        <w:tc>
          <w:tcPr>
            <w:tcW w:w="2340" w:type="dxa"/>
          </w:tcPr>
          <w:p w14:paraId="5842C475"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13,8</w:t>
            </w:r>
          </w:p>
        </w:tc>
        <w:tc>
          <w:tcPr>
            <w:tcW w:w="2965" w:type="dxa"/>
          </w:tcPr>
          <w:p w14:paraId="1477ACD3" w14:textId="77777777" w:rsidR="00EA469B" w:rsidRPr="00A021B7" w:rsidRDefault="00EA469B" w:rsidP="003E7B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31,7</w:t>
            </w:r>
          </w:p>
        </w:tc>
      </w:tr>
    </w:tbl>
    <w:p w14:paraId="4FE4A72A" w14:textId="77777777" w:rsidR="00EA469B" w:rsidRPr="00A021B7" w:rsidRDefault="00EA469B" w:rsidP="003E7BC9">
      <w:pPr>
        <w:jc w:val="both"/>
        <w:rPr>
          <w:rFonts w:ascii="Arial" w:hAnsi="Arial" w:cs="Arial"/>
          <w:sz w:val="20"/>
          <w:szCs w:val="20"/>
          <w:lang w:val="sr-Cyrl-RS"/>
        </w:rPr>
      </w:pPr>
    </w:p>
    <w:p w14:paraId="11EDE827" w14:textId="77777777" w:rsidR="00CE205B" w:rsidRPr="00A021B7" w:rsidRDefault="00E04FBF" w:rsidP="004935B9">
      <w:pPr>
        <w:pStyle w:val="Heading2"/>
        <w:rPr>
          <w:lang w:val="sr-Cyrl-RS"/>
        </w:rPr>
      </w:pPr>
      <w:bookmarkStart w:id="142" w:name="_Toc52865795"/>
      <w:bookmarkStart w:id="143" w:name="_Toc52866206"/>
      <w:bookmarkStart w:id="144" w:name="_Toc56508455"/>
      <w:bookmarkStart w:id="145" w:name="_Toc60136092"/>
      <w:r w:rsidRPr="00A021B7">
        <w:rPr>
          <w:lang w:val="sr-Cyrl-RS"/>
        </w:rPr>
        <w:t xml:space="preserve">V.7. </w:t>
      </w:r>
      <w:r w:rsidR="00EA469B" w:rsidRPr="00A021B7">
        <w:rPr>
          <w:lang w:val="sr-Cyrl-RS"/>
        </w:rPr>
        <w:t>Односи локалне самоуправе и виших нивоа власти</w:t>
      </w:r>
      <w:bookmarkEnd w:id="142"/>
      <w:bookmarkEnd w:id="143"/>
      <w:bookmarkEnd w:id="144"/>
      <w:bookmarkEnd w:id="145"/>
    </w:p>
    <w:p w14:paraId="6EEFD73D" w14:textId="77777777" w:rsidR="00EA469B" w:rsidRPr="00A021B7" w:rsidRDefault="00EA469B" w:rsidP="003E7BC9">
      <w:pPr>
        <w:jc w:val="center"/>
        <w:rPr>
          <w:rFonts w:ascii="Arial" w:eastAsia="Calibri" w:hAnsi="Arial" w:cs="Arial"/>
          <w:b/>
          <w:sz w:val="20"/>
          <w:szCs w:val="20"/>
          <w:lang w:val="sr-Cyrl-RS"/>
        </w:rPr>
      </w:pPr>
    </w:p>
    <w:p w14:paraId="02212C69" w14:textId="1094D182" w:rsidR="00EA469B" w:rsidRPr="00A021B7" w:rsidRDefault="00EA469B" w:rsidP="1A8E6423">
      <w:pPr>
        <w:ind w:firstLine="720"/>
        <w:jc w:val="both"/>
        <w:rPr>
          <w:rFonts w:ascii="Arial" w:hAnsi="Arial" w:cs="Arial"/>
          <w:sz w:val="20"/>
          <w:szCs w:val="20"/>
          <w:lang w:val="sr-Cyrl-RS"/>
        </w:rPr>
      </w:pPr>
      <w:r w:rsidRPr="1A8E6423">
        <w:rPr>
          <w:rFonts w:ascii="Arial" w:eastAsia="Calibri" w:hAnsi="Arial" w:cs="Arial"/>
          <w:sz w:val="20"/>
          <w:szCs w:val="20"/>
          <w:lang w:val="sr-Cyrl-RS"/>
        </w:rPr>
        <w:t>О</w:t>
      </w:r>
      <w:r w:rsidRPr="1A8E6423">
        <w:rPr>
          <w:rFonts w:ascii="Arial" w:hAnsi="Arial" w:cs="Arial"/>
          <w:sz w:val="20"/>
          <w:szCs w:val="20"/>
          <w:lang w:val="sr-Cyrl-RS"/>
        </w:rPr>
        <w:t>дноси различитих нивоа власти се могу свести на два основна: хијерархијски и нехијерархијски. У оба случаја локална самоуправа подлеже одређеном облику контроле и надзора. Код нехијерархијских односа</w:t>
      </w:r>
      <w:r w:rsidR="007B746D" w:rsidRPr="1A8E6423">
        <w:rPr>
          <w:rFonts w:ascii="Arial" w:hAnsi="Arial" w:cs="Arial"/>
          <w:sz w:val="20"/>
          <w:szCs w:val="20"/>
          <w:lang w:val="sr-Cyrl-RS"/>
        </w:rPr>
        <w:t>,</w:t>
      </w:r>
      <w:r w:rsidRPr="1A8E6423">
        <w:rPr>
          <w:rFonts w:ascii="Arial" w:hAnsi="Arial" w:cs="Arial"/>
          <w:sz w:val="20"/>
          <w:szCs w:val="20"/>
          <w:lang w:val="sr-Cyrl-RS"/>
        </w:rPr>
        <w:t xml:space="preserve"> централна власт има право да контролише</w:t>
      </w:r>
      <w:r w:rsidR="00385058" w:rsidRPr="1A8E6423">
        <w:rPr>
          <w:rFonts w:ascii="Arial" w:hAnsi="Arial" w:cs="Arial"/>
          <w:sz w:val="20"/>
          <w:szCs w:val="20"/>
          <w:lang w:val="sr-Cyrl-RS"/>
        </w:rPr>
        <w:t>,</w:t>
      </w:r>
      <w:r w:rsidRPr="1A8E6423">
        <w:rPr>
          <w:rFonts w:ascii="Arial" w:hAnsi="Arial" w:cs="Arial"/>
          <w:sz w:val="20"/>
          <w:szCs w:val="20"/>
          <w:lang w:val="sr-Cyrl-RS"/>
        </w:rPr>
        <w:t xml:space="preserve"> тј. интервенише само у случају кршења закона (легалности), што значи да локална власт у границама закона има потпуну слободу при </w:t>
      </w:r>
      <w:r w:rsidR="007B746D" w:rsidRPr="1A8E6423">
        <w:rPr>
          <w:rFonts w:ascii="Arial" w:hAnsi="Arial" w:cs="Arial"/>
          <w:sz w:val="20"/>
          <w:szCs w:val="20"/>
          <w:lang w:val="sr-Cyrl-RS"/>
        </w:rPr>
        <w:t xml:space="preserve">спровођењу </w:t>
      </w:r>
      <w:r w:rsidRPr="1A8E6423">
        <w:rPr>
          <w:rFonts w:ascii="Arial" w:hAnsi="Arial" w:cs="Arial"/>
          <w:sz w:val="20"/>
          <w:szCs w:val="20"/>
          <w:lang w:val="sr-Cyrl-RS"/>
        </w:rPr>
        <w:t>својих надлежности. У другом случају, централна власт</w:t>
      </w:r>
      <w:r w:rsidR="00385058" w:rsidRPr="1A8E6423">
        <w:rPr>
          <w:rFonts w:ascii="Arial" w:hAnsi="Arial" w:cs="Arial"/>
          <w:sz w:val="20"/>
          <w:szCs w:val="20"/>
          <w:lang w:val="sr-Cyrl-RS"/>
        </w:rPr>
        <w:t>,</w:t>
      </w:r>
      <w:r w:rsidRPr="1A8E6423">
        <w:rPr>
          <w:rFonts w:ascii="Arial" w:hAnsi="Arial" w:cs="Arial"/>
          <w:sz w:val="20"/>
          <w:szCs w:val="20"/>
          <w:lang w:val="sr-Cyrl-RS"/>
        </w:rPr>
        <w:t xml:space="preserve"> поред контроле законитости</w:t>
      </w:r>
      <w:r w:rsidR="00385058" w:rsidRPr="1A8E6423">
        <w:rPr>
          <w:rFonts w:ascii="Arial" w:hAnsi="Arial" w:cs="Arial"/>
          <w:sz w:val="20"/>
          <w:szCs w:val="20"/>
          <w:lang w:val="sr-Cyrl-RS"/>
        </w:rPr>
        <w:t>,</w:t>
      </w:r>
      <w:r w:rsidRPr="1A8E6423">
        <w:rPr>
          <w:rFonts w:ascii="Arial" w:hAnsi="Arial" w:cs="Arial"/>
          <w:sz w:val="20"/>
          <w:szCs w:val="20"/>
          <w:lang w:val="sr-Cyrl-RS"/>
        </w:rPr>
        <w:t xml:space="preserve"> има право да контролише сврсисходност рада локалне самоуправе</w:t>
      </w:r>
      <w:r w:rsidR="00385058" w:rsidRPr="1A8E6423">
        <w:rPr>
          <w:rFonts w:ascii="Arial" w:hAnsi="Arial" w:cs="Arial"/>
          <w:sz w:val="20"/>
          <w:szCs w:val="20"/>
          <w:lang w:val="sr-Cyrl-RS"/>
        </w:rPr>
        <w:t xml:space="preserve"> (и да интервенише)</w:t>
      </w:r>
      <w:r w:rsidRPr="1A8E6423">
        <w:rPr>
          <w:rFonts w:ascii="Arial" w:hAnsi="Arial" w:cs="Arial"/>
          <w:sz w:val="20"/>
          <w:szCs w:val="20"/>
          <w:lang w:val="sr-Cyrl-RS"/>
        </w:rPr>
        <w:t>. То отвара могућност да централна власт интервенише кадгод сматра за сходно, што локалну самоуправу чини знатно ограниченијом. Правило је да код изворних послова општине виша инстанца власти има само право контроле легалности (нехијерархијски однос)</w:t>
      </w:r>
      <w:r w:rsidR="00385058" w:rsidRPr="1A8E6423">
        <w:rPr>
          <w:rFonts w:ascii="Arial" w:hAnsi="Arial" w:cs="Arial"/>
          <w:sz w:val="20"/>
          <w:szCs w:val="20"/>
          <w:lang w:val="sr-Cyrl-RS"/>
        </w:rPr>
        <w:t>,</w:t>
      </w:r>
      <w:r w:rsidRPr="1A8E6423">
        <w:rPr>
          <w:rFonts w:ascii="Arial" w:hAnsi="Arial" w:cs="Arial"/>
          <w:sz w:val="20"/>
          <w:szCs w:val="20"/>
          <w:lang w:val="sr-Cyrl-RS"/>
        </w:rPr>
        <w:t xml:space="preserve"> док се контрола сврсисходности (хијерархијски однос) јавља код послова које је централна власт поверила локалној (са тенденцијом да се и овом случају интервенција централне власти сведе само на изузетне случајеве). Последњих деценија </w:t>
      </w:r>
      <w:r w:rsidR="008562BE" w:rsidRPr="1A8E6423">
        <w:rPr>
          <w:rFonts w:ascii="Arial" w:hAnsi="Arial" w:cs="Arial"/>
          <w:sz w:val="20"/>
          <w:szCs w:val="20"/>
          <w:lang w:val="sr-Cyrl-RS"/>
        </w:rPr>
        <w:lastRenderedPageBreak/>
        <w:t xml:space="preserve">приметна је тенденција </w:t>
      </w:r>
      <w:r w:rsidRPr="1A8E6423">
        <w:rPr>
          <w:rFonts w:ascii="Arial" w:hAnsi="Arial" w:cs="Arial"/>
          <w:sz w:val="20"/>
          <w:szCs w:val="20"/>
          <w:lang w:val="sr-Cyrl-RS"/>
        </w:rPr>
        <w:t>ублажавања строге хијерархије и интензивне контроле локалне самоуправе</w:t>
      </w:r>
      <w:r w:rsidR="000A0C88" w:rsidRPr="1A8E6423">
        <w:rPr>
          <w:rFonts w:ascii="Arial" w:hAnsi="Arial" w:cs="Arial"/>
          <w:sz w:val="20"/>
          <w:szCs w:val="20"/>
          <w:lang w:val="sr-Cyrl-RS"/>
        </w:rPr>
        <w:t>,</w:t>
      </w:r>
      <w:r w:rsidRPr="1A8E6423">
        <w:rPr>
          <w:rFonts w:ascii="Arial" w:hAnsi="Arial" w:cs="Arial"/>
          <w:sz w:val="20"/>
          <w:szCs w:val="20"/>
          <w:lang w:val="sr-Cyrl-RS"/>
        </w:rPr>
        <w:t xml:space="preserve"> што се најбоље види у еволуцији институције префекта (нпр. у Италији и Француској)</w:t>
      </w:r>
      <w:r w:rsidR="008562BE" w:rsidRPr="1A8E6423">
        <w:rPr>
          <w:rFonts w:ascii="Arial" w:hAnsi="Arial" w:cs="Arial"/>
          <w:sz w:val="20"/>
          <w:szCs w:val="20"/>
          <w:lang w:val="sr-Cyrl-RS"/>
        </w:rPr>
        <w:t>,</w:t>
      </w:r>
      <w:r w:rsidRPr="1A8E6423">
        <w:rPr>
          <w:rFonts w:ascii="Arial" w:hAnsi="Arial" w:cs="Arial"/>
          <w:sz w:val="20"/>
          <w:szCs w:val="20"/>
          <w:lang w:val="sr-Cyrl-RS"/>
        </w:rPr>
        <w:t xml:space="preserve"> који је од државног надзорника и инспектора постао координатор и подршка раду локалних власти, док се контролне функције своде само </w:t>
      </w:r>
      <w:r w:rsidR="00385058" w:rsidRPr="1A8E6423">
        <w:rPr>
          <w:rFonts w:ascii="Arial" w:hAnsi="Arial" w:cs="Arial"/>
          <w:sz w:val="20"/>
          <w:szCs w:val="20"/>
          <w:lang w:val="sr-Cyrl-RS"/>
        </w:rPr>
        <w:t>н</w:t>
      </w:r>
      <w:r w:rsidRPr="1A8E6423">
        <w:rPr>
          <w:rFonts w:ascii="Arial" w:hAnsi="Arial" w:cs="Arial"/>
          <w:sz w:val="20"/>
          <w:szCs w:val="20"/>
          <w:lang w:val="sr-Cyrl-RS"/>
        </w:rPr>
        <w:t>а поштовање закон</w:t>
      </w:r>
      <w:r w:rsidR="008562BE" w:rsidRPr="1A8E6423">
        <w:rPr>
          <w:rFonts w:ascii="Arial" w:hAnsi="Arial" w:cs="Arial"/>
          <w:sz w:val="20"/>
          <w:szCs w:val="20"/>
          <w:lang w:val="sr-Cyrl-RS"/>
        </w:rPr>
        <w:t>итости рада</w:t>
      </w:r>
      <w:r w:rsidRPr="1A8E6423">
        <w:rPr>
          <w:rFonts w:ascii="Arial" w:hAnsi="Arial" w:cs="Arial"/>
          <w:sz w:val="20"/>
          <w:szCs w:val="20"/>
          <w:lang w:val="sr-Cyrl-RS"/>
        </w:rPr>
        <w:t>.</w:t>
      </w:r>
    </w:p>
    <w:p w14:paraId="4DB16553" w14:textId="77777777" w:rsidR="00E04FBF" w:rsidRPr="00A021B7" w:rsidRDefault="00E04FBF" w:rsidP="1A8E6423">
      <w:pPr>
        <w:ind w:firstLine="720"/>
        <w:jc w:val="both"/>
        <w:rPr>
          <w:rFonts w:ascii="Arial" w:hAnsi="Arial" w:cs="Arial"/>
          <w:sz w:val="20"/>
          <w:szCs w:val="20"/>
          <w:lang w:val="sr-Cyrl-RS"/>
        </w:rPr>
      </w:pPr>
    </w:p>
    <w:p w14:paraId="29890F4D" w14:textId="77777777" w:rsidR="00EA469B" w:rsidRPr="00A021B7" w:rsidRDefault="00EA469B" w:rsidP="1A8E6423">
      <w:pPr>
        <w:ind w:firstLine="720"/>
        <w:jc w:val="both"/>
        <w:rPr>
          <w:rFonts w:ascii="Arial" w:hAnsi="Arial" w:cs="Arial"/>
          <w:sz w:val="20"/>
          <w:szCs w:val="20"/>
          <w:lang w:val="sr-Cyrl-RS"/>
        </w:rPr>
      </w:pPr>
      <w:r w:rsidRPr="1A8E6423">
        <w:rPr>
          <w:rFonts w:ascii="Arial" w:hAnsi="Arial" w:cs="Arial"/>
          <w:sz w:val="20"/>
          <w:szCs w:val="20"/>
          <w:lang w:val="sr-Cyrl-RS"/>
        </w:rPr>
        <w:t>У јавном управљању евидентна је и тенденција ка партнерским и комплементарним односима власти. Услед савремених околности (информациона револуција, глобализација) државе су често преширок оквир за</w:t>
      </w:r>
      <w:r w:rsidR="004D5004" w:rsidRPr="1A8E6423">
        <w:rPr>
          <w:rFonts w:ascii="Arial" w:hAnsi="Arial" w:cs="Arial"/>
          <w:sz w:val="20"/>
          <w:szCs w:val="20"/>
          <w:lang w:val="sr-Cyrl-RS"/>
        </w:rPr>
        <w:t xml:space="preserve"> </w:t>
      </w:r>
      <w:r w:rsidRPr="1A8E6423">
        <w:rPr>
          <w:rFonts w:ascii="Arial" w:hAnsi="Arial" w:cs="Arial"/>
          <w:sz w:val="20"/>
          <w:szCs w:val="20"/>
          <w:lang w:val="sr-Cyrl-RS"/>
        </w:rPr>
        <w:t xml:space="preserve">решавање конкретних проблема, док је мањим јединицама често потребна координација активности које треба да реализују како би се остварили шири – државни циљеви. Стога централна власт има све израженију улогу доносиоца стратешких докумената и усмеравања и координације јавних политика </w:t>
      </w:r>
      <w:r w:rsidR="009F78EE" w:rsidRPr="1A8E6423">
        <w:rPr>
          <w:rFonts w:ascii="Arial" w:hAnsi="Arial" w:cs="Arial"/>
          <w:sz w:val="20"/>
          <w:szCs w:val="20"/>
          <w:lang w:val="sr-Cyrl-RS"/>
        </w:rPr>
        <w:t xml:space="preserve">и </w:t>
      </w:r>
      <w:r w:rsidRPr="1A8E6423">
        <w:rPr>
          <w:rFonts w:ascii="Arial" w:hAnsi="Arial" w:cs="Arial"/>
          <w:sz w:val="20"/>
          <w:szCs w:val="20"/>
          <w:lang w:val="sr-Cyrl-RS"/>
        </w:rPr>
        <w:t xml:space="preserve">гарантовања минимума стандарда у јавним услугама, док су локалне власти задужене за конкретизацију и реализацију јавних послова на свом подручју. </w:t>
      </w:r>
      <w:r w:rsidR="009F78EE" w:rsidRPr="1A8E6423">
        <w:rPr>
          <w:rFonts w:ascii="Arial" w:hAnsi="Arial" w:cs="Arial"/>
          <w:sz w:val="20"/>
          <w:szCs w:val="20"/>
          <w:lang w:val="sr-Cyrl-RS"/>
        </w:rPr>
        <w:t xml:space="preserve">Уз ово се </w:t>
      </w:r>
      <w:r w:rsidRPr="1A8E6423">
        <w:rPr>
          <w:rFonts w:ascii="Arial" w:hAnsi="Arial" w:cs="Arial"/>
          <w:sz w:val="20"/>
          <w:szCs w:val="20"/>
          <w:lang w:val="sr-Cyrl-RS"/>
        </w:rPr>
        <w:t>одвија и децентрализација јавног буџета и трошкова</w:t>
      </w:r>
      <w:r w:rsidR="009F78EE" w:rsidRPr="1A8E6423">
        <w:rPr>
          <w:rFonts w:ascii="Arial" w:hAnsi="Arial" w:cs="Arial"/>
          <w:sz w:val="20"/>
          <w:szCs w:val="20"/>
          <w:lang w:val="sr-Cyrl-RS"/>
        </w:rPr>
        <w:t>,</w:t>
      </w:r>
      <w:r w:rsidRPr="1A8E6423">
        <w:rPr>
          <w:rFonts w:ascii="Arial" w:hAnsi="Arial" w:cs="Arial"/>
          <w:sz w:val="20"/>
          <w:szCs w:val="20"/>
          <w:lang w:val="sr-Cyrl-RS"/>
        </w:rPr>
        <w:t xml:space="preserve"> што се рефлектује у односу нецентралног и укупног јавног трошка (о чему је било речи у претходном одељку). Правна регулатива европских држава (нарочито развијенијих и старијих демократија) којом се уређује систем локалне самоуправе настоји да ове опште тенденције олакша и подстакне кроз одговарајућу регулативу (</w:t>
      </w:r>
      <w:r w:rsidR="009F78EE" w:rsidRPr="1A8E6423">
        <w:rPr>
          <w:rFonts w:ascii="Arial" w:hAnsi="Arial" w:cs="Arial"/>
          <w:sz w:val="20"/>
          <w:szCs w:val="20"/>
          <w:lang w:val="sr-Cyrl-RS"/>
        </w:rPr>
        <w:t>супсидијарност</w:t>
      </w:r>
      <w:r w:rsidRPr="1A8E6423">
        <w:rPr>
          <w:rFonts w:ascii="Arial" w:hAnsi="Arial" w:cs="Arial"/>
          <w:sz w:val="20"/>
          <w:szCs w:val="20"/>
          <w:lang w:val="sr-Cyrl-RS"/>
        </w:rPr>
        <w:t>). Изградња партнерских односа различитих нивоа власти није само формално-правно питање</w:t>
      </w:r>
      <w:r w:rsidR="009F78EE" w:rsidRPr="1A8E6423">
        <w:rPr>
          <w:rFonts w:ascii="Arial" w:hAnsi="Arial" w:cs="Arial"/>
          <w:sz w:val="20"/>
          <w:szCs w:val="20"/>
          <w:lang w:val="sr-Cyrl-RS"/>
        </w:rPr>
        <w:t>,</w:t>
      </w:r>
      <w:r w:rsidRPr="1A8E6423">
        <w:rPr>
          <w:rFonts w:ascii="Arial" w:hAnsi="Arial" w:cs="Arial"/>
          <w:sz w:val="20"/>
          <w:szCs w:val="20"/>
          <w:lang w:val="sr-Cyrl-RS"/>
        </w:rPr>
        <w:t xml:space="preserve"> већ много више питање степена развоја демократске културе.</w:t>
      </w:r>
    </w:p>
    <w:p w14:paraId="0A1CC7E8" w14:textId="77777777" w:rsidR="00EA469B" w:rsidRPr="00A021B7" w:rsidRDefault="00EA469B" w:rsidP="1A8E6423">
      <w:pPr>
        <w:ind w:firstLine="720"/>
        <w:jc w:val="both"/>
        <w:rPr>
          <w:rFonts w:ascii="Arial" w:hAnsi="Arial" w:cs="Arial"/>
          <w:sz w:val="20"/>
          <w:szCs w:val="20"/>
          <w:lang w:val="sr-Cyrl-RS"/>
        </w:rPr>
      </w:pPr>
    </w:p>
    <w:p w14:paraId="0D2DB4F9" w14:textId="25B13459" w:rsidR="00CE205B" w:rsidRPr="00A021B7" w:rsidRDefault="00E04FBF" w:rsidP="004935B9">
      <w:pPr>
        <w:pStyle w:val="Heading2"/>
        <w:rPr>
          <w:lang w:val="sr-Cyrl-RS"/>
        </w:rPr>
      </w:pPr>
      <w:bookmarkStart w:id="146" w:name="_Toc52865796"/>
      <w:bookmarkStart w:id="147" w:name="_Toc52866207"/>
      <w:bookmarkStart w:id="148" w:name="_Toc56508456"/>
      <w:bookmarkStart w:id="149" w:name="_Toc60136093"/>
      <w:r w:rsidRPr="00A021B7">
        <w:rPr>
          <w:lang w:val="sr-Cyrl-RS"/>
        </w:rPr>
        <w:t xml:space="preserve">V.8. </w:t>
      </w:r>
      <w:r w:rsidR="00EA469B" w:rsidRPr="00A021B7">
        <w:rPr>
          <w:lang w:val="sr-Cyrl-RS"/>
        </w:rPr>
        <w:t>Међуопштинска сарадња –</w:t>
      </w:r>
      <w:r w:rsidR="00185E42" w:rsidRPr="00A021B7">
        <w:rPr>
          <w:lang w:val="sr-Cyrl-RS"/>
        </w:rPr>
        <w:t xml:space="preserve"> </w:t>
      </w:r>
      <w:r w:rsidR="00EA469B" w:rsidRPr="00A021B7">
        <w:rPr>
          <w:lang w:val="sr-Cyrl-RS"/>
        </w:rPr>
        <w:t>системи заједничког управљања надлежностима</w:t>
      </w:r>
      <w:bookmarkEnd w:id="146"/>
      <w:bookmarkEnd w:id="147"/>
      <w:bookmarkEnd w:id="148"/>
      <w:bookmarkEnd w:id="149"/>
    </w:p>
    <w:p w14:paraId="2D8475F2" w14:textId="77777777" w:rsidR="00EA469B" w:rsidRPr="00A021B7" w:rsidRDefault="00EA469B" w:rsidP="003E7BC9">
      <w:pPr>
        <w:jc w:val="both"/>
        <w:rPr>
          <w:rFonts w:ascii="Arial" w:hAnsi="Arial" w:cs="Arial"/>
          <w:sz w:val="20"/>
          <w:szCs w:val="20"/>
          <w:lang w:val="sr-Cyrl-RS"/>
        </w:rPr>
      </w:pPr>
    </w:p>
    <w:p w14:paraId="4DAD9550" w14:textId="72D442B0" w:rsidR="00EA469B" w:rsidRPr="00A021B7" w:rsidRDefault="00185E42" w:rsidP="1A8E6423">
      <w:pPr>
        <w:ind w:firstLine="720"/>
        <w:jc w:val="both"/>
        <w:rPr>
          <w:rFonts w:ascii="Arial" w:eastAsia="Calibri" w:hAnsi="Arial" w:cs="Arial"/>
          <w:sz w:val="20"/>
          <w:szCs w:val="20"/>
          <w:lang w:val="sr-Cyrl-RS"/>
        </w:rPr>
      </w:pPr>
      <w:r w:rsidRPr="1A8E6423">
        <w:rPr>
          <w:rFonts w:ascii="Arial" w:eastAsia="Calibri" w:hAnsi="Arial" w:cs="Arial"/>
          <w:sz w:val="20"/>
          <w:szCs w:val="20"/>
          <w:lang w:val="sr-Cyrl-RS"/>
        </w:rPr>
        <w:t>МО</w:t>
      </w:r>
      <w:r w:rsidR="003340B6" w:rsidRPr="1A8E6423">
        <w:rPr>
          <w:rFonts w:ascii="Arial" w:eastAsia="Calibri" w:hAnsi="Arial" w:cs="Arial"/>
          <w:sz w:val="20"/>
          <w:szCs w:val="20"/>
          <w:lang w:val="sr-Cyrl-RS"/>
        </w:rPr>
        <w:t>С</w:t>
      </w:r>
      <w:r w:rsidRPr="1A8E6423">
        <w:rPr>
          <w:rFonts w:ascii="Arial" w:eastAsia="Calibri" w:hAnsi="Arial" w:cs="Arial"/>
          <w:sz w:val="20"/>
          <w:szCs w:val="20"/>
          <w:lang w:val="sr-Cyrl-RS"/>
        </w:rPr>
        <w:t xml:space="preserve"> </w:t>
      </w:r>
      <w:r w:rsidR="00EA469B" w:rsidRPr="1A8E6423">
        <w:rPr>
          <w:rFonts w:ascii="Arial" w:eastAsia="Calibri" w:hAnsi="Arial" w:cs="Arial"/>
          <w:sz w:val="20"/>
          <w:szCs w:val="20"/>
          <w:lang w:val="sr-Cyrl-RS"/>
        </w:rPr>
        <w:t xml:space="preserve">је данас присутна готово у свим европским државама и представља један од уобичајених начина за </w:t>
      </w:r>
      <w:r w:rsidRPr="1A8E6423">
        <w:rPr>
          <w:rFonts w:ascii="Arial" w:eastAsia="Calibri" w:hAnsi="Arial" w:cs="Arial"/>
          <w:sz w:val="20"/>
          <w:szCs w:val="20"/>
          <w:lang w:val="sr-Cyrl-RS"/>
        </w:rPr>
        <w:t xml:space="preserve">обављање </w:t>
      </w:r>
      <w:r w:rsidR="00EA469B" w:rsidRPr="1A8E6423">
        <w:rPr>
          <w:rFonts w:ascii="Arial" w:eastAsia="Calibri" w:hAnsi="Arial" w:cs="Arial"/>
          <w:sz w:val="20"/>
          <w:szCs w:val="20"/>
          <w:lang w:val="sr-Cyrl-RS"/>
        </w:rPr>
        <w:t xml:space="preserve">јавних услуга. </w:t>
      </w:r>
      <w:r w:rsidR="00E84444" w:rsidRPr="1A8E6423">
        <w:rPr>
          <w:rFonts w:ascii="Arial" w:eastAsia="Calibri" w:hAnsi="Arial" w:cs="Arial"/>
          <w:sz w:val="20"/>
          <w:szCs w:val="20"/>
          <w:lang w:val="sr-Cyrl-RS"/>
        </w:rPr>
        <w:t>З</w:t>
      </w:r>
      <w:r w:rsidR="00EA469B" w:rsidRPr="1A8E6423">
        <w:rPr>
          <w:rFonts w:ascii="Arial" w:eastAsia="Calibri" w:hAnsi="Arial" w:cs="Arial"/>
          <w:sz w:val="20"/>
          <w:szCs w:val="20"/>
          <w:lang w:val="sr-Cyrl-RS"/>
        </w:rPr>
        <w:t>аједничко пружање услуга</w:t>
      </w:r>
      <w:r w:rsidR="00E84444" w:rsidRPr="1A8E6423">
        <w:rPr>
          <w:rFonts w:ascii="Arial" w:eastAsia="Calibri" w:hAnsi="Arial" w:cs="Arial"/>
          <w:sz w:val="20"/>
          <w:szCs w:val="20"/>
          <w:lang w:val="sr-Cyrl-RS"/>
        </w:rPr>
        <w:t>, економија обима и уштед</w:t>
      </w:r>
      <w:r w:rsidR="00817F46" w:rsidRPr="1A8E6423">
        <w:rPr>
          <w:rFonts w:ascii="Arial" w:eastAsia="Calibri" w:hAnsi="Arial" w:cs="Arial"/>
          <w:sz w:val="20"/>
          <w:szCs w:val="20"/>
          <w:lang w:val="sr-Cyrl-RS"/>
        </w:rPr>
        <w:t>е</w:t>
      </w:r>
      <w:r w:rsidR="00640774" w:rsidRPr="1A8E6423">
        <w:rPr>
          <w:rFonts w:ascii="Arial" w:eastAsia="Calibri" w:hAnsi="Arial" w:cs="Arial"/>
          <w:sz w:val="20"/>
          <w:szCs w:val="20"/>
          <w:lang w:val="sr-Cyrl-RS"/>
        </w:rPr>
        <w:t xml:space="preserve"> и стварање капацитета за </w:t>
      </w:r>
      <w:r w:rsidR="00073D98" w:rsidRPr="1A8E6423">
        <w:rPr>
          <w:rFonts w:ascii="Arial" w:eastAsia="Calibri" w:hAnsi="Arial" w:cs="Arial"/>
          <w:sz w:val="20"/>
          <w:szCs w:val="20"/>
          <w:lang w:val="sr-Cyrl-RS"/>
        </w:rPr>
        <w:t xml:space="preserve">обезбеђивање </w:t>
      </w:r>
      <w:r w:rsidR="00640774" w:rsidRPr="1A8E6423">
        <w:rPr>
          <w:rFonts w:ascii="Arial" w:eastAsia="Calibri" w:hAnsi="Arial" w:cs="Arial"/>
          <w:sz w:val="20"/>
          <w:szCs w:val="20"/>
          <w:lang w:val="sr-Cyrl-RS"/>
        </w:rPr>
        <w:t>неке јавне услуге</w:t>
      </w:r>
      <w:r w:rsidR="00817F46" w:rsidRPr="1A8E6423">
        <w:rPr>
          <w:rFonts w:ascii="Arial" w:eastAsia="Calibri" w:hAnsi="Arial" w:cs="Arial"/>
          <w:sz w:val="20"/>
          <w:szCs w:val="20"/>
          <w:lang w:val="sr-Cyrl-RS"/>
        </w:rPr>
        <w:t>,</w:t>
      </w:r>
      <w:r w:rsidR="00640774" w:rsidRPr="1A8E6423">
        <w:rPr>
          <w:rFonts w:ascii="Arial" w:eastAsia="Calibri" w:hAnsi="Arial" w:cs="Arial"/>
          <w:sz w:val="20"/>
          <w:szCs w:val="20"/>
          <w:lang w:val="sr-Cyrl-RS"/>
        </w:rPr>
        <w:t xml:space="preserve"> неки су од кључних мотива </w:t>
      </w:r>
      <w:r w:rsidR="00EA469B" w:rsidRPr="1A8E6423">
        <w:rPr>
          <w:rFonts w:ascii="Arial" w:eastAsia="Calibri" w:hAnsi="Arial" w:cs="Arial"/>
          <w:sz w:val="20"/>
          <w:szCs w:val="20"/>
          <w:lang w:val="sr-Cyrl-RS"/>
        </w:rPr>
        <w:t xml:space="preserve">за сарадњу. </w:t>
      </w:r>
      <w:r w:rsidR="00640774" w:rsidRPr="1A8E6423">
        <w:rPr>
          <w:rFonts w:ascii="Arial" w:eastAsia="Calibri" w:hAnsi="Arial" w:cs="Arial"/>
          <w:sz w:val="20"/>
          <w:szCs w:val="20"/>
          <w:lang w:val="sr-Cyrl-RS"/>
        </w:rPr>
        <w:t>Ч</w:t>
      </w:r>
      <w:r w:rsidR="00EA469B" w:rsidRPr="1A8E6423">
        <w:rPr>
          <w:rFonts w:ascii="Arial" w:eastAsia="Calibri" w:hAnsi="Arial" w:cs="Arial"/>
          <w:sz w:val="20"/>
          <w:szCs w:val="20"/>
          <w:lang w:val="sr-Cyrl-RS"/>
        </w:rPr>
        <w:t>ест мотив међуопштинске сарадње јесте</w:t>
      </w:r>
      <w:r w:rsidR="00640774" w:rsidRPr="1A8E6423">
        <w:rPr>
          <w:rFonts w:ascii="Arial" w:eastAsia="Calibri" w:hAnsi="Arial" w:cs="Arial"/>
          <w:sz w:val="20"/>
          <w:szCs w:val="20"/>
          <w:lang w:val="sr-Cyrl-RS"/>
        </w:rPr>
        <w:t xml:space="preserve"> и</w:t>
      </w:r>
      <w:r w:rsidR="00EA469B" w:rsidRPr="1A8E6423">
        <w:rPr>
          <w:rFonts w:ascii="Arial" w:eastAsia="Calibri" w:hAnsi="Arial" w:cs="Arial"/>
          <w:sz w:val="20"/>
          <w:szCs w:val="20"/>
          <w:lang w:val="sr-Cyrl-RS"/>
        </w:rPr>
        <w:t xml:space="preserve"> заједничко </w:t>
      </w:r>
      <w:r w:rsidRPr="1A8E6423">
        <w:rPr>
          <w:rFonts w:ascii="Arial" w:eastAsia="Calibri" w:hAnsi="Arial" w:cs="Arial"/>
          <w:sz w:val="20"/>
          <w:szCs w:val="20"/>
          <w:lang w:val="sr-Cyrl-RS"/>
        </w:rPr>
        <w:t>(</w:t>
      </w:r>
      <w:r w:rsidR="00EA469B" w:rsidRPr="1A8E6423">
        <w:rPr>
          <w:rFonts w:ascii="Arial" w:eastAsia="Calibri" w:hAnsi="Arial" w:cs="Arial"/>
          <w:sz w:val="20"/>
          <w:szCs w:val="20"/>
          <w:lang w:val="sr-Cyrl-RS"/>
        </w:rPr>
        <w:t>регионално</w:t>
      </w:r>
      <w:r w:rsidRPr="1A8E6423">
        <w:rPr>
          <w:rFonts w:ascii="Arial" w:eastAsia="Calibri" w:hAnsi="Arial" w:cs="Arial"/>
          <w:sz w:val="20"/>
          <w:szCs w:val="20"/>
          <w:lang w:val="sr-Cyrl-RS"/>
        </w:rPr>
        <w:t>)</w:t>
      </w:r>
      <w:r w:rsidR="00EA469B" w:rsidRPr="1A8E6423">
        <w:rPr>
          <w:rFonts w:ascii="Arial" w:eastAsia="Calibri" w:hAnsi="Arial" w:cs="Arial"/>
          <w:sz w:val="20"/>
          <w:szCs w:val="20"/>
          <w:lang w:val="sr-Cyrl-RS"/>
        </w:rPr>
        <w:t xml:space="preserve"> управљање развојном политиком</w:t>
      </w:r>
      <w:r w:rsidR="004D5004" w:rsidRPr="1A8E6423">
        <w:rPr>
          <w:rFonts w:ascii="Arial" w:eastAsia="Calibri" w:hAnsi="Arial" w:cs="Arial"/>
          <w:sz w:val="20"/>
          <w:szCs w:val="20"/>
          <w:lang w:val="sr-Cyrl-RS"/>
        </w:rPr>
        <w:t xml:space="preserve"> </w:t>
      </w:r>
      <w:r w:rsidRPr="1A8E6423">
        <w:rPr>
          <w:rFonts w:ascii="Arial" w:eastAsia="Calibri" w:hAnsi="Arial" w:cs="Arial"/>
          <w:sz w:val="20"/>
          <w:szCs w:val="20"/>
          <w:lang w:val="sr-Cyrl-RS"/>
        </w:rPr>
        <w:t>–</w:t>
      </w:r>
      <w:r w:rsidR="00EA469B" w:rsidRPr="1A8E6423">
        <w:rPr>
          <w:rFonts w:ascii="Arial" w:eastAsia="Calibri" w:hAnsi="Arial" w:cs="Arial"/>
          <w:sz w:val="20"/>
          <w:szCs w:val="20"/>
          <w:lang w:val="sr-Cyrl-RS"/>
        </w:rPr>
        <w:t xml:space="preserve"> приступ</w:t>
      </w:r>
      <w:r w:rsidRPr="1A8E6423">
        <w:rPr>
          <w:rFonts w:ascii="Arial" w:eastAsia="Calibri" w:hAnsi="Arial" w:cs="Arial"/>
          <w:sz w:val="20"/>
          <w:szCs w:val="20"/>
          <w:lang w:val="sr-Cyrl-RS"/>
        </w:rPr>
        <w:t xml:space="preserve"> </w:t>
      </w:r>
      <w:r w:rsidR="00EA469B" w:rsidRPr="1A8E6423">
        <w:rPr>
          <w:rFonts w:ascii="Arial" w:eastAsia="Calibri" w:hAnsi="Arial" w:cs="Arial"/>
          <w:sz w:val="20"/>
          <w:szCs w:val="20"/>
          <w:lang w:val="sr-Cyrl-RS"/>
        </w:rPr>
        <w:t>структурним фондовима</w:t>
      </w:r>
      <w:r w:rsidRPr="1A8E6423">
        <w:rPr>
          <w:rFonts w:ascii="Arial" w:eastAsia="Calibri" w:hAnsi="Arial" w:cs="Arial"/>
          <w:sz w:val="20"/>
          <w:szCs w:val="20"/>
          <w:lang w:val="sr-Cyrl-RS"/>
        </w:rPr>
        <w:t xml:space="preserve"> ЕУ</w:t>
      </w:r>
      <w:r w:rsidR="00EA469B" w:rsidRPr="1A8E6423">
        <w:rPr>
          <w:rFonts w:ascii="Arial" w:eastAsia="Calibri" w:hAnsi="Arial" w:cs="Arial"/>
          <w:sz w:val="20"/>
          <w:szCs w:val="20"/>
          <w:lang w:val="sr-Cyrl-RS"/>
        </w:rPr>
        <w:t xml:space="preserve">, привлачење инвестиција, промовисање развојних потенцијала и сл. Стога се </w:t>
      </w:r>
      <w:r w:rsidRPr="1A8E6423">
        <w:rPr>
          <w:rFonts w:ascii="Arial" w:eastAsia="Calibri" w:hAnsi="Arial" w:cs="Arial"/>
          <w:sz w:val="20"/>
          <w:szCs w:val="20"/>
          <w:lang w:val="sr-Cyrl-RS"/>
        </w:rPr>
        <w:t xml:space="preserve">МОС појављује и </w:t>
      </w:r>
      <w:r w:rsidR="00EA469B" w:rsidRPr="1A8E6423">
        <w:rPr>
          <w:rFonts w:ascii="Arial" w:eastAsia="Calibri" w:hAnsi="Arial" w:cs="Arial"/>
          <w:sz w:val="20"/>
          <w:szCs w:val="20"/>
          <w:lang w:val="sr-Cyrl-RS"/>
        </w:rPr>
        <w:t>у државама са малим општинама (у којима је сарадња више ствар нужности) и у државама са великим општинама.</w:t>
      </w:r>
    </w:p>
    <w:p w14:paraId="1745F415" w14:textId="77777777" w:rsidR="00E04FBF" w:rsidRPr="00A021B7" w:rsidRDefault="00E04FBF" w:rsidP="1A8E6423">
      <w:pPr>
        <w:ind w:firstLine="720"/>
        <w:jc w:val="both"/>
        <w:rPr>
          <w:rFonts w:ascii="Arial" w:eastAsia="Calibri" w:hAnsi="Arial" w:cs="Arial"/>
          <w:sz w:val="20"/>
          <w:szCs w:val="20"/>
          <w:lang w:val="sr-Cyrl-RS"/>
        </w:rPr>
      </w:pPr>
    </w:p>
    <w:p w14:paraId="71B1912F" w14:textId="47F95B3E" w:rsidR="00EA469B" w:rsidRPr="00A021B7" w:rsidRDefault="00185E42" w:rsidP="1A8E6423">
      <w:pPr>
        <w:ind w:firstLine="720"/>
        <w:jc w:val="both"/>
        <w:rPr>
          <w:rFonts w:ascii="Arial" w:eastAsia="Calibri" w:hAnsi="Arial" w:cs="Arial"/>
          <w:sz w:val="20"/>
          <w:szCs w:val="20"/>
          <w:lang w:val="sr-Cyrl-RS"/>
        </w:rPr>
      </w:pPr>
      <w:r w:rsidRPr="1A8E6423">
        <w:rPr>
          <w:rFonts w:ascii="Arial" w:eastAsia="Calibri" w:hAnsi="Arial" w:cs="Arial"/>
          <w:sz w:val="20"/>
          <w:szCs w:val="20"/>
          <w:lang w:val="sr-Cyrl-RS"/>
        </w:rPr>
        <w:t xml:space="preserve">МОС може </w:t>
      </w:r>
      <w:r w:rsidR="00EA469B" w:rsidRPr="1A8E6423">
        <w:rPr>
          <w:rFonts w:ascii="Arial" w:eastAsia="Calibri" w:hAnsi="Arial" w:cs="Arial"/>
          <w:sz w:val="20"/>
          <w:szCs w:val="20"/>
          <w:lang w:val="sr-Cyrl-RS"/>
        </w:rPr>
        <w:t xml:space="preserve">бити </w:t>
      </w:r>
      <w:r w:rsidRPr="1A8E6423">
        <w:rPr>
          <w:rFonts w:ascii="Arial" w:eastAsia="Calibri" w:hAnsi="Arial" w:cs="Arial"/>
          <w:sz w:val="20"/>
          <w:szCs w:val="20"/>
          <w:lang w:val="sr-Cyrl-RS"/>
        </w:rPr>
        <w:t>неформална</w:t>
      </w:r>
      <w:r w:rsidR="00385058"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w:t>
      </w:r>
      <w:r w:rsidR="00EA469B" w:rsidRPr="1A8E6423">
        <w:rPr>
          <w:rFonts w:ascii="Arial" w:eastAsia="Calibri" w:hAnsi="Arial" w:cs="Arial"/>
          <w:sz w:val="20"/>
          <w:szCs w:val="20"/>
          <w:lang w:val="sr-Cyrl-RS"/>
        </w:rPr>
        <w:t>када се општине договарају о координираном спровођењу акција</w:t>
      </w:r>
      <w:r w:rsidR="00385058" w:rsidRPr="1A8E6423">
        <w:rPr>
          <w:rFonts w:ascii="Arial" w:eastAsia="Calibri" w:hAnsi="Arial" w:cs="Arial"/>
          <w:sz w:val="20"/>
          <w:szCs w:val="20"/>
          <w:lang w:val="sr-Cyrl-RS"/>
        </w:rPr>
        <w:t>,</w:t>
      </w:r>
      <w:r w:rsidR="00EA469B" w:rsidRPr="1A8E6423">
        <w:rPr>
          <w:rFonts w:ascii="Arial" w:eastAsia="Calibri" w:hAnsi="Arial" w:cs="Arial"/>
          <w:sz w:val="20"/>
          <w:szCs w:val="20"/>
          <w:lang w:val="sr-Cyrl-RS"/>
        </w:rPr>
        <w:t xml:space="preserve"> </w:t>
      </w:r>
      <w:r w:rsidRPr="1A8E6423">
        <w:rPr>
          <w:rFonts w:ascii="Arial" w:eastAsia="Calibri" w:hAnsi="Arial" w:cs="Arial"/>
          <w:sz w:val="20"/>
          <w:szCs w:val="20"/>
          <w:lang w:val="sr-Cyrl-RS"/>
        </w:rPr>
        <w:t xml:space="preserve">и формална, која </w:t>
      </w:r>
      <w:r w:rsidR="00EA469B" w:rsidRPr="1A8E6423">
        <w:rPr>
          <w:rFonts w:ascii="Arial" w:eastAsia="Calibri" w:hAnsi="Arial" w:cs="Arial"/>
          <w:sz w:val="20"/>
          <w:szCs w:val="20"/>
          <w:lang w:val="sr-Cyrl-RS"/>
        </w:rPr>
        <w:t xml:space="preserve">опет </w:t>
      </w:r>
      <w:r w:rsidRPr="1A8E6423">
        <w:rPr>
          <w:rFonts w:ascii="Arial" w:eastAsia="Calibri" w:hAnsi="Arial" w:cs="Arial"/>
          <w:sz w:val="20"/>
          <w:szCs w:val="20"/>
          <w:lang w:val="sr-Cyrl-RS"/>
        </w:rPr>
        <w:t xml:space="preserve">може </w:t>
      </w:r>
      <w:r w:rsidR="00EA469B" w:rsidRPr="1A8E6423">
        <w:rPr>
          <w:rFonts w:ascii="Arial" w:eastAsia="Calibri" w:hAnsi="Arial" w:cs="Arial"/>
          <w:sz w:val="20"/>
          <w:szCs w:val="20"/>
          <w:lang w:val="sr-Cyrl-RS"/>
        </w:rPr>
        <w:t>бити заснован</w:t>
      </w:r>
      <w:r w:rsidR="00385058" w:rsidRPr="1A8E6423">
        <w:rPr>
          <w:rFonts w:ascii="Arial" w:eastAsia="Calibri" w:hAnsi="Arial" w:cs="Arial"/>
          <w:sz w:val="20"/>
          <w:szCs w:val="20"/>
          <w:lang w:val="sr-Cyrl-RS"/>
        </w:rPr>
        <w:t>а</w:t>
      </w:r>
      <w:r w:rsidR="00EA469B" w:rsidRPr="1A8E6423">
        <w:rPr>
          <w:rFonts w:ascii="Arial" w:eastAsia="Calibri" w:hAnsi="Arial" w:cs="Arial"/>
          <w:sz w:val="20"/>
          <w:szCs w:val="20"/>
          <w:lang w:val="sr-Cyrl-RS"/>
        </w:rPr>
        <w:t xml:space="preserve"> на приватном или јавном праву. Међуопштински ентитети засновани на јавном праву у неким државама могу имати право убирања пореза и постати значајан сегмент </w:t>
      </w:r>
      <w:r w:rsidRPr="1A8E6423">
        <w:rPr>
          <w:rFonts w:ascii="Arial" w:eastAsia="Calibri" w:hAnsi="Arial" w:cs="Arial"/>
          <w:sz w:val="20"/>
          <w:szCs w:val="20"/>
          <w:lang w:val="sr-Cyrl-RS"/>
        </w:rPr>
        <w:t>државне управе</w:t>
      </w:r>
      <w:r w:rsidR="00EA469B" w:rsidRPr="1A8E6423">
        <w:rPr>
          <w:rFonts w:ascii="Arial" w:eastAsia="Calibri" w:hAnsi="Arial" w:cs="Arial"/>
          <w:sz w:val="20"/>
          <w:szCs w:val="20"/>
          <w:lang w:val="sr-Cyrl-RS"/>
        </w:rPr>
        <w:t>.</w:t>
      </w:r>
    </w:p>
    <w:p w14:paraId="441BA3D2" w14:textId="77777777" w:rsidR="00E04FBF" w:rsidRPr="00A021B7" w:rsidRDefault="00E04FBF" w:rsidP="1A8E6423">
      <w:pPr>
        <w:ind w:firstLine="720"/>
        <w:jc w:val="both"/>
        <w:rPr>
          <w:rFonts w:ascii="Arial" w:eastAsia="Calibri" w:hAnsi="Arial" w:cs="Arial"/>
          <w:sz w:val="20"/>
          <w:szCs w:val="20"/>
          <w:lang w:val="sr-Cyrl-RS"/>
        </w:rPr>
      </w:pPr>
    </w:p>
    <w:p w14:paraId="736890EB" w14:textId="4E836C70" w:rsidR="00EA469B" w:rsidRPr="00A021B7" w:rsidRDefault="00EA469B" w:rsidP="1A8E6423">
      <w:pPr>
        <w:ind w:firstLine="720"/>
        <w:jc w:val="both"/>
        <w:rPr>
          <w:rFonts w:ascii="Arial" w:eastAsia="Calibri" w:hAnsi="Arial" w:cs="Arial"/>
          <w:sz w:val="20"/>
          <w:szCs w:val="20"/>
          <w:lang w:val="sr-Cyrl-RS"/>
        </w:rPr>
      </w:pPr>
      <w:r w:rsidRPr="1A8E6423">
        <w:rPr>
          <w:rFonts w:ascii="Arial" w:eastAsia="Calibri" w:hAnsi="Arial" w:cs="Arial"/>
          <w:sz w:val="20"/>
          <w:szCs w:val="20"/>
          <w:lang w:val="sr-Cyrl-RS"/>
        </w:rPr>
        <w:t xml:space="preserve">Када је реч о односу државе према </w:t>
      </w:r>
      <w:r w:rsidR="00185E42" w:rsidRPr="1A8E6423">
        <w:rPr>
          <w:rFonts w:ascii="Arial" w:eastAsia="Calibri" w:hAnsi="Arial" w:cs="Arial"/>
          <w:sz w:val="20"/>
          <w:szCs w:val="20"/>
          <w:lang w:val="sr-Cyrl-RS"/>
        </w:rPr>
        <w:t>МОС</w:t>
      </w:r>
      <w:r w:rsidRPr="1A8E6423">
        <w:rPr>
          <w:rFonts w:ascii="Arial" w:eastAsia="Calibri" w:hAnsi="Arial" w:cs="Arial"/>
          <w:sz w:val="20"/>
          <w:szCs w:val="20"/>
          <w:lang w:val="sr-Cyrl-RS"/>
        </w:rPr>
        <w:t>, може се идентификовати приступ тврде политике (</w:t>
      </w:r>
      <w:r w:rsidR="00185E42" w:rsidRPr="1A8E6423">
        <w:rPr>
          <w:rFonts w:ascii="Arial" w:eastAsia="Calibri" w:hAnsi="Arial" w:cs="Arial"/>
          <w:sz w:val="20"/>
          <w:szCs w:val="20"/>
          <w:lang w:val="sr-Cyrl-RS"/>
        </w:rPr>
        <w:t xml:space="preserve">стимулација </w:t>
      </w:r>
      <w:r w:rsidR="00385058" w:rsidRPr="1A8E6423">
        <w:rPr>
          <w:rFonts w:ascii="Arial" w:eastAsia="Calibri" w:hAnsi="Arial" w:cs="Arial"/>
          <w:sz w:val="20"/>
          <w:szCs w:val="20"/>
          <w:lang w:val="sr-Cyrl-RS"/>
        </w:rPr>
        <w:t>одозго</w:t>
      </w:r>
      <w:r w:rsidRPr="1A8E6423">
        <w:rPr>
          <w:rFonts w:ascii="Arial" w:eastAsia="Calibri" w:hAnsi="Arial" w:cs="Arial"/>
          <w:sz w:val="20"/>
          <w:szCs w:val="20"/>
          <w:lang w:val="sr-Cyrl-RS"/>
        </w:rPr>
        <w:t>, кроз прописе и финансије, каткад и обавезивање на сарадњу, постојање централног тела које се искључиво бави овом облашћу) и меке политике</w:t>
      </w:r>
      <w:r w:rsidR="00185E42"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када се општинама препоручује сарадња</w:t>
      </w:r>
      <w:r w:rsidR="00185E42" w:rsidRPr="1A8E6423">
        <w:rPr>
          <w:rFonts w:ascii="Arial" w:eastAsia="Calibri" w:hAnsi="Arial" w:cs="Arial"/>
          <w:sz w:val="20"/>
          <w:szCs w:val="20"/>
          <w:lang w:val="sr-Cyrl-RS"/>
        </w:rPr>
        <w:t>,</w:t>
      </w:r>
      <w:r w:rsidRPr="1A8E6423">
        <w:rPr>
          <w:rFonts w:ascii="Arial" w:eastAsia="Calibri" w:hAnsi="Arial" w:cs="Arial"/>
          <w:sz w:val="20"/>
          <w:szCs w:val="20"/>
          <w:lang w:val="sr-Cyrl-RS"/>
        </w:rPr>
        <w:t xml:space="preserve"> али се ипак њима оставља да донесу коначну одлуку о томе (</w:t>
      </w:r>
      <w:r w:rsidR="00185E42" w:rsidRPr="1A8E6423">
        <w:rPr>
          <w:rFonts w:ascii="Arial" w:eastAsia="Calibri" w:hAnsi="Arial" w:cs="Arial"/>
          <w:sz w:val="20"/>
          <w:szCs w:val="20"/>
          <w:lang w:val="sr-Cyrl-RS"/>
        </w:rPr>
        <w:t xml:space="preserve">добровољна </w:t>
      </w:r>
      <w:r w:rsidRPr="1A8E6423">
        <w:rPr>
          <w:rFonts w:ascii="Arial" w:eastAsia="Calibri" w:hAnsi="Arial" w:cs="Arial"/>
          <w:sz w:val="20"/>
          <w:szCs w:val="20"/>
          <w:lang w:val="sr-Cyrl-RS"/>
        </w:rPr>
        <w:t>сарадња).</w:t>
      </w:r>
    </w:p>
    <w:p w14:paraId="0D8C7B37" w14:textId="77777777" w:rsidR="00E04FBF" w:rsidRPr="00A021B7" w:rsidRDefault="00E04FBF" w:rsidP="1A8E6423">
      <w:pPr>
        <w:ind w:firstLine="720"/>
        <w:jc w:val="both"/>
        <w:rPr>
          <w:rFonts w:ascii="Arial" w:eastAsia="Calibri" w:hAnsi="Arial" w:cs="Arial"/>
          <w:sz w:val="20"/>
          <w:szCs w:val="20"/>
          <w:lang w:val="sr-Cyrl-RS"/>
        </w:rPr>
      </w:pPr>
    </w:p>
    <w:p w14:paraId="615F9990" w14:textId="4FF27D77" w:rsidR="004B0E7B" w:rsidRPr="00A021B7" w:rsidRDefault="00921670" w:rsidP="1A8E6423">
      <w:pPr>
        <w:ind w:firstLine="720"/>
        <w:jc w:val="both"/>
        <w:rPr>
          <w:rFonts w:ascii="Arial" w:eastAsia="Calibri" w:hAnsi="Arial" w:cs="Arial"/>
          <w:sz w:val="20"/>
          <w:szCs w:val="20"/>
          <w:lang w:val="sr-Cyrl-RS"/>
        </w:rPr>
      </w:pPr>
      <w:r w:rsidRPr="1A8E6423">
        <w:rPr>
          <w:rFonts w:ascii="Arial" w:eastAsia="Calibri" w:hAnsi="Arial" w:cs="Arial"/>
          <w:sz w:val="20"/>
          <w:szCs w:val="20"/>
          <w:lang w:val="sr-Cyrl-RS"/>
        </w:rPr>
        <w:t xml:space="preserve">Географски </w:t>
      </w:r>
      <w:r w:rsidR="00EA469B" w:rsidRPr="1A8E6423">
        <w:rPr>
          <w:rFonts w:ascii="Arial" w:eastAsia="Calibri" w:hAnsi="Arial" w:cs="Arial"/>
          <w:sz w:val="20"/>
          <w:szCs w:val="20"/>
          <w:lang w:val="sr-Cyrl-RS"/>
        </w:rPr>
        <w:t>гледано</w:t>
      </w:r>
      <w:r w:rsidRPr="1A8E6423">
        <w:rPr>
          <w:rFonts w:ascii="Arial" w:eastAsia="Calibri" w:hAnsi="Arial" w:cs="Arial"/>
          <w:sz w:val="20"/>
          <w:szCs w:val="20"/>
          <w:lang w:val="sr-Cyrl-RS"/>
        </w:rPr>
        <w:t>,</w:t>
      </w:r>
      <w:r w:rsidR="00EA469B" w:rsidRPr="1A8E6423">
        <w:rPr>
          <w:rFonts w:ascii="Arial" w:eastAsia="Calibri" w:hAnsi="Arial" w:cs="Arial"/>
          <w:sz w:val="20"/>
          <w:szCs w:val="20"/>
          <w:lang w:val="sr-Cyrl-RS"/>
        </w:rPr>
        <w:t xml:space="preserve"> могу се </w:t>
      </w:r>
      <w:r w:rsidR="00385058" w:rsidRPr="1A8E6423">
        <w:rPr>
          <w:rFonts w:ascii="Arial" w:eastAsia="Calibri" w:hAnsi="Arial" w:cs="Arial"/>
          <w:sz w:val="20"/>
          <w:szCs w:val="20"/>
          <w:lang w:val="sr-Cyrl-RS"/>
        </w:rPr>
        <w:t xml:space="preserve">уочити </w:t>
      </w:r>
      <w:r w:rsidR="00EA469B" w:rsidRPr="1A8E6423">
        <w:rPr>
          <w:rFonts w:ascii="Arial" w:eastAsia="Calibri" w:hAnsi="Arial" w:cs="Arial"/>
          <w:sz w:val="20"/>
          <w:szCs w:val="20"/>
          <w:lang w:val="sr-Cyrl-RS"/>
        </w:rPr>
        <w:t xml:space="preserve">државе у којима је сарадња традиционално присутна и везана је за превазилажење проблема који произлазе из врло малих општина (нпр. Француска), па је због тога често и обавезујућа (јужноевропски модел). У Скандинавији и већем делу Немачке </w:t>
      </w:r>
      <w:r w:rsidRPr="1A8E6423">
        <w:rPr>
          <w:rFonts w:ascii="Arial" w:eastAsia="Calibri" w:hAnsi="Arial" w:cs="Arial"/>
          <w:sz w:val="20"/>
          <w:szCs w:val="20"/>
          <w:lang w:val="sr-Cyrl-RS"/>
        </w:rPr>
        <w:t xml:space="preserve">МОС </w:t>
      </w:r>
      <w:r w:rsidR="00EA469B" w:rsidRPr="1A8E6423">
        <w:rPr>
          <w:rFonts w:ascii="Arial" w:eastAsia="Calibri" w:hAnsi="Arial" w:cs="Arial"/>
          <w:sz w:val="20"/>
          <w:szCs w:val="20"/>
          <w:lang w:val="sr-Cyrl-RS"/>
        </w:rPr>
        <w:t xml:space="preserve">такође дуго </w:t>
      </w:r>
      <w:r w:rsidRPr="1A8E6423">
        <w:rPr>
          <w:rFonts w:ascii="Arial" w:eastAsia="Calibri" w:hAnsi="Arial" w:cs="Arial"/>
          <w:sz w:val="20"/>
          <w:szCs w:val="20"/>
          <w:lang w:val="sr-Cyrl-RS"/>
        </w:rPr>
        <w:t xml:space="preserve">постоји, </w:t>
      </w:r>
      <w:r w:rsidR="00EA469B" w:rsidRPr="1A8E6423">
        <w:rPr>
          <w:rFonts w:ascii="Arial" w:eastAsia="Calibri" w:hAnsi="Arial" w:cs="Arial"/>
          <w:sz w:val="20"/>
          <w:szCs w:val="20"/>
          <w:lang w:val="sr-Cyrl-RS"/>
        </w:rPr>
        <w:t>али је више везана за ефикасније локално пословање</w:t>
      </w:r>
      <w:r w:rsidRPr="1A8E6423">
        <w:rPr>
          <w:rFonts w:ascii="Arial" w:eastAsia="Calibri" w:hAnsi="Arial" w:cs="Arial"/>
          <w:sz w:val="20"/>
          <w:szCs w:val="20"/>
          <w:lang w:val="sr-Cyrl-RS"/>
        </w:rPr>
        <w:t>,</w:t>
      </w:r>
      <w:r w:rsidR="00EA469B" w:rsidRPr="1A8E6423">
        <w:rPr>
          <w:rFonts w:ascii="Arial" w:eastAsia="Calibri" w:hAnsi="Arial" w:cs="Arial"/>
          <w:sz w:val="20"/>
          <w:szCs w:val="20"/>
          <w:lang w:val="sr-Cyrl-RS"/>
        </w:rPr>
        <w:t xml:space="preserve"> па је стога углавном </w:t>
      </w:r>
      <w:r w:rsidRPr="1A8E6423">
        <w:rPr>
          <w:rFonts w:ascii="Arial" w:eastAsia="Calibri" w:hAnsi="Arial" w:cs="Arial"/>
          <w:sz w:val="20"/>
          <w:szCs w:val="20"/>
          <w:lang w:val="sr-Cyrl-RS"/>
        </w:rPr>
        <w:t>добровољна</w:t>
      </w:r>
      <w:r w:rsidR="00EA469B" w:rsidRPr="1A8E6423">
        <w:rPr>
          <w:rFonts w:ascii="Arial" w:eastAsia="Calibri" w:hAnsi="Arial" w:cs="Arial"/>
          <w:sz w:val="20"/>
          <w:szCs w:val="20"/>
          <w:lang w:val="sr-Cyrl-RS"/>
        </w:rPr>
        <w:t xml:space="preserve">. Коначно, као </w:t>
      </w:r>
      <w:r w:rsidRPr="1A8E6423">
        <w:rPr>
          <w:rFonts w:ascii="Arial" w:eastAsia="Calibri" w:hAnsi="Arial" w:cs="Arial"/>
          <w:sz w:val="20"/>
          <w:szCs w:val="20"/>
          <w:lang w:val="sr-Cyrl-RS"/>
        </w:rPr>
        <w:t>средњо</w:t>
      </w:r>
      <w:r w:rsidR="00EA469B" w:rsidRPr="1A8E6423">
        <w:rPr>
          <w:rFonts w:ascii="Arial" w:eastAsia="Calibri" w:hAnsi="Arial" w:cs="Arial"/>
          <w:sz w:val="20"/>
          <w:szCs w:val="20"/>
          <w:lang w:val="sr-Cyrl-RS"/>
        </w:rPr>
        <w:t xml:space="preserve">европски модел </w:t>
      </w:r>
      <w:r w:rsidRPr="1A8E6423">
        <w:rPr>
          <w:rFonts w:ascii="Arial" w:eastAsia="Calibri" w:hAnsi="Arial" w:cs="Arial"/>
          <w:sz w:val="20"/>
          <w:szCs w:val="20"/>
          <w:lang w:val="sr-Cyrl-RS"/>
        </w:rPr>
        <w:t xml:space="preserve">МОС </w:t>
      </w:r>
      <w:r w:rsidR="00EA469B" w:rsidRPr="1A8E6423">
        <w:rPr>
          <w:rFonts w:ascii="Arial" w:eastAsia="Calibri" w:hAnsi="Arial" w:cs="Arial"/>
          <w:sz w:val="20"/>
          <w:szCs w:val="20"/>
          <w:lang w:val="sr-Cyrl-RS"/>
        </w:rPr>
        <w:t xml:space="preserve">могу се означити државе у којима је </w:t>
      </w:r>
      <w:r w:rsidRPr="1A8E6423">
        <w:rPr>
          <w:rFonts w:ascii="Arial" w:eastAsia="Calibri" w:hAnsi="Arial" w:cs="Arial"/>
          <w:sz w:val="20"/>
          <w:szCs w:val="20"/>
          <w:lang w:val="sr-Cyrl-RS"/>
        </w:rPr>
        <w:t xml:space="preserve">она </w:t>
      </w:r>
      <w:r w:rsidR="00EA469B" w:rsidRPr="1A8E6423">
        <w:rPr>
          <w:rFonts w:ascii="Arial" w:eastAsia="Calibri" w:hAnsi="Arial" w:cs="Arial"/>
          <w:sz w:val="20"/>
          <w:szCs w:val="20"/>
          <w:lang w:val="sr-Cyrl-RS"/>
        </w:rPr>
        <w:t xml:space="preserve">новијег датума и реч је углавном о постсоцијалистичким државама у којима је јачање општина и </w:t>
      </w:r>
      <w:r w:rsidRPr="1A8E6423">
        <w:rPr>
          <w:rFonts w:ascii="Arial" w:eastAsia="Calibri" w:hAnsi="Arial" w:cs="Arial"/>
          <w:sz w:val="20"/>
          <w:szCs w:val="20"/>
          <w:lang w:val="sr-Cyrl-RS"/>
        </w:rPr>
        <w:t xml:space="preserve">МОС </w:t>
      </w:r>
      <w:r w:rsidR="00EA469B" w:rsidRPr="1A8E6423">
        <w:rPr>
          <w:rFonts w:ascii="Arial" w:eastAsia="Calibri" w:hAnsi="Arial" w:cs="Arial"/>
          <w:sz w:val="20"/>
          <w:szCs w:val="20"/>
          <w:lang w:val="sr-Cyrl-RS"/>
        </w:rPr>
        <w:t>начин јачања демократије и отклона од наслеђеног централизма (нпр. Чешка, Словачка).</w:t>
      </w:r>
    </w:p>
    <w:p w14:paraId="2B930613" w14:textId="77777777" w:rsidR="007F68DA" w:rsidRPr="00A021B7" w:rsidRDefault="007F68DA" w:rsidP="1A8E6423">
      <w:pPr>
        <w:ind w:firstLine="720"/>
        <w:jc w:val="both"/>
        <w:rPr>
          <w:rFonts w:ascii="Arial" w:eastAsia="Calibri" w:hAnsi="Arial" w:cs="Arial"/>
          <w:sz w:val="20"/>
          <w:szCs w:val="20"/>
          <w:lang w:val="sr-Cyrl-RS"/>
        </w:rPr>
      </w:pPr>
    </w:p>
    <w:p w14:paraId="425CDBCC" w14:textId="43267B63" w:rsidR="00EA469B" w:rsidRPr="00A021B7" w:rsidRDefault="00C0338C" w:rsidP="1A8E6423">
      <w:pPr>
        <w:rPr>
          <w:rFonts w:ascii="Arial" w:hAnsi="Arial" w:cs="Arial"/>
          <w:i/>
          <w:iCs/>
          <w:sz w:val="20"/>
          <w:szCs w:val="20"/>
          <w:lang w:val="sr-Cyrl-RS"/>
        </w:rPr>
      </w:pPr>
      <w:r w:rsidRPr="1A8E6423">
        <w:rPr>
          <w:rFonts w:ascii="Arial" w:hAnsi="Arial" w:cs="Arial"/>
          <w:i/>
          <w:iCs/>
          <w:sz w:val="20"/>
          <w:szCs w:val="20"/>
          <w:lang w:val="sr-Cyrl-RS"/>
        </w:rPr>
        <w:t>Табела 1</w:t>
      </w:r>
      <w:r w:rsidR="002139C8" w:rsidRPr="1A8E6423">
        <w:rPr>
          <w:rFonts w:ascii="Arial" w:hAnsi="Arial" w:cs="Arial"/>
          <w:i/>
          <w:iCs/>
          <w:sz w:val="20"/>
          <w:szCs w:val="20"/>
          <w:lang w:val="sr-Cyrl-RS"/>
        </w:rPr>
        <w:t>4</w:t>
      </w:r>
      <w:r w:rsidRPr="1A8E6423">
        <w:rPr>
          <w:rFonts w:ascii="Arial" w:hAnsi="Arial" w:cs="Arial"/>
          <w:i/>
          <w:iCs/>
          <w:sz w:val="20"/>
          <w:szCs w:val="20"/>
          <w:lang w:val="sr-Cyrl-RS"/>
        </w:rPr>
        <w:t xml:space="preserve">: </w:t>
      </w:r>
      <w:r w:rsidR="00EA469B" w:rsidRPr="1A8E6423">
        <w:rPr>
          <w:rFonts w:ascii="Arial" w:hAnsi="Arial" w:cs="Arial"/>
          <w:i/>
          <w:iCs/>
          <w:sz w:val="20"/>
          <w:szCs w:val="20"/>
          <w:lang w:val="sr-Cyrl-RS"/>
        </w:rPr>
        <w:t>Карактеристике међуопштинске сарадње у европским државама</w:t>
      </w:r>
    </w:p>
    <w:p w14:paraId="7F68F33A" w14:textId="77777777" w:rsidR="00EA469B" w:rsidRPr="00A021B7" w:rsidRDefault="00EA469B" w:rsidP="003E7BC9">
      <w:pPr>
        <w:ind w:firstLine="720"/>
        <w:jc w:val="center"/>
        <w:rPr>
          <w:rFonts w:ascii="Arial" w:eastAsia="Calibri" w:hAnsi="Arial" w:cs="Arial"/>
          <w:i/>
          <w:sz w:val="20"/>
          <w:szCs w:val="20"/>
          <w:lang w:val="sr-Cyrl-RS"/>
        </w:rPr>
      </w:pPr>
    </w:p>
    <w:tbl>
      <w:tblPr>
        <w:tblStyle w:val="PlainTable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7712"/>
      </w:tblGrid>
      <w:tr w:rsidR="00E04FBF" w:rsidRPr="00A021B7" w14:paraId="3DDF9568" w14:textId="77777777" w:rsidTr="1A8E6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847FB44"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Држава</w:t>
            </w:r>
          </w:p>
        </w:tc>
        <w:tc>
          <w:tcPr>
            <w:tcW w:w="8180" w:type="dxa"/>
          </w:tcPr>
          <w:p w14:paraId="7C7F6200" w14:textId="77777777" w:rsidR="00EA469B" w:rsidRPr="00A021B7" w:rsidRDefault="00EA469B" w:rsidP="003E7BC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RS"/>
              </w:rPr>
            </w:pPr>
            <w:r w:rsidRPr="00A021B7">
              <w:rPr>
                <w:rFonts w:ascii="Arial" w:hAnsi="Arial" w:cs="Arial"/>
                <w:sz w:val="20"/>
                <w:szCs w:val="20"/>
                <w:lang w:val="sr-Cyrl-RS"/>
              </w:rPr>
              <w:t>Основне карактеристике МОС</w:t>
            </w:r>
          </w:p>
        </w:tc>
      </w:tr>
      <w:tr w:rsidR="007546B6" w:rsidRPr="00A021B7" w14:paraId="60123B87"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57396EA"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Чешка</w:t>
            </w:r>
          </w:p>
        </w:tc>
        <w:tc>
          <w:tcPr>
            <w:tcW w:w="8180" w:type="dxa"/>
          </w:tcPr>
          <w:p w14:paraId="7E716A91" w14:textId="665BA326" w:rsidR="00EA469B" w:rsidRPr="00A021B7" w:rsidRDefault="00385058"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о</w:t>
            </w:r>
            <w:r w:rsidR="00EA469B" w:rsidRPr="1A8E6423">
              <w:rPr>
                <w:rFonts w:ascii="Arial" w:hAnsi="Arial" w:cs="Arial"/>
                <w:sz w:val="20"/>
                <w:szCs w:val="20"/>
                <w:lang w:val="sr-Cyrl-RS"/>
              </w:rPr>
              <w:t>д 90</w:t>
            </w:r>
            <w:r w:rsidR="00921670" w:rsidRPr="1A8E6423">
              <w:rPr>
                <w:rFonts w:ascii="Arial" w:hAnsi="Arial" w:cs="Arial"/>
                <w:sz w:val="20"/>
                <w:szCs w:val="20"/>
                <w:lang w:val="sr-Cyrl-RS"/>
              </w:rPr>
              <w:t>-</w:t>
            </w:r>
            <w:r w:rsidR="00EA469B" w:rsidRPr="1A8E6423">
              <w:rPr>
                <w:rFonts w:ascii="Arial" w:hAnsi="Arial" w:cs="Arial"/>
                <w:sz w:val="20"/>
                <w:szCs w:val="20"/>
                <w:lang w:val="sr-Cyrl-RS"/>
              </w:rPr>
              <w:t xml:space="preserve">их година; потреба за превазилажењем наслеђа централизма, изузетно мале општине; флексибилни и стимулативни прописи; </w:t>
            </w:r>
            <w:r w:rsidR="00921670" w:rsidRPr="1A8E6423">
              <w:rPr>
                <w:rFonts w:ascii="Arial" w:hAnsi="Arial" w:cs="Arial"/>
                <w:sz w:val="20"/>
                <w:szCs w:val="20"/>
                <w:lang w:val="sr-Cyrl-RS"/>
              </w:rPr>
              <w:t>добровољна</w:t>
            </w:r>
            <w:r w:rsidR="00EA469B" w:rsidRPr="1A8E6423">
              <w:rPr>
                <w:rFonts w:ascii="Arial" w:hAnsi="Arial" w:cs="Arial"/>
                <w:sz w:val="20"/>
                <w:szCs w:val="20"/>
                <w:lang w:val="sr-Cyrl-RS"/>
              </w:rPr>
              <w:t>, без великих финансијских улагања државе и „тврде</w:t>
            </w:r>
            <w:r w:rsidR="0074037A" w:rsidRPr="1A8E6423">
              <w:rPr>
                <w:rFonts w:ascii="Arial" w:hAnsi="Arial" w:cs="Arial"/>
                <w:sz w:val="20"/>
                <w:szCs w:val="20"/>
                <w:lang w:val="sr-Cyrl-RS"/>
              </w:rPr>
              <w:t>”</w:t>
            </w:r>
            <w:r w:rsidR="00EA469B" w:rsidRPr="1A8E6423">
              <w:rPr>
                <w:rFonts w:ascii="Arial" w:hAnsi="Arial" w:cs="Arial"/>
                <w:sz w:val="20"/>
                <w:szCs w:val="20"/>
                <w:lang w:val="sr-Cyrl-RS"/>
              </w:rPr>
              <w:t xml:space="preserve"> политике у овој области</w:t>
            </w:r>
          </w:p>
        </w:tc>
      </w:tr>
      <w:tr w:rsidR="00E04FBF" w:rsidRPr="00A021B7" w14:paraId="6273FA3C" w14:textId="77777777" w:rsidTr="1A8E6423">
        <w:tc>
          <w:tcPr>
            <w:cnfStyle w:val="001000000000" w:firstRow="0" w:lastRow="0" w:firstColumn="1" w:lastColumn="0" w:oddVBand="0" w:evenVBand="0" w:oddHBand="0" w:evenHBand="0" w:firstRowFirstColumn="0" w:firstRowLastColumn="0" w:lastRowFirstColumn="0" w:lastRowLastColumn="0"/>
            <w:tcW w:w="1170" w:type="dxa"/>
          </w:tcPr>
          <w:p w14:paraId="368297D0"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Италија</w:t>
            </w:r>
          </w:p>
        </w:tc>
        <w:tc>
          <w:tcPr>
            <w:tcW w:w="8180" w:type="dxa"/>
          </w:tcPr>
          <w:p w14:paraId="4B06E45F" w14:textId="174DFADE" w:rsidR="00EA469B" w:rsidRPr="00A021B7" w:rsidRDefault="00385058" w:rsidP="003E7B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о</w:t>
            </w:r>
            <w:r w:rsidR="00EA469B" w:rsidRPr="1A8E6423">
              <w:rPr>
                <w:rFonts w:ascii="Arial" w:hAnsi="Arial" w:cs="Arial"/>
                <w:sz w:val="20"/>
                <w:szCs w:val="20"/>
                <w:lang w:val="sr-Cyrl-RS"/>
              </w:rPr>
              <w:t>д 90</w:t>
            </w:r>
            <w:r w:rsidR="00921670" w:rsidRPr="1A8E6423">
              <w:rPr>
                <w:rFonts w:ascii="Arial" w:hAnsi="Arial" w:cs="Arial"/>
                <w:sz w:val="20"/>
                <w:szCs w:val="20"/>
                <w:lang w:val="sr-Cyrl-RS"/>
              </w:rPr>
              <w:t>-</w:t>
            </w:r>
            <w:r w:rsidR="00EA469B" w:rsidRPr="1A8E6423">
              <w:rPr>
                <w:rFonts w:ascii="Arial" w:hAnsi="Arial" w:cs="Arial"/>
                <w:sz w:val="20"/>
                <w:szCs w:val="20"/>
                <w:lang w:val="sr-Cyrl-RS"/>
              </w:rPr>
              <w:t>их година; развој МОС последица политике „од</w:t>
            </w:r>
            <w:r w:rsidRPr="1A8E6423">
              <w:rPr>
                <w:rFonts w:ascii="Arial" w:hAnsi="Arial" w:cs="Arial"/>
                <w:sz w:val="20"/>
                <w:szCs w:val="20"/>
                <w:lang w:val="sr-Cyrl-RS"/>
              </w:rPr>
              <w:t>озго</w:t>
            </w:r>
            <w:r w:rsidR="0074037A" w:rsidRPr="1A8E6423">
              <w:rPr>
                <w:rFonts w:ascii="Arial" w:hAnsi="Arial" w:cs="Arial"/>
                <w:sz w:val="20"/>
                <w:szCs w:val="20"/>
                <w:lang w:val="sr-Cyrl-RS"/>
              </w:rPr>
              <w:t>”</w:t>
            </w:r>
            <w:r w:rsidR="00EA469B" w:rsidRPr="1A8E6423">
              <w:rPr>
                <w:rFonts w:ascii="Arial" w:hAnsi="Arial" w:cs="Arial"/>
                <w:sz w:val="20"/>
                <w:szCs w:val="20"/>
                <w:lang w:val="sr-Cyrl-RS"/>
              </w:rPr>
              <w:t xml:space="preserve">, политика МОС: између </w:t>
            </w:r>
            <w:r w:rsidR="00921670" w:rsidRPr="1A8E6423">
              <w:rPr>
                <w:rFonts w:ascii="Arial" w:hAnsi="Arial" w:cs="Arial"/>
                <w:sz w:val="20"/>
                <w:szCs w:val="20"/>
                <w:lang w:val="sr-Cyrl-RS"/>
              </w:rPr>
              <w:t xml:space="preserve">добровољности </w:t>
            </w:r>
            <w:r w:rsidR="00EA469B" w:rsidRPr="1A8E6423">
              <w:rPr>
                <w:rFonts w:ascii="Arial" w:hAnsi="Arial" w:cs="Arial"/>
                <w:sz w:val="20"/>
                <w:szCs w:val="20"/>
                <w:lang w:val="sr-Cyrl-RS"/>
              </w:rPr>
              <w:t>и регулације и јаких стимулација</w:t>
            </w:r>
          </w:p>
        </w:tc>
      </w:tr>
      <w:tr w:rsidR="007546B6" w:rsidRPr="00A021B7" w14:paraId="6CE78A58"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653B4F4"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Немачка</w:t>
            </w:r>
          </w:p>
        </w:tc>
        <w:tc>
          <w:tcPr>
            <w:tcW w:w="8180" w:type="dxa"/>
          </w:tcPr>
          <w:p w14:paraId="2451B05C" w14:textId="202D3AD9" w:rsidR="00EA469B" w:rsidRPr="00A021B7" w:rsidRDefault="00385058"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т</w:t>
            </w:r>
            <w:r w:rsidR="00EA469B" w:rsidRPr="1A8E6423">
              <w:rPr>
                <w:rFonts w:ascii="Arial" w:hAnsi="Arial" w:cs="Arial"/>
                <w:sz w:val="20"/>
                <w:szCs w:val="20"/>
                <w:lang w:val="sr-Cyrl-RS"/>
              </w:rPr>
              <w:t xml:space="preserve">радиционална; заснована на слободној вољи општина уз државни оквир </w:t>
            </w:r>
            <w:r w:rsidRPr="1A8E6423">
              <w:rPr>
                <w:rFonts w:ascii="Arial" w:hAnsi="Arial" w:cs="Arial"/>
                <w:sz w:val="20"/>
                <w:szCs w:val="20"/>
                <w:lang w:val="sr-Cyrl-RS"/>
              </w:rPr>
              <w:t xml:space="preserve">за </w:t>
            </w:r>
            <w:r w:rsidR="00EA469B" w:rsidRPr="1A8E6423">
              <w:rPr>
                <w:rFonts w:ascii="Arial" w:hAnsi="Arial" w:cs="Arial"/>
                <w:sz w:val="20"/>
                <w:szCs w:val="20"/>
                <w:lang w:val="sr-Cyrl-RS"/>
              </w:rPr>
              <w:t>сарадњ</w:t>
            </w:r>
            <w:r w:rsidRPr="1A8E6423">
              <w:rPr>
                <w:rFonts w:ascii="Arial" w:hAnsi="Arial" w:cs="Arial"/>
                <w:sz w:val="20"/>
                <w:szCs w:val="20"/>
                <w:lang w:val="sr-Cyrl-RS"/>
              </w:rPr>
              <w:t>у</w:t>
            </w:r>
            <w:r w:rsidR="00EA469B" w:rsidRPr="1A8E6423">
              <w:rPr>
                <w:rFonts w:ascii="Arial" w:hAnsi="Arial" w:cs="Arial"/>
                <w:sz w:val="20"/>
                <w:szCs w:val="20"/>
                <w:lang w:val="sr-Cyrl-RS"/>
              </w:rPr>
              <w:t xml:space="preserve">; потреба за заједничким капиталним улагањима, уштедама и </w:t>
            </w:r>
            <w:r w:rsidR="00EA469B" w:rsidRPr="1A8E6423">
              <w:rPr>
                <w:rFonts w:ascii="Arial" w:hAnsi="Arial" w:cs="Arial"/>
                <w:sz w:val="20"/>
                <w:szCs w:val="20"/>
                <w:lang w:val="sr-Cyrl-RS"/>
              </w:rPr>
              <w:lastRenderedPageBreak/>
              <w:t>просторно-функционална преклапања; разнолики аранжмани засновани на приватном и јавном праву (могу да убирају порезе или одбију подршку из буџета)</w:t>
            </w:r>
          </w:p>
        </w:tc>
      </w:tr>
      <w:tr w:rsidR="00E04FBF" w:rsidRPr="00A021B7" w14:paraId="5D820BA6" w14:textId="77777777" w:rsidTr="1A8E6423">
        <w:tc>
          <w:tcPr>
            <w:cnfStyle w:val="001000000000" w:firstRow="0" w:lastRow="0" w:firstColumn="1" w:lastColumn="0" w:oddVBand="0" w:evenVBand="0" w:oddHBand="0" w:evenHBand="0" w:firstRowFirstColumn="0" w:firstRowLastColumn="0" w:lastRowFirstColumn="0" w:lastRowLastColumn="0"/>
            <w:tcW w:w="1170" w:type="dxa"/>
          </w:tcPr>
          <w:p w14:paraId="09B33268"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lastRenderedPageBreak/>
              <w:t>Шведска</w:t>
            </w:r>
          </w:p>
        </w:tc>
        <w:tc>
          <w:tcPr>
            <w:tcW w:w="8180" w:type="dxa"/>
          </w:tcPr>
          <w:p w14:paraId="3AA16A91" w14:textId="399ABD37" w:rsidR="00EA469B" w:rsidRPr="00A021B7" w:rsidRDefault="00385058" w:rsidP="003E7BC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б</w:t>
            </w:r>
            <w:r w:rsidR="00EA469B" w:rsidRPr="1A8E6423">
              <w:rPr>
                <w:rFonts w:ascii="Arial" w:hAnsi="Arial" w:cs="Arial"/>
                <w:sz w:val="20"/>
                <w:szCs w:val="20"/>
                <w:lang w:val="sr-Cyrl-RS"/>
              </w:rPr>
              <w:t>ез чврсте државне политике; општине се спонтано удружују; више фокусирана на питања регионалног развоја него на класичне јавне услуге; мотиви сарадње су: економија обима, повећање понуде и квалитета услуга, уштеде, размена знања и искустава</w:t>
            </w:r>
          </w:p>
        </w:tc>
      </w:tr>
      <w:tr w:rsidR="007546B6" w:rsidRPr="00A021B7" w14:paraId="2BE15EC7" w14:textId="77777777" w:rsidTr="1A8E6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105CA60" w14:textId="77777777" w:rsidR="00EA469B" w:rsidRPr="00A021B7" w:rsidRDefault="00EA469B" w:rsidP="003E7BC9">
            <w:pPr>
              <w:jc w:val="both"/>
              <w:rPr>
                <w:rFonts w:ascii="Arial" w:hAnsi="Arial" w:cs="Arial"/>
                <w:sz w:val="20"/>
                <w:szCs w:val="20"/>
                <w:lang w:val="sr-Cyrl-RS"/>
              </w:rPr>
            </w:pPr>
            <w:r w:rsidRPr="00A021B7">
              <w:rPr>
                <w:rFonts w:ascii="Arial" w:hAnsi="Arial" w:cs="Arial"/>
                <w:sz w:val="20"/>
                <w:szCs w:val="20"/>
                <w:lang w:val="sr-Cyrl-RS"/>
              </w:rPr>
              <w:t>Француска</w:t>
            </w:r>
          </w:p>
        </w:tc>
        <w:tc>
          <w:tcPr>
            <w:tcW w:w="8180" w:type="dxa"/>
          </w:tcPr>
          <w:p w14:paraId="3631B45F" w14:textId="5DD9BFF4" w:rsidR="00EA469B" w:rsidRPr="00A021B7" w:rsidRDefault="00385058" w:rsidP="003E7BC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r-Cyrl-RS"/>
              </w:rPr>
            </w:pPr>
            <w:r w:rsidRPr="1A8E6423">
              <w:rPr>
                <w:rFonts w:ascii="Arial" w:hAnsi="Arial" w:cs="Arial"/>
                <w:sz w:val="20"/>
                <w:szCs w:val="20"/>
                <w:lang w:val="sr-Cyrl-RS"/>
              </w:rPr>
              <w:t>и</w:t>
            </w:r>
            <w:r w:rsidR="00EA469B" w:rsidRPr="1A8E6423">
              <w:rPr>
                <w:rFonts w:ascii="Arial" w:hAnsi="Arial" w:cs="Arial"/>
                <w:sz w:val="20"/>
                <w:szCs w:val="20"/>
                <w:lang w:val="sr-Cyrl-RS"/>
              </w:rPr>
              <w:t>ако је начелно МОС питање слободне воље општина</w:t>
            </w:r>
            <w:r w:rsidR="77BB6DF9" w:rsidRPr="1A8E6423">
              <w:rPr>
                <w:rFonts w:ascii="Arial" w:hAnsi="Arial" w:cs="Arial"/>
                <w:sz w:val="20"/>
                <w:szCs w:val="20"/>
                <w:lang w:val="sr-Cyrl-RS"/>
              </w:rPr>
              <w:t>,</w:t>
            </w:r>
            <w:r w:rsidR="00EA469B" w:rsidRPr="1A8E6423">
              <w:rPr>
                <w:rFonts w:ascii="Arial" w:hAnsi="Arial" w:cs="Arial"/>
                <w:sz w:val="20"/>
                <w:szCs w:val="20"/>
                <w:lang w:val="sr-Cyrl-RS"/>
              </w:rPr>
              <w:t xml:space="preserve"> у пракси централна политика има доста елемената принуде; изузетно мале општине, стога преко 90% њих учествује у некој форми сарадње; МОС није допуна него практично део </w:t>
            </w:r>
            <w:r w:rsidR="77BB6DF9" w:rsidRPr="1A8E6423">
              <w:rPr>
                <w:rFonts w:ascii="Arial" w:hAnsi="Arial" w:cs="Arial"/>
                <w:sz w:val="20"/>
                <w:szCs w:val="20"/>
                <w:lang w:val="sr-Cyrl-RS"/>
              </w:rPr>
              <w:t>система државне управе</w:t>
            </w:r>
          </w:p>
        </w:tc>
      </w:tr>
    </w:tbl>
    <w:p w14:paraId="7CB0146E" w14:textId="0A0CBCB8" w:rsidR="00AD2307" w:rsidRPr="00A021B7" w:rsidRDefault="00AD2307" w:rsidP="003E7BC9">
      <w:pPr>
        <w:jc w:val="both"/>
        <w:rPr>
          <w:rFonts w:ascii="Arial" w:hAnsi="Arial" w:cs="Arial"/>
          <w:b/>
          <w:bCs/>
          <w:lang w:val="sr-Cyrl-RS"/>
        </w:rPr>
      </w:pPr>
    </w:p>
    <w:p w14:paraId="25B0A2F5" w14:textId="1BC4930A" w:rsidR="00AD2307" w:rsidRPr="00A021B7" w:rsidRDefault="00AD2307" w:rsidP="003E7BC9">
      <w:pPr>
        <w:jc w:val="both"/>
        <w:rPr>
          <w:rFonts w:ascii="Arial" w:hAnsi="Arial" w:cs="Arial"/>
          <w:b/>
          <w:bCs/>
          <w:lang w:val="sr-Cyrl-RS"/>
        </w:rPr>
      </w:pPr>
    </w:p>
    <w:p w14:paraId="5F49AC64" w14:textId="2867564A" w:rsidR="0051208E" w:rsidRPr="00A021B7" w:rsidRDefault="0051208E" w:rsidP="003E7BC9">
      <w:pPr>
        <w:jc w:val="both"/>
        <w:rPr>
          <w:rFonts w:ascii="Arial" w:hAnsi="Arial" w:cs="Arial"/>
          <w:b/>
          <w:bCs/>
          <w:lang w:val="sr-Cyrl-RS"/>
        </w:rPr>
      </w:pPr>
    </w:p>
    <w:p w14:paraId="1F66262F" w14:textId="77777777" w:rsidR="0051208E" w:rsidRPr="00A021B7" w:rsidRDefault="0051208E" w:rsidP="003E7BC9">
      <w:pPr>
        <w:jc w:val="both"/>
        <w:rPr>
          <w:rFonts w:ascii="Arial" w:hAnsi="Arial" w:cs="Arial"/>
          <w:b/>
          <w:bCs/>
          <w:lang w:val="sr-Cyrl-RS"/>
        </w:rPr>
      </w:pPr>
    </w:p>
    <w:p w14:paraId="05ECBCFF" w14:textId="5878ECEE" w:rsidR="005E6575" w:rsidRPr="00A021B7" w:rsidRDefault="00F02B98" w:rsidP="004935B9">
      <w:pPr>
        <w:pStyle w:val="Heading1"/>
        <w:numPr>
          <w:ilvl w:val="0"/>
          <w:numId w:val="30"/>
        </w:numPr>
        <w:rPr>
          <w:lang w:val="sr-Cyrl-RS"/>
        </w:rPr>
      </w:pPr>
      <w:bookmarkStart w:id="150" w:name="_Toc60136094"/>
      <w:r w:rsidRPr="00A021B7">
        <w:rPr>
          <w:lang w:val="sr-Cyrl-RS"/>
        </w:rPr>
        <w:t xml:space="preserve">ВИЗИЈА И </w:t>
      </w:r>
      <w:r w:rsidR="005E6575" w:rsidRPr="00A021B7">
        <w:rPr>
          <w:lang w:val="sr-Cyrl-RS"/>
        </w:rPr>
        <w:t>ОПШТИ ЦИЉ РЕФОРМЕ СИСТЕМА ЛОКАЛНЕ САМОУПРАВЕ</w:t>
      </w:r>
      <w:bookmarkEnd w:id="150"/>
    </w:p>
    <w:p w14:paraId="3DF534F9" w14:textId="77777777" w:rsidR="005E6575" w:rsidRPr="00A021B7" w:rsidRDefault="005E6575" w:rsidP="003E7BC9">
      <w:pPr>
        <w:jc w:val="both"/>
        <w:rPr>
          <w:rFonts w:ascii="Arial" w:hAnsi="Arial" w:cs="Arial"/>
          <w:b/>
          <w:bCs/>
          <w:sz w:val="20"/>
          <w:szCs w:val="20"/>
          <w:lang w:val="sr-Cyrl-RS"/>
        </w:rPr>
      </w:pPr>
    </w:p>
    <w:p w14:paraId="02FE0190" w14:textId="4A498490" w:rsidR="005E6575" w:rsidRPr="00A021B7" w:rsidRDefault="005E6575" w:rsidP="1A8E6423">
      <w:pPr>
        <w:ind w:firstLine="720"/>
        <w:jc w:val="both"/>
        <w:rPr>
          <w:rFonts w:ascii="Arial" w:hAnsi="Arial" w:cs="Arial"/>
          <w:color w:val="000000" w:themeColor="text1"/>
          <w:sz w:val="20"/>
          <w:szCs w:val="20"/>
          <w:lang w:val="sr-Cyrl-RS" w:eastAsia="de-CH"/>
        </w:rPr>
      </w:pPr>
      <w:r w:rsidRPr="1A8E6423">
        <w:rPr>
          <w:rFonts w:ascii="Arial" w:hAnsi="Arial" w:cs="Arial"/>
          <w:sz w:val="20"/>
          <w:szCs w:val="20"/>
          <w:lang w:val="sr-Cyrl-RS"/>
        </w:rPr>
        <w:t xml:space="preserve">Општи циљ реформе система локалне самоуправе јесте </w:t>
      </w:r>
      <w:r w:rsidRPr="1A8E6423">
        <w:rPr>
          <w:rFonts w:ascii="Arial" w:hAnsi="Arial" w:cs="Arial"/>
          <w:i/>
          <w:iCs/>
          <w:sz w:val="20"/>
          <w:szCs w:val="20"/>
          <w:lang w:val="sr-Cyrl-RS"/>
        </w:rPr>
        <w:t>успостављање</w:t>
      </w:r>
      <w:r w:rsidRPr="1A8E6423">
        <w:rPr>
          <w:rFonts w:ascii="Arial" w:hAnsi="Arial" w:cs="Arial"/>
          <w:b/>
          <w:bCs/>
          <w:i/>
          <w:iCs/>
          <w:sz w:val="20"/>
          <w:szCs w:val="20"/>
          <w:lang w:val="sr-Cyrl-RS"/>
        </w:rPr>
        <w:t xml:space="preserve"> система локалне самоуправе који омогућава ефикасно и одрживо остваривање права грађана на локалну самоуправу</w:t>
      </w:r>
      <w:r w:rsidRPr="1A8E6423">
        <w:rPr>
          <w:rFonts w:ascii="Arial" w:hAnsi="Arial" w:cs="Arial"/>
          <w:sz w:val="20"/>
          <w:szCs w:val="20"/>
          <w:lang w:val="sr-Cyrl-RS"/>
        </w:rPr>
        <w:t>.</w:t>
      </w:r>
      <w:r w:rsidRPr="1A8E6423">
        <w:rPr>
          <w:rFonts w:ascii="Arial" w:hAnsi="Arial" w:cs="Arial"/>
          <w:i/>
          <w:iCs/>
          <w:sz w:val="20"/>
          <w:szCs w:val="20"/>
          <w:lang w:val="sr-Cyrl-RS"/>
        </w:rPr>
        <w:t xml:space="preserve"> </w:t>
      </w:r>
      <w:r w:rsidRPr="1A8E6423">
        <w:rPr>
          <w:rFonts w:ascii="Arial" w:hAnsi="Arial" w:cs="Arial"/>
          <w:color w:val="000000" w:themeColor="text1"/>
          <w:sz w:val="20"/>
          <w:szCs w:val="20"/>
          <w:lang w:val="sr-Cyrl-RS"/>
        </w:rPr>
        <w:t>Реформа система локалне самоуправе треба да обезбеди</w:t>
      </w:r>
      <w:r w:rsidRPr="1A8E6423">
        <w:rPr>
          <w:rFonts w:ascii="Arial" w:hAnsi="Arial" w:cs="Arial"/>
          <w:color w:val="000000" w:themeColor="text1"/>
          <w:sz w:val="20"/>
          <w:szCs w:val="20"/>
          <w:lang w:val="sr-Cyrl-RS" w:eastAsia="de-CH"/>
        </w:rPr>
        <w:t xml:space="preserve"> </w:t>
      </w:r>
      <w:r w:rsidR="00A063D4" w:rsidRPr="1A8E6423">
        <w:rPr>
          <w:rFonts w:ascii="Arial" w:hAnsi="Arial" w:cs="Arial"/>
          <w:color w:val="000000" w:themeColor="text1"/>
          <w:sz w:val="20"/>
          <w:szCs w:val="20"/>
          <w:lang w:val="sr-Cyrl-RS" w:eastAsia="de-CH"/>
        </w:rPr>
        <w:t xml:space="preserve">интензивнији наставак </w:t>
      </w:r>
      <w:r w:rsidRPr="1A8E6423">
        <w:rPr>
          <w:rFonts w:ascii="Arial" w:hAnsi="Arial" w:cs="Arial"/>
          <w:color w:val="000000" w:themeColor="text1"/>
          <w:sz w:val="20"/>
          <w:szCs w:val="20"/>
          <w:lang w:val="sr-Cyrl-RS" w:eastAsia="de-CH"/>
        </w:rPr>
        <w:t>изградњ</w:t>
      </w:r>
      <w:r w:rsidR="00A063D4" w:rsidRPr="1A8E6423">
        <w:rPr>
          <w:rFonts w:ascii="Arial" w:hAnsi="Arial" w:cs="Arial"/>
          <w:color w:val="000000" w:themeColor="text1"/>
          <w:sz w:val="20"/>
          <w:szCs w:val="20"/>
          <w:lang w:val="sr-Cyrl-RS"/>
        </w:rPr>
        <w:t>е</w:t>
      </w:r>
      <w:r w:rsidRPr="1A8E6423">
        <w:rPr>
          <w:rFonts w:ascii="Arial" w:hAnsi="Arial" w:cs="Arial"/>
          <w:color w:val="000000" w:themeColor="text1"/>
          <w:sz w:val="20"/>
          <w:szCs w:val="20"/>
          <w:lang w:val="sr-Cyrl-RS" w:eastAsia="de-CH"/>
        </w:rPr>
        <w:t xml:space="preserve"> модерне, професионалне</w:t>
      </w:r>
      <w:r w:rsidR="00A063D4" w:rsidRPr="1A8E6423">
        <w:rPr>
          <w:rFonts w:ascii="Arial" w:hAnsi="Arial" w:cs="Arial"/>
          <w:color w:val="000000" w:themeColor="text1"/>
          <w:sz w:val="20"/>
          <w:szCs w:val="20"/>
          <w:lang w:val="sr-Cyrl-RS" w:eastAsia="de-CH"/>
        </w:rPr>
        <w:t>,</w:t>
      </w:r>
      <w:r w:rsidRPr="1A8E6423">
        <w:rPr>
          <w:rFonts w:ascii="Arial" w:hAnsi="Arial" w:cs="Arial"/>
          <w:color w:val="000000" w:themeColor="text1"/>
          <w:sz w:val="20"/>
          <w:szCs w:val="20"/>
          <w:lang w:val="sr-Cyrl-RS" w:eastAsia="de-CH"/>
        </w:rPr>
        <w:t xml:space="preserve"> ефикасне</w:t>
      </w:r>
      <w:r w:rsidR="00A063D4" w:rsidRPr="1A8E6423">
        <w:rPr>
          <w:rFonts w:ascii="Arial" w:hAnsi="Arial" w:cs="Arial"/>
          <w:color w:val="000000" w:themeColor="text1"/>
          <w:sz w:val="20"/>
          <w:szCs w:val="20"/>
          <w:lang w:val="sr-Cyrl-RS" w:eastAsia="de-CH"/>
        </w:rPr>
        <w:t xml:space="preserve"> и одговорне</w:t>
      </w:r>
      <w:r w:rsidRPr="1A8E6423">
        <w:rPr>
          <w:rFonts w:ascii="Arial" w:hAnsi="Arial" w:cs="Arial"/>
          <w:color w:val="000000" w:themeColor="text1"/>
          <w:sz w:val="20"/>
          <w:szCs w:val="20"/>
          <w:lang w:val="sr-Cyrl-RS" w:eastAsia="de-CH"/>
        </w:rPr>
        <w:t xml:space="preserve"> локалне самоуправе која је способна да пружа квалитетне јавне услуге грађанима и привреди, да примењује начела доброг управљања у свом раду и да својим деловањем унапређује квалитет живота грађана и доприноси равномерном развоју Републике Србије.</w:t>
      </w:r>
    </w:p>
    <w:p w14:paraId="658EA144"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3"/>
        <w:gridCol w:w="6057"/>
      </w:tblGrid>
      <w:tr w:rsidR="005E6575" w:rsidRPr="00A021B7" w14:paraId="75A2024F" w14:textId="77777777" w:rsidTr="1A8E6423">
        <w:trPr>
          <w:trHeight w:val="219"/>
        </w:trPr>
        <w:tc>
          <w:tcPr>
            <w:tcW w:w="1639" w:type="pct"/>
            <w:tcBorders>
              <w:right w:val="single" w:sz="4" w:space="0" w:color="auto"/>
            </w:tcBorders>
            <w:shd w:val="clear" w:color="auto" w:fill="F4B083" w:themeFill="accent2" w:themeFillTint="99"/>
            <w:vAlign w:val="center"/>
          </w:tcPr>
          <w:p w14:paraId="2BCD9123" w14:textId="5381D69A" w:rsidR="005E6575" w:rsidRPr="004826D6" w:rsidRDefault="004C728F" w:rsidP="003E7BC9">
            <w:pPr>
              <w:rPr>
                <w:rFonts w:ascii="Arial" w:hAnsi="Arial" w:cs="Arial"/>
                <w:b/>
                <w:bCs/>
                <w:sz w:val="20"/>
                <w:szCs w:val="20"/>
                <w:lang w:val="sr-Cyrl-RS"/>
              </w:rPr>
            </w:pPr>
            <w:r w:rsidRPr="004826D6">
              <w:rPr>
                <w:rFonts w:ascii="Arial" w:hAnsi="Arial" w:cs="Arial"/>
                <w:b/>
                <w:bCs/>
                <w:sz w:val="20"/>
                <w:szCs w:val="20"/>
                <w:lang w:val="sr-Cyrl-RS"/>
              </w:rPr>
              <w:t>О</w:t>
            </w:r>
            <w:r w:rsidR="005E6575" w:rsidRPr="004826D6">
              <w:rPr>
                <w:rFonts w:ascii="Arial" w:hAnsi="Arial" w:cs="Arial"/>
                <w:b/>
                <w:bCs/>
                <w:sz w:val="20"/>
                <w:szCs w:val="20"/>
                <w:lang w:val="sr-Cyrl-RS"/>
              </w:rPr>
              <w:t>пшти циљ</w:t>
            </w:r>
          </w:p>
        </w:tc>
        <w:tc>
          <w:tcPr>
            <w:tcW w:w="3361" w:type="pct"/>
            <w:tcBorders>
              <w:left w:val="single" w:sz="4" w:space="0" w:color="auto"/>
            </w:tcBorders>
            <w:shd w:val="clear" w:color="auto" w:fill="F4B083" w:themeFill="accent2" w:themeFillTint="99"/>
            <w:vAlign w:val="center"/>
          </w:tcPr>
          <w:p w14:paraId="0845B79F" w14:textId="77777777" w:rsidR="005E6575" w:rsidRPr="00A021B7" w:rsidRDefault="005E6575" w:rsidP="003E7BC9">
            <w:pPr>
              <w:rPr>
                <w:rFonts w:ascii="Arial" w:hAnsi="Arial" w:cs="Arial"/>
                <w:b/>
                <w:bCs/>
                <w:sz w:val="20"/>
                <w:szCs w:val="20"/>
                <w:lang w:val="sr-Cyrl-RS"/>
              </w:rPr>
            </w:pPr>
            <w:r w:rsidRPr="00A021B7">
              <w:rPr>
                <w:rFonts w:ascii="Arial" w:hAnsi="Arial" w:cs="Arial"/>
                <w:b/>
                <w:bCs/>
                <w:sz w:val="20"/>
                <w:szCs w:val="20"/>
                <w:lang w:val="sr-Cyrl-RS"/>
              </w:rPr>
              <w:t>Показатељи (ниво утицаја)</w:t>
            </w:r>
          </w:p>
        </w:tc>
      </w:tr>
      <w:tr w:rsidR="005E6575" w:rsidRPr="00A021B7" w14:paraId="3F324744" w14:textId="77777777" w:rsidTr="1A8E6423">
        <w:trPr>
          <w:trHeight w:val="2399"/>
        </w:trPr>
        <w:tc>
          <w:tcPr>
            <w:tcW w:w="1639" w:type="pct"/>
            <w:tcBorders>
              <w:right w:val="single" w:sz="4" w:space="0" w:color="auto"/>
            </w:tcBorders>
            <w:vAlign w:val="center"/>
          </w:tcPr>
          <w:p w14:paraId="633F8FB3" w14:textId="77777777" w:rsidR="005E6575" w:rsidRPr="00A021B7" w:rsidRDefault="005E6575" w:rsidP="003E7BC9">
            <w:pPr>
              <w:rPr>
                <w:rFonts w:ascii="Arial" w:hAnsi="Arial" w:cs="Arial"/>
                <w:sz w:val="20"/>
                <w:szCs w:val="20"/>
                <w:lang w:val="sr-Cyrl-RS"/>
              </w:rPr>
            </w:pPr>
            <w:r w:rsidRPr="00A021B7">
              <w:rPr>
                <w:rFonts w:ascii="Arial" w:hAnsi="Arial" w:cs="Arial"/>
                <w:i/>
                <w:iCs/>
                <w:sz w:val="20"/>
                <w:szCs w:val="20"/>
                <w:lang w:val="sr-Cyrl-RS"/>
              </w:rPr>
              <w:t>Успостављање система локалне самоуправе који омогућава ефикасно и одрживо остваривање права грађана на локалну самоуправу</w:t>
            </w:r>
          </w:p>
        </w:tc>
        <w:tc>
          <w:tcPr>
            <w:tcW w:w="3361" w:type="pct"/>
            <w:tcBorders>
              <w:left w:val="single" w:sz="4" w:space="0" w:color="auto"/>
            </w:tcBorders>
          </w:tcPr>
          <w:p w14:paraId="1878C1BD" w14:textId="77777777" w:rsidR="005E6575" w:rsidRPr="00A021B7" w:rsidRDefault="005E6575" w:rsidP="003E7BC9">
            <w:pPr>
              <w:rPr>
                <w:rFonts w:ascii="Arial" w:hAnsi="Arial" w:cs="Arial"/>
                <w:iCs/>
                <w:sz w:val="20"/>
                <w:szCs w:val="20"/>
                <w:lang w:val="sr-Cyrl-RS"/>
              </w:rPr>
            </w:pPr>
          </w:p>
          <w:p w14:paraId="6BAD1EDD" w14:textId="3F253102" w:rsidR="005E6575" w:rsidRPr="00A021B7" w:rsidRDefault="005E6575" w:rsidP="1A8E6423">
            <w:pPr>
              <w:rPr>
                <w:rFonts w:ascii="Arial" w:hAnsi="Arial" w:cs="Arial"/>
                <w:sz w:val="20"/>
                <w:szCs w:val="20"/>
                <w:lang w:val="sr-Cyrl-RS"/>
              </w:rPr>
            </w:pPr>
            <w:r w:rsidRPr="1A8E6423">
              <w:rPr>
                <w:rFonts w:ascii="Arial" w:hAnsi="Arial" w:cs="Arial"/>
                <w:sz w:val="20"/>
                <w:szCs w:val="20"/>
                <w:lang w:val="sr-Cyrl-RS"/>
              </w:rPr>
              <w:t>Усаглашеност система локалне самоуправе са кључним принципима Европске повеље о локалној самоуправи</w:t>
            </w:r>
          </w:p>
          <w:p w14:paraId="6B85EEC2" w14:textId="77777777" w:rsidR="005E6575" w:rsidRPr="00A021B7" w:rsidRDefault="005E6575" w:rsidP="003E7BC9">
            <w:pPr>
              <w:rPr>
                <w:rFonts w:ascii="Arial" w:hAnsi="Arial" w:cs="Arial"/>
                <w:iCs/>
                <w:sz w:val="20"/>
                <w:szCs w:val="20"/>
                <w:lang w:val="sr-Cyrl-RS"/>
              </w:rPr>
            </w:pPr>
          </w:p>
          <w:p w14:paraId="0C2566AA" w14:textId="77777777" w:rsidR="005E6575" w:rsidRPr="00A021B7" w:rsidRDefault="005E6575" w:rsidP="003E7BC9">
            <w:pPr>
              <w:rPr>
                <w:rFonts w:ascii="Arial" w:hAnsi="Arial" w:cs="Arial"/>
                <w:iCs/>
                <w:sz w:val="20"/>
                <w:szCs w:val="20"/>
                <w:lang w:val="sr-Cyrl-RS"/>
              </w:rPr>
            </w:pPr>
            <w:r w:rsidRPr="00A021B7">
              <w:rPr>
                <w:rFonts w:ascii="Arial" w:hAnsi="Arial" w:cs="Arial"/>
                <w:iCs/>
                <w:sz w:val="20"/>
                <w:szCs w:val="20"/>
                <w:lang w:val="sr-Cyrl-RS"/>
              </w:rPr>
              <w:t>ПВ (2020): 3</w:t>
            </w:r>
          </w:p>
          <w:p w14:paraId="11E047AD" w14:textId="77777777" w:rsidR="005E6575" w:rsidRPr="00A021B7" w:rsidRDefault="005E6575" w:rsidP="003E7BC9">
            <w:pPr>
              <w:rPr>
                <w:rFonts w:ascii="Arial" w:hAnsi="Arial" w:cs="Arial"/>
                <w:iCs/>
                <w:sz w:val="20"/>
                <w:szCs w:val="20"/>
                <w:lang w:val="sr-Cyrl-RS"/>
              </w:rPr>
            </w:pPr>
            <w:r w:rsidRPr="00A021B7">
              <w:rPr>
                <w:rFonts w:ascii="Arial" w:hAnsi="Arial" w:cs="Arial"/>
                <w:iCs/>
                <w:sz w:val="20"/>
                <w:szCs w:val="20"/>
                <w:lang w:val="sr-Cyrl-RS"/>
              </w:rPr>
              <w:t>ЦВ (2025): 4</w:t>
            </w:r>
          </w:p>
          <w:p w14:paraId="642A6900" w14:textId="77777777" w:rsidR="005E6575" w:rsidRPr="00A021B7" w:rsidRDefault="005E6575" w:rsidP="003E7BC9">
            <w:pPr>
              <w:rPr>
                <w:rFonts w:ascii="Arial" w:hAnsi="Arial" w:cs="Arial"/>
                <w:iCs/>
                <w:sz w:val="20"/>
                <w:szCs w:val="20"/>
                <w:lang w:val="sr-Cyrl-RS"/>
              </w:rPr>
            </w:pPr>
          </w:p>
          <w:p w14:paraId="4A0B04D5" w14:textId="77777777" w:rsidR="005E6575" w:rsidRPr="00A021B7" w:rsidRDefault="005E6575" w:rsidP="003E7BC9">
            <w:pPr>
              <w:rPr>
                <w:rFonts w:ascii="Arial" w:hAnsi="Arial" w:cs="Arial"/>
                <w:iCs/>
                <w:sz w:val="20"/>
                <w:szCs w:val="20"/>
                <w:lang w:val="sr-Cyrl-RS"/>
              </w:rPr>
            </w:pPr>
            <w:r w:rsidRPr="00A021B7">
              <w:rPr>
                <w:rFonts w:ascii="Arial" w:hAnsi="Arial" w:cs="Arial"/>
                <w:iCs/>
                <w:sz w:val="20"/>
                <w:szCs w:val="20"/>
                <w:lang w:val="sr-Cyrl-RS"/>
              </w:rPr>
              <w:t>Удео расхода ЛС у консолидованим јавним расходима у Републици Србији</w:t>
            </w:r>
          </w:p>
          <w:p w14:paraId="23C5456F" w14:textId="77777777" w:rsidR="005E6575" w:rsidRPr="00A021B7" w:rsidRDefault="005E6575" w:rsidP="003E7BC9">
            <w:pPr>
              <w:rPr>
                <w:rFonts w:ascii="Arial" w:hAnsi="Arial" w:cs="Arial"/>
                <w:iCs/>
                <w:sz w:val="20"/>
                <w:szCs w:val="20"/>
                <w:lang w:val="sr-Cyrl-RS"/>
              </w:rPr>
            </w:pPr>
          </w:p>
          <w:p w14:paraId="620575EF" w14:textId="01599A7B" w:rsidR="005E6575" w:rsidRPr="00A021B7" w:rsidRDefault="005E6575" w:rsidP="1A8E6423">
            <w:pPr>
              <w:rPr>
                <w:rFonts w:ascii="Arial" w:hAnsi="Arial" w:cs="Arial"/>
                <w:sz w:val="20"/>
                <w:szCs w:val="20"/>
                <w:lang w:val="sr-Cyrl-RS"/>
              </w:rPr>
            </w:pPr>
            <w:r w:rsidRPr="1A8E6423">
              <w:rPr>
                <w:rFonts w:ascii="Arial" w:hAnsi="Arial" w:cs="Arial"/>
                <w:sz w:val="20"/>
                <w:szCs w:val="20"/>
                <w:lang w:val="sr-Cyrl-RS"/>
              </w:rPr>
              <w:t>ПВ (2019):14</w:t>
            </w:r>
            <w:r w:rsidR="005B3C3D" w:rsidRPr="1A8E6423">
              <w:rPr>
                <w:rFonts w:ascii="Arial" w:hAnsi="Arial" w:cs="Arial"/>
                <w:sz w:val="20"/>
                <w:szCs w:val="20"/>
                <w:lang w:val="sr-Cyrl-RS"/>
              </w:rPr>
              <w:t>,</w:t>
            </w:r>
            <w:r w:rsidRPr="1A8E6423">
              <w:rPr>
                <w:rFonts w:ascii="Arial" w:hAnsi="Arial" w:cs="Arial"/>
                <w:sz w:val="20"/>
                <w:szCs w:val="20"/>
                <w:lang w:val="sr-Cyrl-RS"/>
              </w:rPr>
              <w:t>75%</w:t>
            </w:r>
          </w:p>
          <w:p w14:paraId="068A3E06" w14:textId="2CD5A89B" w:rsidR="005E6575" w:rsidRPr="00A021B7" w:rsidRDefault="005E6575" w:rsidP="003E7BC9">
            <w:pPr>
              <w:rPr>
                <w:rFonts w:ascii="Arial" w:hAnsi="Arial" w:cs="Arial"/>
                <w:iCs/>
                <w:sz w:val="20"/>
                <w:szCs w:val="20"/>
                <w:lang w:val="sr-Cyrl-RS"/>
              </w:rPr>
            </w:pPr>
            <w:r w:rsidRPr="00A021B7">
              <w:rPr>
                <w:rFonts w:ascii="Arial" w:hAnsi="Arial" w:cs="Arial"/>
                <w:iCs/>
                <w:sz w:val="20"/>
                <w:szCs w:val="20"/>
                <w:lang w:val="sr-Cyrl-RS"/>
              </w:rPr>
              <w:t>ЦВ (</w:t>
            </w:r>
            <w:r w:rsidR="00CF6FF0" w:rsidRPr="00A021B7">
              <w:rPr>
                <w:rFonts w:ascii="Arial" w:hAnsi="Arial" w:cs="Arial"/>
                <w:iCs/>
                <w:sz w:val="20"/>
                <w:szCs w:val="20"/>
                <w:lang w:val="sr-Cyrl-RS"/>
              </w:rPr>
              <w:t>2025</w:t>
            </w:r>
            <w:r w:rsidRPr="00A021B7">
              <w:rPr>
                <w:rFonts w:ascii="Arial" w:hAnsi="Arial" w:cs="Arial"/>
                <w:iCs/>
                <w:sz w:val="20"/>
                <w:szCs w:val="20"/>
                <w:lang w:val="sr-Cyrl-RS"/>
              </w:rPr>
              <w:t>):</w:t>
            </w:r>
            <w:r w:rsidR="47453092" w:rsidRPr="00A021B7">
              <w:rPr>
                <w:rFonts w:ascii="Arial" w:hAnsi="Arial" w:cs="Arial"/>
                <w:sz w:val="20"/>
                <w:szCs w:val="20"/>
                <w:lang w:val="sr-Cyrl-RS"/>
              </w:rPr>
              <w:t>1</w:t>
            </w:r>
            <w:r w:rsidR="00A063D4" w:rsidRPr="00A021B7">
              <w:rPr>
                <w:rFonts w:ascii="Arial" w:hAnsi="Arial" w:cs="Arial"/>
                <w:sz w:val="20"/>
                <w:szCs w:val="20"/>
                <w:lang w:val="sr-Cyrl-RS"/>
              </w:rPr>
              <w:t>8</w:t>
            </w:r>
            <w:r w:rsidR="00CF6FF0" w:rsidRPr="00A021B7">
              <w:rPr>
                <w:rFonts w:ascii="Arial" w:hAnsi="Arial" w:cs="Arial"/>
                <w:iCs/>
                <w:sz w:val="20"/>
                <w:szCs w:val="20"/>
                <w:lang w:val="sr-Cyrl-RS"/>
              </w:rPr>
              <w:t>%</w:t>
            </w:r>
          </w:p>
          <w:p w14:paraId="007A2AC0" w14:textId="77777777" w:rsidR="005E6575" w:rsidRPr="00A021B7" w:rsidRDefault="005E6575" w:rsidP="003E7BC9">
            <w:pPr>
              <w:rPr>
                <w:rFonts w:ascii="Arial" w:hAnsi="Arial" w:cs="Arial"/>
                <w:iCs/>
                <w:sz w:val="20"/>
                <w:szCs w:val="20"/>
                <w:lang w:val="sr-Cyrl-RS"/>
              </w:rPr>
            </w:pPr>
          </w:p>
          <w:p w14:paraId="69C6AE90" w14:textId="2D5AD97E" w:rsidR="005E6575" w:rsidRPr="00A021B7" w:rsidRDefault="005E6575" w:rsidP="1A8E6423">
            <w:pPr>
              <w:rPr>
                <w:rFonts w:ascii="Arial" w:hAnsi="Arial" w:cs="Arial"/>
                <w:sz w:val="20"/>
                <w:szCs w:val="20"/>
                <w:lang w:val="sr-Cyrl-RS"/>
              </w:rPr>
            </w:pPr>
            <w:r w:rsidRPr="1A8E6423">
              <w:rPr>
                <w:rFonts w:ascii="Arial" w:hAnsi="Arial" w:cs="Arial"/>
                <w:sz w:val="20"/>
                <w:szCs w:val="20"/>
                <w:lang w:val="sr-Cyrl-RS"/>
              </w:rPr>
              <w:t xml:space="preserve">Капацитет ЈЛС за </w:t>
            </w:r>
            <w:r w:rsidR="00CE7F83">
              <w:rPr>
                <w:rFonts w:ascii="Arial" w:hAnsi="Arial" w:cs="Arial"/>
                <w:sz w:val="20"/>
                <w:szCs w:val="20"/>
                <w:lang w:val="sr-Cyrl-RS"/>
              </w:rPr>
              <w:t xml:space="preserve">примену </w:t>
            </w:r>
            <w:r w:rsidRPr="1A8E6423">
              <w:rPr>
                <w:rFonts w:ascii="Arial" w:hAnsi="Arial" w:cs="Arial"/>
                <w:sz w:val="20"/>
                <w:szCs w:val="20"/>
                <w:lang w:val="sr-Cyrl-RS"/>
              </w:rPr>
              <w:t>начела доброг управљања у складу са индексом доброг управљања</w:t>
            </w:r>
          </w:p>
          <w:p w14:paraId="0623A79A" w14:textId="77777777" w:rsidR="005E6575" w:rsidRPr="00A021B7" w:rsidRDefault="005E6575" w:rsidP="003E7BC9">
            <w:pPr>
              <w:rPr>
                <w:rFonts w:ascii="Arial" w:hAnsi="Arial" w:cs="Arial"/>
                <w:iCs/>
                <w:sz w:val="20"/>
                <w:szCs w:val="20"/>
                <w:lang w:val="sr-Cyrl-RS"/>
              </w:rPr>
            </w:pPr>
          </w:p>
          <w:p w14:paraId="20E1835B" w14:textId="77777777" w:rsidR="005E6575" w:rsidRPr="00A021B7" w:rsidRDefault="005E6575" w:rsidP="003E7BC9">
            <w:pPr>
              <w:rPr>
                <w:rFonts w:ascii="Arial" w:hAnsi="Arial" w:cs="Arial"/>
                <w:iCs/>
                <w:sz w:val="20"/>
                <w:szCs w:val="20"/>
                <w:lang w:val="sr-Cyrl-RS"/>
              </w:rPr>
            </w:pPr>
            <w:r w:rsidRPr="00A021B7">
              <w:rPr>
                <w:rFonts w:ascii="Arial" w:hAnsi="Arial" w:cs="Arial"/>
                <w:iCs/>
                <w:sz w:val="20"/>
                <w:szCs w:val="20"/>
                <w:lang w:val="sr-Cyrl-RS"/>
              </w:rPr>
              <w:t>ПВ (2018): 39%</w:t>
            </w:r>
          </w:p>
          <w:p w14:paraId="06790DAF" w14:textId="56D4E999" w:rsidR="005E6575" w:rsidRPr="00A021B7" w:rsidRDefault="005E6575" w:rsidP="003E7BC9">
            <w:pPr>
              <w:rPr>
                <w:rFonts w:ascii="Arial" w:hAnsi="Arial" w:cs="Arial"/>
                <w:iCs/>
                <w:sz w:val="20"/>
                <w:szCs w:val="20"/>
                <w:lang w:val="sr-Cyrl-RS"/>
              </w:rPr>
            </w:pPr>
            <w:r w:rsidRPr="00A021B7">
              <w:rPr>
                <w:rFonts w:ascii="Arial" w:hAnsi="Arial" w:cs="Arial"/>
                <w:iCs/>
                <w:sz w:val="20"/>
                <w:szCs w:val="20"/>
                <w:lang w:val="sr-Cyrl-RS"/>
              </w:rPr>
              <w:t xml:space="preserve">ЦВ (2025): </w:t>
            </w:r>
            <w:r w:rsidR="7233E634" w:rsidRPr="00A021B7">
              <w:rPr>
                <w:rFonts w:ascii="Arial" w:hAnsi="Arial" w:cs="Arial"/>
                <w:sz w:val="20"/>
                <w:szCs w:val="20"/>
                <w:lang w:val="sr-Cyrl-RS"/>
              </w:rPr>
              <w:t>5</w:t>
            </w:r>
            <w:r w:rsidR="788B589A" w:rsidRPr="00A021B7">
              <w:rPr>
                <w:rFonts w:ascii="Arial" w:hAnsi="Arial" w:cs="Arial"/>
                <w:sz w:val="20"/>
                <w:szCs w:val="20"/>
                <w:lang w:val="sr-Cyrl-RS"/>
              </w:rPr>
              <w:t>5</w:t>
            </w:r>
            <w:r w:rsidRPr="00A021B7">
              <w:rPr>
                <w:rFonts w:ascii="Arial" w:hAnsi="Arial" w:cs="Arial"/>
                <w:iCs/>
                <w:sz w:val="20"/>
                <w:szCs w:val="20"/>
                <w:lang w:val="sr-Cyrl-RS"/>
              </w:rPr>
              <w:t>%</w:t>
            </w:r>
          </w:p>
          <w:p w14:paraId="6D0E9AF5" w14:textId="77777777" w:rsidR="005E6575" w:rsidRPr="00A021B7" w:rsidRDefault="005E6575" w:rsidP="003E7BC9">
            <w:pPr>
              <w:rPr>
                <w:rFonts w:ascii="Arial" w:hAnsi="Arial" w:cs="Arial"/>
                <w:iCs/>
                <w:sz w:val="20"/>
                <w:szCs w:val="20"/>
                <w:lang w:val="sr-Cyrl-RS"/>
              </w:rPr>
            </w:pPr>
          </w:p>
          <w:p w14:paraId="645BA588" w14:textId="77777777" w:rsidR="005E6575" w:rsidRPr="00A021B7" w:rsidRDefault="005E6575" w:rsidP="003E7BC9">
            <w:pPr>
              <w:rPr>
                <w:rFonts w:ascii="Arial" w:hAnsi="Arial" w:cs="Arial"/>
                <w:iCs/>
                <w:sz w:val="20"/>
                <w:szCs w:val="20"/>
                <w:lang w:val="sr-Cyrl-RS"/>
              </w:rPr>
            </w:pPr>
            <w:r w:rsidRPr="00A021B7">
              <w:rPr>
                <w:rFonts w:ascii="Arial" w:hAnsi="Arial" w:cs="Arial"/>
                <w:iCs/>
                <w:sz w:val="20"/>
                <w:szCs w:val="20"/>
                <w:lang w:val="sr-Cyrl-RS"/>
              </w:rPr>
              <w:t>Доступност и квалитет спровођења приоритетних јавних услуга локалне самоуправе</w:t>
            </w:r>
          </w:p>
          <w:p w14:paraId="2AEA4E6A" w14:textId="77777777" w:rsidR="005E6575" w:rsidRPr="00A021B7" w:rsidRDefault="005E6575" w:rsidP="003E7BC9">
            <w:pPr>
              <w:rPr>
                <w:rFonts w:ascii="Arial" w:hAnsi="Arial" w:cs="Arial"/>
                <w:iCs/>
                <w:sz w:val="20"/>
                <w:szCs w:val="20"/>
                <w:lang w:val="sr-Cyrl-RS"/>
              </w:rPr>
            </w:pPr>
          </w:p>
          <w:p w14:paraId="79CF0395" w14:textId="789E305A" w:rsidR="005E6575" w:rsidRPr="00A021B7" w:rsidRDefault="005E6575" w:rsidP="1A8E6423">
            <w:pPr>
              <w:rPr>
                <w:rFonts w:ascii="Arial" w:hAnsi="Arial" w:cs="Arial"/>
                <w:sz w:val="20"/>
                <w:szCs w:val="20"/>
                <w:lang w:val="sr-Cyrl-RS"/>
              </w:rPr>
            </w:pPr>
            <w:r w:rsidRPr="1A8E6423">
              <w:rPr>
                <w:rFonts w:ascii="Arial" w:hAnsi="Arial" w:cs="Arial"/>
                <w:sz w:val="20"/>
                <w:szCs w:val="20"/>
                <w:lang w:val="sr-Cyrl-RS"/>
              </w:rPr>
              <w:t xml:space="preserve">ПВ: биће </w:t>
            </w:r>
            <w:r w:rsidR="005B3C3D" w:rsidRPr="1A8E6423">
              <w:rPr>
                <w:rFonts w:ascii="Arial" w:hAnsi="Arial" w:cs="Arial"/>
                <w:sz w:val="20"/>
                <w:szCs w:val="20"/>
                <w:lang w:val="sr-Cyrl-RS"/>
              </w:rPr>
              <w:t>утврђено</w:t>
            </w:r>
            <w:r w:rsidRPr="1A8E6423">
              <w:rPr>
                <w:rFonts w:ascii="Arial" w:hAnsi="Arial" w:cs="Arial"/>
                <w:sz w:val="20"/>
                <w:szCs w:val="20"/>
                <w:lang w:val="sr-Cyrl-RS"/>
              </w:rPr>
              <w:t xml:space="preserve"> 2023</w:t>
            </w:r>
            <w:r w:rsidR="005B3C3D" w:rsidRPr="1A8E6423">
              <w:rPr>
                <w:rFonts w:ascii="Arial" w:hAnsi="Arial" w:cs="Arial"/>
                <w:sz w:val="20"/>
                <w:szCs w:val="20"/>
                <w:lang w:val="sr-Cyrl-RS"/>
              </w:rPr>
              <w:t>.</w:t>
            </w:r>
          </w:p>
          <w:p w14:paraId="15C96B7C" w14:textId="67B1E1BB" w:rsidR="005E6575" w:rsidRPr="00A021B7" w:rsidRDefault="005E6575" w:rsidP="1A8E6423">
            <w:pPr>
              <w:rPr>
                <w:rFonts w:ascii="Arial" w:hAnsi="Arial" w:cs="Arial"/>
                <w:sz w:val="20"/>
                <w:szCs w:val="20"/>
                <w:lang w:val="sr-Cyrl-RS"/>
              </w:rPr>
            </w:pPr>
            <w:r w:rsidRPr="1A8E6423">
              <w:rPr>
                <w:rFonts w:ascii="Arial" w:hAnsi="Arial" w:cs="Arial"/>
                <w:sz w:val="20"/>
                <w:szCs w:val="20"/>
                <w:lang w:val="sr-Cyrl-RS"/>
              </w:rPr>
              <w:t xml:space="preserve">ЦВ: биће </w:t>
            </w:r>
            <w:r w:rsidR="005B3C3D" w:rsidRPr="1A8E6423">
              <w:rPr>
                <w:rFonts w:ascii="Arial" w:hAnsi="Arial" w:cs="Arial"/>
                <w:sz w:val="20"/>
                <w:szCs w:val="20"/>
                <w:lang w:val="sr-Cyrl-RS"/>
              </w:rPr>
              <w:t>утврђено</w:t>
            </w:r>
            <w:r w:rsidRPr="1A8E6423">
              <w:rPr>
                <w:rFonts w:ascii="Arial" w:hAnsi="Arial" w:cs="Arial"/>
                <w:sz w:val="20"/>
                <w:szCs w:val="20"/>
                <w:lang w:val="sr-Cyrl-RS"/>
              </w:rPr>
              <w:t xml:space="preserve"> 2023</w:t>
            </w:r>
            <w:r w:rsidR="005B3C3D" w:rsidRPr="1A8E6423">
              <w:rPr>
                <w:rFonts w:ascii="Arial" w:hAnsi="Arial" w:cs="Arial"/>
                <w:sz w:val="20"/>
                <w:szCs w:val="20"/>
                <w:lang w:val="sr-Cyrl-RS"/>
              </w:rPr>
              <w:t>.</w:t>
            </w:r>
          </w:p>
          <w:p w14:paraId="6B2D2D5D" w14:textId="77777777" w:rsidR="005E6575" w:rsidRPr="00A021B7" w:rsidRDefault="005E6575" w:rsidP="003E7BC9">
            <w:pPr>
              <w:rPr>
                <w:rFonts w:ascii="Arial" w:hAnsi="Arial" w:cs="Arial"/>
                <w:iCs/>
                <w:sz w:val="20"/>
                <w:szCs w:val="20"/>
                <w:lang w:val="sr-Cyrl-RS"/>
              </w:rPr>
            </w:pPr>
          </w:p>
        </w:tc>
      </w:tr>
    </w:tbl>
    <w:p w14:paraId="4C7BB555" w14:textId="7B4C8688" w:rsidR="003E5461" w:rsidRPr="00A021B7" w:rsidRDefault="003E5461" w:rsidP="003E7BC9">
      <w:pPr>
        <w:pStyle w:val="ListParagraph"/>
        <w:tabs>
          <w:tab w:val="left" w:pos="450"/>
          <w:tab w:val="left" w:pos="540"/>
        </w:tabs>
        <w:ind w:left="0"/>
        <w:jc w:val="both"/>
        <w:rPr>
          <w:rFonts w:ascii="Arial" w:hAnsi="Arial" w:cs="Arial"/>
          <w:b/>
          <w:bCs/>
          <w:lang w:val="sr-Cyrl-RS"/>
        </w:rPr>
      </w:pPr>
    </w:p>
    <w:p w14:paraId="58B261FF" w14:textId="77777777" w:rsidR="003842D2" w:rsidRPr="00A021B7" w:rsidRDefault="003842D2" w:rsidP="003E7BC9">
      <w:pPr>
        <w:pStyle w:val="ListParagraph"/>
        <w:tabs>
          <w:tab w:val="left" w:pos="450"/>
          <w:tab w:val="left" w:pos="540"/>
        </w:tabs>
        <w:ind w:left="0"/>
        <w:jc w:val="both"/>
        <w:rPr>
          <w:rFonts w:ascii="Arial" w:hAnsi="Arial" w:cs="Arial"/>
          <w:b/>
          <w:bCs/>
          <w:lang w:val="sr-Cyrl-RS"/>
        </w:rPr>
      </w:pPr>
    </w:p>
    <w:p w14:paraId="13DA1BE2" w14:textId="7DBC3CC9" w:rsidR="005E6575" w:rsidRPr="00A021B7" w:rsidRDefault="005E6575" w:rsidP="004935B9">
      <w:pPr>
        <w:pStyle w:val="Heading1"/>
        <w:numPr>
          <w:ilvl w:val="0"/>
          <w:numId w:val="30"/>
        </w:numPr>
        <w:rPr>
          <w:lang w:val="sr-Cyrl-RS"/>
        </w:rPr>
      </w:pPr>
      <w:bookmarkStart w:id="151" w:name="_Toc60136095"/>
      <w:r w:rsidRPr="1A8E6423">
        <w:rPr>
          <w:lang w:val="sr-Cyrl-RS"/>
        </w:rPr>
        <w:lastRenderedPageBreak/>
        <w:t>ПОСЕБНИ ЦИЉЕВИ И МЕРЕ ЗА СПРОВОЂЕЊЕ РЕФОРМЕ СИСТЕМА ЛОКАЛНЕ САМОУПРАВЕ</w:t>
      </w:r>
      <w:bookmarkEnd w:id="151"/>
    </w:p>
    <w:p w14:paraId="316C56C3"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p w14:paraId="24495062" w14:textId="210B38EC" w:rsidR="005E6575" w:rsidRPr="00A021B7" w:rsidRDefault="005E6575" w:rsidP="1A8E6423">
      <w:pPr>
        <w:pStyle w:val="Naslov111"/>
        <w:ind w:left="0" w:firstLine="720"/>
        <w:jc w:val="both"/>
        <w:rPr>
          <w:rFonts w:ascii="Arial" w:hAnsi="Arial" w:cs="Arial"/>
          <w:b w:val="0"/>
          <w:noProof w:val="0"/>
          <w:color w:val="000000" w:themeColor="text1"/>
          <w:sz w:val="20"/>
          <w:szCs w:val="20"/>
          <w:lang w:val="sr-Cyrl-RS"/>
        </w:rPr>
      </w:pPr>
      <w:bookmarkStart w:id="152" w:name="_Toc51601596"/>
      <w:bookmarkStart w:id="153" w:name="_Toc60136096"/>
      <w:r w:rsidRPr="1A8E6423">
        <w:rPr>
          <w:rFonts w:ascii="Arial" w:hAnsi="Arial" w:cs="Arial"/>
          <w:b w:val="0"/>
          <w:noProof w:val="0"/>
          <w:color w:val="000000" w:themeColor="text1"/>
          <w:sz w:val="20"/>
          <w:szCs w:val="20"/>
          <w:lang w:val="sr-Cyrl-RS"/>
        </w:rPr>
        <w:t>Како би се остварио општи циљ реформе система локалне самоуправе</w:t>
      </w:r>
      <w:r w:rsidR="005B3C3D"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дефинисана су 4 посебна циља и њима припадајуће мере који воде планираним крајњим исходима Програма </w:t>
      </w:r>
      <w:r w:rsidR="00531FB6" w:rsidRPr="1A8E6423">
        <w:rPr>
          <w:rFonts w:ascii="Arial" w:hAnsi="Arial" w:cs="Arial"/>
          <w:b w:val="0"/>
          <w:noProof w:val="0"/>
          <w:color w:val="000000" w:themeColor="text1"/>
          <w:sz w:val="20"/>
          <w:szCs w:val="20"/>
          <w:lang w:val="sr-Cyrl-RS"/>
        </w:rPr>
        <w:t xml:space="preserve">за </w:t>
      </w:r>
      <w:r w:rsidRPr="1A8E6423">
        <w:rPr>
          <w:rFonts w:ascii="Arial" w:hAnsi="Arial" w:cs="Arial"/>
          <w:b w:val="0"/>
          <w:noProof w:val="0"/>
          <w:color w:val="000000" w:themeColor="text1"/>
          <w:sz w:val="20"/>
          <w:szCs w:val="20"/>
          <w:lang w:val="sr-Cyrl-RS"/>
        </w:rPr>
        <w:t>реформ</w:t>
      </w:r>
      <w:r w:rsidR="00531FB6" w:rsidRPr="1A8E6423">
        <w:rPr>
          <w:rFonts w:ascii="Arial" w:hAnsi="Arial" w:cs="Arial"/>
          <w:b w:val="0"/>
          <w:noProof w:val="0"/>
          <w:color w:val="000000" w:themeColor="text1"/>
          <w:sz w:val="20"/>
          <w:szCs w:val="20"/>
          <w:lang w:val="sr-Cyrl-RS"/>
        </w:rPr>
        <w:t>у</w:t>
      </w:r>
      <w:r w:rsidRPr="1A8E6423">
        <w:rPr>
          <w:rFonts w:ascii="Arial" w:hAnsi="Arial" w:cs="Arial"/>
          <w:b w:val="0"/>
          <w:noProof w:val="0"/>
          <w:color w:val="000000" w:themeColor="text1"/>
          <w:sz w:val="20"/>
          <w:szCs w:val="20"/>
          <w:lang w:val="sr-Cyrl-RS"/>
        </w:rPr>
        <w:t xml:space="preserve"> система локалне самоуправе</w:t>
      </w:r>
      <w:bookmarkEnd w:id="152"/>
      <w:r w:rsidRPr="1A8E6423">
        <w:rPr>
          <w:rFonts w:ascii="Arial" w:hAnsi="Arial" w:cs="Arial"/>
          <w:b w:val="0"/>
          <w:noProof w:val="0"/>
          <w:color w:val="000000" w:themeColor="text1"/>
          <w:sz w:val="20"/>
          <w:szCs w:val="20"/>
          <w:lang w:val="sr-Cyrl-RS"/>
        </w:rPr>
        <w:t>.</w:t>
      </w:r>
      <w:bookmarkEnd w:id="153"/>
    </w:p>
    <w:p w14:paraId="2B9D7567" w14:textId="77777777" w:rsidR="005E6575" w:rsidRPr="00A021B7" w:rsidRDefault="005E6575" w:rsidP="1A8E6423">
      <w:pPr>
        <w:pStyle w:val="Naslov111"/>
        <w:ind w:left="0" w:firstLine="720"/>
        <w:jc w:val="both"/>
        <w:rPr>
          <w:rFonts w:ascii="Arial" w:hAnsi="Arial" w:cs="Arial"/>
          <w:b w:val="0"/>
          <w:noProof w:val="0"/>
          <w:color w:val="000000" w:themeColor="text1"/>
          <w:sz w:val="20"/>
          <w:szCs w:val="20"/>
          <w:lang w:val="sr-Cyrl-RS"/>
        </w:rPr>
      </w:pPr>
    </w:p>
    <w:p w14:paraId="52ADB3ED" w14:textId="4042CA1D" w:rsidR="005E6575" w:rsidRPr="00A021B7" w:rsidRDefault="005E6575" w:rsidP="1A8E6423">
      <w:pPr>
        <w:pStyle w:val="Naslov111"/>
        <w:ind w:left="0" w:firstLine="720"/>
        <w:jc w:val="both"/>
        <w:rPr>
          <w:rFonts w:ascii="Arial" w:hAnsi="Arial" w:cs="Arial"/>
          <w:b w:val="0"/>
          <w:noProof w:val="0"/>
          <w:color w:val="000000" w:themeColor="text1"/>
          <w:sz w:val="20"/>
          <w:szCs w:val="20"/>
          <w:lang w:val="sr-Cyrl-RS"/>
        </w:rPr>
      </w:pPr>
      <w:bookmarkStart w:id="154" w:name="_Toc60136097"/>
      <w:r w:rsidRPr="1A8E6423">
        <w:rPr>
          <w:rFonts w:ascii="Arial" w:hAnsi="Arial" w:cs="Arial"/>
          <w:b w:val="0"/>
          <w:noProof w:val="0"/>
          <w:color w:val="000000" w:themeColor="text1"/>
          <w:sz w:val="20"/>
          <w:szCs w:val="20"/>
          <w:lang w:val="sr-Cyrl-RS"/>
        </w:rPr>
        <w:t>У складу са њима</w:t>
      </w:r>
      <w:r w:rsidR="005B3C3D"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нови и унапређени систем локалне самоуправе подразумева</w:t>
      </w:r>
      <w:r w:rsidR="005B3C3D"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између осталог</w:t>
      </w:r>
      <w:r w:rsidR="005B3C3D"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редефинисање положаја и значаја локалне самоуправе и примену </w:t>
      </w:r>
      <w:r w:rsidR="005B3C3D" w:rsidRPr="1A8E6423">
        <w:rPr>
          <w:rFonts w:ascii="Arial" w:hAnsi="Arial" w:cs="Arial"/>
          <w:b w:val="0"/>
          <w:noProof w:val="0"/>
          <w:color w:val="000000" w:themeColor="text1"/>
          <w:sz w:val="20"/>
          <w:szCs w:val="20"/>
          <w:lang w:val="sr-Cyrl-RS"/>
        </w:rPr>
        <w:t xml:space="preserve">начела </w:t>
      </w:r>
      <w:r w:rsidRPr="1A8E6423">
        <w:rPr>
          <w:rFonts w:ascii="Arial" w:hAnsi="Arial" w:cs="Arial"/>
          <w:b w:val="0"/>
          <w:noProof w:val="0"/>
          <w:color w:val="000000" w:themeColor="text1"/>
          <w:sz w:val="20"/>
          <w:szCs w:val="20"/>
          <w:lang w:val="sr-Cyrl-RS"/>
        </w:rPr>
        <w:t xml:space="preserve">супсидијарности у управљању јавним пословима, пуно учешће грађана и локалне заједнице у процесу доношења одлука на локалном нивоу, стабилан и одржив систем финансирања локалне самоуправе који обезбеђује предвидивост и довољност прихода локалне самоуправе, даљи развој капацитета локалне самоуправе и реформисање и оптимизацију њене организације у складу са потребама локалне заједнице, дугорочно планирање локалног развоја и подстицање локалног економског развоја, наставак реформе ефикасности рада локалне управе и локалних јавних служби и јачање квалитета и доступности њихових услуга грађанима и привреди, </w:t>
      </w:r>
      <w:r w:rsidR="005B3C3D" w:rsidRPr="1A8E6423">
        <w:rPr>
          <w:rFonts w:ascii="Arial" w:hAnsi="Arial" w:cs="Arial"/>
          <w:b w:val="0"/>
          <w:noProof w:val="0"/>
          <w:color w:val="000000" w:themeColor="text1"/>
          <w:sz w:val="20"/>
          <w:szCs w:val="20"/>
          <w:lang w:val="sr-Cyrl-RS"/>
        </w:rPr>
        <w:t xml:space="preserve">као </w:t>
      </w:r>
      <w:r w:rsidRPr="1A8E6423">
        <w:rPr>
          <w:rFonts w:ascii="Arial" w:hAnsi="Arial" w:cs="Arial"/>
          <w:b w:val="0"/>
          <w:noProof w:val="0"/>
          <w:color w:val="000000" w:themeColor="text1"/>
          <w:sz w:val="20"/>
          <w:szCs w:val="20"/>
          <w:lang w:val="sr-Cyrl-RS"/>
        </w:rPr>
        <w:t>и унапређење међуопштинске сарадње и међусобних односа различитих нивоа јавне власти у заједничком управљању јавним пословима и развој</w:t>
      </w:r>
      <w:r w:rsidR="005B3C3D" w:rsidRPr="1A8E6423">
        <w:rPr>
          <w:rFonts w:ascii="Arial" w:hAnsi="Arial" w:cs="Arial"/>
          <w:b w:val="0"/>
          <w:noProof w:val="0"/>
          <w:color w:val="000000" w:themeColor="text1"/>
          <w:sz w:val="20"/>
          <w:szCs w:val="20"/>
          <w:lang w:val="sr-Cyrl-RS"/>
        </w:rPr>
        <w:t>у</w:t>
      </w:r>
      <w:r w:rsidRPr="1A8E6423">
        <w:rPr>
          <w:rFonts w:ascii="Arial" w:hAnsi="Arial" w:cs="Arial"/>
          <w:b w:val="0"/>
          <w:noProof w:val="0"/>
          <w:color w:val="000000" w:themeColor="text1"/>
          <w:sz w:val="20"/>
          <w:szCs w:val="20"/>
          <w:lang w:val="sr-Cyrl-RS"/>
        </w:rPr>
        <w:t xml:space="preserve"> Републике Србије.</w:t>
      </w:r>
      <w:bookmarkEnd w:id="154"/>
    </w:p>
    <w:p w14:paraId="6CDC7E2F"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p w14:paraId="61E1D146" w14:textId="77777777" w:rsidR="005E6575" w:rsidRPr="00A021B7" w:rsidRDefault="005E6575" w:rsidP="004935B9">
      <w:pPr>
        <w:pStyle w:val="Heading2"/>
        <w:rPr>
          <w:lang w:val="sr-Cyrl-RS"/>
        </w:rPr>
      </w:pPr>
      <w:bookmarkStart w:id="155" w:name="_Toc60136098"/>
      <w:r w:rsidRPr="00A021B7">
        <w:rPr>
          <w:lang w:val="sr-Cyrl-RS"/>
        </w:rPr>
        <w:t>ПОСЕБНИ ЦИЉ 1: УНАПРЕЂЕН ПОЛОЖАЈ И ОДГОВОРНОСТ ЛОКАЛНЕ САМОУПРАВЕ</w:t>
      </w:r>
      <w:bookmarkEnd w:id="155"/>
    </w:p>
    <w:p w14:paraId="2F26628B" w14:textId="77777777" w:rsidR="005E6575" w:rsidRPr="00A021B7" w:rsidRDefault="005E6575" w:rsidP="003E7BC9">
      <w:pPr>
        <w:pStyle w:val="Naslov111"/>
        <w:ind w:left="1080" w:firstLine="0"/>
        <w:jc w:val="both"/>
        <w:rPr>
          <w:rFonts w:ascii="Arial" w:hAnsi="Arial" w:cs="Arial"/>
          <w:bCs/>
          <w:noProof w:val="0"/>
          <w:color w:val="000000" w:themeColor="text1"/>
          <w:sz w:val="20"/>
          <w:szCs w:val="20"/>
          <w:lang w:val="sr-Cyrl-RS"/>
        </w:rPr>
      </w:pPr>
    </w:p>
    <w:p w14:paraId="7BFEE5CD" w14:textId="2A7B118B" w:rsidR="00100039" w:rsidRPr="00A021B7" w:rsidRDefault="004C728F" w:rsidP="1A8E6423">
      <w:pPr>
        <w:pStyle w:val="Naslov111"/>
        <w:ind w:left="0" w:firstLine="720"/>
        <w:jc w:val="both"/>
        <w:rPr>
          <w:rFonts w:ascii="Arial" w:hAnsi="Arial" w:cs="Arial"/>
          <w:b w:val="0"/>
          <w:noProof w:val="0"/>
          <w:color w:val="000000" w:themeColor="text1"/>
          <w:sz w:val="20"/>
          <w:szCs w:val="20"/>
          <w:lang w:val="sr-Cyrl-RS"/>
        </w:rPr>
      </w:pPr>
      <w:bookmarkStart w:id="156" w:name="_Toc60136099"/>
      <w:r w:rsidRPr="004826D6">
        <w:rPr>
          <w:rFonts w:ascii="Arial" w:hAnsi="Arial" w:cs="Arial"/>
          <w:b w:val="0"/>
          <w:noProof w:val="0"/>
          <w:sz w:val="20"/>
          <w:szCs w:val="20"/>
          <w:lang w:val="sr-Cyrl-RS"/>
        </w:rPr>
        <w:t>Достизање</w:t>
      </w:r>
      <w:r w:rsidR="005E6575" w:rsidRPr="004826D6">
        <w:rPr>
          <w:rFonts w:ascii="Arial" w:hAnsi="Arial" w:cs="Arial"/>
          <w:b w:val="0"/>
          <w:noProof w:val="0"/>
          <w:sz w:val="20"/>
          <w:szCs w:val="20"/>
          <w:lang w:val="sr-Cyrl-RS"/>
        </w:rPr>
        <w:t xml:space="preserve"> овог посебног циља треба да </w:t>
      </w:r>
      <w:r w:rsidRPr="004826D6">
        <w:rPr>
          <w:rFonts w:ascii="Arial" w:hAnsi="Arial" w:cs="Arial"/>
          <w:b w:val="0"/>
          <w:noProof w:val="0"/>
          <w:sz w:val="20"/>
          <w:szCs w:val="20"/>
          <w:lang w:val="sr-Cyrl-RS"/>
        </w:rPr>
        <w:t>допринесе</w:t>
      </w:r>
      <w:r w:rsidR="005E6575" w:rsidRPr="004826D6">
        <w:rPr>
          <w:rFonts w:ascii="Arial" w:hAnsi="Arial" w:cs="Arial"/>
          <w:b w:val="0"/>
          <w:noProof w:val="0"/>
          <w:sz w:val="20"/>
          <w:szCs w:val="20"/>
          <w:lang w:val="sr-Cyrl-RS"/>
        </w:rPr>
        <w:t xml:space="preserve"> </w:t>
      </w:r>
      <w:r w:rsidRPr="004826D6">
        <w:rPr>
          <w:rFonts w:ascii="Arial" w:hAnsi="Arial" w:cs="Arial"/>
          <w:b w:val="0"/>
          <w:noProof w:val="0"/>
          <w:sz w:val="20"/>
          <w:szCs w:val="20"/>
          <w:lang w:val="sr-Cyrl-RS"/>
        </w:rPr>
        <w:t>јачању</w:t>
      </w:r>
      <w:r w:rsidR="005E6575" w:rsidRPr="004826D6">
        <w:rPr>
          <w:rFonts w:ascii="Arial" w:hAnsi="Arial" w:cs="Arial"/>
          <w:b w:val="0"/>
          <w:noProof w:val="0"/>
          <w:sz w:val="20"/>
          <w:szCs w:val="20"/>
          <w:lang w:val="sr-Cyrl-RS"/>
        </w:rPr>
        <w:t xml:space="preserve"> локалне самоуправе као посебног нивоа јавне власти и управе, кроз даље усаглашавање Републике Србије са Европском повељом о локалној самоуправи (ЕПЛС) и пуну имплементацију њених одредби у систему локалне самоуправе у Србији. Веома битан део овог правца деловања јесте даљи развој одговорности локалне самоуправе кроз инте</w:t>
      </w:r>
      <w:r w:rsidR="00D41788" w:rsidRPr="004826D6">
        <w:rPr>
          <w:rFonts w:ascii="Arial" w:hAnsi="Arial" w:cs="Arial"/>
          <w:b w:val="0"/>
          <w:noProof w:val="0"/>
          <w:sz w:val="20"/>
          <w:szCs w:val="20"/>
          <w:lang w:val="sr-Cyrl-RS"/>
        </w:rPr>
        <w:t>н</w:t>
      </w:r>
      <w:r w:rsidR="005E6575" w:rsidRPr="004826D6">
        <w:rPr>
          <w:rFonts w:ascii="Arial" w:hAnsi="Arial" w:cs="Arial"/>
          <w:b w:val="0"/>
          <w:noProof w:val="0"/>
          <w:sz w:val="20"/>
          <w:szCs w:val="20"/>
          <w:lang w:val="sr-Cyrl-RS"/>
        </w:rPr>
        <w:t>зивирање партиципације грађана у одлучивању о пословима локалне самоуправе и реформ</w:t>
      </w:r>
      <w:r w:rsidR="00D17098" w:rsidRPr="004826D6">
        <w:rPr>
          <w:rFonts w:ascii="Arial" w:hAnsi="Arial" w:cs="Arial"/>
          <w:b w:val="0"/>
          <w:noProof w:val="0"/>
          <w:sz w:val="20"/>
          <w:szCs w:val="20"/>
          <w:lang w:val="sr-Cyrl-RS"/>
        </w:rPr>
        <w:t>а</w:t>
      </w:r>
      <w:r w:rsidR="005E6575" w:rsidRPr="004826D6">
        <w:rPr>
          <w:rFonts w:ascii="Arial" w:hAnsi="Arial" w:cs="Arial"/>
          <w:b w:val="0"/>
          <w:noProof w:val="0"/>
          <w:sz w:val="20"/>
          <w:szCs w:val="20"/>
          <w:lang w:val="sr-Cyrl-RS"/>
        </w:rPr>
        <w:t xml:space="preserve"> изборног </w:t>
      </w:r>
      <w:r w:rsidR="005E6575" w:rsidRPr="1A8E6423">
        <w:rPr>
          <w:rFonts w:ascii="Arial" w:hAnsi="Arial" w:cs="Arial"/>
          <w:b w:val="0"/>
          <w:noProof w:val="0"/>
          <w:color w:val="000000" w:themeColor="text1"/>
          <w:sz w:val="20"/>
          <w:szCs w:val="20"/>
          <w:lang w:val="sr-Cyrl-RS"/>
        </w:rPr>
        <w:t xml:space="preserve">система, која треба да унапреди непосредну везу изабраних одборника и грађана и пуну територијалну представљеност локалних заједница у </w:t>
      </w:r>
      <w:r w:rsidR="00B77D1A" w:rsidRPr="1A8E6423">
        <w:rPr>
          <w:rFonts w:ascii="Arial" w:hAnsi="Arial" w:cs="Arial"/>
          <w:b w:val="0"/>
          <w:noProof w:val="0"/>
          <w:color w:val="000000" w:themeColor="text1"/>
          <w:sz w:val="20"/>
          <w:szCs w:val="20"/>
          <w:lang w:val="sr-Cyrl-RS"/>
        </w:rPr>
        <w:t xml:space="preserve">локалној </w:t>
      </w:r>
      <w:r w:rsidR="005E6575" w:rsidRPr="1A8E6423">
        <w:rPr>
          <w:rFonts w:ascii="Arial" w:hAnsi="Arial" w:cs="Arial"/>
          <w:b w:val="0"/>
          <w:noProof w:val="0"/>
          <w:color w:val="000000" w:themeColor="text1"/>
          <w:sz w:val="20"/>
          <w:szCs w:val="20"/>
          <w:lang w:val="sr-Cyrl-RS"/>
        </w:rPr>
        <w:t xml:space="preserve">скупштини. </w:t>
      </w:r>
      <w:r w:rsidR="00D17098" w:rsidRPr="1A8E6423">
        <w:rPr>
          <w:rFonts w:ascii="Arial" w:hAnsi="Arial" w:cs="Arial"/>
          <w:b w:val="0"/>
          <w:noProof w:val="0"/>
          <w:color w:val="000000" w:themeColor="text1"/>
          <w:sz w:val="20"/>
          <w:szCs w:val="20"/>
          <w:lang w:val="sr-Cyrl-RS"/>
        </w:rPr>
        <w:t>Део</w:t>
      </w:r>
      <w:r w:rsidR="005E6575" w:rsidRPr="1A8E6423">
        <w:rPr>
          <w:rFonts w:ascii="Arial" w:hAnsi="Arial" w:cs="Arial"/>
          <w:b w:val="0"/>
          <w:noProof w:val="0"/>
          <w:color w:val="000000" w:themeColor="text1"/>
          <w:sz w:val="20"/>
          <w:szCs w:val="20"/>
          <w:lang w:val="sr-Cyrl-RS"/>
        </w:rPr>
        <w:t xml:space="preserve"> правц</w:t>
      </w:r>
      <w:r w:rsidR="00D17098" w:rsidRPr="1A8E6423">
        <w:rPr>
          <w:rFonts w:ascii="Arial" w:hAnsi="Arial" w:cs="Arial"/>
          <w:b w:val="0"/>
          <w:noProof w:val="0"/>
          <w:color w:val="000000" w:themeColor="text1"/>
          <w:sz w:val="20"/>
          <w:szCs w:val="20"/>
          <w:lang w:val="sr-Cyrl-RS"/>
        </w:rPr>
        <w:t>а</w:t>
      </w:r>
      <w:r w:rsidR="005E6575" w:rsidRPr="1A8E6423">
        <w:rPr>
          <w:rFonts w:ascii="Arial" w:hAnsi="Arial" w:cs="Arial"/>
          <w:b w:val="0"/>
          <w:noProof w:val="0"/>
          <w:color w:val="000000" w:themeColor="text1"/>
          <w:sz w:val="20"/>
          <w:szCs w:val="20"/>
          <w:lang w:val="sr-Cyrl-RS"/>
        </w:rPr>
        <w:t xml:space="preserve"> повећања одговорности локалне самоуправе чин</w:t>
      </w:r>
      <w:r w:rsidR="00D17098" w:rsidRPr="1A8E6423">
        <w:rPr>
          <w:rFonts w:ascii="Arial" w:hAnsi="Arial" w:cs="Arial"/>
          <w:b w:val="0"/>
          <w:noProof w:val="0"/>
          <w:color w:val="000000" w:themeColor="text1"/>
          <w:sz w:val="20"/>
          <w:szCs w:val="20"/>
          <w:lang w:val="sr-Cyrl-RS"/>
        </w:rPr>
        <w:t>е</w:t>
      </w:r>
      <w:r w:rsidR="005E6575" w:rsidRPr="1A8E6423">
        <w:rPr>
          <w:rFonts w:ascii="Arial" w:hAnsi="Arial" w:cs="Arial"/>
          <w:b w:val="0"/>
          <w:noProof w:val="0"/>
          <w:color w:val="000000" w:themeColor="text1"/>
          <w:sz w:val="20"/>
          <w:szCs w:val="20"/>
          <w:lang w:val="sr-Cyrl-RS"/>
        </w:rPr>
        <w:t xml:space="preserve"> и даље активности на развоју примене начела доброг управљања у свим области</w:t>
      </w:r>
      <w:r w:rsidR="00D41788" w:rsidRPr="1A8E6423">
        <w:rPr>
          <w:rFonts w:ascii="Arial" w:hAnsi="Arial" w:cs="Arial"/>
          <w:b w:val="0"/>
          <w:noProof w:val="0"/>
          <w:color w:val="000000" w:themeColor="text1"/>
          <w:sz w:val="20"/>
          <w:szCs w:val="20"/>
          <w:lang w:val="sr-Cyrl-RS"/>
        </w:rPr>
        <w:t>ма</w:t>
      </w:r>
      <w:r w:rsidR="005E6575" w:rsidRPr="1A8E6423">
        <w:rPr>
          <w:rFonts w:ascii="Arial" w:hAnsi="Arial" w:cs="Arial"/>
          <w:b w:val="0"/>
          <w:noProof w:val="0"/>
          <w:color w:val="000000" w:themeColor="text1"/>
          <w:sz w:val="20"/>
          <w:szCs w:val="20"/>
          <w:lang w:val="sr-Cyrl-RS"/>
        </w:rPr>
        <w:t xml:space="preserve"> које су део локалне самоуправе. </w:t>
      </w:r>
      <w:r w:rsidR="00100039" w:rsidRPr="1A8E6423">
        <w:rPr>
          <w:rFonts w:ascii="Arial" w:hAnsi="Arial" w:cs="Arial"/>
          <w:b w:val="0"/>
          <w:noProof w:val="0"/>
          <w:color w:val="000000" w:themeColor="text1"/>
          <w:sz w:val="20"/>
          <w:szCs w:val="20"/>
          <w:lang w:val="sr-Cyrl-RS"/>
        </w:rPr>
        <w:t>У том смислу, неопходна је дубинска подршка за јачање локалних капацитет</w:t>
      </w:r>
      <w:r w:rsidR="0AD97F3A" w:rsidRPr="1A8E6423">
        <w:rPr>
          <w:rFonts w:ascii="Arial" w:hAnsi="Arial" w:cs="Arial"/>
          <w:b w:val="0"/>
          <w:noProof w:val="0"/>
          <w:color w:val="000000" w:themeColor="text1"/>
          <w:sz w:val="20"/>
          <w:szCs w:val="20"/>
          <w:lang w:val="sr-Cyrl-RS"/>
        </w:rPr>
        <w:t>а</w:t>
      </w:r>
      <w:r w:rsidR="00D41788" w:rsidRPr="1A8E6423">
        <w:rPr>
          <w:rFonts w:ascii="Arial" w:hAnsi="Arial" w:cs="Arial"/>
          <w:b w:val="0"/>
          <w:noProof w:val="0"/>
          <w:color w:val="000000" w:themeColor="text1"/>
          <w:sz w:val="20"/>
          <w:szCs w:val="20"/>
          <w:lang w:val="sr-Cyrl-RS"/>
        </w:rPr>
        <w:t>,</w:t>
      </w:r>
      <w:r w:rsidR="00100039" w:rsidRPr="1A8E6423">
        <w:rPr>
          <w:rFonts w:ascii="Arial" w:hAnsi="Arial" w:cs="Arial"/>
          <w:b w:val="0"/>
          <w:noProof w:val="0"/>
          <w:color w:val="000000" w:themeColor="text1"/>
          <w:sz w:val="20"/>
          <w:szCs w:val="20"/>
          <w:lang w:val="sr-Cyrl-RS"/>
        </w:rPr>
        <w:t xml:space="preserve"> али и значај</w:t>
      </w:r>
      <w:r w:rsidR="54E65920" w:rsidRPr="1A8E6423">
        <w:rPr>
          <w:rFonts w:ascii="Arial" w:hAnsi="Arial" w:cs="Arial"/>
          <w:b w:val="0"/>
          <w:noProof w:val="0"/>
          <w:color w:val="000000" w:themeColor="text1"/>
          <w:sz w:val="20"/>
          <w:szCs w:val="20"/>
          <w:lang w:val="sr-Cyrl-RS"/>
        </w:rPr>
        <w:t>а</w:t>
      </w:r>
      <w:r w:rsidR="00100039" w:rsidRPr="1A8E6423">
        <w:rPr>
          <w:rFonts w:ascii="Arial" w:hAnsi="Arial" w:cs="Arial"/>
          <w:b w:val="0"/>
          <w:noProof w:val="0"/>
          <w:color w:val="000000" w:themeColor="text1"/>
          <w:sz w:val="20"/>
          <w:szCs w:val="20"/>
          <w:lang w:val="sr-Cyrl-RS"/>
        </w:rPr>
        <w:t>н напор локалних власти да јачају своје капацитете, како би могле да што темељније наставе са имплементацијом својих надлежности и</w:t>
      </w:r>
      <w:r w:rsidR="00D41788" w:rsidRPr="1A8E6423">
        <w:rPr>
          <w:rFonts w:ascii="Arial" w:hAnsi="Arial" w:cs="Arial"/>
          <w:b w:val="0"/>
          <w:noProof w:val="0"/>
          <w:color w:val="000000" w:themeColor="text1"/>
          <w:sz w:val="20"/>
          <w:szCs w:val="20"/>
          <w:lang w:val="sr-Cyrl-RS"/>
        </w:rPr>
        <w:t>,</w:t>
      </w:r>
      <w:r w:rsidR="00100039" w:rsidRPr="1A8E6423">
        <w:rPr>
          <w:rFonts w:ascii="Arial" w:hAnsi="Arial" w:cs="Arial"/>
          <w:b w:val="0"/>
          <w:noProof w:val="0"/>
          <w:color w:val="000000" w:themeColor="text1"/>
          <w:sz w:val="20"/>
          <w:szCs w:val="20"/>
          <w:lang w:val="sr-Cyrl-RS"/>
        </w:rPr>
        <w:t xml:space="preserve"> посебно</w:t>
      </w:r>
      <w:r w:rsidR="00D41788" w:rsidRPr="1A8E6423">
        <w:rPr>
          <w:rFonts w:ascii="Arial" w:hAnsi="Arial" w:cs="Arial"/>
          <w:b w:val="0"/>
          <w:noProof w:val="0"/>
          <w:color w:val="000000" w:themeColor="text1"/>
          <w:sz w:val="20"/>
          <w:szCs w:val="20"/>
          <w:lang w:val="sr-Cyrl-RS"/>
        </w:rPr>
        <w:t>,</w:t>
      </w:r>
      <w:r w:rsidR="00100039" w:rsidRPr="1A8E6423">
        <w:rPr>
          <w:rFonts w:ascii="Arial" w:hAnsi="Arial" w:cs="Arial"/>
          <w:b w:val="0"/>
          <w:noProof w:val="0"/>
          <w:color w:val="000000" w:themeColor="text1"/>
          <w:sz w:val="20"/>
          <w:szCs w:val="20"/>
          <w:lang w:val="sr-Cyrl-RS"/>
        </w:rPr>
        <w:t xml:space="preserve"> применом начела доброг управљања у пракси локалне самоуправе.</w:t>
      </w:r>
    </w:p>
    <w:p w14:paraId="2E5E6BB1" w14:textId="71FDDA83" w:rsidR="00100039" w:rsidRPr="00A021B7" w:rsidRDefault="00100039" w:rsidP="1A8E6423">
      <w:pPr>
        <w:pStyle w:val="Naslov111"/>
        <w:ind w:left="0" w:firstLine="720"/>
        <w:jc w:val="both"/>
        <w:rPr>
          <w:rFonts w:ascii="Arial" w:hAnsi="Arial" w:cs="Arial"/>
          <w:b w:val="0"/>
          <w:noProof w:val="0"/>
          <w:color w:val="000000" w:themeColor="text1"/>
          <w:sz w:val="20"/>
          <w:szCs w:val="20"/>
          <w:lang w:val="sr-Cyrl-RS"/>
        </w:rPr>
      </w:pPr>
    </w:p>
    <w:p w14:paraId="6E9F287D" w14:textId="4B0C0F6B" w:rsidR="005E6575" w:rsidRPr="00A021B7" w:rsidRDefault="00D17098" w:rsidP="1A8E6423">
      <w:pPr>
        <w:pStyle w:val="Naslov111"/>
        <w:ind w:left="0" w:firstLine="720"/>
        <w:jc w:val="both"/>
        <w:rPr>
          <w:rFonts w:ascii="Arial" w:hAnsi="Arial" w:cs="Arial"/>
          <w:b w:val="0"/>
          <w:noProof w:val="0"/>
          <w:color w:val="000000" w:themeColor="text1"/>
          <w:sz w:val="20"/>
          <w:szCs w:val="20"/>
          <w:lang w:val="sr-Cyrl-RS"/>
        </w:rPr>
      </w:pPr>
      <w:r w:rsidRPr="1A8E6423">
        <w:rPr>
          <w:rFonts w:ascii="Arial" w:hAnsi="Arial" w:cs="Arial"/>
          <w:b w:val="0"/>
          <w:noProof w:val="0"/>
          <w:color w:val="000000" w:themeColor="text1"/>
          <w:sz w:val="20"/>
          <w:szCs w:val="20"/>
          <w:lang w:val="sr-Cyrl-RS"/>
        </w:rPr>
        <w:t>С</w:t>
      </w:r>
      <w:r w:rsidR="005E6575" w:rsidRPr="1A8E6423">
        <w:rPr>
          <w:rFonts w:ascii="Arial" w:hAnsi="Arial" w:cs="Arial"/>
          <w:b w:val="0"/>
          <w:noProof w:val="0"/>
          <w:color w:val="000000" w:themeColor="text1"/>
          <w:sz w:val="20"/>
          <w:szCs w:val="20"/>
          <w:lang w:val="sr-Cyrl-RS"/>
        </w:rPr>
        <w:t xml:space="preserve"> обзиром на надлежности</w:t>
      </w:r>
      <w:r w:rsidRPr="1A8E6423">
        <w:rPr>
          <w:rFonts w:ascii="Arial" w:hAnsi="Arial" w:cs="Arial"/>
          <w:b w:val="0"/>
          <w:noProof w:val="0"/>
          <w:color w:val="000000" w:themeColor="text1"/>
          <w:sz w:val="20"/>
          <w:szCs w:val="20"/>
          <w:lang w:val="sr-Cyrl-RS"/>
        </w:rPr>
        <w:t xml:space="preserve"> виших нивоа јавне управе</w:t>
      </w:r>
      <w:r w:rsidR="005E6575"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t>(у</w:t>
      </w:r>
      <w:r w:rsidR="005E6575" w:rsidRPr="1A8E6423">
        <w:rPr>
          <w:rFonts w:ascii="Arial" w:hAnsi="Arial" w:cs="Arial"/>
          <w:b w:val="0"/>
          <w:noProof w:val="0"/>
          <w:color w:val="000000" w:themeColor="text1"/>
          <w:sz w:val="20"/>
          <w:szCs w:val="20"/>
          <w:lang w:val="sr-Cyrl-RS"/>
        </w:rPr>
        <w:t xml:space="preserve"> формулиса</w:t>
      </w:r>
      <w:r w:rsidRPr="1A8E6423">
        <w:rPr>
          <w:rFonts w:ascii="Arial" w:hAnsi="Arial" w:cs="Arial"/>
          <w:b w:val="0"/>
          <w:noProof w:val="0"/>
          <w:color w:val="000000" w:themeColor="text1"/>
          <w:sz w:val="20"/>
          <w:szCs w:val="20"/>
          <w:lang w:val="sr-Cyrl-RS"/>
        </w:rPr>
        <w:t>њу</w:t>
      </w:r>
      <w:r w:rsidR="005E6575" w:rsidRPr="1A8E6423">
        <w:rPr>
          <w:rFonts w:ascii="Arial" w:hAnsi="Arial" w:cs="Arial"/>
          <w:b w:val="0"/>
          <w:noProof w:val="0"/>
          <w:color w:val="000000" w:themeColor="text1"/>
          <w:sz w:val="20"/>
          <w:szCs w:val="20"/>
          <w:lang w:val="sr-Cyrl-RS"/>
        </w:rPr>
        <w:t xml:space="preserve"> јавних политика, нормирањ</w:t>
      </w:r>
      <w:r w:rsidRPr="1A8E6423">
        <w:rPr>
          <w:rFonts w:ascii="Arial" w:hAnsi="Arial" w:cs="Arial"/>
          <w:b w:val="0"/>
          <w:noProof w:val="0"/>
          <w:color w:val="000000" w:themeColor="text1"/>
          <w:sz w:val="20"/>
          <w:szCs w:val="20"/>
          <w:lang w:val="sr-Cyrl-RS"/>
        </w:rPr>
        <w:t>у</w:t>
      </w:r>
      <w:r w:rsidR="005E6575" w:rsidRPr="1A8E6423">
        <w:rPr>
          <w:rFonts w:ascii="Arial" w:hAnsi="Arial" w:cs="Arial"/>
          <w:b w:val="0"/>
          <w:noProof w:val="0"/>
          <w:color w:val="000000" w:themeColor="text1"/>
          <w:sz w:val="20"/>
          <w:szCs w:val="20"/>
          <w:lang w:val="sr-Cyrl-RS"/>
        </w:rPr>
        <w:t xml:space="preserve"> система локалне самоуправе у складу ЕПЛС и надзор</w:t>
      </w:r>
      <w:r w:rsidRPr="1A8E6423">
        <w:rPr>
          <w:rFonts w:ascii="Arial" w:hAnsi="Arial" w:cs="Arial"/>
          <w:b w:val="0"/>
          <w:noProof w:val="0"/>
          <w:color w:val="000000" w:themeColor="text1"/>
          <w:sz w:val="20"/>
          <w:szCs w:val="20"/>
          <w:lang w:val="sr-Cyrl-RS"/>
        </w:rPr>
        <w:t>у</w:t>
      </w:r>
      <w:r w:rsidR="005E6575" w:rsidRPr="1A8E6423">
        <w:rPr>
          <w:rFonts w:ascii="Arial" w:hAnsi="Arial" w:cs="Arial"/>
          <w:b w:val="0"/>
          <w:noProof w:val="0"/>
          <w:color w:val="000000" w:themeColor="text1"/>
          <w:sz w:val="20"/>
          <w:szCs w:val="20"/>
          <w:lang w:val="sr-Cyrl-RS"/>
        </w:rPr>
        <w:t xml:space="preserve"> на</w:t>
      </w:r>
      <w:r w:rsidR="00D41788" w:rsidRPr="1A8E6423">
        <w:rPr>
          <w:rFonts w:ascii="Arial" w:hAnsi="Arial" w:cs="Arial"/>
          <w:b w:val="0"/>
          <w:noProof w:val="0"/>
          <w:color w:val="000000" w:themeColor="text1"/>
          <w:sz w:val="20"/>
          <w:szCs w:val="20"/>
          <w:lang w:val="sr-Cyrl-RS"/>
        </w:rPr>
        <w:t>д</w:t>
      </w:r>
      <w:r w:rsidR="005E6575" w:rsidRPr="1A8E6423">
        <w:rPr>
          <w:rFonts w:ascii="Arial" w:hAnsi="Arial" w:cs="Arial"/>
          <w:b w:val="0"/>
          <w:noProof w:val="0"/>
          <w:color w:val="000000" w:themeColor="text1"/>
          <w:sz w:val="20"/>
          <w:szCs w:val="20"/>
          <w:lang w:val="sr-Cyrl-RS"/>
        </w:rPr>
        <w:t xml:space="preserve"> извршавањем поверених и изворних надлежности локалне самоуправе</w:t>
      </w:r>
      <w:r w:rsidRPr="1A8E6423">
        <w:rPr>
          <w:rFonts w:ascii="Arial" w:hAnsi="Arial" w:cs="Arial"/>
          <w:b w:val="0"/>
          <w:noProof w:val="0"/>
          <w:color w:val="000000" w:themeColor="text1"/>
          <w:sz w:val="20"/>
          <w:szCs w:val="20"/>
          <w:lang w:val="sr-Cyrl-RS"/>
        </w:rPr>
        <w:t xml:space="preserve">), за пуно остваривање и даљи развој локалне самоуправе, </w:t>
      </w:r>
      <w:r w:rsidR="00100039" w:rsidRPr="1A8E6423">
        <w:rPr>
          <w:rFonts w:ascii="Arial" w:hAnsi="Arial" w:cs="Arial"/>
          <w:b w:val="0"/>
          <w:noProof w:val="0"/>
          <w:color w:val="000000" w:themeColor="text1"/>
          <w:sz w:val="20"/>
          <w:szCs w:val="20"/>
          <w:lang w:val="sr-Cyrl-RS"/>
        </w:rPr>
        <w:t>потребно</w:t>
      </w:r>
      <w:r w:rsidRPr="1A8E6423">
        <w:rPr>
          <w:rFonts w:ascii="Arial" w:hAnsi="Arial" w:cs="Arial"/>
          <w:b w:val="0"/>
          <w:noProof w:val="0"/>
          <w:color w:val="000000" w:themeColor="text1"/>
          <w:sz w:val="20"/>
          <w:szCs w:val="20"/>
          <w:lang w:val="sr-Cyrl-RS"/>
        </w:rPr>
        <w:t xml:space="preserve"> је и да се унапреде њихови капацитети и механизми за надзор и међусобну координацију јавних политика у различитим секторима. Даља интензивнија реформа локалне самоуправе претпоставља </w:t>
      </w:r>
      <w:r w:rsidR="00100039" w:rsidRPr="1A8E6423">
        <w:rPr>
          <w:rFonts w:ascii="Arial" w:hAnsi="Arial" w:cs="Arial"/>
          <w:b w:val="0"/>
          <w:noProof w:val="0"/>
          <w:color w:val="000000" w:themeColor="text1"/>
          <w:sz w:val="20"/>
          <w:szCs w:val="20"/>
          <w:lang w:val="sr-Cyrl-RS"/>
        </w:rPr>
        <w:t>и дијалог унутар јавне управе</w:t>
      </w:r>
      <w:r w:rsidR="00D41788" w:rsidRPr="1A8E6423">
        <w:rPr>
          <w:rFonts w:ascii="Arial" w:hAnsi="Arial" w:cs="Arial"/>
          <w:b w:val="0"/>
          <w:noProof w:val="0"/>
          <w:color w:val="000000" w:themeColor="text1"/>
          <w:sz w:val="20"/>
          <w:szCs w:val="20"/>
          <w:lang w:val="sr-Cyrl-RS"/>
        </w:rPr>
        <w:t>,</w:t>
      </w:r>
      <w:r w:rsidR="00100039" w:rsidRPr="1A8E6423">
        <w:rPr>
          <w:rFonts w:ascii="Arial" w:hAnsi="Arial" w:cs="Arial"/>
          <w:b w:val="0"/>
          <w:noProof w:val="0"/>
          <w:color w:val="000000" w:themeColor="text1"/>
          <w:sz w:val="20"/>
          <w:szCs w:val="20"/>
          <w:lang w:val="sr-Cyrl-RS"/>
        </w:rPr>
        <w:t xml:space="preserve"> односно </w:t>
      </w:r>
      <w:r w:rsidRPr="1A8E6423">
        <w:rPr>
          <w:rFonts w:ascii="Arial" w:hAnsi="Arial" w:cs="Arial"/>
          <w:b w:val="0"/>
          <w:noProof w:val="0"/>
          <w:color w:val="000000" w:themeColor="text1"/>
          <w:sz w:val="20"/>
          <w:szCs w:val="20"/>
          <w:lang w:val="sr-Cyrl-RS"/>
        </w:rPr>
        <w:t xml:space="preserve">пуно учешће локалних власти у формулисању јавних политика и прописа који се односе на локалну самоуправу, како би оне могле да </w:t>
      </w:r>
      <w:r w:rsidR="00100039" w:rsidRPr="1A8E6423">
        <w:rPr>
          <w:rFonts w:ascii="Arial" w:hAnsi="Arial" w:cs="Arial"/>
          <w:b w:val="0"/>
          <w:noProof w:val="0"/>
          <w:color w:val="000000" w:themeColor="text1"/>
          <w:sz w:val="20"/>
          <w:szCs w:val="20"/>
          <w:lang w:val="sr-Cyrl-RS"/>
        </w:rPr>
        <w:t xml:space="preserve">буду </w:t>
      </w:r>
      <w:r w:rsidR="00D41788" w:rsidRPr="1A8E6423">
        <w:rPr>
          <w:rFonts w:ascii="Arial" w:hAnsi="Arial" w:cs="Arial"/>
          <w:b w:val="0"/>
          <w:noProof w:val="0"/>
          <w:color w:val="000000" w:themeColor="text1"/>
          <w:sz w:val="20"/>
          <w:szCs w:val="20"/>
          <w:lang w:val="sr-Cyrl-RS"/>
        </w:rPr>
        <w:t xml:space="preserve">на време </w:t>
      </w:r>
      <w:r w:rsidR="00100039" w:rsidRPr="1A8E6423">
        <w:rPr>
          <w:rFonts w:ascii="Arial" w:hAnsi="Arial" w:cs="Arial"/>
          <w:b w:val="0"/>
          <w:noProof w:val="0"/>
          <w:color w:val="000000" w:themeColor="text1"/>
          <w:sz w:val="20"/>
          <w:szCs w:val="20"/>
          <w:lang w:val="sr-Cyrl-RS"/>
        </w:rPr>
        <w:t>упознате са планираним јавним политикама</w:t>
      </w:r>
      <w:r w:rsidR="00D41788" w:rsidRPr="1A8E6423">
        <w:rPr>
          <w:rFonts w:ascii="Arial" w:hAnsi="Arial" w:cs="Arial"/>
          <w:b w:val="0"/>
          <w:noProof w:val="0"/>
          <w:color w:val="000000" w:themeColor="text1"/>
          <w:sz w:val="20"/>
          <w:szCs w:val="20"/>
          <w:lang w:val="sr-Cyrl-RS"/>
        </w:rPr>
        <w:t>,</w:t>
      </w:r>
      <w:r w:rsidR="00100039" w:rsidRPr="1A8E6423">
        <w:rPr>
          <w:rFonts w:ascii="Arial" w:hAnsi="Arial" w:cs="Arial"/>
          <w:b w:val="0"/>
          <w:noProof w:val="0"/>
          <w:color w:val="000000" w:themeColor="text1"/>
          <w:sz w:val="20"/>
          <w:szCs w:val="20"/>
          <w:lang w:val="sr-Cyrl-RS"/>
        </w:rPr>
        <w:t xml:space="preserve"> али и да укажу на потребе које постоје на нивоу локалне самоуправе.</w:t>
      </w:r>
      <w:bookmarkEnd w:id="156"/>
    </w:p>
    <w:p w14:paraId="6AE133E0" w14:textId="4A487635"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tbl>
      <w:tblPr>
        <w:tblStyle w:val="TableGrid"/>
        <w:tblW w:w="4953" w:type="pct"/>
        <w:tblInd w:w="-5" w:type="dxa"/>
        <w:tblLayout w:type="fixed"/>
        <w:tblLook w:val="04A0" w:firstRow="1" w:lastRow="0" w:firstColumn="1" w:lastColumn="0" w:noHBand="0" w:noVBand="1"/>
      </w:tblPr>
      <w:tblGrid>
        <w:gridCol w:w="2411"/>
        <w:gridCol w:w="1134"/>
        <w:gridCol w:w="851"/>
        <w:gridCol w:w="1133"/>
        <w:gridCol w:w="1133"/>
        <w:gridCol w:w="1133"/>
        <w:gridCol w:w="1130"/>
      </w:tblGrid>
      <w:tr w:rsidR="005E6575" w:rsidRPr="00A021B7" w14:paraId="076F94DF" w14:textId="77777777" w:rsidTr="1A8E6423">
        <w:tc>
          <w:tcPr>
            <w:tcW w:w="1350" w:type="pct"/>
            <w:vAlign w:val="center"/>
          </w:tcPr>
          <w:p w14:paraId="5C900AF0" w14:textId="77777777" w:rsidR="005E6575" w:rsidRPr="00A021B7" w:rsidRDefault="005E6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Показатељ исхода</w:t>
            </w:r>
          </w:p>
        </w:tc>
        <w:tc>
          <w:tcPr>
            <w:tcW w:w="635" w:type="pct"/>
            <w:vAlign w:val="center"/>
          </w:tcPr>
          <w:p w14:paraId="1D008F0D"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Полазна вредност</w:t>
            </w:r>
          </w:p>
        </w:tc>
        <w:tc>
          <w:tcPr>
            <w:tcW w:w="477" w:type="pct"/>
            <w:vAlign w:val="center"/>
          </w:tcPr>
          <w:p w14:paraId="397CB4D9" w14:textId="3A6ED9BF"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2021</w:t>
            </w:r>
            <w:r w:rsidR="00D41788" w:rsidRPr="1A8E6423">
              <w:rPr>
                <w:rFonts w:ascii="Arial" w:hAnsi="Arial" w:cs="Arial"/>
                <w:sz w:val="20"/>
                <w:szCs w:val="20"/>
                <w:lang w:val="sr-Cyrl-RS"/>
              </w:rPr>
              <w:t>.</w:t>
            </w:r>
          </w:p>
        </w:tc>
        <w:tc>
          <w:tcPr>
            <w:tcW w:w="635" w:type="pct"/>
            <w:vAlign w:val="center"/>
          </w:tcPr>
          <w:p w14:paraId="0032BB7B" w14:textId="49A434E6"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2022</w:t>
            </w:r>
            <w:r w:rsidR="00D41788" w:rsidRPr="1A8E6423">
              <w:rPr>
                <w:rFonts w:ascii="Arial" w:hAnsi="Arial" w:cs="Arial"/>
                <w:sz w:val="20"/>
                <w:szCs w:val="20"/>
                <w:lang w:val="sr-Cyrl-RS"/>
              </w:rPr>
              <w:t>.</w:t>
            </w:r>
          </w:p>
        </w:tc>
        <w:tc>
          <w:tcPr>
            <w:tcW w:w="635" w:type="pct"/>
            <w:vAlign w:val="center"/>
          </w:tcPr>
          <w:p w14:paraId="354F1E93" w14:textId="3B8E4474"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2023</w:t>
            </w:r>
            <w:r w:rsidR="00D41788" w:rsidRPr="1A8E6423">
              <w:rPr>
                <w:rFonts w:ascii="Arial" w:hAnsi="Arial" w:cs="Arial"/>
                <w:sz w:val="20"/>
                <w:szCs w:val="20"/>
                <w:lang w:val="sr-Cyrl-RS"/>
              </w:rPr>
              <w:t>.</w:t>
            </w:r>
          </w:p>
        </w:tc>
        <w:tc>
          <w:tcPr>
            <w:tcW w:w="635" w:type="pct"/>
            <w:vAlign w:val="center"/>
          </w:tcPr>
          <w:p w14:paraId="3754AC6B" w14:textId="5BE4FB5E"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2024</w:t>
            </w:r>
            <w:r w:rsidR="00D41788" w:rsidRPr="1A8E6423">
              <w:rPr>
                <w:rFonts w:ascii="Arial" w:hAnsi="Arial" w:cs="Arial"/>
                <w:sz w:val="20"/>
                <w:szCs w:val="20"/>
                <w:lang w:val="sr-Cyrl-RS"/>
              </w:rPr>
              <w:t>.</w:t>
            </w:r>
          </w:p>
        </w:tc>
        <w:tc>
          <w:tcPr>
            <w:tcW w:w="635" w:type="pct"/>
            <w:vAlign w:val="center"/>
          </w:tcPr>
          <w:p w14:paraId="466763E1" w14:textId="7A8C2E32"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2025</w:t>
            </w:r>
            <w:r w:rsidR="00D41788" w:rsidRPr="1A8E6423">
              <w:rPr>
                <w:rFonts w:ascii="Arial" w:hAnsi="Arial" w:cs="Arial"/>
                <w:sz w:val="20"/>
                <w:szCs w:val="20"/>
                <w:lang w:val="sr-Cyrl-RS"/>
              </w:rPr>
              <w:t>.</w:t>
            </w:r>
          </w:p>
        </w:tc>
      </w:tr>
      <w:tr w:rsidR="005E6575" w:rsidRPr="00A021B7" w14:paraId="3966A038" w14:textId="77777777" w:rsidTr="1A8E6423">
        <w:tc>
          <w:tcPr>
            <w:tcW w:w="1350" w:type="pct"/>
          </w:tcPr>
          <w:p w14:paraId="5EAED23A" w14:textId="54A90F5A" w:rsidR="005E6575" w:rsidRPr="00A021B7" w:rsidRDefault="005E6575" w:rsidP="1A8E6423">
            <w:pPr>
              <w:pStyle w:val="basic-paragraph"/>
              <w:spacing w:before="0" w:beforeAutospacing="0" w:after="0" w:afterAutospacing="0"/>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Степен ратификације ЕПЛС</w:t>
            </w:r>
          </w:p>
        </w:tc>
        <w:tc>
          <w:tcPr>
            <w:tcW w:w="635" w:type="pct"/>
          </w:tcPr>
          <w:p w14:paraId="73C3E325" w14:textId="77777777" w:rsidR="005E6575" w:rsidRPr="00A021B7" w:rsidRDefault="005E6575" w:rsidP="003E7BC9">
            <w:pPr>
              <w:pStyle w:val="basic-paragraph"/>
              <w:tabs>
                <w:tab w:val="left" w:pos="502"/>
              </w:tabs>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3 (2020)</w:t>
            </w:r>
          </w:p>
        </w:tc>
        <w:tc>
          <w:tcPr>
            <w:tcW w:w="477" w:type="pct"/>
          </w:tcPr>
          <w:p w14:paraId="3CEDE7BF" w14:textId="77777777" w:rsidR="005E6575" w:rsidRPr="00A021B7" w:rsidRDefault="005E6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 xml:space="preserve">3 </w:t>
            </w:r>
          </w:p>
        </w:tc>
        <w:tc>
          <w:tcPr>
            <w:tcW w:w="635" w:type="pct"/>
          </w:tcPr>
          <w:p w14:paraId="0DE0540B" w14:textId="77777777" w:rsidR="005E6575" w:rsidRPr="00A021B7" w:rsidRDefault="005E6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color w:val="000000" w:themeColor="text1"/>
                <w:sz w:val="20"/>
                <w:szCs w:val="20"/>
                <w:lang w:val="sr-Cyrl-RS"/>
              </w:rPr>
              <w:t>4</w:t>
            </w:r>
          </w:p>
        </w:tc>
        <w:tc>
          <w:tcPr>
            <w:tcW w:w="635" w:type="pct"/>
          </w:tcPr>
          <w:p w14:paraId="7204F2AC" w14:textId="77777777" w:rsidR="005E6575" w:rsidRPr="00A021B7" w:rsidRDefault="005E6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color w:val="000000" w:themeColor="text1"/>
                <w:sz w:val="20"/>
                <w:szCs w:val="20"/>
                <w:lang w:val="sr-Cyrl-RS"/>
              </w:rPr>
              <w:t>4</w:t>
            </w:r>
          </w:p>
        </w:tc>
        <w:tc>
          <w:tcPr>
            <w:tcW w:w="635" w:type="pct"/>
          </w:tcPr>
          <w:p w14:paraId="42DEB808" w14:textId="77777777" w:rsidR="005E6575" w:rsidRPr="00A021B7" w:rsidRDefault="005E6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color w:val="000000" w:themeColor="text1"/>
                <w:sz w:val="20"/>
                <w:szCs w:val="20"/>
                <w:lang w:val="sr-Cyrl-RS"/>
              </w:rPr>
              <w:t>4</w:t>
            </w:r>
          </w:p>
        </w:tc>
        <w:tc>
          <w:tcPr>
            <w:tcW w:w="635" w:type="pct"/>
          </w:tcPr>
          <w:p w14:paraId="7546D502" w14:textId="1589E91A" w:rsidR="005E6575" w:rsidRPr="00A021B7" w:rsidRDefault="004F130F"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5</w:t>
            </w:r>
          </w:p>
        </w:tc>
      </w:tr>
      <w:tr w:rsidR="005E6575" w:rsidRPr="00A021B7" w14:paraId="09B4B21B" w14:textId="77777777" w:rsidTr="1A8E6423">
        <w:tc>
          <w:tcPr>
            <w:tcW w:w="1350" w:type="pct"/>
          </w:tcPr>
          <w:p w14:paraId="311D4CCD" w14:textId="12BCB095" w:rsidR="005E6575" w:rsidRPr="00A021B7" w:rsidRDefault="005E6575" w:rsidP="1A8E6423">
            <w:pPr>
              <w:pStyle w:val="basic-paragraph"/>
              <w:spacing w:before="0" w:beforeAutospacing="0" w:after="0" w:afterAutospacing="0"/>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Просечна вредност индекса у издвојеним областима : 1) </w:t>
            </w:r>
            <w:r w:rsidR="00D41788" w:rsidRPr="1A8E6423">
              <w:rPr>
                <w:rFonts w:ascii="Arial" w:hAnsi="Arial" w:cs="Arial"/>
                <w:color w:val="000000" w:themeColor="text1"/>
                <w:sz w:val="20"/>
                <w:szCs w:val="20"/>
                <w:lang w:val="sr-Cyrl-RS"/>
              </w:rPr>
              <w:t>одговорност</w:t>
            </w:r>
            <w:r w:rsidRPr="1A8E6423">
              <w:rPr>
                <w:rFonts w:ascii="Arial" w:hAnsi="Arial" w:cs="Arial"/>
                <w:color w:val="000000" w:themeColor="text1"/>
                <w:sz w:val="20"/>
                <w:szCs w:val="20"/>
                <w:lang w:val="sr-Cyrl-RS"/>
              </w:rPr>
              <w:t xml:space="preserve">; 2) </w:t>
            </w:r>
            <w:r w:rsidR="00D41788" w:rsidRPr="1A8E6423">
              <w:rPr>
                <w:rFonts w:ascii="Arial" w:hAnsi="Arial" w:cs="Arial"/>
                <w:color w:val="000000" w:themeColor="text1"/>
                <w:sz w:val="20"/>
                <w:szCs w:val="20"/>
                <w:lang w:val="sr-Cyrl-RS"/>
              </w:rPr>
              <w:t>транспарентност</w:t>
            </w:r>
            <w:r w:rsidRPr="1A8E6423">
              <w:rPr>
                <w:rFonts w:ascii="Arial" w:hAnsi="Arial" w:cs="Arial"/>
                <w:color w:val="000000" w:themeColor="text1"/>
                <w:sz w:val="20"/>
                <w:szCs w:val="20"/>
                <w:lang w:val="sr-Cyrl-RS"/>
              </w:rPr>
              <w:t>, отвореност и партиципациј</w:t>
            </w:r>
            <w:r w:rsidR="00D41788" w:rsidRPr="1A8E6423">
              <w:rPr>
                <w:rFonts w:ascii="Arial" w:hAnsi="Arial" w:cs="Arial"/>
                <w:color w:val="000000" w:themeColor="text1"/>
                <w:sz w:val="20"/>
                <w:szCs w:val="20"/>
                <w:lang w:val="sr-Cyrl-RS"/>
              </w:rPr>
              <w:t>а</w:t>
            </w:r>
          </w:p>
        </w:tc>
        <w:tc>
          <w:tcPr>
            <w:tcW w:w="635" w:type="pct"/>
          </w:tcPr>
          <w:p w14:paraId="4C1820C0" w14:textId="31BE29F3" w:rsidR="005E6575" w:rsidRPr="00A021B7" w:rsidRDefault="3660532B" w:rsidP="1A8E6423">
            <w:pPr>
              <w:pStyle w:val="basic-paragraph"/>
              <w:spacing w:before="0" w:beforeAutospacing="0" w:after="0" w:afterAutospacing="0"/>
              <w:rPr>
                <w:rFonts w:ascii="Arial" w:hAnsi="Arial" w:cs="Arial"/>
                <w:sz w:val="20"/>
                <w:szCs w:val="20"/>
                <w:lang w:val="sr-Cyrl-RS"/>
              </w:rPr>
            </w:pPr>
            <w:r w:rsidRPr="1A8E6423">
              <w:rPr>
                <w:rFonts w:ascii="Arial" w:hAnsi="Arial" w:cs="Arial"/>
                <w:sz w:val="20"/>
                <w:szCs w:val="20"/>
                <w:lang w:val="sr-Cyrl-RS"/>
              </w:rPr>
              <w:t xml:space="preserve">43% </w:t>
            </w:r>
            <w:r w:rsidR="005E6575" w:rsidRPr="1A8E6423">
              <w:rPr>
                <w:rFonts w:ascii="Arial" w:hAnsi="Arial" w:cs="Arial"/>
                <w:sz w:val="20"/>
                <w:szCs w:val="20"/>
                <w:lang w:val="sr-Cyrl-RS"/>
              </w:rPr>
              <w:t>(2018)</w:t>
            </w:r>
          </w:p>
        </w:tc>
        <w:tc>
          <w:tcPr>
            <w:tcW w:w="477" w:type="pct"/>
          </w:tcPr>
          <w:p w14:paraId="54AD3C24" w14:textId="4BD373A6" w:rsidR="005E6575" w:rsidRPr="00A021B7" w:rsidRDefault="003122E1"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45%</w:t>
            </w:r>
          </w:p>
        </w:tc>
        <w:tc>
          <w:tcPr>
            <w:tcW w:w="635" w:type="pct"/>
          </w:tcPr>
          <w:p w14:paraId="14E91B7B" w14:textId="5BD533A0" w:rsidR="005E6575" w:rsidRPr="00A021B7" w:rsidRDefault="003122E1"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w:t>
            </w:r>
          </w:p>
        </w:tc>
        <w:tc>
          <w:tcPr>
            <w:tcW w:w="635" w:type="pct"/>
          </w:tcPr>
          <w:p w14:paraId="4DCFEE76" w14:textId="7127F83B" w:rsidR="005E6575" w:rsidRPr="00A021B7" w:rsidRDefault="00FF3CF6"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5</w:t>
            </w:r>
            <w:r w:rsidR="008A31A1" w:rsidRPr="00A021B7">
              <w:rPr>
                <w:rFonts w:ascii="Arial" w:hAnsi="Arial" w:cs="Arial"/>
                <w:sz w:val="20"/>
                <w:szCs w:val="20"/>
                <w:lang w:val="sr-Cyrl-RS"/>
              </w:rPr>
              <w:t>8</w:t>
            </w:r>
            <w:r w:rsidRPr="00A021B7">
              <w:rPr>
                <w:rFonts w:ascii="Arial" w:hAnsi="Arial" w:cs="Arial"/>
                <w:sz w:val="20"/>
                <w:szCs w:val="20"/>
                <w:lang w:val="sr-Cyrl-RS"/>
              </w:rPr>
              <w:t>%</w:t>
            </w:r>
          </w:p>
        </w:tc>
        <w:tc>
          <w:tcPr>
            <w:tcW w:w="635" w:type="pct"/>
          </w:tcPr>
          <w:p w14:paraId="3CFC0839" w14:textId="78C10284" w:rsidR="005E6575" w:rsidRPr="00A021B7" w:rsidRDefault="005301E1"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w:t>
            </w:r>
          </w:p>
        </w:tc>
        <w:tc>
          <w:tcPr>
            <w:tcW w:w="635" w:type="pct"/>
          </w:tcPr>
          <w:p w14:paraId="2BD44701" w14:textId="76126544" w:rsidR="005E6575" w:rsidRPr="00A021B7" w:rsidRDefault="00E47FDC"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60%</w:t>
            </w:r>
          </w:p>
        </w:tc>
      </w:tr>
      <w:tr w:rsidR="005E6575" w:rsidRPr="00A021B7" w14:paraId="22C8A98F" w14:textId="77777777" w:rsidTr="1A8E6423">
        <w:tc>
          <w:tcPr>
            <w:tcW w:w="1350" w:type="pct"/>
          </w:tcPr>
          <w:p w14:paraId="742166E2" w14:textId="77777777" w:rsidR="005E6575" w:rsidRPr="00A021B7" w:rsidRDefault="005E6575" w:rsidP="003E7BC9">
            <w:pPr>
              <w:pStyle w:val="basic-paragraph"/>
              <w:spacing w:before="0" w:beforeAutospacing="0" w:after="0" w:afterAutospacing="0"/>
              <w:rPr>
                <w:rFonts w:ascii="Arial" w:hAnsi="Arial" w:cs="Arial"/>
                <w:color w:val="000000" w:themeColor="text1"/>
                <w:sz w:val="20"/>
                <w:szCs w:val="20"/>
                <w:lang w:val="sr-Cyrl-RS"/>
              </w:rPr>
            </w:pPr>
            <w:r w:rsidRPr="00A021B7">
              <w:rPr>
                <w:rFonts w:ascii="Arial" w:hAnsi="Arial" w:cs="Arial"/>
                <w:color w:val="000000"/>
                <w:sz w:val="20"/>
                <w:szCs w:val="20"/>
                <w:lang w:val="sr-Cyrl-RS"/>
              </w:rPr>
              <w:lastRenderedPageBreak/>
              <w:t>Укљученост локалних власти у израду националних прописа који уређују њихов рад</w:t>
            </w:r>
          </w:p>
        </w:tc>
        <w:tc>
          <w:tcPr>
            <w:tcW w:w="635" w:type="pct"/>
          </w:tcPr>
          <w:p w14:paraId="4074EB55" w14:textId="77777777" w:rsidR="005E6575" w:rsidRPr="00A021B7" w:rsidRDefault="005E6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3 (2020)</w:t>
            </w:r>
          </w:p>
        </w:tc>
        <w:tc>
          <w:tcPr>
            <w:tcW w:w="477" w:type="pct"/>
          </w:tcPr>
          <w:p w14:paraId="6074DFD6" w14:textId="52FF7369" w:rsidR="005E6575" w:rsidRPr="00A021B7" w:rsidRDefault="0038448B"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3</w:t>
            </w:r>
          </w:p>
        </w:tc>
        <w:tc>
          <w:tcPr>
            <w:tcW w:w="635" w:type="pct"/>
          </w:tcPr>
          <w:p w14:paraId="7EBC0B46" w14:textId="423680B4" w:rsidR="005E6575" w:rsidRPr="00A021B7" w:rsidRDefault="0038448B"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w:t>
            </w:r>
          </w:p>
        </w:tc>
        <w:tc>
          <w:tcPr>
            <w:tcW w:w="635" w:type="pct"/>
          </w:tcPr>
          <w:p w14:paraId="0F098A46" w14:textId="12417459" w:rsidR="005E6575" w:rsidRPr="00A021B7" w:rsidRDefault="008A31A1"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4</w:t>
            </w:r>
          </w:p>
        </w:tc>
        <w:tc>
          <w:tcPr>
            <w:tcW w:w="635" w:type="pct"/>
          </w:tcPr>
          <w:p w14:paraId="7C0A4D0F" w14:textId="6B4CC076" w:rsidR="005E6575" w:rsidRPr="00A021B7" w:rsidRDefault="00A63A5D"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w:t>
            </w:r>
          </w:p>
        </w:tc>
        <w:tc>
          <w:tcPr>
            <w:tcW w:w="635" w:type="pct"/>
          </w:tcPr>
          <w:p w14:paraId="323B2A0B" w14:textId="71F49FA6" w:rsidR="005E6575" w:rsidRPr="00A021B7" w:rsidRDefault="4ED9A3E1" w:rsidP="003E7BC9">
            <w:pPr>
              <w:pStyle w:val="basic-paragraph"/>
              <w:spacing w:before="0" w:beforeAutospacing="0" w:after="0" w:afterAutospacing="0"/>
              <w:rPr>
                <w:rFonts w:ascii="Arial" w:hAnsi="Arial" w:cs="Arial"/>
                <w:sz w:val="20"/>
                <w:szCs w:val="20"/>
                <w:lang w:val="sr-Cyrl-RS"/>
              </w:rPr>
            </w:pPr>
            <w:r w:rsidRPr="00A021B7">
              <w:rPr>
                <w:rFonts w:ascii="Arial" w:hAnsi="Arial" w:cs="Arial"/>
                <w:sz w:val="20"/>
                <w:szCs w:val="20"/>
                <w:lang w:val="sr-Cyrl-RS"/>
              </w:rPr>
              <w:t>5</w:t>
            </w:r>
          </w:p>
        </w:tc>
      </w:tr>
    </w:tbl>
    <w:p w14:paraId="534228EF" w14:textId="0FB8E112" w:rsidR="00A06B34" w:rsidRPr="00A021B7" w:rsidRDefault="00A06B34" w:rsidP="003E7BC9">
      <w:pPr>
        <w:pStyle w:val="Naslov111"/>
        <w:ind w:left="0" w:firstLine="0"/>
        <w:jc w:val="both"/>
        <w:rPr>
          <w:rFonts w:ascii="Arial" w:hAnsi="Arial" w:cs="Arial"/>
          <w:bCs/>
          <w:i/>
          <w:iCs/>
          <w:noProof w:val="0"/>
          <w:color w:val="000000" w:themeColor="text1"/>
          <w:sz w:val="20"/>
          <w:szCs w:val="20"/>
          <w:lang w:val="sr-Cyrl-RS"/>
        </w:rPr>
      </w:pPr>
    </w:p>
    <w:p w14:paraId="181BB753" w14:textId="0C27731A" w:rsidR="005E6575" w:rsidRPr="00A021B7" w:rsidRDefault="005E6575" w:rsidP="1A8E6423">
      <w:pPr>
        <w:pStyle w:val="Naslov111"/>
        <w:ind w:left="0" w:firstLine="0"/>
        <w:jc w:val="both"/>
        <w:rPr>
          <w:rFonts w:ascii="Arial" w:hAnsi="Arial" w:cs="Arial"/>
          <w:i/>
          <w:iCs/>
          <w:noProof w:val="0"/>
          <w:color w:val="000000" w:themeColor="text1"/>
          <w:sz w:val="22"/>
          <w:szCs w:val="22"/>
          <w:lang w:val="sr-Cyrl-RS"/>
        </w:rPr>
      </w:pPr>
      <w:bookmarkStart w:id="157" w:name="_Toc60136100"/>
      <w:r w:rsidRPr="1A8E6423">
        <w:rPr>
          <w:rFonts w:ascii="Arial" w:hAnsi="Arial" w:cs="Arial"/>
          <w:i/>
          <w:iCs/>
          <w:noProof w:val="0"/>
          <w:color w:val="000000" w:themeColor="text1"/>
          <w:sz w:val="22"/>
          <w:szCs w:val="22"/>
          <w:lang w:val="sr-Cyrl-RS"/>
        </w:rPr>
        <w:t>Мера 1.1.</w:t>
      </w:r>
      <w:r w:rsidRPr="1A8E6423">
        <w:rPr>
          <w:rFonts w:ascii="Arial" w:hAnsi="Arial" w:cs="Arial"/>
          <w:i/>
          <w:iCs/>
          <w:noProof w:val="0"/>
          <w:sz w:val="22"/>
          <w:szCs w:val="22"/>
          <w:lang w:val="sr-Cyrl-RS"/>
        </w:rPr>
        <w:t xml:space="preserve"> </w:t>
      </w:r>
      <w:r w:rsidRPr="1A8E6423">
        <w:rPr>
          <w:rFonts w:ascii="Arial" w:hAnsi="Arial" w:cs="Arial"/>
          <w:i/>
          <w:iCs/>
          <w:noProof w:val="0"/>
          <w:color w:val="000000" w:themeColor="text1"/>
          <w:sz w:val="22"/>
          <w:szCs w:val="22"/>
          <w:lang w:val="sr-Cyrl-RS"/>
        </w:rPr>
        <w:t>Наставак усклађивања правног оквира Републике Србије за локалну самоуправу са принципима Европске повеље о локалној самоуправи</w:t>
      </w:r>
      <w:bookmarkEnd w:id="157"/>
      <w:r w:rsidRPr="1A8E6423">
        <w:rPr>
          <w:rFonts w:ascii="Arial" w:hAnsi="Arial" w:cs="Arial"/>
          <w:i/>
          <w:iCs/>
          <w:noProof w:val="0"/>
          <w:color w:val="000000" w:themeColor="text1"/>
          <w:sz w:val="22"/>
          <w:szCs w:val="22"/>
          <w:lang w:val="sr-Cyrl-RS"/>
        </w:rPr>
        <w:t xml:space="preserve"> </w:t>
      </w:r>
    </w:p>
    <w:p w14:paraId="6388CCFF" w14:textId="77777777" w:rsidR="003842D2" w:rsidRPr="00A021B7" w:rsidRDefault="003842D2" w:rsidP="003E7BC9">
      <w:pPr>
        <w:pStyle w:val="Naslov111"/>
        <w:ind w:left="0" w:firstLine="0"/>
        <w:jc w:val="both"/>
        <w:rPr>
          <w:rFonts w:ascii="Arial" w:hAnsi="Arial" w:cs="Arial"/>
          <w:bCs/>
          <w:i/>
          <w:iCs/>
          <w:noProof w:val="0"/>
          <w:color w:val="000000" w:themeColor="text1"/>
          <w:sz w:val="22"/>
          <w:szCs w:val="22"/>
          <w:lang w:val="sr-Cyrl-RS"/>
        </w:rPr>
      </w:pPr>
    </w:p>
    <w:p w14:paraId="1E6714DB" w14:textId="295B48BB" w:rsidR="005E6575" w:rsidRPr="00A021B7" w:rsidRDefault="005E6575" w:rsidP="1A8E6423">
      <w:pPr>
        <w:pStyle w:val="Naslov111"/>
        <w:ind w:left="0" w:firstLine="720"/>
        <w:jc w:val="both"/>
        <w:rPr>
          <w:rFonts w:ascii="Arial" w:hAnsi="Arial" w:cs="Arial"/>
          <w:b w:val="0"/>
          <w:noProof w:val="0"/>
          <w:sz w:val="20"/>
          <w:szCs w:val="20"/>
          <w:lang w:val="sr-Cyrl-RS"/>
        </w:rPr>
      </w:pPr>
      <w:bookmarkStart w:id="158" w:name="_Toc60136101"/>
      <w:r w:rsidRPr="1A8E6423">
        <w:rPr>
          <w:rFonts w:ascii="Arial" w:hAnsi="Arial" w:cs="Arial"/>
          <w:b w:val="0"/>
          <w:noProof w:val="0"/>
          <w:sz w:val="20"/>
          <w:szCs w:val="20"/>
          <w:lang w:val="sr-Cyrl-RS"/>
        </w:rPr>
        <w:t xml:space="preserve">Република Србија прихватила је примену Европске повеље о локалној самоуправи Савета Европе 2007. године. Приликом </w:t>
      </w:r>
      <w:r w:rsidR="00D41788" w:rsidRPr="1A8E6423">
        <w:rPr>
          <w:rFonts w:ascii="Arial" w:hAnsi="Arial" w:cs="Arial"/>
          <w:b w:val="0"/>
          <w:noProof w:val="0"/>
          <w:sz w:val="20"/>
          <w:szCs w:val="20"/>
          <w:lang w:val="sr-Cyrl-RS"/>
        </w:rPr>
        <w:t>ратификације</w:t>
      </w:r>
      <w:r w:rsidRPr="1A8E6423">
        <w:rPr>
          <w:rFonts w:ascii="Arial" w:hAnsi="Arial" w:cs="Arial"/>
          <w:b w:val="0"/>
          <w:noProof w:val="0"/>
          <w:sz w:val="20"/>
          <w:szCs w:val="20"/>
          <w:lang w:val="sr-Cyrl-RS"/>
        </w:rPr>
        <w:t xml:space="preserve"> ЕПЛС, Република Србија је прихватила 24 одредбе овог документа. Том приликом Република Србија није прихватила 6 одредби ЕПЛС (</w:t>
      </w:r>
      <w:r w:rsidR="00D41788" w:rsidRPr="1A8E6423">
        <w:rPr>
          <w:rFonts w:ascii="Arial" w:hAnsi="Arial" w:cs="Arial"/>
          <w:b w:val="0"/>
          <w:noProof w:val="0"/>
          <w:sz w:val="20"/>
          <w:szCs w:val="20"/>
          <w:lang w:val="sr-Cyrl-RS"/>
        </w:rPr>
        <w:t>ч</w:t>
      </w:r>
      <w:r w:rsidRPr="1A8E6423">
        <w:rPr>
          <w:rFonts w:ascii="Arial" w:hAnsi="Arial" w:cs="Arial"/>
          <w:b w:val="0"/>
          <w:noProof w:val="0"/>
          <w:sz w:val="20"/>
          <w:szCs w:val="20"/>
          <w:lang w:val="sr-Cyrl-RS"/>
        </w:rPr>
        <w:t>лан 4. став 3, члан 5, члан 6</w:t>
      </w:r>
      <w:r w:rsidR="00D41788"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ст</w:t>
      </w:r>
      <w:r w:rsidR="00D41788"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1</w:t>
      </w:r>
      <w:r w:rsidR="00D41788"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и 2, члан 7. став 2 и члан 8</w:t>
      </w:r>
      <w:r w:rsidR="00D41788"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став 3)</w:t>
      </w:r>
      <w:r w:rsidR="008F0044" w:rsidRPr="1A8E6423">
        <w:rPr>
          <w:rFonts w:ascii="Arial" w:hAnsi="Arial" w:cs="Arial"/>
          <w:b w:val="0"/>
          <w:noProof w:val="0"/>
          <w:sz w:val="20"/>
          <w:szCs w:val="20"/>
          <w:lang w:val="sr-Cyrl-RS"/>
        </w:rPr>
        <w:t>.</w:t>
      </w:r>
      <w:r w:rsidRPr="1A8E6423">
        <w:rPr>
          <w:rFonts w:ascii="Arial" w:hAnsi="Arial" w:cs="Arial"/>
          <w:b w:val="0"/>
          <w:noProof w:val="0"/>
          <w:color w:val="000000" w:themeColor="text1"/>
          <w:sz w:val="20"/>
          <w:szCs w:val="20"/>
          <w:lang w:val="sr-Cyrl-RS"/>
        </w:rPr>
        <w:t xml:space="preserve"> Велики број земаља из Европе</w:t>
      </w:r>
      <w:r w:rsidR="008F0044"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укључујући и земље које су некада биле део државне заједнице у којој је била и Србија, прихватиле су све одредбе овог документа (Хрватска и Словенија). </w:t>
      </w:r>
      <w:r w:rsidRPr="1A8E6423">
        <w:rPr>
          <w:rFonts w:ascii="Arial" w:hAnsi="Arial" w:cs="Arial"/>
          <w:b w:val="0"/>
          <w:noProof w:val="0"/>
          <w:sz w:val="20"/>
          <w:szCs w:val="20"/>
          <w:lang w:val="sr-Cyrl-RS"/>
        </w:rPr>
        <w:t>Правни оквир Републике Србије треба да буде у потпуности усклађен са принципима Европске повеље о локалној самоуправи, пре свега кроз пуну ратификацију ЕПЛС. Као надградњу на то, треба анализирати и потребу за усклађивањем секторских закона са ЕПЛС. За даљи развој система локалне самоуправе посебно је важно да се размотри и прихвати примена начела супсидијарности (члан 4. став 3. ЕПЛС), у складу са којим јавне послове првенствено треба да обављају јавне власти које су најближе грађанима</w:t>
      </w:r>
      <w:r w:rsidR="008F0044"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осим када обим, природ</w:t>
      </w:r>
      <w:r w:rsidR="008F0044" w:rsidRPr="1A8E6423">
        <w:rPr>
          <w:rFonts w:ascii="Arial" w:hAnsi="Arial" w:cs="Arial"/>
          <w:b w:val="0"/>
          <w:noProof w:val="0"/>
          <w:sz w:val="20"/>
          <w:szCs w:val="20"/>
          <w:lang w:val="sr-Cyrl-RS"/>
        </w:rPr>
        <w:t>а</w:t>
      </w:r>
      <w:r w:rsidRPr="1A8E6423">
        <w:rPr>
          <w:rFonts w:ascii="Arial" w:hAnsi="Arial" w:cs="Arial"/>
          <w:b w:val="0"/>
          <w:noProof w:val="0"/>
          <w:sz w:val="20"/>
          <w:szCs w:val="20"/>
          <w:lang w:val="sr-Cyrl-RS"/>
        </w:rPr>
        <w:t xml:space="preserve"> тих послова односно захтеви ефикасности на налажу другачије. Супсидијарност предст</w:t>
      </w:r>
      <w:r w:rsidR="008F0044" w:rsidRPr="1A8E6423">
        <w:rPr>
          <w:rFonts w:ascii="Arial" w:hAnsi="Arial" w:cs="Arial"/>
          <w:b w:val="0"/>
          <w:noProof w:val="0"/>
          <w:sz w:val="20"/>
          <w:szCs w:val="20"/>
          <w:lang w:val="sr-Cyrl-RS"/>
        </w:rPr>
        <w:t>а</w:t>
      </w:r>
      <w:r w:rsidRPr="1A8E6423">
        <w:rPr>
          <w:rFonts w:ascii="Arial" w:hAnsi="Arial" w:cs="Arial"/>
          <w:b w:val="0"/>
          <w:noProof w:val="0"/>
          <w:sz w:val="20"/>
          <w:szCs w:val="20"/>
          <w:lang w:val="sr-Cyrl-RS"/>
        </w:rPr>
        <w:t>вља темељно начело европског концепта локалне самоуправе, које је основ за добро организовање система јавне управе и за развој локалне самоуправе и локалне демократије у целини.</w:t>
      </w:r>
      <w:bookmarkEnd w:id="158"/>
    </w:p>
    <w:p w14:paraId="7397E282" w14:textId="77777777" w:rsidR="005E6575" w:rsidRPr="00A021B7" w:rsidRDefault="005E6575" w:rsidP="1A8E6423">
      <w:pPr>
        <w:pStyle w:val="Naslov111"/>
        <w:ind w:left="0" w:firstLine="720"/>
        <w:jc w:val="both"/>
        <w:rPr>
          <w:rFonts w:ascii="Arial" w:hAnsi="Arial" w:cs="Arial"/>
          <w:b w:val="0"/>
          <w:noProof w:val="0"/>
          <w:sz w:val="20"/>
          <w:szCs w:val="20"/>
          <w:lang w:val="sr-Cyrl-RS"/>
        </w:rPr>
      </w:pPr>
    </w:p>
    <w:p w14:paraId="24D983F9" w14:textId="57C10983" w:rsidR="005E6575" w:rsidRPr="00A021B7" w:rsidRDefault="005E6575" w:rsidP="1A8E6423">
      <w:pPr>
        <w:pStyle w:val="Naslov111"/>
        <w:ind w:left="0" w:firstLine="720"/>
        <w:jc w:val="both"/>
        <w:rPr>
          <w:rFonts w:ascii="Arial" w:hAnsi="Arial" w:cs="Arial"/>
          <w:b w:val="0"/>
          <w:noProof w:val="0"/>
          <w:sz w:val="20"/>
          <w:szCs w:val="20"/>
          <w:lang w:val="sr-Cyrl-RS"/>
        </w:rPr>
      </w:pPr>
      <w:bookmarkStart w:id="159" w:name="_Toc60136102"/>
      <w:r w:rsidRPr="1A8E6423">
        <w:rPr>
          <w:rFonts w:ascii="Arial" w:hAnsi="Arial" w:cs="Arial"/>
          <w:b w:val="0"/>
          <w:noProof w:val="0"/>
          <w:sz w:val="20"/>
          <w:szCs w:val="20"/>
          <w:lang w:val="sr-Cyrl-RS"/>
        </w:rPr>
        <w:t xml:space="preserve">Полазећи од потребе да се настави усаглашавање са ЕПЛС, биће припремљена </w:t>
      </w:r>
      <w:r w:rsidR="008F0044" w:rsidRPr="1A8E6423">
        <w:rPr>
          <w:rFonts w:ascii="Arial" w:hAnsi="Arial" w:cs="Arial"/>
          <w:b w:val="0"/>
          <w:i/>
          <w:iCs/>
          <w:noProof w:val="0"/>
          <w:sz w:val="20"/>
          <w:szCs w:val="20"/>
        </w:rPr>
        <w:t>e</w:t>
      </w:r>
      <w:r w:rsidRPr="1A8E6423">
        <w:rPr>
          <w:rFonts w:ascii="Arial" w:hAnsi="Arial" w:cs="Arial"/>
          <w:b w:val="0"/>
          <w:i/>
          <w:iCs/>
          <w:noProof w:val="0"/>
          <w:sz w:val="20"/>
          <w:szCs w:val="20"/>
          <w:lang w:val="sr-Cyrl-RS"/>
        </w:rPr>
        <w:t>x ante</w:t>
      </w:r>
      <w:r w:rsidRPr="1A8E6423">
        <w:rPr>
          <w:rFonts w:ascii="Arial" w:hAnsi="Arial" w:cs="Arial"/>
          <w:b w:val="0"/>
          <w:noProof w:val="0"/>
          <w:sz w:val="20"/>
          <w:szCs w:val="20"/>
          <w:lang w:val="sr-Cyrl-RS"/>
        </w:rPr>
        <w:t xml:space="preserve"> анализа утицаја наставка ратификације ЕПЛС на правни систем Републике Србије и Предлог Закона о изменама и допунама Закона о ратификацији ЕПЛС, како би се извршило даље усклађивање система локалне самоуправе у Србији са најважнијим европским документом у овој области. Међутим, формално прихватање одредби ЕПЛС не обезбеђује да се сва њена начела и спроводе у пракси. Кроз процес припреме реформе система локалне самоуправе добијен је увид да то није случај и суштински садржај појединих </w:t>
      </w:r>
      <w:r w:rsidR="005D7248" w:rsidRPr="1A8E6423">
        <w:rPr>
          <w:rFonts w:ascii="Arial" w:hAnsi="Arial" w:cs="Arial"/>
          <w:b w:val="0"/>
          <w:noProof w:val="0"/>
          <w:sz w:val="20"/>
          <w:szCs w:val="20"/>
          <w:lang w:val="sr-Cyrl-RS"/>
        </w:rPr>
        <w:t>начел</w:t>
      </w:r>
      <w:r w:rsidRPr="1A8E6423">
        <w:rPr>
          <w:rFonts w:ascii="Arial" w:hAnsi="Arial" w:cs="Arial"/>
          <w:b w:val="0"/>
          <w:noProof w:val="0"/>
          <w:sz w:val="20"/>
          <w:szCs w:val="20"/>
          <w:lang w:val="sr-Cyrl-RS"/>
        </w:rPr>
        <w:t>а ЕПЛС још увек није заживео у потпуности у систему локалне самоуправе и у правном оквиру који га уређује. Полазећи од тога, након завршетка процеса додатне ратификације ЕПЛС, биће припремљена посебна анализа о усклађености системских и секторских прописа који уређују институционални оквир, садржину, финансирање, надлежности и спровођење послова локалне самоуправе у појед</w:t>
      </w:r>
      <w:r w:rsidR="008F0044" w:rsidRPr="1A8E6423">
        <w:rPr>
          <w:rFonts w:ascii="Arial" w:hAnsi="Arial" w:cs="Arial"/>
          <w:b w:val="0"/>
          <w:noProof w:val="0"/>
          <w:sz w:val="20"/>
          <w:szCs w:val="20"/>
          <w:lang w:val="sr-Cyrl-RS"/>
        </w:rPr>
        <w:t>и</w:t>
      </w:r>
      <w:r w:rsidRPr="1A8E6423">
        <w:rPr>
          <w:rFonts w:ascii="Arial" w:hAnsi="Arial" w:cs="Arial"/>
          <w:b w:val="0"/>
          <w:noProof w:val="0"/>
          <w:sz w:val="20"/>
          <w:szCs w:val="20"/>
          <w:lang w:val="sr-Cyrl-RS"/>
        </w:rPr>
        <w:t>ним областима како би се утврдио степен њихове усаглашености са начелима ЕПЛС. По завршетку ове анализе биће припремљене адекватне измене ових прописа како би се одредбе ЕПЛС у пуном обиму примениле у пракси локалне самоуправе.</w:t>
      </w:r>
      <w:bookmarkEnd w:id="159"/>
    </w:p>
    <w:p w14:paraId="47A8ACEA" w14:textId="77777777" w:rsidR="005E6575" w:rsidRPr="00A021B7" w:rsidRDefault="005E6575" w:rsidP="003E7BC9">
      <w:pPr>
        <w:pStyle w:val="Naslov111"/>
        <w:ind w:left="0" w:firstLine="0"/>
        <w:jc w:val="both"/>
        <w:rPr>
          <w:rFonts w:ascii="Arial" w:hAnsi="Arial" w:cs="Arial"/>
          <w:b w:val="0"/>
          <w:bCs/>
          <w:noProof w:val="0"/>
          <w:color w:val="000000" w:themeColor="text1"/>
          <w:sz w:val="20"/>
          <w:szCs w:val="20"/>
          <w:lang w:val="sr-Cyrl-RS"/>
        </w:rPr>
      </w:pPr>
    </w:p>
    <w:p w14:paraId="2CFE7576" w14:textId="40579B15" w:rsidR="005E6575" w:rsidRPr="00A021B7" w:rsidRDefault="005E6575" w:rsidP="003E7BC9">
      <w:pPr>
        <w:pStyle w:val="Naslov111"/>
        <w:ind w:left="0" w:firstLine="0"/>
        <w:jc w:val="both"/>
        <w:rPr>
          <w:rFonts w:ascii="Arial" w:hAnsi="Arial" w:cs="Arial"/>
          <w:bCs/>
          <w:i/>
          <w:iCs/>
          <w:noProof w:val="0"/>
          <w:color w:val="000000" w:themeColor="text1"/>
          <w:sz w:val="22"/>
          <w:szCs w:val="22"/>
          <w:lang w:val="sr-Cyrl-RS"/>
        </w:rPr>
      </w:pPr>
      <w:bookmarkStart w:id="160" w:name="_Toc60136103"/>
      <w:r w:rsidRPr="00A021B7">
        <w:rPr>
          <w:rFonts w:ascii="Arial" w:hAnsi="Arial" w:cs="Arial"/>
          <w:bCs/>
          <w:i/>
          <w:iCs/>
          <w:noProof w:val="0"/>
          <w:color w:val="000000" w:themeColor="text1"/>
          <w:sz w:val="22"/>
          <w:szCs w:val="22"/>
          <w:lang w:val="sr-Cyrl-RS"/>
        </w:rPr>
        <w:t xml:space="preserve">Мера 1.2. Унапређење </w:t>
      </w:r>
      <w:r w:rsidR="009943ED">
        <w:rPr>
          <w:rFonts w:ascii="Arial" w:hAnsi="Arial" w:cs="Arial"/>
          <w:bCs/>
          <w:i/>
          <w:iCs/>
          <w:noProof w:val="0"/>
          <w:color w:val="000000" w:themeColor="text1"/>
          <w:sz w:val="22"/>
          <w:szCs w:val="22"/>
          <w:lang w:val="sr-Cyrl-RS"/>
        </w:rPr>
        <w:t>изборног система</w:t>
      </w:r>
      <w:r w:rsidRPr="00A021B7">
        <w:rPr>
          <w:rFonts w:ascii="Arial" w:hAnsi="Arial" w:cs="Arial"/>
          <w:bCs/>
          <w:i/>
          <w:iCs/>
          <w:noProof w:val="0"/>
          <w:color w:val="000000" w:themeColor="text1"/>
          <w:sz w:val="22"/>
          <w:szCs w:val="22"/>
          <w:lang w:val="sr-Cyrl-RS"/>
        </w:rPr>
        <w:t xml:space="preserve"> и јачање капацитета локалне администрације за спровођење локалних избора</w:t>
      </w:r>
      <w:bookmarkEnd w:id="160"/>
    </w:p>
    <w:p w14:paraId="38ECEB49" w14:textId="77777777" w:rsidR="005E6575" w:rsidRPr="00A021B7" w:rsidRDefault="005E6575" w:rsidP="003E7BC9">
      <w:pPr>
        <w:pStyle w:val="Naslov111"/>
        <w:ind w:left="0" w:firstLine="0"/>
        <w:jc w:val="both"/>
        <w:rPr>
          <w:rFonts w:ascii="Arial" w:hAnsi="Arial" w:cs="Arial"/>
          <w:bCs/>
          <w:i/>
          <w:iCs/>
          <w:noProof w:val="0"/>
          <w:color w:val="000000" w:themeColor="text1"/>
          <w:sz w:val="20"/>
          <w:szCs w:val="20"/>
          <w:lang w:val="sr-Cyrl-RS"/>
        </w:rPr>
      </w:pPr>
    </w:p>
    <w:p w14:paraId="6B7ADD60" w14:textId="77777777" w:rsidR="005E6575" w:rsidRPr="00A021B7" w:rsidRDefault="005E6575" w:rsidP="1A8E6423">
      <w:pPr>
        <w:ind w:firstLine="720"/>
        <w:jc w:val="both"/>
        <w:rPr>
          <w:rFonts w:ascii="Arial" w:hAnsi="Arial" w:cs="Arial"/>
          <w:sz w:val="20"/>
          <w:szCs w:val="20"/>
          <w:lang w:val="sr-Cyrl-RS"/>
        </w:rPr>
      </w:pPr>
    </w:p>
    <w:p w14:paraId="638BA1E3" w14:textId="6F906282" w:rsidR="005E6575" w:rsidRPr="00A021B7" w:rsidRDefault="00C55AB5" w:rsidP="1A8E6423">
      <w:pPr>
        <w:ind w:firstLine="720"/>
        <w:jc w:val="both"/>
        <w:rPr>
          <w:rFonts w:ascii="Arial" w:hAnsi="Arial" w:cs="Arial"/>
          <w:sz w:val="20"/>
          <w:szCs w:val="20"/>
          <w:lang w:val="sr-Cyrl-RS"/>
        </w:rPr>
      </w:pPr>
      <w:r>
        <w:rPr>
          <w:rFonts w:ascii="Arial" w:hAnsi="Arial" w:cs="Arial"/>
          <w:sz w:val="20"/>
          <w:szCs w:val="20"/>
          <w:lang w:val="sr-Cyrl-RS"/>
        </w:rPr>
        <w:t>П</w:t>
      </w:r>
      <w:r w:rsidR="005E6575" w:rsidRPr="1A8E6423">
        <w:rPr>
          <w:rFonts w:ascii="Arial" w:hAnsi="Arial" w:cs="Arial"/>
          <w:sz w:val="20"/>
          <w:szCs w:val="20"/>
          <w:lang w:val="sr-Cyrl-RS"/>
        </w:rPr>
        <w:t>рви корак у даљ</w:t>
      </w:r>
      <w:r>
        <w:rPr>
          <w:rFonts w:ascii="Arial" w:hAnsi="Arial" w:cs="Arial"/>
          <w:sz w:val="20"/>
          <w:szCs w:val="20"/>
          <w:lang w:val="sr-Cyrl-RS"/>
        </w:rPr>
        <w:t>ој реформи изборног система биће</w:t>
      </w:r>
      <w:r w:rsidR="005E6575" w:rsidRPr="1A8E6423">
        <w:rPr>
          <w:rFonts w:ascii="Arial" w:hAnsi="Arial" w:cs="Arial"/>
          <w:sz w:val="20"/>
          <w:szCs w:val="20"/>
          <w:lang w:val="sr-Cyrl-RS"/>
        </w:rPr>
        <w:t xml:space="preserve"> израда посебне анализе потребних промена и могућих изборних решења и њихове симулације у постојећем системском и територијалном оквиру локалне самоуправе. Детаљне симулације ефеката могућих изборних промена треба да обезбеде првенствено закључке у вези са пуним обезбеђивањем равноправне територијалне представљености свих делова једне ЈЛС и представљености мањинских заједница у локалној скупштини. Након израде анализе могућих измена изборног система и симулације ефеката различитих модела, биће организован дијалог са политичким странкама, стручном јавношћу, цивилним друштвом и грађанима о реформи изборног система. Циљ овог дијалог</w:t>
      </w:r>
      <w:r w:rsidR="002C6307" w:rsidRPr="1A8E6423">
        <w:rPr>
          <w:rFonts w:ascii="Arial" w:hAnsi="Arial" w:cs="Arial"/>
          <w:sz w:val="20"/>
          <w:szCs w:val="20"/>
          <w:lang w:val="sr-Cyrl-RS"/>
        </w:rPr>
        <w:t>а</w:t>
      </w:r>
      <w:r w:rsidR="005E6575" w:rsidRPr="1A8E6423">
        <w:rPr>
          <w:rFonts w:ascii="Arial" w:hAnsi="Arial" w:cs="Arial"/>
          <w:sz w:val="20"/>
          <w:szCs w:val="20"/>
          <w:lang w:val="sr-Cyrl-RS"/>
        </w:rPr>
        <w:t xml:space="preserve"> јесте дефинисање правца изборне реформе око којег ће се постићи максимална могућа сагласност кључних актера и опште јавности. Након спровођења иницијалног дијалога, покренуће се процес припреме новог правног оквира за локалне изборе и спровести широка јавна расправа</w:t>
      </w:r>
      <w:r w:rsidR="002C6307" w:rsidRPr="1A8E6423">
        <w:rPr>
          <w:rFonts w:ascii="Arial" w:hAnsi="Arial" w:cs="Arial"/>
          <w:sz w:val="20"/>
          <w:szCs w:val="20"/>
          <w:lang w:val="sr-Cyrl-RS"/>
        </w:rPr>
        <w:t xml:space="preserve"> о</w:t>
      </w:r>
      <w:r w:rsidR="005E6575" w:rsidRPr="1A8E6423">
        <w:rPr>
          <w:rFonts w:ascii="Arial" w:hAnsi="Arial" w:cs="Arial"/>
          <w:sz w:val="20"/>
          <w:szCs w:val="20"/>
          <w:lang w:val="sr-Cyrl-RS"/>
        </w:rPr>
        <w:t xml:space="preserve"> нацрт</w:t>
      </w:r>
      <w:r w:rsidR="002C6307" w:rsidRPr="1A8E6423">
        <w:rPr>
          <w:rFonts w:ascii="Arial" w:hAnsi="Arial" w:cs="Arial"/>
          <w:sz w:val="20"/>
          <w:szCs w:val="20"/>
          <w:lang w:val="sr-Cyrl-RS"/>
        </w:rPr>
        <w:t>им</w:t>
      </w:r>
      <w:r w:rsidR="005E6575" w:rsidRPr="1A8E6423">
        <w:rPr>
          <w:rFonts w:ascii="Arial" w:hAnsi="Arial" w:cs="Arial"/>
          <w:sz w:val="20"/>
          <w:szCs w:val="20"/>
          <w:lang w:val="sr-Cyrl-RS"/>
        </w:rPr>
        <w:t>а нових прописа и након тога њихово усвајање. По усвајању новог правног оквира за локалне изборе</w:t>
      </w:r>
      <w:r w:rsidR="002C6307" w:rsidRPr="1A8E6423">
        <w:rPr>
          <w:rFonts w:ascii="Arial" w:hAnsi="Arial" w:cs="Arial"/>
          <w:sz w:val="20"/>
          <w:szCs w:val="20"/>
          <w:lang w:val="sr-Cyrl-RS"/>
        </w:rPr>
        <w:t>,</w:t>
      </w:r>
      <w:r w:rsidR="005E6575" w:rsidRPr="1A8E6423">
        <w:rPr>
          <w:rFonts w:ascii="Arial" w:hAnsi="Arial" w:cs="Arial"/>
          <w:sz w:val="20"/>
          <w:szCs w:val="20"/>
          <w:lang w:val="sr-Cyrl-RS"/>
        </w:rPr>
        <w:t xml:space="preserve"> биће припремљен нови </w:t>
      </w:r>
      <w:r w:rsidR="002C6307" w:rsidRPr="1A8E6423">
        <w:rPr>
          <w:rFonts w:ascii="Arial" w:hAnsi="Arial" w:cs="Arial"/>
          <w:sz w:val="20"/>
          <w:szCs w:val="20"/>
          <w:lang w:val="sr-Cyrl-RS"/>
        </w:rPr>
        <w:t>п</w:t>
      </w:r>
      <w:r w:rsidR="005E6575" w:rsidRPr="1A8E6423">
        <w:rPr>
          <w:rFonts w:ascii="Arial" w:hAnsi="Arial" w:cs="Arial"/>
          <w:sz w:val="20"/>
          <w:szCs w:val="20"/>
          <w:lang w:val="sr-Cyrl-RS"/>
        </w:rPr>
        <w:t>риручник за спровођење локалних избора у сарадњи МДУЛС и СКГО (у складу са претходном праксом издања два приручника). Коначно, с обзиром на то да је потребно значајно унапредити квалитет спровођења изборних процедура</w:t>
      </w:r>
      <w:r w:rsidR="002C6307" w:rsidRPr="1A8E6423">
        <w:rPr>
          <w:rFonts w:ascii="Arial" w:hAnsi="Arial" w:cs="Arial"/>
          <w:sz w:val="20"/>
          <w:szCs w:val="20"/>
          <w:lang w:val="sr-Cyrl-RS"/>
        </w:rPr>
        <w:t>,</w:t>
      </w:r>
      <w:r w:rsidR="005E6575" w:rsidRPr="1A8E6423">
        <w:rPr>
          <w:rFonts w:ascii="Arial" w:hAnsi="Arial" w:cs="Arial"/>
          <w:sz w:val="20"/>
          <w:szCs w:val="20"/>
          <w:lang w:val="sr-Cyrl-RS"/>
        </w:rPr>
        <w:t xml:space="preserve"> </w:t>
      </w:r>
      <w:r w:rsidR="002C6307" w:rsidRPr="1A8E6423">
        <w:rPr>
          <w:rFonts w:ascii="Arial" w:hAnsi="Arial" w:cs="Arial"/>
          <w:sz w:val="20"/>
          <w:szCs w:val="20"/>
          <w:lang w:val="sr-Cyrl-RS"/>
        </w:rPr>
        <w:t xml:space="preserve">требало би да </w:t>
      </w:r>
      <w:r w:rsidR="005E6575" w:rsidRPr="1A8E6423">
        <w:rPr>
          <w:rFonts w:ascii="Arial" w:hAnsi="Arial" w:cs="Arial"/>
          <w:sz w:val="20"/>
          <w:szCs w:val="20"/>
          <w:lang w:val="sr-Cyrl-RS"/>
        </w:rPr>
        <w:t xml:space="preserve">нови правни оквир уведе обавезу стручног усавршавања за руководство локалних изборних комисија (првенствено председнике и секретаре локалних </w:t>
      </w:r>
      <w:r w:rsidR="005E6575" w:rsidRPr="1A8E6423">
        <w:rPr>
          <w:rFonts w:ascii="Arial" w:hAnsi="Arial" w:cs="Arial"/>
          <w:sz w:val="20"/>
          <w:szCs w:val="20"/>
          <w:lang w:val="sr-Cyrl-RS"/>
        </w:rPr>
        <w:lastRenderedPageBreak/>
        <w:t>изборних комисија). У склопу тога биће израђен национални програм е-обуке</w:t>
      </w:r>
      <w:r w:rsidR="002C6307" w:rsidRPr="1A8E6423">
        <w:rPr>
          <w:rFonts w:ascii="Arial" w:hAnsi="Arial" w:cs="Arial"/>
          <w:sz w:val="20"/>
          <w:szCs w:val="20"/>
          <w:lang w:val="sr-Cyrl-RS"/>
        </w:rPr>
        <w:t>,</w:t>
      </w:r>
      <w:r w:rsidR="005E6575" w:rsidRPr="1A8E6423">
        <w:rPr>
          <w:rFonts w:ascii="Arial" w:hAnsi="Arial" w:cs="Arial"/>
          <w:sz w:val="20"/>
          <w:szCs w:val="20"/>
          <w:lang w:val="sr-Cyrl-RS"/>
        </w:rPr>
        <w:t xml:space="preserve"> који ће се периодично спроводити </w:t>
      </w:r>
      <w:r w:rsidR="002C6307" w:rsidRPr="1A8E6423">
        <w:rPr>
          <w:rFonts w:ascii="Arial" w:hAnsi="Arial" w:cs="Arial"/>
          <w:sz w:val="20"/>
          <w:szCs w:val="20"/>
          <w:lang w:val="sr-Cyrl-RS"/>
        </w:rPr>
        <w:t xml:space="preserve">с </w:t>
      </w:r>
      <w:r w:rsidR="005E6575" w:rsidRPr="1A8E6423">
        <w:rPr>
          <w:rFonts w:ascii="Arial" w:hAnsi="Arial" w:cs="Arial"/>
          <w:sz w:val="20"/>
          <w:szCs w:val="20"/>
          <w:lang w:val="sr-Cyrl-RS"/>
        </w:rPr>
        <w:t>циљ</w:t>
      </w:r>
      <w:r w:rsidR="002C6307" w:rsidRPr="1A8E6423">
        <w:rPr>
          <w:rFonts w:ascii="Arial" w:hAnsi="Arial" w:cs="Arial"/>
          <w:sz w:val="20"/>
          <w:szCs w:val="20"/>
          <w:lang w:val="sr-Cyrl-RS"/>
        </w:rPr>
        <w:t>ем</w:t>
      </w:r>
      <w:r w:rsidR="005E6575" w:rsidRPr="1A8E6423">
        <w:rPr>
          <w:rFonts w:ascii="Arial" w:hAnsi="Arial" w:cs="Arial"/>
          <w:sz w:val="20"/>
          <w:szCs w:val="20"/>
          <w:lang w:val="sr-Cyrl-RS"/>
        </w:rPr>
        <w:t xml:space="preserve"> изградње знања у локалној изборној администрацији и добијања сертификата за спровођење локалног изборног поступка.</w:t>
      </w:r>
    </w:p>
    <w:p w14:paraId="7ECE5E99" w14:textId="77777777" w:rsidR="005E6575" w:rsidRPr="00A021B7" w:rsidRDefault="005E6575" w:rsidP="003E7BC9">
      <w:pPr>
        <w:pStyle w:val="Naslov111"/>
        <w:ind w:left="0" w:firstLine="0"/>
        <w:jc w:val="both"/>
        <w:rPr>
          <w:rFonts w:ascii="Arial" w:hAnsi="Arial" w:cs="Arial"/>
          <w:bCs/>
          <w:i/>
          <w:iCs/>
          <w:noProof w:val="0"/>
          <w:color w:val="000000" w:themeColor="text1"/>
          <w:sz w:val="20"/>
          <w:szCs w:val="20"/>
          <w:lang w:val="sr-Cyrl-RS"/>
        </w:rPr>
      </w:pPr>
    </w:p>
    <w:p w14:paraId="4E100B51" w14:textId="77777777" w:rsidR="005E6575" w:rsidRPr="00A021B7" w:rsidRDefault="005E6575" w:rsidP="003E7BC9">
      <w:pPr>
        <w:pStyle w:val="Naslov111"/>
        <w:ind w:left="0" w:firstLine="0"/>
        <w:jc w:val="both"/>
        <w:rPr>
          <w:rFonts w:ascii="Arial" w:hAnsi="Arial" w:cs="Arial"/>
          <w:bCs/>
          <w:i/>
          <w:iCs/>
          <w:noProof w:val="0"/>
          <w:color w:val="000000" w:themeColor="text1"/>
          <w:sz w:val="22"/>
          <w:szCs w:val="22"/>
          <w:lang w:val="sr-Cyrl-RS"/>
        </w:rPr>
      </w:pPr>
      <w:bookmarkStart w:id="161" w:name="_Toc60136104"/>
      <w:r w:rsidRPr="00A021B7">
        <w:rPr>
          <w:rFonts w:ascii="Arial" w:hAnsi="Arial" w:cs="Arial"/>
          <w:bCs/>
          <w:i/>
          <w:iCs/>
          <w:noProof w:val="0"/>
          <w:color w:val="000000" w:themeColor="text1"/>
          <w:sz w:val="22"/>
          <w:szCs w:val="22"/>
          <w:lang w:val="sr-Cyrl-RS"/>
        </w:rPr>
        <w:t>Мера 1.3. Унапређење правног оквира и процедура за непосредно учешће грађана у управљању локалном самоуправом</w:t>
      </w:r>
      <w:bookmarkEnd w:id="161"/>
    </w:p>
    <w:p w14:paraId="588F0674" w14:textId="77777777" w:rsidR="005E6575" w:rsidRPr="00A021B7" w:rsidRDefault="005E6575" w:rsidP="003E7BC9">
      <w:pPr>
        <w:pStyle w:val="Naslov111"/>
        <w:ind w:left="0" w:firstLine="0"/>
        <w:jc w:val="both"/>
        <w:rPr>
          <w:rFonts w:ascii="Arial" w:hAnsi="Arial" w:cs="Arial"/>
          <w:bCs/>
          <w:i/>
          <w:iCs/>
          <w:noProof w:val="0"/>
          <w:color w:val="000000" w:themeColor="text1"/>
          <w:sz w:val="20"/>
          <w:szCs w:val="20"/>
          <w:lang w:val="sr-Cyrl-RS"/>
        </w:rPr>
      </w:pPr>
    </w:p>
    <w:p w14:paraId="3DF51BED" w14:textId="658CE7BB" w:rsidR="008172FA" w:rsidRPr="00A021B7" w:rsidRDefault="005E6575" w:rsidP="1A8E6423">
      <w:pPr>
        <w:pStyle w:val="Naslov111"/>
        <w:ind w:left="0" w:firstLine="720"/>
        <w:jc w:val="both"/>
        <w:rPr>
          <w:rFonts w:ascii="Arial" w:hAnsi="Arial" w:cs="Arial"/>
          <w:b w:val="0"/>
          <w:noProof w:val="0"/>
          <w:sz w:val="20"/>
          <w:szCs w:val="20"/>
          <w:lang w:val="sr-Cyrl-RS"/>
        </w:rPr>
      </w:pPr>
      <w:bookmarkStart w:id="162" w:name="_Toc60136105"/>
      <w:r w:rsidRPr="1A8E6423">
        <w:rPr>
          <w:rFonts w:ascii="Arial" w:hAnsi="Arial" w:cs="Arial"/>
          <w:b w:val="0"/>
          <w:noProof w:val="0"/>
          <w:sz w:val="20"/>
          <w:szCs w:val="20"/>
          <w:lang w:val="sr-Cyrl-RS"/>
        </w:rPr>
        <w:t xml:space="preserve">Слично претходној, и овом мером се предвиђа предузимање свих неопходних корака за усвајање новог </w:t>
      </w:r>
      <w:r w:rsidR="002C6307" w:rsidRPr="1A8E6423">
        <w:rPr>
          <w:rFonts w:ascii="Arial" w:hAnsi="Arial" w:cs="Arial"/>
          <w:b w:val="0"/>
          <w:noProof w:val="0"/>
          <w:sz w:val="20"/>
          <w:szCs w:val="20"/>
          <w:lang w:val="sr-Cyrl-RS"/>
        </w:rPr>
        <w:t>з</w:t>
      </w:r>
      <w:r w:rsidRPr="1A8E6423">
        <w:rPr>
          <w:rFonts w:ascii="Arial" w:hAnsi="Arial" w:cs="Arial"/>
          <w:b w:val="0"/>
          <w:noProof w:val="0"/>
          <w:sz w:val="20"/>
          <w:szCs w:val="20"/>
          <w:lang w:val="sr-Cyrl-RS"/>
        </w:rPr>
        <w:t>акона о референдуму и народној иницијативи, као и изградњу капацитета за његову примену на нивоу локалне самоуправе. Нови закон о референдуму је преко потребан из више разлога</w:t>
      </w:r>
      <w:r w:rsidR="002C6307"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од који</w:t>
      </w:r>
      <w:r w:rsidR="002C6307" w:rsidRPr="1A8E6423">
        <w:rPr>
          <w:rFonts w:ascii="Arial" w:hAnsi="Arial" w:cs="Arial"/>
          <w:b w:val="0"/>
          <w:noProof w:val="0"/>
          <w:sz w:val="20"/>
          <w:szCs w:val="20"/>
          <w:lang w:val="sr-Cyrl-RS"/>
        </w:rPr>
        <w:t>х</w:t>
      </w:r>
      <w:r w:rsidRPr="1A8E6423">
        <w:rPr>
          <w:rFonts w:ascii="Arial" w:hAnsi="Arial" w:cs="Arial"/>
          <w:b w:val="0"/>
          <w:noProof w:val="0"/>
          <w:sz w:val="20"/>
          <w:szCs w:val="20"/>
          <w:lang w:val="sr-Cyrl-RS"/>
        </w:rPr>
        <w:t xml:space="preserve"> су кључни усклађивање ове области са Уставом (постојећи </w:t>
      </w:r>
      <w:r w:rsidR="002C6307" w:rsidRPr="1A8E6423">
        <w:rPr>
          <w:rFonts w:ascii="Arial" w:hAnsi="Arial" w:cs="Arial"/>
          <w:b w:val="0"/>
          <w:noProof w:val="0"/>
          <w:sz w:val="20"/>
          <w:szCs w:val="20"/>
          <w:lang w:val="sr-Cyrl-RS"/>
        </w:rPr>
        <w:t>з</w:t>
      </w:r>
      <w:r w:rsidRPr="1A8E6423">
        <w:rPr>
          <w:rFonts w:ascii="Arial" w:hAnsi="Arial" w:cs="Arial"/>
          <w:b w:val="0"/>
          <w:noProof w:val="0"/>
          <w:sz w:val="20"/>
          <w:szCs w:val="20"/>
          <w:lang w:val="sr-Cyrl-RS"/>
        </w:rPr>
        <w:t>акон</w:t>
      </w:r>
      <w:r w:rsidR="002C6307"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који је на снази од половине деведесетих, другачије уређује поједина питања) и модернизација правног оквира у складу са новим тенденцијама заснованим на Додатном протоколу ЕПЛС о праву да се учествује у пословима локалних власти, најбољој компаративној и међународној пракси (првенствено препорукама Венецијанске комисије и Савета Европе). Основу за усвајање овог новог прописа чини Нацрт закона о референдуму и народној иницијативи који је прошао јавну расправу током јесени 2019.године. Након усвајања новог </w:t>
      </w:r>
      <w:r w:rsidR="002C6307" w:rsidRPr="1A8E6423">
        <w:rPr>
          <w:rFonts w:ascii="Arial" w:hAnsi="Arial" w:cs="Arial"/>
          <w:b w:val="0"/>
          <w:noProof w:val="0"/>
          <w:sz w:val="20"/>
          <w:szCs w:val="20"/>
          <w:lang w:val="sr-Cyrl-RS"/>
        </w:rPr>
        <w:t>з</w:t>
      </w:r>
      <w:r w:rsidRPr="1A8E6423">
        <w:rPr>
          <w:rFonts w:ascii="Arial" w:hAnsi="Arial" w:cs="Arial"/>
          <w:b w:val="0"/>
          <w:noProof w:val="0"/>
          <w:sz w:val="20"/>
          <w:szCs w:val="20"/>
          <w:lang w:val="sr-Cyrl-RS"/>
        </w:rPr>
        <w:t>акона о референдуму и народној иницијативи</w:t>
      </w:r>
      <w:r w:rsidR="002C6307"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биће припремљен посебан </w:t>
      </w:r>
      <w:r w:rsidR="002C6307" w:rsidRPr="1A8E6423">
        <w:rPr>
          <w:rFonts w:ascii="Arial" w:hAnsi="Arial" w:cs="Arial"/>
          <w:b w:val="0"/>
          <w:noProof w:val="0"/>
          <w:sz w:val="20"/>
          <w:szCs w:val="20"/>
          <w:lang w:val="sr-Cyrl-RS"/>
        </w:rPr>
        <w:t>п</w:t>
      </w:r>
      <w:r w:rsidRPr="1A8E6423">
        <w:rPr>
          <w:rFonts w:ascii="Arial" w:hAnsi="Arial" w:cs="Arial"/>
          <w:b w:val="0"/>
          <w:noProof w:val="0"/>
          <w:sz w:val="20"/>
          <w:szCs w:val="20"/>
          <w:lang w:val="sr-Cyrl-RS"/>
        </w:rPr>
        <w:t xml:space="preserve">риручник за спровођење овог прописа са моделима (формама) докумената који се користе у процедури иницирања и организације референдума и народне иницијативе. Коначно, </w:t>
      </w:r>
      <w:r w:rsidR="002C6307" w:rsidRPr="1A8E6423">
        <w:rPr>
          <w:rFonts w:ascii="Arial" w:hAnsi="Arial" w:cs="Arial"/>
          <w:b w:val="0"/>
          <w:noProof w:val="0"/>
          <w:sz w:val="20"/>
          <w:szCs w:val="20"/>
          <w:lang w:val="sr-Cyrl-RS"/>
        </w:rPr>
        <w:t>с обзиром на то</w:t>
      </w:r>
      <w:r w:rsidRPr="1A8E6423">
        <w:rPr>
          <w:rFonts w:ascii="Arial" w:hAnsi="Arial" w:cs="Arial"/>
          <w:b w:val="0"/>
          <w:noProof w:val="0"/>
          <w:sz w:val="20"/>
          <w:szCs w:val="20"/>
          <w:lang w:val="sr-Cyrl-RS"/>
        </w:rPr>
        <w:t xml:space="preserve"> да је планирано да нови пропис унесе значајне измене у овој области</w:t>
      </w:r>
      <w:r w:rsidR="002C6307"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као и да буде подлога за већи ангажман грађана, у организацији МДУЛС и СКГО биће спроведена два програма изградње капацитета локалне администрације за његово спровођење (путем семинара за начелнике управа и регионалних обука за запослене у локалној администрацији и скупштинским службама).</w:t>
      </w:r>
      <w:bookmarkEnd w:id="162"/>
      <w:r w:rsidR="008172FA" w:rsidRPr="1A8E6423">
        <w:rPr>
          <w:rFonts w:ascii="Arial" w:hAnsi="Arial" w:cs="Arial"/>
          <w:b w:val="0"/>
          <w:noProof w:val="0"/>
          <w:sz w:val="20"/>
          <w:szCs w:val="20"/>
          <w:lang w:val="sr-Cyrl-RS"/>
        </w:rPr>
        <w:t xml:space="preserve"> Поред усвајања новог правног оквира за референдум и народну иницијативу и јачања капацитета локалне администрације да обезбеди квалитетно спровођење процеса и процедура у овој области, изменама Закона о локалној самоуправи уредиће се јасна обавеза органа локалне самоуправе да објављују и ажурно одржавају електронске базе локалних прописа, стратешких и програмских докумената како би грађани имали могућност да се упознају са стратешким, правним и финансијским оквиром који регулише питања из домена локалне самоуправе и да</w:t>
      </w:r>
      <w:r w:rsidR="002C6307" w:rsidRPr="1A8E6423">
        <w:rPr>
          <w:rFonts w:ascii="Arial" w:hAnsi="Arial" w:cs="Arial"/>
          <w:b w:val="0"/>
          <w:noProof w:val="0"/>
          <w:sz w:val="20"/>
          <w:szCs w:val="20"/>
          <w:lang w:val="sr-Cyrl-RS"/>
        </w:rPr>
        <w:t>,</w:t>
      </w:r>
      <w:r w:rsidR="008172FA" w:rsidRPr="1A8E6423">
        <w:rPr>
          <w:rFonts w:ascii="Arial" w:hAnsi="Arial" w:cs="Arial"/>
          <w:b w:val="0"/>
          <w:noProof w:val="0"/>
          <w:sz w:val="20"/>
          <w:szCs w:val="20"/>
          <w:lang w:val="sr-Cyrl-RS"/>
        </w:rPr>
        <w:t xml:space="preserve"> по потреби</w:t>
      </w:r>
      <w:r w:rsidR="002C6307" w:rsidRPr="1A8E6423">
        <w:rPr>
          <w:rFonts w:ascii="Arial" w:hAnsi="Arial" w:cs="Arial"/>
          <w:b w:val="0"/>
          <w:noProof w:val="0"/>
          <w:sz w:val="20"/>
          <w:szCs w:val="20"/>
          <w:lang w:val="sr-Cyrl-RS"/>
        </w:rPr>
        <w:t>,</w:t>
      </w:r>
      <w:r w:rsidR="008172FA" w:rsidRPr="1A8E6423">
        <w:rPr>
          <w:rFonts w:ascii="Arial" w:hAnsi="Arial" w:cs="Arial"/>
          <w:b w:val="0"/>
          <w:noProof w:val="0"/>
          <w:sz w:val="20"/>
          <w:szCs w:val="20"/>
          <w:lang w:val="sr-Cyrl-RS"/>
        </w:rPr>
        <w:t xml:space="preserve"> иницирају његово унапређење.</w:t>
      </w:r>
    </w:p>
    <w:p w14:paraId="0E7B1366" w14:textId="77777777" w:rsidR="005E6575" w:rsidRPr="00A021B7" w:rsidRDefault="005E6575" w:rsidP="003E7BC9">
      <w:pPr>
        <w:pStyle w:val="Naslov111"/>
        <w:ind w:left="0" w:firstLine="0"/>
        <w:jc w:val="both"/>
        <w:rPr>
          <w:rFonts w:ascii="Arial" w:hAnsi="Arial" w:cs="Arial"/>
          <w:bCs/>
          <w:i/>
          <w:iCs/>
          <w:noProof w:val="0"/>
          <w:color w:val="000000" w:themeColor="text1"/>
          <w:sz w:val="20"/>
          <w:szCs w:val="20"/>
          <w:lang w:val="sr-Cyrl-RS"/>
        </w:rPr>
      </w:pPr>
    </w:p>
    <w:p w14:paraId="22A3E482" w14:textId="4C51061A" w:rsidR="005E6575" w:rsidRPr="00A021B7" w:rsidRDefault="005E6575" w:rsidP="1A8E6423">
      <w:pPr>
        <w:pStyle w:val="Naslov111"/>
        <w:ind w:left="0" w:firstLine="0"/>
        <w:jc w:val="both"/>
        <w:rPr>
          <w:rFonts w:ascii="Arial" w:hAnsi="Arial" w:cs="Arial"/>
          <w:i/>
          <w:iCs/>
          <w:noProof w:val="0"/>
          <w:color w:val="000000" w:themeColor="text1"/>
          <w:sz w:val="22"/>
          <w:szCs w:val="22"/>
          <w:lang w:val="sr-Cyrl-RS"/>
        </w:rPr>
      </w:pPr>
      <w:bookmarkStart w:id="163" w:name="_Toc60136106"/>
      <w:r w:rsidRPr="1A8E6423">
        <w:rPr>
          <w:rFonts w:ascii="Arial" w:hAnsi="Arial" w:cs="Arial"/>
          <w:i/>
          <w:iCs/>
          <w:noProof w:val="0"/>
          <w:color w:val="000000" w:themeColor="text1"/>
          <w:sz w:val="22"/>
          <w:szCs w:val="22"/>
          <w:lang w:val="sr-Cyrl-RS"/>
        </w:rPr>
        <w:t>Мера 1.4. Унапређење учешћа локалне самоуправе у процесу израде националних прописа и јавних политика</w:t>
      </w:r>
      <w:bookmarkEnd w:id="163"/>
    </w:p>
    <w:p w14:paraId="04821F67" w14:textId="77777777" w:rsidR="005E6575" w:rsidRPr="00A021B7" w:rsidRDefault="005E6575" w:rsidP="003E7BC9">
      <w:pPr>
        <w:pStyle w:val="Naslov111"/>
        <w:ind w:left="0" w:firstLine="0"/>
        <w:jc w:val="both"/>
        <w:rPr>
          <w:rFonts w:ascii="Arial" w:hAnsi="Arial" w:cs="Arial"/>
          <w:bCs/>
          <w:i/>
          <w:iCs/>
          <w:noProof w:val="0"/>
          <w:color w:val="000000" w:themeColor="text1"/>
          <w:sz w:val="20"/>
          <w:szCs w:val="20"/>
          <w:lang w:val="sr-Cyrl-RS"/>
        </w:rPr>
      </w:pPr>
    </w:p>
    <w:p w14:paraId="0EFB7389" w14:textId="6E67C0CD" w:rsidR="005E6575" w:rsidRPr="00A021B7" w:rsidRDefault="005E6575" w:rsidP="1A8E6423">
      <w:pPr>
        <w:pStyle w:val="Naslov111"/>
        <w:ind w:left="0" w:firstLine="720"/>
        <w:jc w:val="both"/>
        <w:rPr>
          <w:rFonts w:ascii="Arial" w:hAnsi="Arial" w:cs="Arial"/>
          <w:b w:val="0"/>
          <w:noProof w:val="0"/>
          <w:sz w:val="20"/>
          <w:szCs w:val="20"/>
          <w:lang w:val="sr-Cyrl-RS"/>
        </w:rPr>
      </w:pPr>
      <w:bookmarkStart w:id="164" w:name="_Toc60136107"/>
      <w:r w:rsidRPr="1A8E6423">
        <w:rPr>
          <w:rFonts w:ascii="Arial" w:hAnsi="Arial" w:cs="Arial"/>
          <w:b w:val="0"/>
          <w:noProof w:val="0"/>
          <w:sz w:val="20"/>
          <w:szCs w:val="20"/>
          <w:lang w:val="sr-Cyrl-RS"/>
        </w:rPr>
        <w:t>Да би се развијали њени потенцијали и капацитети, локална самоуправа треба да буде интензивније укључена у поступке израде прописа и јавних политика на централном нивоу</w:t>
      </w:r>
      <w:r w:rsidR="00EB4849" w:rsidRPr="1A8E6423">
        <w:rPr>
          <w:rFonts w:ascii="Arial" w:hAnsi="Arial" w:cs="Arial"/>
          <w:b w:val="0"/>
          <w:noProof w:val="0"/>
          <w:sz w:val="20"/>
          <w:szCs w:val="20"/>
          <w:lang w:val="sr-Cyrl-RS"/>
        </w:rPr>
        <w:t>, и то оних</w:t>
      </w:r>
      <w:r w:rsidRPr="1A8E6423">
        <w:rPr>
          <w:rFonts w:ascii="Arial" w:hAnsi="Arial" w:cs="Arial"/>
          <w:b w:val="0"/>
          <w:noProof w:val="0"/>
          <w:sz w:val="20"/>
          <w:szCs w:val="20"/>
          <w:lang w:val="sr-Cyrl-RS"/>
        </w:rPr>
        <w:t xml:space="preserve"> који с</w:t>
      </w:r>
      <w:r w:rsidR="00EB4849" w:rsidRPr="1A8E6423">
        <w:rPr>
          <w:rFonts w:ascii="Arial" w:hAnsi="Arial" w:cs="Arial"/>
          <w:b w:val="0"/>
          <w:noProof w:val="0"/>
          <w:sz w:val="20"/>
          <w:szCs w:val="20"/>
          <w:lang w:val="sr-Cyrl-RS"/>
        </w:rPr>
        <w:t>е</w:t>
      </w:r>
      <w:r w:rsidRPr="1A8E6423">
        <w:rPr>
          <w:rFonts w:ascii="Arial" w:hAnsi="Arial" w:cs="Arial"/>
          <w:b w:val="0"/>
          <w:noProof w:val="0"/>
          <w:sz w:val="20"/>
          <w:szCs w:val="20"/>
          <w:lang w:val="sr-Cyrl-RS"/>
        </w:rPr>
        <w:t xml:space="preserve"> на њу односе. Овај принцип препознат је постојећим Законом о локалној самоуправи</w:t>
      </w:r>
      <w:r w:rsidR="00EB4849"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који </w:t>
      </w:r>
      <w:r w:rsidR="00EB4849" w:rsidRPr="1A8E6423">
        <w:rPr>
          <w:rFonts w:ascii="Arial" w:hAnsi="Arial" w:cs="Arial"/>
          <w:b w:val="0"/>
          <w:noProof w:val="0"/>
          <w:sz w:val="20"/>
          <w:szCs w:val="20"/>
          <w:lang w:val="sr-Cyrl-RS"/>
        </w:rPr>
        <w:t xml:space="preserve">предвиђа </w:t>
      </w:r>
      <w:r w:rsidRPr="1A8E6423">
        <w:rPr>
          <w:rFonts w:ascii="Arial" w:hAnsi="Arial" w:cs="Arial"/>
          <w:b w:val="0"/>
          <w:noProof w:val="0"/>
          <w:sz w:val="20"/>
          <w:szCs w:val="20"/>
          <w:lang w:val="sr-Cyrl-RS"/>
        </w:rPr>
        <w:t xml:space="preserve">да </w:t>
      </w:r>
      <w:r w:rsidR="00EB4849" w:rsidRPr="1A8E6423">
        <w:rPr>
          <w:rFonts w:ascii="Arial" w:hAnsi="Arial" w:cs="Arial"/>
          <w:b w:val="0"/>
          <w:noProof w:val="0"/>
          <w:sz w:val="20"/>
          <w:szCs w:val="20"/>
          <w:lang w:val="sr-Cyrl-RS"/>
        </w:rPr>
        <w:t xml:space="preserve">ЈЛС </w:t>
      </w:r>
      <w:r w:rsidRPr="1A8E6423">
        <w:rPr>
          <w:rFonts w:ascii="Arial" w:hAnsi="Arial" w:cs="Arial"/>
          <w:b w:val="0"/>
          <w:noProof w:val="0"/>
          <w:sz w:val="20"/>
          <w:szCs w:val="20"/>
          <w:lang w:val="sr-Cyrl-RS"/>
        </w:rPr>
        <w:t xml:space="preserve">могу учестовати самостално или преко својих </w:t>
      </w:r>
      <w:r w:rsidR="00EB4849" w:rsidRPr="1A8E6423">
        <w:rPr>
          <w:rFonts w:ascii="Arial" w:hAnsi="Arial" w:cs="Arial"/>
          <w:b w:val="0"/>
          <w:noProof w:val="0"/>
          <w:sz w:val="20"/>
          <w:szCs w:val="20"/>
          <w:lang w:val="sr-Cyrl-RS"/>
        </w:rPr>
        <w:t>асоцијација</w:t>
      </w:r>
      <w:r w:rsidRPr="1A8E6423">
        <w:rPr>
          <w:rFonts w:ascii="Arial" w:hAnsi="Arial" w:cs="Arial"/>
          <w:b w:val="0"/>
          <w:noProof w:val="0"/>
          <w:sz w:val="20"/>
          <w:szCs w:val="20"/>
          <w:lang w:val="sr-Cyrl-RS"/>
        </w:rPr>
        <w:t xml:space="preserve"> у припреми прописа који су о</w:t>
      </w:r>
      <w:r w:rsidR="00EB4849" w:rsidRPr="1A8E6423">
        <w:rPr>
          <w:rFonts w:ascii="Arial" w:hAnsi="Arial" w:cs="Arial"/>
          <w:b w:val="0"/>
          <w:noProof w:val="0"/>
          <w:sz w:val="20"/>
          <w:szCs w:val="20"/>
          <w:lang w:val="sr-Cyrl-RS"/>
        </w:rPr>
        <w:t>д</w:t>
      </w:r>
      <w:r w:rsidRPr="1A8E6423">
        <w:rPr>
          <w:rFonts w:ascii="Arial" w:hAnsi="Arial" w:cs="Arial"/>
          <w:b w:val="0"/>
          <w:noProof w:val="0"/>
          <w:sz w:val="20"/>
          <w:szCs w:val="20"/>
          <w:lang w:val="sr-Cyrl-RS"/>
        </w:rPr>
        <w:t xml:space="preserve"> посебног значаја за остваривање и развој локалне самоуправе. Упркос позитивним променама у претходних неколико година, овај начелни принцип и даље се не остварује у потпуности</w:t>
      </w:r>
      <w:r w:rsidR="00EB4849"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односно у потребној мери. Да би се осигурало спровођење пуних консултација локалних власти у вези са прописима који су непосредно важни за њихово деловање, планирана је измена и допуна Закона о локалној самоуправи којом ће увести обавеза националних власти да укључе јединице локалне самоуправе</w:t>
      </w:r>
      <w:r w:rsidR="00EB4849"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односно националне асоцијације локалних власти у процес припреме нацрта докумената јавних политика, закона и других општих аката који уређују питања од интереса за локалну самоуправу. Слична обавезност сарадње постоји у бројним европским земљама (негде је регулисана </w:t>
      </w:r>
      <w:r w:rsidR="00EB4849" w:rsidRPr="1A8E6423">
        <w:rPr>
          <w:rFonts w:ascii="Arial" w:hAnsi="Arial" w:cs="Arial"/>
          <w:b w:val="0"/>
          <w:noProof w:val="0"/>
          <w:sz w:val="20"/>
          <w:szCs w:val="20"/>
          <w:lang w:val="sr-Cyrl-RS"/>
        </w:rPr>
        <w:t>у</w:t>
      </w:r>
      <w:r w:rsidRPr="1A8E6423">
        <w:rPr>
          <w:rFonts w:ascii="Arial" w:hAnsi="Arial" w:cs="Arial"/>
          <w:b w:val="0"/>
          <w:noProof w:val="0"/>
          <w:sz w:val="20"/>
          <w:szCs w:val="20"/>
          <w:lang w:val="sr-Cyrl-RS"/>
        </w:rPr>
        <w:t>ставом, негде системским законом</w:t>
      </w:r>
      <w:r w:rsidR="00EB4849"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а негде неписаним обавезујућим правилима у процесу припреме јавних политика и прописа)</w:t>
      </w:r>
      <w:r w:rsidR="00EB4849"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па и на нивоу региона или ентитета унутар држава</w:t>
      </w:r>
      <w:r w:rsidR="004F4D77">
        <w:rPr>
          <w:rFonts w:ascii="Arial" w:hAnsi="Arial" w:cs="Arial"/>
          <w:b w:val="0"/>
          <w:noProof w:val="0"/>
          <w:sz w:val="20"/>
          <w:szCs w:val="20"/>
          <w:lang w:val="sr-Cyrl-RS"/>
        </w:rPr>
        <w:t>.</w:t>
      </w:r>
      <w:r w:rsidR="004F4D77">
        <w:rPr>
          <w:rStyle w:val="FootnoteReference"/>
          <w:rFonts w:ascii="Arial" w:hAnsi="Arial" w:cs="Arial"/>
          <w:b w:val="0"/>
          <w:noProof w:val="0"/>
          <w:sz w:val="20"/>
          <w:szCs w:val="20"/>
          <w:lang w:val="sr-Cyrl-RS"/>
        </w:rPr>
        <w:footnoteReference w:id="183"/>
      </w:r>
      <w:r w:rsidRPr="1A8E6423">
        <w:rPr>
          <w:rFonts w:ascii="Arial" w:hAnsi="Arial" w:cs="Arial"/>
          <w:b w:val="0"/>
          <w:noProof w:val="0"/>
          <w:sz w:val="20"/>
          <w:szCs w:val="20"/>
          <w:lang w:val="sr-Cyrl-RS"/>
        </w:rPr>
        <w:t xml:space="preserve"> Иако поједини други прописи (Закон о државној управи и Закон о планском систему) већ уређују питање консултација са заинтересованом јавношћу, због значаја локалне самоуправе у систем</w:t>
      </w:r>
      <w:r w:rsidR="00EB4849" w:rsidRPr="1A8E6423">
        <w:rPr>
          <w:rFonts w:ascii="Arial" w:hAnsi="Arial" w:cs="Arial"/>
          <w:b w:val="0"/>
          <w:noProof w:val="0"/>
          <w:sz w:val="20"/>
          <w:szCs w:val="20"/>
          <w:lang w:val="sr-Cyrl-RS"/>
        </w:rPr>
        <w:t>у</w:t>
      </w:r>
      <w:r w:rsidRPr="1A8E6423">
        <w:rPr>
          <w:rFonts w:ascii="Arial" w:hAnsi="Arial" w:cs="Arial"/>
          <w:b w:val="0"/>
          <w:noProof w:val="0"/>
          <w:sz w:val="20"/>
          <w:szCs w:val="20"/>
          <w:lang w:val="sr-Cyrl-RS"/>
        </w:rPr>
        <w:t xml:space="preserve"> јавне управе и велике одговорности коју имају градови и општин</w:t>
      </w:r>
      <w:r w:rsidR="00EB4849" w:rsidRPr="1A8E6423">
        <w:rPr>
          <w:rFonts w:ascii="Arial" w:hAnsi="Arial" w:cs="Arial"/>
          <w:b w:val="0"/>
          <w:noProof w:val="0"/>
          <w:sz w:val="20"/>
          <w:szCs w:val="20"/>
          <w:lang w:val="sr-Cyrl-RS"/>
        </w:rPr>
        <w:t>е</w:t>
      </w:r>
      <w:r w:rsidRPr="1A8E6423">
        <w:rPr>
          <w:rFonts w:ascii="Arial" w:hAnsi="Arial" w:cs="Arial"/>
          <w:b w:val="0"/>
          <w:noProof w:val="0"/>
          <w:sz w:val="20"/>
          <w:szCs w:val="20"/>
          <w:lang w:val="sr-Cyrl-RS"/>
        </w:rPr>
        <w:t xml:space="preserve"> у спровођењу великог дела јавних политика и прописа, неопходно је да се </w:t>
      </w:r>
      <w:r w:rsidR="004F4D77">
        <w:rPr>
          <w:rFonts w:ascii="Arial" w:hAnsi="Arial" w:cs="Arial"/>
          <w:b w:val="0"/>
          <w:noProof w:val="0"/>
          <w:sz w:val="20"/>
          <w:szCs w:val="20"/>
          <w:lang w:val="sr-Cyrl-RS"/>
        </w:rPr>
        <w:t xml:space="preserve">изменом Закона о локалној самоуправи </w:t>
      </w:r>
      <w:r w:rsidRPr="1A8E6423">
        <w:rPr>
          <w:rFonts w:ascii="Arial" w:hAnsi="Arial" w:cs="Arial"/>
          <w:b w:val="0"/>
          <w:noProof w:val="0"/>
          <w:sz w:val="20"/>
          <w:szCs w:val="20"/>
          <w:lang w:val="sr-Cyrl-RS"/>
        </w:rPr>
        <w:t>уведе обавезност консултација са локалним властима и/или њиховом асоцијацијом у процесу припрем</w:t>
      </w:r>
      <w:r w:rsidR="00EB4849" w:rsidRPr="1A8E6423">
        <w:rPr>
          <w:rFonts w:ascii="Arial" w:hAnsi="Arial" w:cs="Arial"/>
          <w:b w:val="0"/>
          <w:noProof w:val="0"/>
          <w:sz w:val="20"/>
          <w:szCs w:val="20"/>
          <w:lang w:val="sr-Cyrl-RS"/>
        </w:rPr>
        <w:t>е</w:t>
      </w:r>
      <w:r w:rsidRPr="1A8E6423">
        <w:rPr>
          <w:rFonts w:ascii="Arial" w:hAnsi="Arial" w:cs="Arial"/>
          <w:b w:val="0"/>
          <w:noProof w:val="0"/>
          <w:sz w:val="20"/>
          <w:szCs w:val="20"/>
          <w:lang w:val="sr-Cyrl-RS"/>
        </w:rPr>
        <w:t xml:space="preserve"> јавних политика и прописа који су значајни за локалну самоуправу. </w:t>
      </w:r>
      <w:r w:rsidRPr="0099182E">
        <w:rPr>
          <w:rFonts w:ascii="Arial" w:hAnsi="Arial" w:cs="Arial"/>
          <w:b w:val="0"/>
          <w:noProof w:val="0"/>
          <w:sz w:val="20"/>
          <w:szCs w:val="20"/>
          <w:lang w:val="sr-Cyrl-RS"/>
        </w:rPr>
        <w:t>Консултације са локалним властима посебно су важне у процесу европских интеграција. П</w:t>
      </w:r>
      <w:r w:rsidR="00EB4849" w:rsidRPr="0099182E">
        <w:rPr>
          <w:rFonts w:ascii="Arial" w:hAnsi="Arial" w:cs="Arial"/>
          <w:b w:val="0"/>
          <w:noProof w:val="0"/>
          <w:sz w:val="20"/>
          <w:szCs w:val="20"/>
          <w:lang w:val="sr-Cyrl-RS"/>
        </w:rPr>
        <w:t>рема</w:t>
      </w:r>
      <w:r w:rsidRPr="0099182E">
        <w:rPr>
          <w:rFonts w:ascii="Arial" w:hAnsi="Arial" w:cs="Arial"/>
          <w:b w:val="0"/>
          <w:noProof w:val="0"/>
          <w:sz w:val="20"/>
          <w:szCs w:val="20"/>
          <w:lang w:val="sr-Cyrl-RS"/>
        </w:rPr>
        <w:t xml:space="preserve"> појединим анализама</w:t>
      </w:r>
      <w:r w:rsidR="00EB4849" w:rsidRPr="0099182E">
        <w:rPr>
          <w:rFonts w:ascii="Arial" w:hAnsi="Arial" w:cs="Arial"/>
          <w:b w:val="0"/>
          <w:noProof w:val="0"/>
          <w:sz w:val="20"/>
          <w:szCs w:val="20"/>
          <w:lang w:val="sr-Cyrl-RS"/>
        </w:rPr>
        <w:t>,</w:t>
      </w:r>
      <w:r w:rsidRPr="0099182E">
        <w:rPr>
          <w:rFonts w:ascii="Arial" w:hAnsi="Arial" w:cs="Arial"/>
          <w:b w:val="0"/>
          <w:noProof w:val="0"/>
          <w:sz w:val="20"/>
          <w:szCs w:val="20"/>
          <w:lang w:val="sr-Cyrl-RS"/>
        </w:rPr>
        <w:t xml:space="preserve"> близу 70% политика и прописа ЕУ примењује се на нивоу јавне </w:t>
      </w:r>
      <w:r w:rsidRPr="001E68B4">
        <w:rPr>
          <w:rFonts w:ascii="Arial" w:hAnsi="Arial" w:cs="Arial"/>
          <w:b w:val="0"/>
          <w:noProof w:val="0"/>
          <w:sz w:val="20"/>
          <w:szCs w:val="20"/>
          <w:lang w:val="sr-Cyrl-RS"/>
        </w:rPr>
        <w:t>управе</w:t>
      </w:r>
      <w:r w:rsidR="00EB4849" w:rsidRPr="001E68B4">
        <w:rPr>
          <w:rFonts w:ascii="Arial" w:hAnsi="Arial" w:cs="Arial"/>
          <w:b w:val="0"/>
          <w:noProof w:val="0"/>
          <w:sz w:val="20"/>
          <w:szCs w:val="20"/>
          <w:lang w:val="sr-Cyrl-RS"/>
        </w:rPr>
        <w:t xml:space="preserve"> који је</w:t>
      </w:r>
      <w:r w:rsidRPr="001E68B4">
        <w:rPr>
          <w:rFonts w:ascii="Arial" w:hAnsi="Arial" w:cs="Arial"/>
          <w:b w:val="0"/>
          <w:noProof w:val="0"/>
          <w:sz w:val="20"/>
          <w:szCs w:val="20"/>
          <w:lang w:val="sr-Cyrl-RS"/>
        </w:rPr>
        <w:t xml:space="preserve"> испод државног нивоа. Зато </w:t>
      </w:r>
      <w:r w:rsidRPr="001E68B4">
        <w:rPr>
          <w:rFonts w:ascii="Arial" w:hAnsi="Arial" w:cs="Arial"/>
          <w:b w:val="0"/>
          <w:noProof w:val="0"/>
          <w:sz w:val="20"/>
          <w:szCs w:val="20"/>
          <w:lang w:val="sr-Cyrl-RS"/>
        </w:rPr>
        <w:lastRenderedPageBreak/>
        <w:t xml:space="preserve">је веома важно да локалне власти и њихова национална асоцијација буду укључене у процесе преговарања о чланству у ЕУ. Са тим у вези планирана је измена и допуна прописа који уређују институционални оквир за преговоре о приступању Републике Србије ЕУ, </w:t>
      </w:r>
      <w:r w:rsidR="00EB4849" w:rsidRPr="001E68B4">
        <w:rPr>
          <w:rFonts w:ascii="Arial" w:hAnsi="Arial" w:cs="Arial"/>
          <w:b w:val="0"/>
          <w:noProof w:val="0"/>
          <w:sz w:val="20"/>
          <w:szCs w:val="20"/>
          <w:lang w:val="sr-Cyrl-RS"/>
        </w:rPr>
        <w:t xml:space="preserve">с </w:t>
      </w:r>
      <w:r w:rsidRPr="001E68B4">
        <w:rPr>
          <w:rFonts w:ascii="Arial" w:hAnsi="Arial" w:cs="Arial"/>
          <w:b w:val="0"/>
          <w:noProof w:val="0"/>
          <w:sz w:val="20"/>
          <w:szCs w:val="20"/>
          <w:lang w:val="sr-Cyrl-RS"/>
        </w:rPr>
        <w:t>циљ</w:t>
      </w:r>
      <w:r w:rsidR="00EB4849" w:rsidRPr="001E68B4">
        <w:rPr>
          <w:rFonts w:ascii="Arial" w:hAnsi="Arial" w:cs="Arial"/>
          <w:b w:val="0"/>
          <w:noProof w:val="0"/>
          <w:sz w:val="20"/>
          <w:szCs w:val="20"/>
          <w:lang w:val="sr-Cyrl-RS"/>
        </w:rPr>
        <w:t>ем</w:t>
      </w:r>
      <w:r w:rsidRPr="001E68B4">
        <w:rPr>
          <w:rFonts w:ascii="Arial" w:hAnsi="Arial" w:cs="Arial"/>
          <w:b w:val="0"/>
          <w:noProof w:val="0"/>
          <w:sz w:val="20"/>
          <w:szCs w:val="20"/>
          <w:lang w:val="sr-Cyrl-RS"/>
        </w:rPr>
        <w:t xml:space="preserve"> укључивања представника ЈЛС односно националне асоцијације локалних власти у ред обавезних учесника у радним телима која се баве у областима </w:t>
      </w:r>
      <w:r w:rsidR="007E161D" w:rsidRPr="001E68B4">
        <w:rPr>
          <w:rFonts w:ascii="Arial" w:hAnsi="Arial" w:cs="Arial"/>
          <w:b w:val="0"/>
          <w:noProof w:val="0"/>
          <w:sz w:val="20"/>
          <w:szCs w:val="20"/>
          <w:lang w:val="sr-Cyrl-RS"/>
        </w:rPr>
        <w:t>(</w:t>
      </w:r>
      <w:r w:rsidRPr="001E68B4">
        <w:rPr>
          <w:rFonts w:ascii="Arial" w:hAnsi="Arial" w:cs="Arial"/>
          <w:b w:val="0"/>
          <w:noProof w:val="0"/>
          <w:sz w:val="20"/>
          <w:szCs w:val="20"/>
          <w:lang w:val="sr-Cyrl-RS"/>
        </w:rPr>
        <w:t>преговарачким поглављима</w:t>
      </w:r>
      <w:r w:rsidR="007E161D" w:rsidRPr="001E68B4">
        <w:rPr>
          <w:rFonts w:ascii="Arial" w:hAnsi="Arial" w:cs="Arial"/>
          <w:b w:val="0"/>
          <w:noProof w:val="0"/>
          <w:sz w:val="20"/>
          <w:szCs w:val="20"/>
          <w:lang w:val="sr-Cyrl-RS"/>
        </w:rPr>
        <w:t>)</w:t>
      </w:r>
      <w:r w:rsidRPr="001E68B4">
        <w:rPr>
          <w:rFonts w:ascii="Arial" w:hAnsi="Arial" w:cs="Arial"/>
          <w:b w:val="0"/>
          <w:noProof w:val="0"/>
          <w:sz w:val="20"/>
          <w:szCs w:val="20"/>
          <w:lang w:val="sr-Cyrl-RS"/>
        </w:rPr>
        <w:t xml:space="preserve"> у којима постоји делокруг локалне самоуправе у Републици Србији. Коначно</w:t>
      </w:r>
      <w:r w:rsidR="007E161D"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део ове мере јесте и сарадња МДУЛС и СКГО на редовном информисању локалних власти о кључним усвојеним променама правног оквира и њиховом утицају на делокруг, одговорности и овлашћења локалне самоуправе (коришћењем </w:t>
      </w:r>
      <w:r w:rsidR="007E161D" w:rsidRPr="1A8E6423">
        <w:rPr>
          <w:rFonts w:ascii="Arial" w:hAnsi="Arial" w:cs="Arial"/>
          <w:b w:val="0"/>
          <w:noProof w:val="0"/>
          <w:sz w:val="20"/>
          <w:szCs w:val="20"/>
          <w:lang w:val="sr-Cyrl-RS"/>
        </w:rPr>
        <w:t>сервиса СКГО</w:t>
      </w:r>
      <w:r w:rsidR="007E161D" w:rsidRPr="1A8E6423">
        <w:rPr>
          <w:rFonts w:ascii="Arial" w:hAnsi="Arial" w:cs="Arial"/>
          <w:b w:val="0"/>
          <w:i/>
          <w:iCs/>
          <w:noProof w:val="0"/>
          <w:sz w:val="20"/>
          <w:szCs w:val="20"/>
          <w:lang w:val="sr-Cyrl-RS"/>
        </w:rPr>
        <w:t xml:space="preserve"> </w:t>
      </w:r>
      <w:r w:rsidRPr="1A8E6423">
        <w:rPr>
          <w:rFonts w:ascii="Arial" w:hAnsi="Arial" w:cs="Arial"/>
          <w:b w:val="0"/>
          <w:i/>
          <w:iCs/>
          <w:noProof w:val="0"/>
          <w:sz w:val="20"/>
          <w:szCs w:val="20"/>
          <w:lang w:val="sr-Cyrl-RS"/>
        </w:rPr>
        <w:t>Law Alert</w:t>
      </w:r>
      <w:r w:rsidRPr="1A8E6423">
        <w:rPr>
          <w:rFonts w:ascii="Arial" w:hAnsi="Arial" w:cs="Arial"/>
          <w:b w:val="0"/>
          <w:noProof w:val="0"/>
          <w:sz w:val="20"/>
          <w:szCs w:val="20"/>
          <w:lang w:val="sr-Cyrl-RS"/>
        </w:rPr>
        <w:t>)</w:t>
      </w:r>
      <w:bookmarkEnd w:id="164"/>
      <w:r w:rsidR="007E161D" w:rsidRPr="1A8E6423">
        <w:rPr>
          <w:rFonts w:ascii="Arial" w:hAnsi="Arial" w:cs="Arial"/>
          <w:b w:val="0"/>
          <w:noProof w:val="0"/>
          <w:sz w:val="20"/>
          <w:szCs w:val="20"/>
          <w:lang w:val="sr-Cyrl-RS"/>
        </w:rPr>
        <w:t>.</w:t>
      </w:r>
    </w:p>
    <w:p w14:paraId="5F8BFC53" w14:textId="77777777" w:rsidR="005E6575" w:rsidRPr="00A021B7" w:rsidRDefault="005E6575" w:rsidP="1A8E6423">
      <w:pPr>
        <w:pStyle w:val="Naslov111"/>
        <w:ind w:left="0" w:firstLine="720"/>
        <w:jc w:val="both"/>
        <w:rPr>
          <w:rFonts w:ascii="Arial" w:hAnsi="Arial" w:cs="Arial"/>
          <w:b w:val="0"/>
          <w:i/>
          <w:iCs/>
          <w:noProof w:val="0"/>
          <w:color w:val="000000" w:themeColor="text1"/>
          <w:sz w:val="20"/>
          <w:szCs w:val="20"/>
          <w:lang w:val="sr-Cyrl-RS"/>
        </w:rPr>
      </w:pPr>
    </w:p>
    <w:p w14:paraId="185BE6C7" w14:textId="37588A73" w:rsidR="005E6575" w:rsidRPr="00A021B7" w:rsidRDefault="005E6575" w:rsidP="1A8E6423">
      <w:pPr>
        <w:pStyle w:val="Naslov111"/>
        <w:ind w:left="0" w:firstLine="0"/>
        <w:jc w:val="both"/>
        <w:rPr>
          <w:rFonts w:ascii="Arial" w:hAnsi="Arial" w:cs="Arial"/>
          <w:i/>
          <w:iCs/>
          <w:noProof w:val="0"/>
          <w:color w:val="000000" w:themeColor="text1"/>
          <w:sz w:val="22"/>
          <w:szCs w:val="22"/>
          <w:lang w:val="sr-Cyrl-RS"/>
        </w:rPr>
      </w:pPr>
      <w:bookmarkStart w:id="165" w:name="_Toc60136108"/>
      <w:r w:rsidRPr="1A8E6423">
        <w:rPr>
          <w:rFonts w:ascii="Arial" w:hAnsi="Arial" w:cs="Arial"/>
          <w:i/>
          <w:iCs/>
          <w:noProof w:val="0"/>
          <w:color w:val="000000" w:themeColor="text1"/>
          <w:sz w:val="22"/>
          <w:szCs w:val="22"/>
          <w:lang w:val="sr-Cyrl-RS"/>
        </w:rPr>
        <w:t xml:space="preserve">Мера 1.5: </w:t>
      </w:r>
      <w:r w:rsidR="007E161D" w:rsidRPr="1A8E6423">
        <w:rPr>
          <w:rFonts w:ascii="Arial" w:hAnsi="Arial" w:cs="Arial"/>
          <w:i/>
          <w:iCs/>
          <w:noProof w:val="0"/>
          <w:color w:val="000000" w:themeColor="text1"/>
          <w:sz w:val="22"/>
          <w:szCs w:val="22"/>
          <w:lang w:val="sr-Cyrl-RS"/>
        </w:rPr>
        <w:t>Д</w:t>
      </w:r>
      <w:r w:rsidRPr="1A8E6423">
        <w:rPr>
          <w:rFonts w:ascii="Arial" w:hAnsi="Arial" w:cs="Arial"/>
          <w:i/>
          <w:iCs/>
          <w:noProof w:val="0"/>
          <w:color w:val="000000" w:themeColor="text1"/>
          <w:sz w:val="22"/>
          <w:szCs w:val="22"/>
          <w:lang w:val="sr-Cyrl-RS"/>
        </w:rPr>
        <w:t>аљ</w:t>
      </w:r>
      <w:r w:rsidR="007E161D" w:rsidRPr="1A8E6423">
        <w:rPr>
          <w:rFonts w:ascii="Arial" w:hAnsi="Arial" w:cs="Arial"/>
          <w:i/>
          <w:iCs/>
          <w:noProof w:val="0"/>
          <w:color w:val="000000" w:themeColor="text1"/>
          <w:sz w:val="22"/>
          <w:szCs w:val="22"/>
          <w:lang w:val="sr-Cyrl-RS"/>
        </w:rPr>
        <w:t>и</w:t>
      </w:r>
      <w:r w:rsidRPr="1A8E6423">
        <w:rPr>
          <w:rFonts w:ascii="Arial" w:hAnsi="Arial" w:cs="Arial"/>
          <w:i/>
          <w:iCs/>
          <w:noProof w:val="0"/>
          <w:color w:val="000000" w:themeColor="text1"/>
          <w:sz w:val="22"/>
          <w:szCs w:val="22"/>
          <w:lang w:val="sr-Cyrl-RS"/>
        </w:rPr>
        <w:t xml:space="preserve"> развој капацитета локалне самоуправе за примену </w:t>
      </w:r>
      <w:r w:rsidR="008A45D9" w:rsidRPr="1A8E6423">
        <w:rPr>
          <w:rFonts w:ascii="Arial" w:hAnsi="Arial" w:cs="Arial"/>
          <w:i/>
          <w:iCs/>
          <w:noProof w:val="0"/>
          <w:color w:val="000000" w:themeColor="text1"/>
          <w:sz w:val="22"/>
          <w:szCs w:val="22"/>
          <w:lang w:val="sr-Cyrl-RS"/>
        </w:rPr>
        <w:t>начел</w:t>
      </w:r>
      <w:r w:rsidRPr="1A8E6423">
        <w:rPr>
          <w:rFonts w:ascii="Arial" w:hAnsi="Arial" w:cs="Arial"/>
          <w:i/>
          <w:iCs/>
          <w:noProof w:val="0"/>
          <w:color w:val="000000" w:themeColor="text1"/>
          <w:sz w:val="22"/>
          <w:szCs w:val="22"/>
          <w:lang w:val="sr-Cyrl-RS"/>
        </w:rPr>
        <w:t>а доброг управљања</w:t>
      </w:r>
      <w:bookmarkEnd w:id="165"/>
    </w:p>
    <w:p w14:paraId="18B125FB" w14:textId="0804C9D4" w:rsidR="005E6575" w:rsidRPr="00A021B7" w:rsidRDefault="005E6575" w:rsidP="003E7BC9">
      <w:pPr>
        <w:pStyle w:val="Naslov111"/>
        <w:tabs>
          <w:tab w:val="clear" w:pos="1173"/>
          <w:tab w:val="left" w:pos="2268"/>
        </w:tabs>
        <w:ind w:left="0" w:firstLine="0"/>
        <w:jc w:val="both"/>
        <w:rPr>
          <w:rFonts w:ascii="Arial" w:hAnsi="Arial" w:cs="Arial"/>
          <w:bCs/>
          <w:i/>
          <w:iCs/>
          <w:noProof w:val="0"/>
          <w:color w:val="000000" w:themeColor="text1"/>
          <w:sz w:val="20"/>
          <w:szCs w:val="20"/>
          <w:lang w:val="sr-Cyrl-RS"/>
        </w:rPr>
      </w:pPr>
    </w:p>
    <w:p w14:paraId="5F0ABECF" w14:textId="4F725B56" w:rsidR="005E6575" w:rsidRPr="00A021B7" w:rsidRDefault="005E6575" w:rsidP="1A8E6423">
      <w:pPr>
        <w:jc w:val="both"/>
        <w:rPr>
          <w:rFonts w:ascii="Arial" w:hAnsi="Arial" w:cs="Arial"/>
          <w:sz w:val="20"/>
          <w:szCs w:val="20"/>
          <w:lang w:val="sr-Cyrl-RS"/>
        </w:rPr>
      </w:pPr>
      <w:bookmarkStart w:id="166" w:name="_Toc60136109"/>
      <w:r w:rsidRPr="1A8E6423">
        <w:rPr>
          <w:rFonts w:ascii="Arial" w:hAnsi="Arial" w:cs="Arial"/>
          <w:sz w:val="20"/>
          <w:szCs w:val="20"/>
          <w:lang w:val="sr-Cyrl-RS"/>
        </w:rPr>
        <w:t>Овом мером се предвиђа наставак већ започетих активности усмерених на примену принципа добре управе, кроз различите видове подршке, обуке, промоције и анализе, укључујући ту посебно интензивну примену Етичког кодекса понашања функционера локалне самоуправе, спровођење годишњег конкурса за најбољу праксу у примен</w:t>
      </w:r>
      <w:r w:rsidR="007E161D" w:rsidRPr="1A8E6423">
        <w:rPr>
          <w:rFonts w:ascii="Arial" w:hAnsi="Arial" w:cs="Arial"/>
          <w:sz w:val="20"/>
          <w:szCs w:val="20"/>
          <w:lang w:val="sr-Cyrl-RS"/>
        </w:rPr>
        <w:t>и</w:t>
      </w:r>
      <w:r w:rsidRPr="1A8E6423">
        <w:rPr>
          <w:rFonts w:ascii="Arial" w:hAnsi="Arial" w:cs="Arial"/>
          <w:sz w:val="20"/>
          <w:szCs w:val="20"/>
          <w:lang w:val="sr-Cyrl-RS"/>
        </w:rPr>
        <w:t xml:space="preserve"> добре управе и континуирано вредновањ</w:t>
      </w:r>
      <w:r w:rsidR="007F2DA5" w:rsidRPr="1A8E6423">
        <w:rPr>
          <w:rFonts w:ascii="Arial" w:hAnsi="Arial" w:cs="Arial"/>
          <w:sz w:val="20"/>
          <w:szCs w:val="20"/>
          <w:lang w:val="sr-Cyrl-RS"/>
        </w:rPr>
        <w:t>е</w:t>
      </w:r>
      <w:r w:rsidRPr="1A8E6423">
        <w:rPr>
          <w:rFonts w:ascii="Arial" w:hAnsi="Arial" w:cs="Arial"/>
          <w:sz w:val="20"/>
          <w:szCs w:val="20"/>
          <w:lang w:val="sr-Cyrl-RS"/>
        </w:rPr>
        <w:t xml:space="preserve"> учинка ЛС </w:t>
      </w:r>
      <w:r w:rsidR="007F2DA5" w:rsidRPr="1A8E6423">
        <w:rPr>
          <w:rFonts w:ascii="Arial" w:hAnsi="Arial" w:cs="Arial"/>
          <w:sz w:val="20"/>
          <w:szCs w:val="20"/>
          <w:lang w:val="sr-Cyrl-RS"/>
        </w:rPr>
        <w:t>кроз</w:t>
      </w:r>
      <w:r w:rsidRPr="1A8E6423">
        <w:rPr>
          <w:rFonts w:ascii="Arial" w:hAnsi="Arial" w:cs="Arial"/>
          <w:sz w:val="20"/>
          <w:szCs w:val="20"/>
          <w:lang w:val="sr-Cyrl-RS"/>
        </w:rPr>
        <w:t xml:space="preserve"> индекс доброг управљања, који су развили СКГО и МДУЛС. У склопу подршке локалним властима</w:t>
      </w:r>
      <w:r w:rsidR="007E161D" w:rsidRPr="1A8E6423">
        <w:rPr>
          <w:rFonts w:ascii="Arial" w:hAnsi="Arial" w:cs="Arial"/>
          <w:sz w:val="20"/>
          <w:szCs w:val="20"/>
          <w:lang w:val="sr-Cyrl-RS"/>
        </w:rPr>
        <w:t>,</w:t>
      </w:r>
      <w:r w:rsidRPr="1A8E6423">
        <w:rPr>
          <w:rFonts w:ascii="Arial" w:hAnsi="Arial" w:cs="Arial"/>
          <w:sz w:val="20"/>
          <w:szCs w:val="20"/>
          <w:lang w:val="sr-Cyrl-RS"/>
        </w:rPr>
        <w:t xml:space="preserve"> акценат биће стављен на спровођење пакета подршке за развој капацитета за унапређење административне ефикасности и делотворности, као и пакета за унапређење антикорупцијских политика на локалном нивоу. Такође, у наредном периоду планира се интензивно спровођење програма обука из Општег програма запослених у ЈЛС у области добре управе. Посебна пажња биће усмерена на усвајање и примену новог Етичког кодекса функционера локалне самоуправе (који је усвојила скупштина СКГО) и обуку за његову примену. Коначно, МДУЛС и СКГО наставиће успешно организовање годишњег конкурса за награђивање ЈЛС за примену принципа доброг управљања и примере </w:t>
      </w:r>
      <w:r w:rsidR="007E161D" w:rsidRPr="1A8E6423">
        <w:rPr>
          <w:rFonts w:ascii="Arial" w:hAnsi="Arial" w:cs="Arial"/>
          <w:sz w:val="20"/>
          <w:szCs w:val="20"/>
          <w:lang w:val="sr-Cyrl-RS"/>
        </w:rPr>
        <w:t xml:space="preserve">најбоље </w:t>
      </w:r>
      <w:r w:rsidRPr="1A8E6423">
        <w:rPr>
          <w:rFonts w:ascii="Arial" w:hAnsi="Arial" w:cs="Arial"/>
          <w:sz w:val="20"/>
          <w:szCs w:val="20"/>
          <w:lang w:val="sr-Cyrl-RS"/>
        </w:rPr>
        <w:t>праксе у овој области.</w:t>
      </w:r>
      <w:bookmarkEnd w:id="166"/>
    </w:p>
    <w:p w14:paraId="3A4706FB" w14:textId="77777777" w:rsidR="005E6575" w:rsidRPr="00A021B7" w:rsidRDefault="005E6575" w:rsidP="003E7BC9">
      <w:pPr>
        <w:pStyle w:val="Naslov111"/>
        <w:ind w:left="0" w:firstLine="0"/>
        <w:jc w:val="both"/>
        <w:rPr>
          <w:rFonts w:ascii="Arial" w:hAnsi="Arial" w:cs="Arial"/>
          <w:b w:val="0"/>
          <w:i/>
          <w:iCs/>
          <w:noProof w:val="0"/>
          <w:color w:val="000000" w:themeColor="text1"/>
          <w:sz w:val="20"/>
          <w:szCs w:val="20"/>
          <w:lang w:val="sr-Cyrl-RS"/>
        </w:rPr>
      </w:pPr>
    </w:p>
    <w:p w14:paraId="51E3A7B8" w14:textId="77777777" w:rsidR="005E6575" w:rsidRPr="00A021B7" w:rsidRDefault="005E6575" w:rsidP="003E7BC9">
      <w:pPr>
        <w:pStyle w:val="Naslov111"/>
        <w:ind w:left="0" w:firstLine="0"/>
        <w:jc w:val="both"/>
        <w:rPr>
          <w:rFonts w:ascii="Arial" w:hAnsi="Arial" w:cs="Arial"/>
          <w:bCs/>
          <w:i/>
          <w:iCs/>
          <w:noProof w:val="0"/>
          <w:color w:val="000000" w:themeColor="text1"/>
          <w:sz w:val="22"/>
          <w:szCs w:val="22"/>
          <w:lang w:val="sr-Cyrl-RS"/>
        </w:rPr>
      </w:pPr>
      <w:bookmarkStart w:id="167" w:name="_Toc60136110"/>
      <w:r w:rsidRPr="00A021B7">
        <w:rPr>
          <w:rFonts w:ascii="Arial" w:hAnsi="Arial" w:cs="Arial"/>
          <w:bCs/>
          <w:i/>
          <w:iCs/>
          <w:noProof w:val="0"/>
          <w:color w:val="000000" w:themeColor="text1"/>
          <w:sz w:val="22"/>
          <w:szCs w:val="22"/>
          <w:lang w:val="sr-Cyrl-RS"/>
        </w:rPr>
        <w:t>Мера 1.6: Унапређење вертикалног и хоризонталног надзора у обављању изворних и поверених послова ЈЛС</w:t>
      </w:r>
      <w:bookmarkEnd w:id="167"/>
    </w:p>
    <w:p w14:paraId="25A62433" w14:textId="77777777" w:rsidR="005E6575" w:rsidRPr="00A021B7" w:rsidRDefault="005E6575" w:rsidP="003E7BC9">
      <w:pPr>
        <w:pStyle w:val="Naslov111"/>
        <w:ind w:left="0" w:firstLine="0"/>
        <w:jc w:val="both"/>
        <w:rPr>
          <w:rFonts w:ascii="Arial" w:hAnsi="Arial" w:cs="Arial"/>
          <w:bCs/>
          <w:i/>
          <w:iCs/>
          <w:noProof w:val="0"/>
          <w:color w:val="000000" w:themeColor="text1"/>
          <w:sz w:val="20"/>
          <w:szCs w:val="20"/>
          <w:lang w:val="sr-Cyrl-RS"/>
        </w:rPr>
      </w:pPr>
    </w:p>
    <w:p w14:paraId="71C770A5" w14:textId="5310A1A0" w:rsidR="005E6575" w:rsidRPr="00A021B7" w:rsidRDefault="005E6575" w:rsidP="1A8E6423">
      <w:pPr>
        <w:pStyle w:val="Naslov111"/>
        <w:ind w:left="0" w:firstLine="720"/>
        <w:jc w:val="both"/>
        <w:rPr>
          <w:rFonts w:ascii="Arial" w:hAnsi="Arial" w:cs="Arial"/>
          <w:b w:val="0"/>
          <w:noProof w:val="0"/>
          <w:sz w:val="20"/>
          <w:szCs w:val="20"/>
          <w:lang w:val="sr-Cyrl-RS"/>
        </w:rPr>
      </w:pPr>
      <w:bookmarkStart w:id="168" w:name="_Toc60136111"/>
      <w:r w:rsidRPr="1A8E6423">
        <w:rPr>
          <w:rFonts w:ascii="Arial" w:hAnsi="Arial" w:cs="Arial"/>
          <w:b w:val="0"/>
          <w:noProof w:val="0"/>
          <w:sz w:val="20"/>
          <w:szCs w:val="20"/>
          <w:lang w:val="sr-Cyrl-RS"/>
        </w:rPr>
        <w:t xml:space="preserve">Квалитетан систем надзора над обављањем изворних и поверених послова ЈЛС предуслов је за квалитетно </w:t>
      </w:r>
      <w:r w:rsidR="00073D98" w:rsidRPr="1A8E6423">
        <w:rPr>
          <w:rFonts w:ascii="Arial" w:hAnsi="Arial" w:cs="Arial"/>
          <w:b w:val="0"/>
          <w:noProof w:val="0"/>
          <w:sz w:val="20"/>
          <w:szCs w:val="20"/>
          <w:lang w:val="sr-Cyrl-RS"/>
        </w:rPr>
        <w:t xml:space="preserve">испуњавање </w:t>
      </w:r>
      <w:r w:rsidRPr="1A8E6423">
        <w:rPr>
          <w:rFonts w:ascii="Arial" w:hAnsi="Arial" w:cs="Arial"/>
          <w:b w:val="0"/>
          <w:noProof w:val="0"/>
          <w:sz w:val="20"/>
          <w:szCs w:val="20"/>
          <w:lang w:val="sr-Cyrl-RS"/>
        </w:rPr>
        <w:t>одговорности локалне самоуправе. У том смислу ова мера предвиђа његово унапређење, што подразумева свеобухватну измена правног оквира (Закона о локалној самоуправи, Закона о државној управи и Уредбе о управним окрузима), као и јачање техничких и стручних капацитета у циљу квалитетнијег вршења надзора, уз посебан фокус на редефинисању система управних округа. Први ниво унапређења усмерен је на редефинисање процеса другостепеног одлучивања у области изворних послова и разматрањ</w:t>
      </w:r>
      <w:r w:rsidR="007E161D" w:rsidRPr="1A8E6423">
        <w:rPr>
          <w:rFonts w:ascii="Arial" w:hAnsi="Arial" w:cs="Arial"/>
          <w:b w:val="0"/>
          <w:noProof w:val="0"/>
          <w:sz w:val="20"/>
          <w:szCs w:val="20"/>
          <w:lang w:val="sr-Cyrl-RS"/>
        </w:rPr>
        <w:t>е</w:t>
      </w:r>
      <w:r w:rsidRPr="1A8E6423">
        <w:rPr>
          <w:rFonts w:ascii="Arial" w:hAnsi="Arial" w:cs="Arial"/>
          <w:b w:val="0"/>
          <w:noProof w:val="0"/>
          <w:sz w:val="20"/>
          <w:szCs w:val="20"/>
          <w:lang w:val="sr-Cyrl-RS"/>
        </w:rPr>
        <w:t xml:space="preserve"> могућности за оснивање посебног локалног органа или међуопштинског органа који обављао ове послове како би се питање управног одлучивања изместило из општинског или градског већа</w:t>
      </w:r>
      <w:r w:rsidR="007E161D"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кој</w:t>
      </w:r>
      <w:r w:rsidR="007E161D" w:rsidRPr="1A8E6423">
        <w:rPr>
          <w:rFonts w:ascii="Arial" w:hAnsi="Arial" w:cs="Arial"/>
          <w:b w:val="0"/>
          <w:noProof w:val="0"/>
          <w:sz w:val="20"/>
          <w:szCs w:val="20"/>
          <w:lang w:val="sr-Cyrl-RS"/>
        </w:rPr>
        <w:t>е</w:t>
      </w:r>
      <w:r w:rsidRPr="1A8E6423">
        <w:rPr>
          <w:rFonts w:ascii="Arial" w:hAnsi="Arial" w:cs="Arial"/>
          <w:b w:val="0"/>
          <w:noProof w:val="0"/>
          <w:sz w:val="20"/>
          <w:szCs w:val="20"/>
          <w:lang w:val="sr-Cyrl-RS"/>
        </w:rPr>
        <w:t xml:space="preserve"> је првенствено политички орган. Следећи ниво промена јесте наставак јачања надзорне функције локалне скупштине</w:t>
      </w:r>
      <w:r w:rsidR="007E161D"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како према извршним органима тако и према јавним предузећима и установама чији </w:t>
      </w:r>
      <w:r w:rsidR="007E161D" w:rsidRPr="1A8E6423">
        <w:rPr>
          <w:rFonts w:ascii="Arial" w:hAnsi="Arial" w:cs="Arial"/>
          <w:b w:val="0"/>
          <w:noProof w:val="0"/>
          <w:sz w:val="20"/>
          <w:szCs w:val="20"/>
          <w:lang w:val="sr-Cyrl-RS"/>
        </w:rPr>
        <w:t xml:space="preserve">је </w:t>
      </w:r>
      <w:r w:rsidRPr="1A8E6423">
        <w:rPr>
          <w:rFonts w:ascii="Arial" w:hAnsi="Arial" w:cs="Arial"/>
          <w:b w:val="0"/>
          <w:noProof w:val="0"/>
          <w:sz w:val="20"/>
          <w:szCs w:val="20"/>
          <w:lang w:val="sr-Cyrl-RS"/>
        </w:rPr>
        <w:t>оснивач локална самоуправа. Трећи ниво реформе представља унапређење надзорне функције органа државне управе. У вези са тим, првенствена пажња биће посвећена програмима стручног усавршавања за јачање стручних капацитет</w:t>
      </w:r>
      <w:r w:rsidR="007E161D" w:rsidRPr="1A8E6423">
        <w:rPr>
          <w:rFonts w:ascii="Arial" w:hAnsi="Arial" w:cs="Arial"/>
          <w:b w:val="0"/>
          <w:noProof w:val="0"/>
          <w:sz w:val="20"/>
          <w:szCs w:val="20"/>
          <w:lang w:val="sr-Cyrl-RS"/>
        </w:rPr>
        <w:t>а</w:t>
      </w:r>
      <w:r w:rsidRPr="1A8E6423">
        <w:rPr>
          <w:rFonts w:ascii="Arial" w:hAnsi="Arial" w:cs="Arial"/>
          <w:b w:val="0"/>
          <w:noProof w:val="0"/>
          <w:sz w:val="20"/>
          <w:szCs w:val="20"/>
          <w:lang w:val="sr-Cyrl-RS"/>
        </w:rPr>
        <w:t xml:space="preserve"> запослених у ресорним министарствима за квалитетно праћење стања у локалној самоуправи. Приоритет јесте и разматрање и потенцијално редефинисање улоге </w:t>
      </w:r>
      <w:r w:rsidR="007E161D" w:rsidRPr="1A8E6423">
        <w:rPr>
          <w:rFonts w:ascii="Arial" w:hAnsi="Arial" w:cs="Arial"/>
          <w:b w:val="0"/>
          <w:noProof w:val="0"/>
          <w:sz w:val="20"/>
          <w:szCs w:val="20"/>
          <w:lang w:val="sr-Cyrl-RS"/>
        </w:rPr>
        <w:t>у</w:t>
      </w:r>
      <w:r w:rsidRPr="1A8E6423">
        <w:rPr>
          <w:rFonts w:ascii="Arial" w:hAnsi="Arial" w:cs="Arial"/>
          <w:b w:val="0"/>
          <w:noProof w:val="0"/>
          <w:sz w:val="20"/>
          <w:szCs w:val="20"/>
          <w:lang w:val="sr-Cyrl-RS"/>
        </w:rPr>
        <w:t xml:space="preserve">правних округа и подручних јединица ресорних министарстава у правцу још квалитетнијег остваривања функције надзора над спровођењем поверених послова ЈЛС, уз могуће функционално јачање самих округа као основног система надзора у овој области. Коначно, </w:t>
      </w:r>
      <w:r w:rsidR="007E161D" w:rsidRPr="1A8E6423">
        <w:rPr>
          <w:rFonts w:ascii="Arial" w:hAnsi="Arial" w:cs="Arial"/>
          <w:b w:val="0"/>
          <w:noProof w:val="0"/>
          <w:sz w:val="20"/>
          <w:szCs w:val="20"/>
          <w:lang w:val="sr-Cyrl-RS"/>
        </w:rPr>
        <w:t>ради</w:t>
      </w:r>
      <w:r w:rsidRPr="1A8E6423">
        <w:rPr>
          <w:rFonts w:ascii="Arial" w:hAnsi="Arial" w:cs="Arial"/>
          <w:b w:val="0"/>
          <w:noProof w:val="0"/>
          <w:sz w:val="20"/>
          <w:szCs w:val="20"/>
          <w:lang w:val="sr-Cyrl-RS"/>
        </w:rPr>
        <w:t xml:space="preserve"> остваривања квалитетног надзора над радом ЈЛС, смањивања оптерећења самих локалних власти сталним и </w:t>
      </w:r>
      <w:r w:rsidR="007E161D" w:rsidRPr="1A8E6423">
        <w:rPr>
          <w:rFonts w:ascii="Arial" w:hAnsi="Arial" w:cs="Arial"/>
          <w:b w:val="0"/>
          <w:i/>
          <w:iCs/>
          <w:noProof w:val="0"/>
          <w:sz w:val="20"/>
          <w:szCs w:val="20"/>
        </w:rPr>
        <w:t xml:space="preserve">ad hoc </w:t>
      </w:r>
      <w:r w:rsidRPr="1A8E6423">
        <w:rPr>
          <w:rFonts w:ascii="Arial" w:hAnsi="Arial" w:cs="Arial"/>
          <w:b w:val="0"/>
          <w:noProof w:val="0"/>
          <w:sz w:val="20"/>
          <w:szCs w:val="20"/>
          <w:lang w:val="sr-Cyrl-RS"/>
        </w:rPr>
        <w:t>захтевима за извештавањем о различи</w:t>
      </w:r>
      <w:r w:rsidR="007E161D" w:rsidRPr="1A8E6423">
        <w:rPr>
          <w:rFonts w:ascii="Arial" w:hAnsi="Arial" w:cs="Arial"/>
          <w:b w:val="0"/>
          <w:noProof w:val="0"/>
          <w:sz w:val="20"/>
          <w:szCs w:val="20"/>
          <w:lang w:val="sr-Cyrl-RS"/>
        </w:rPr>
        <w:t>ти</w:t>
      </w:r>
      <w:r w:rsidRPr="1A8E6423">
        <w:rPr>
          <w:rFonts w:ascii="Arial" w:hAnsi="Arial" w:cs="Arial"/>
          <w:b w:val="0"/>
          <w:noProof w:val="0"/>
          <w:sz w:val="20"/>
          <w:szCs w:val="20"/>
          <w:lang w:val="sr-Cyrl-RS"/>
        </w:rPr>
        <w:t>м питањима и</w:t>
      </w:r>
      <w:r w:rsidR="007E161D"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посебно</w:t>
      </w:r>
      <w:r w:rsidR="007E161D" w:rsidRPr="1A8E6423">
        <w:rPr>
          <w:rFonts w:ascii="Arial" w:hAnsi="Arial" w:cs="Arial"/>
          <w:b w:val="0"/>
          <w:noProof w:val="0"/>
          <w:sz w:val="20"/>
          <w:szCs w:val="20"/>
          <w:lang w:val="sr-Cyrl-RS"/>
        </w:rPr>
        <w:t>,</w:t>
      </w:r>
      <w:r w:rsidRPr="1A8E6423">
        <w:rPr>
          <w:rFonts w:ascii="Arial" w:hAnsi="Arial" w:cs="Arial"/>
          <w:b w:val="0"/>
          <w:noProof w:val="0"/>
          <w:sz w:val="20"/>
          <w:szCs w:val="20"/>
          <w:lang w:val="sr-Cyrl-RS"/>
        </w:rPr>
        <w:t xml:space="preserve"> обједињавања кључних података и информација о систему локалне самоуправе, планирана је израда јединственог електронског портала за праћење информација и података о локалној самоуправи у Републици Србији.</w:t>
      </w:r>
      <w:bookmarkEnd w:id="168"/>
    </w:p>
    <w:p w14:paraId="69F91706" w14:textId="77777777" w:rsidR="003842D2" w:rsidRPr="00A021B7" w:rsidRDefault="003842D2" w:rsidP="003E7BC9">
      <w:pPr>
        <w:pStyle w:val="Heading2"/>
        <w:spacing w:before="0"/>
        <w:jc w:val="both"/>
        <w:rPr>
          <w:rFonts w:ascii="Arial" w:hAnsi="Arial" w:cs="Arial"/>
          <w:lang w:val="sr-Cyrl-RS"/>
        </w:rPr>
      </w:pPr>
    </w:p>
    <w:p w14:paraId="34F1BBE2" w14:textId="06B01B5E" w:rsidR="005E6575" w:rsidRPr="00A021B7" w:rsidRDefault="005E6575" w:rsidP="004935B9">
      <w:pPr>
        <w:pStyle w:val="Heading2"/>
        <w:rPr>
          <w:lang w:val="sr-Cyrl-RS"/>
        </w:rPr>
      </w:pPr>
      <w:bookmarkStart w:id="169" w:name="_Toc60136112"/>
      <w:r w:rsidRPr="00A021B7">
        <w:rPr>
          <w:lang w:val="sr-Cyrl-RS"/>
        </w:rPr>
        <w:t>ПОСЕБНИ ЦИЉ 2: УНАПРЕЂЕН СИСТЕМ ФИНАНСИРАЊА ЛОКАЛНЕ САМОУПРАВЕ</w:t>
      </w:r>
      <w:bookmarkEnd w:id="169"/>
    </w:p>
    <w:p w14:paraId="38C18C31"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p w14:paraId="640E8A19" w14:textId="2CC889C1" w:rsidR="00F84852" w:rsidRPr="00A021B7" w:rsidRDefault="00F84852" w:rsidP="1A8E6423">
      <w:pPr>
        <w:pStyle w:val="Naslov111"/>
        <w:ind w:left="0" w:firstLine="720"/>
        <w:jc w:val="both"/>
        <w:rPr>
          <w:rFonts w:ascii="Arial" w:hAnsi="Arial" w:cs="Arial"/>
          <w:b w:val="0"/>
          <w:noProof w:val="0"/>
          <w:color w:val="000000" w:themeColor="text1"/>
          <w:sz w:val="20"/>
          <w:szCs w:val="20"/>
          <w:lang w:val="sr-Cyrl-RS"/>
        </w:rPr>
      </w:pPr>
      <w:bookmarkStart w:id="170" w:name="_Toc60136113"/>
      <w:r w:rsidRPr="1A8E6423">
        <w:rPr>
          <w:rFonts w:ascii="Arial" w:hAnsi="Arial" w:cs="Arial"/>
          <w:b w:val="0"/>
          <w:noProof w:val="0"/>
          <w:color w:val="000000" w:themeColor="text1"/>
          <w:sz w:val="20"/>
          <w:szCs w:val="20"/>
          <w:lang w:val="sr-Cyrl-RS"/>
        </w:rPr>
        <w:t>Систем финансирања ЛС треба да буде стабилан и предвидив и да омогући дугорочно планирање и финансирања локалних јавних функција.</w:t>
      </w:r>
      <w:r w:rsidR="000A442F"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t>Он треба да буде такав да доведе до већег учешћа прихода и расхода ЈЛС у укупним јавним приходима и расходима опште државе</w:t>
      </w:r>
      <w:r w:rsidR="000A442F"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lastRenderedPageBreak/>
        <w:t>што је предуслов за већу фискалну децентрализацију и самосталност локалне самоуправе, али и такав да унапреди стру</w:t>
      </w:r>
      <w:r w:rsidR="000A442F" w:rsidRPr="1A8E6423">
        <w:rPr>
          <w:rFonts w:ascii="Arial" w:hAnsi="Arial" w:cs="Arial"/>
          <w:b w:val="0"/>
          <w:noProof w:val="0"/>
          <w:color w:val="000000" w:themeColor="text1"/>
          <w:sz w:val="20"/>
          <w:szCs w:val="20"/>
          <w:lang w:val="sr-Cyrl-RS"/>
        </w:rPr>
        <w:t>к</w:t>
      </w:r>
      <w:r w:rsidRPr="1A8E6423">
        <w:rPr>
          <w:rFonts w:ascii="Arial" w:hAnsi="Arial" w:cs="Arial"/>
          <w:b w:val="0"/>
          <w:noProof w:val="0"/>
          <w:color w:val="000000" w:themeColor="text1"/>
          <w:sz w:val="20"/>
          <w:szCs w:val="20"/>
          <w:lang w:val="sr-Cyrl-RS"/>
        </w:rPr>
        <w:t>туру расхода ЈЛС у правцу већег учешћа инвестиција. То претпоставља и већу финансијску дисциплину и контролу управљања финансијама у локалним самоуправама, као и одговарајући ниво сарадње са</w:t>
      </w:r>
      <w:r w:rsidR="00A063D4" w:rsidRPr="1A8E6423">
        <w:rPr>
          <w:rFonts w:ascii="Arial" w:hAnsi="Arial" w:cs="Arial"/>
          <w:b w:val="0"/>
          <w:noProof w:val="0"/>
          <w:color w:val="000000" w:themeColor="text1"/>
          <w:sz w:val="20"/>
          <w:szCs w:val="20"/>
          <w:lang w:val="sr-Cyrl-RS"/>
        </w:rPr>
        <w:t xml:space="preserve"> грађанима и</w:t>
      </w:r>
      <w:r w:rsidRPr="1A8E6423">
        <w:rPr>
          <w:rFonts w:ascii="Arial" w:hAnsi="Arial" w:cs="Arial"/>
          <w:b w:val="0"/>
          <w:noProof w:val="0"/>
          <w:color w:val="000000" w:themeColor="text1"/>
          <w:sz w:val="20"/>
          <w:szCs w:val="20"/>
          <w:lang w:val="sr-Cyrl-RS"/>
        </w:rPr>
        <w:t xml:space="preserve"> вишим нивоима власти ради адекватнијег планирања и праћењ</w:t>
      </w:r>
      <w:r w:rsidR="000A442F" w:rsidRPr="1A8E6423">
        <w:rPr>
          <w:rFonts w:ascii="Arial" w:hAnsi="Arial" w:cs="Arial"/>
          <w:b w:val="0"/>
          <w:noProof w:val="0"/>
          <w:color w:val="000000" w:themeColor="text1"/>
          <w:sz w:val="20"/>
          <w:szCs w:val="20"/>
          <w:lang w:val="sr-Cyrl-RS"/>
        </w:rPr>
        <w:t>а</w:t>
      </w:r>
      <w:r w:rsidRPr="1A8E6423">
        <w:rPr>
          <w:rFonts w:ascii="Arial" w:hAnsi="Arial" w:cs="Arial"/>
          <w:b w:val="0"/>
          <w:noProof w:val="0"/>
          <w:color w:val="000000" w:themeColor="text1"/>
          <w:sz w:val="20"/>
          <w:szCs w:val="20"/>
          <w:lang w:val="sr-Cyrl-RS"/>
        </w:rPr>
        <w:t xml:space="preserve"> система јавних финансија.</w:t>
      </w:r>
      <w:bookmarkEnd w:id="170"/>
    </w:p>
    <w:p w14:paraId="58BDE221"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tbl>
      <w:tblPr>
        <w:tblStyle w:val="TableGrid"/>
        <w:tblW w:w="4903" w:type="pct"/>
        <w:tblInd w:w="85" w:type="dxa"/>
        <w:tblLayout w:type="fixed"/>
        <w:tblLook w:val="04A0" w:firstRow="1" w:lastRow="0" w:firstColumn="1" w:lastColumn="0" w:noHBand="0" w:noVBand="1"/>
      </w:tblPr>
      <w:tblGrid>
        <w:gridCol w:w="2036"/>
        <w:gridCol w:w="1203"/>
        <w:gridCol w:w="1064"/>
        <w:gridCol w:w="1133"/>
        <w:gridCol w:w="1133"/>
        <w:gridCol w:w="1133"/>
        <w:gridCol w:w="1133"/>
      </w:tblGrid>
      <w:tr w:rsidR="005E6575" w:rsidRPr="00A021B7" w14:paraId="3104677E" w14:textId="77777777" w:rsidTr="1A8E6423">
        <w:tc>
          <w:tcPr>
            <w:tcW w:w="1152" w:type="pct"/>
            <w:vAlign w:val="center"/>
          </w:tcPr>
          <w:p w14:paraId="0798EDEC"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Показатељ исхода</w:t>
            </w:r>
          </w:p>
        </w:tc>
        <w:tc>
          <w:tcPr>
            <w:tcW w:w="681" w:type="pct"/>
            <w:vAlign w:val="center"/>
          </w:tcPr>
          <w:p w14:paraId="10EC39B9"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Полазна вредност</w:t>
            </w:r>
          </w:p>
        </w:tc>
        <w:tc>
          <w:tcPr>
            <w:tcW w:w="602" w:type="pct"/>
            <w:vAlign w:val="center"/>
          </w:tcPr>
          <w:p w14:paraId="516F3085" w14:textId="215DFDB0"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2021</w:t>
            </w:r>
            <w:r w:rsidR="000A442F" w:rsidRPr="1A8E6423">
              <w:rPr>
                <w:rFonts w:ascii="Arial" w:hAnsi="Arial" w:cs="Arial"/>
                <w:sz w:val="20"/>
                <w:szCs w:val="20"/>
                <w:lang w:val="sr-Cyrl-RS"/>
              </w:rPr>
              <w:t>.</w:t>
            </w:r>
          </w:p>
        </w:tc>
        <w:tc>
          <w:tcPr>
            <w:tcW w:w="641" w:type="pct"/>
            <w:vAlign w:val="center"/>
          </w:tcPr>
          <w:p w14:paraId="31A52EA4" w14:textId="2DDA10B8"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2022</w:t>
            </w:r>
            <w:r w:rsidR="000A442F" w:rsidRPr="1A8E6423">
              <w:rPr>
                <w:rFonts w:ascii="Arial" w:hAnsi="Arial" w:cs="Arial"/>
                <w:sz w:val="20"/>
                <w:szCs w:val="20"/>
                <w:lang w:val="sr-Cyrl-RS"/>
              </w:rPr>
              <w:t>.</w:t>
            </w:r>
          </w:p>
        </w:tc>
        <w:tc>
          <w:tcPr>
            <w:tcW w:w="641" w:type="pct"/>
            <w:vAlign w:val="center"/>
          </w:tcPr>
          <w:p w14:paraId="28FB18A1" w14:textId="7A572074"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w:t>
            </w:r>
            <w:r w:rsidR="006F7F01">
              <w:rPr>
                <w:rFonts w:ascii="Arial" w:hAnsi="Arial" w:cs="Arial"/>
                <w:sz w:val="20"/>
                <w:szCs w:val="20"/>
                <w:lang w:val="sr-Cyrl-RS"/>
              </w:rPr>
              <w:t>0</w:t>
            </w:r>
            <w:r w:rsidRPr="1A8E6423">
              <w:rPr>
                <w:rFonts w:ascii="Arial" w:hAnsi="Arial" w:cs="Arial"/>
                <w:sz w:val="20"/>
                <w:szCs w:val="20"/>
                <w:lang w:val="sr-Cyrl-RS"/>
              </w:rPr>
              <w:t>23</w:t>
            </w:r>
            <w:r w:rsidR="000A442F" w:rsidRPr="1A8E6423">
              <w:rPr>
                <w:rFonts w:ascii="Arial" w:hAnsi="Arial" w:cs="Arial"/>
                <w:sz w:val="20"/>
                <w:szCs w:val="20"/>
                <w:lang w:val="sr-Cyrl-RS"/>
              </w:rPr>
              <w:t>.</w:t>
            </w:r>
          </w:p>
        </w:tc>
        <w:tc>
          <w:tcPr>
            <w:tcW w:w="641" w:type="pct"/>
            <w:vAlign w:val="center"/>
          </w:tcPr>
          <w:p w14:paraId="43ECA42A" w14:textId="66F61678"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2024</w:t>
            </w:r>
            <w:r w:rsidR="000A442F" w:rsidRPr="1A8E6423">
              <w:rPr>
                <w:rFonts w:ascii="Arial" w:hAnsi="Arial" w:cs="Arial"/>
                <w:sz w:val="20"/>
                <w:szCs w:val="20"/>
                <w:lang w:val="sr-Cyrl-RS"/>
              </w:rPr>
              <w:t>.</w:t>
            </w:r>
          </w:p>
        </w:tc>
        <w:tc>
          <w:tcPr>
            <w:tcW w:w="641" w:type="pct"/>
            <w:vAlign w:val="center"/>
          </w:tcPr>
          <w:p w14:paraId="6862CAA1" w14:textId="09C8E0A0"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2025</w:t>
            </w:r>
            <w:r w:rsidR="000A442F" w:rsidRPr="1A8E6423">
              <w:rPr>
                <w:rFonts w:ascii="Arial" w:hAnsi="Arial" w:cs="Arial"/>
                <w:sz w:val="20"/>
                <w:szCs w:val="20"/>
                <w:lang w:val="sr-Cyrl-RS"/>
              </w:rPr>
              <w:t>.</w:t>
            </w:r>
          </w:p>
        </w:tc>
      </w:tr>
      <w:tr w:rsidR="007C1F4F" w:rsidRPr="00A021B7" w14:paraId="62F57521" w14:textId="77777777" w:rsidTr="1A8E6423">
        <w:tc>
          <w:tcPr>
            <w:tcW w:w="1152" w:type="pct"/>
            <w:vAlign w:val="center"/>
          </w:tcPr>
          <w:p w14:paraId="110320EC" w14:textId="36CF11B4" w:rsidR="007C1F4F" w:rsidRPr="00A021B7" w:rsidRDefault="04FA5616" w:rsidP="1A8E6423">
            <w:pPr>
              <w:pStyle w:val="basic-paragraph"/>
              <w:spacing w:before="0" w:beforeAutospacing="0" w:after="0" w:afterAutospacing="0"/>
              <w:rPr>
                <w:rFonts w:ascii="Arial" w:hAnsi="Arial" w:cs="Arial"/>
                <w:i/>
                <w:iCs/>
                <w:color w:val="000000" w:themeColor="text1"/>
                <w:sz w:val="20"/>
                <w:szCs w:val="20"/>
                <w:lang w:val="sr-Cyrl-RS"/>
              </w:rPr>
            </w:pPr>
            <w:r w:rsidRPr="1A8E6423">
              <w:rPr>
                <w:rFonts w:ascii="Arial" w:hAnsi="Arial" w:cs="Arial"/>
                <w:i/>
                <w:iCs/>
                <w:color w:val="000000" w:themeColor="text1"/>
                <w:sz w:val="20"/>
                <w:szCs w:val="20"/>
                <w:lang w:val="sr-Cyrl-RS"/>
              </w:rPr>
              <w:t xml:space="preserve">Удео </w:t>
            </w:r>
            <w:r w:rsidR="00145447">
              <w:rPr>
                <w:rFonts w:ascii="Arial" w:hAnsi="Arial" w:cs="Arial"/>
                <w:i/>
                <w:iCs/>
                <w:color w:val="000000" w:themeColor="text1"/>
                <w:sz w:val="20"/>
                <w:szCs w:val="20"/>
                <w:lang w:val="sr-Cyrl-RS"/>
              </w:rPr>
              <w:t xml:space="preserve">пореских </w:t>
            </w:r>
            <w:r w:rsidRPr="1A8E6423">
              <w:rPr>
                <w:rFonts w:ascii="Arial" w:hAnsi="Arial" w:cs="Arial"/>
                <w:i/>
                <w:iCs/>
                <w:color w:val="000000" w:themeColor="text1"/>
                <w:sz w:val="20"/>
                <w:szCs w:val="20"/>
                <w:lang w:val="sr-Cyrl-RS"/>
              </w:rPr>
              <w:t xml:space="preserve">прихода ЛС у укупним </w:t>
            </w:r>
            <w:r w:rsidR="00145447">
              <w:rPr>
                <w:rFonts w:ascii="Arial" w:hAnsi="Arial" w:cs="Arial"/>
                <w:i/>
                <w:iCs/>
                <w:color w:val="000000" w:themeColor="text1"/>
                <w:sz w:val="20"/>
                <w:szCs w:val="20"/>
                <w:lang w:val="sr-Cyrl-RS"/>
              </w:rPr>
              <w:t xml:space="preserve">пореским </w:t>
            </w:r>
            <w:r w:rsidRPr="1A8E6423">
              <w:rPr>
                <w:rFonts w:ascii="Arial" w:hAnsi="Arial" w:cs="Arial"/>
                <w:i/>
                <w:iCs/>
                <w:color w:val="000000" w:themeColor="text1"/>
                <w:sz w:val="20"/>
                <w:szCs w:val="20"/>
                <w:lang w:val="sr-Cyrl-RS"/>
              </w:rPr>
              <w:t>приходимау Републици Србији</w:t>
            </w:r>
          </w:p>
        </w:tc>
        <w:tc>
          <w:tcPr>
            <w:tcW w:w="681" w:type="pct"/>
            <w:vAlign w:val="center"/>
          </w:tcPr>
          <w:p w14:paraId="4012B089" w14:textId="40E6EA80" w:rsidR="007C1F4F" w:rsidRPr="00A021B7" w:rsidRDefault="0016449C" w:rsidP="007C1F4F">
            <w:pPr>
              <w:pStyle w:val="basic-paragraph"/>
              <w:spacing w:before="0" w:beforeAutospacing="0" w:after="0" w:afterAutospacing="0"/>
              <w:jc w:val="center"/>
              <w:rPr>
                <w:rFonts w:ascii="Arial" w:hAnsi="Arial" w:cs="Arial"/>
                <w:i/>
                <w:iCs/>
                <w:color w:val="000000" w:themeColor="text1"/>
                <w:sz w:val="20"/>
                <w:szCs w:val="20"/>
                <w:lang w:val="sr-Cyrl-RS"/>
              </w:rPr>
            </w:pPr>
            <w:r>
              <w:rPr>
                <w:rFonts w:ascii="Arial" w:hAnsi="Arial" w:cs="Arial"/>
                <w:i/>
                <w:iCs/>
                <w:color w:val="000000" w:themeColor="text1"/>
                <w:sz w:val="20"/>
                <w:szCs w:val="20"/>
              </w:rPr>
              <w:t>10</w:t>
            </w:r>
            <w:r w:rsidR="006F7F01">
              <w:rPr>
                <w:rFonts w:ascii="Arial" w:hAnsi="Arial" w:cs="Arial"/>
                <w:i/>
                <w:iCs/>
                <w:color w:val="000000" w:themeColor="text1"/>
                <w:sz w:val="20"/>
                <w:szCs w:val="20"/>
                <w:lang w:val="sr-Cyrl-RS"/>
              </w:rPr>
              <w:t>,</w:t>
            </w:r>
            <w:r>
              <w:rPr>
                <w:rFonts w:ascii="Arial" w:hAnsi="Arial" w:cs="Arial"/>
                <w:i/>
                <w:iCs/>
                <w:color w:val="000000" w:themeColor="text1"/>
                <w:sz w:val="20"/>
                <w:szCs w:val="20"/>
              </w:rPr>
              <w:t>12% (2020)</w:t>
            </w:r>
          </w:p>
        </w:tc>
        <w:tc>
          <w:tcPr>
            <w:tcW w:w="602" w:type="pct"/>
            <w:vAlign w:val="center"/>
          </w:tcPr>
          <w:p w14:paraId="280B5774" w14:textId="4B0C7A06" w:rsidR="007C1F4F" w:rsidRPr="00A021B7" w:rsidRDefault="006F7F01" w:rsidP="007C1F4F">
            <w:pPr>
              <w:pStyle w:val="basic-paragraph"/>
              <w:spacing w:before="0" w:beforeAutospacing="0" w:after="0" w:afterAutospacing="0"/>
              <w:jc w:val="center"/>
              <w:rPr>
                <w:rFonts w:ascii="Arial" w:hAnsi="Arial" w:cs="Arial"/>
                <w:i/>
                <w:iCs/>
                <w:color w:val="000000" w:themeColor="text1"/>
                <w:sz w:val="20"/>
                <w:szCs w:val="20"/>
                <w:lang w:val="sr-Cyrl-RS"/>
              </w:rPr>
            </w:pPr>
            <w:r>
              <w:rPr>
                <w:rFonts w:ascii="Arial" w:hAnsi="Arial" w:cs="Arial"/>
                <w:i/>
                <w:iCs/>
                <w:color w:val="000000" w:themeColor="text1"/>
                <w:sz w:val="20"/>
                <w:szCs w:val="20"/>
                <w:lang w:val="sr-Cyrl-RS"/>
              </w:rPr>
              <w:t>10,4%</w:t>
            </w:r>
          </w:p>
        </w:tc>
        <w:tc>
          <w:tcPr>
            <w:tcW w:w="641" w:type="pct"/>
            <w:vAlign w:val="center"/>
          </w:tcPr>
          <w:p w14:paraId="5626D541" w14:textId="05545AEB" w:rsidR="007C1F4F" w:rsidRPr="00A021B7" w:rsidRDefault="006F7F01" w:rsidP="1A8E6423">
            <w:pPr>
              <w:pStyle w:val="basic-paragraph"/>
              <w:spacing w:before="0" w:beforeAutospacing="0" w:after="0" w:afterAutospacing="0"/>
              <w:jc w:val="center"/>
              <w:rPr>
                <w:rFonts w:ascii="Arial" w:hAnsi="Arial" w:cs="Arial"/>
                <w:i/>
                <w:iCs/>
                <w:color w:val="000000" w:themeColor="text1"/>
                <w:sz w:val="20"/>
                <w:szCs w:val="20"/>
                <w:lang w:val="sr-Cyrl-RS"/>
              </w:rPr>
            </w:pPr>
            <w:r>
              <w:rPr>
                <w:rFonts w:ascii="Arial" w:hAnsi="Arial" w:cs="Arial"/>
                <w:i/>
                <w:iCs/>
                <w:color w:val="000000" w:themeColor="text1"/>
                <w:sz w:val="20"/>
                <w:szCs w:val="20"/>
                <w:lang w:val="sr-Cyrl-RS"/>
              </w:rPr>
              <w:t>10,7%</w:t>
            </w:r>
          </w:p>
        </w:tc>
        <w:tc>
          <w:tcPr>
            <w:tcW w:w="641" w:type="pct"/>
            <w:vAlign w:val="center"/>
          </w:tcPr>
          <w:p w14:paraId="2AD00FD5" w14:textId="738655DA" w:rsidR="007C1F4F" w:rsidRPr="00A021B7" w:rsidRDefault="006F7F01" w:rsidP="1A8E6423">
            <w:pPr>
              <w:pStyle w:val="basic-paragraph"/>
              <w:spacing w:before="0" w:beforeAutospacing="0" w:after="0" w:afterAutospacing="0"/>
              <w:jc w:val="center"/>
              <w:rPr>
                <w:rFonts w:ascii="Arial" w:hAnsi="Arial" w:cs="Arial"/>
                <w:i/>
                <w:iCs/>
                <w:color w:val="000000" w:themeColor="text1"/>
                <w:sz w:val="20"/>
                <w:szCs w:val="20"/>
                <w:lang w:val="sr-Cyrl-RS"/>
              </w:rPr>
            </w:pPr>
            <w:r>
              <w:rPr>
                <w:rFonts w:ascii="Arial" w:hAnsi="Arial" w:cs="Arial"/>
                <w:i/>
                <w:iCs/>
                <w:color w:val="000000" w:themeColor="text1"/>
                <w:sz w:val="20"/>
                <w:szCs w:val="20"/>
                <w:lang w:val="sr-Cyrl-RS"/>
              </w:rPr>
              <w:t>11,2%</w:t>
            </w:r>
          </w:p>
        </w:tc>
        <w:tc>
          <w:tcPr>
            <w:tcW w:w="641" w:type="pct"/>
            <w:vAlign w:val="center"/>
          </w:tcPr>
          <w:p w14:paraId="0AFC2377" w14:textId="7CFE7F7C" w:rsidR="007C1F4F" w:rsidRPr="00A021B7" w:rsidRDefault="006F7F01" w:rsidP="007C1F4F">
            <w:pPr>
              <w:pStyle w:val="basic-paragraph"/>
              <w:spacing w:before="0" w:beforeAutospacing="0" w:after="0" w:afterAutospacing="0"/>
              <w:jc w:val="center"/>
              <w:rPr>
                <w:rFonts w:ascii="Arial" w:hAnsi="Arial" w:cs="Arial"/>
                <w:i/>
                <w:iCs/>
                <w:color w:val="000000" w:themeColor="text1"/>
                <w:sz w:val="20"/>
                <w:szCs w:val="20"/>
                <w:lang w:val="sr-Cyrl-RS"/>
              </w:rPr>
            </w:pPr>
            <w:r>
              <w:rPr>
                <w:rFonts w:ascii="Arial" w:hAnsi="Arial" w:cs="Arial"/>
                <w:i/>
                <w:iCs/>
                <w:color w:val="000000" w:themeColor="text1"/>
                <w:sz w:val="20"/>
                <w:szCs w:val="20"/>
                <w:lang w:val="sr-Cyrl-RS"/>
              </w:rPr>
              <w:t>11,7%</w:t>
            </w:r>
          </w:p>
        </w:tc>
        <w:tc>
          <w:tcPr>
            <w:tcW w:w="641" w:type="pct"/>
            <w:vAlign w:val="center"/>
          </w:tcPr>
          <w:p w14:paraId="05E951D8" w14:textId="653C7E1F" w:rsidR="007C1F4F" w:rsidRPr="00A021B7" w:rsidRDefault="006F7F01" w:rsidP="1A8E6423">
            <w:pPr>
              <w:pStyle w:val="basic-paragraph"/>
              <w:spacing w:before="0" w:beforeAutospacing="0" w:after="0" w:afterAutospacing="0"/>
              <w:jc w:val="center"/>
              <w:rPr>
                <w:rFonts w:ascii="Arial" w:hAnsi="Arial" w:cs="Arial"/>
                <w:i/>
                <w:iCs/>
                <w:color w:val="000000" w:themeColor="text1"/>
                <w:sz w:val="20"/>
                <w:szCs w:val="20"/>
                <w:lang w:val="sr-Cyrl-RS"/>
              </w:rPr>
            </w:pPr>
            <w:r>
              <w:rPr>
                <w:rFonts w:ascii="Arial" w:hAnsi="Arial" w:cs="Arial"/>
                <w:i/>
                <w:iCs/>
                <w:color w:val="000000" w:themeColor="text1"/>
                <w:sz w:val="20"/>
                <w:szCs w:val="20"/>
                <w:lang w:val="sr-Cyrl-RS"/>
              </w:rPr>
              <w:t>12,3%</w:t>
            </w:r>
          </w:p>
        </w:tc>
      </w:tr>
      <w:tr w:rsidR="007C1F4F" w:rsidRPr="00A021B7" w14:paraId="7561C172" w14:textId="77777777" w:rsidTr="1A8E6423">
        <w:tc>
          <w:tcPr>
            <w:tcW w:w="1152" w:type="pct"/>
            <w:vAlign w:val="center"/>
          </w:tcPr>
          <w:p w14:paraId="6BF2DEDE" w14:textId="1A2B22A2" w:rsidR="007C1F4F" w:rsidRPr="00A021B7" w:rsidRDefault="04FA5616" w:rsidP="1A8E6423">
            <w:pPr>
              <w:pStyle w:val="basic-paragraph"/>
              <w:spacing w:before="0" w:beforeAutospacing="0" w:after="0" w:afterAutospacing="0"/>
              <w:rPr>
                <w:rFonts w:ascii="Arial" w:hAnsi="Arial" w:cs="Arial"/>
                <w:i/>
                <w:iCs/>
                <w:color w:val="000000" w:themeColor="text1"/>
                <w:sz w:val="20"/>
                <w:szCs w:val="20"/>
                <w:lang w:val="sr-Cyrl-RS"/>
              </w:rPr>
            </w:pPr>
            <w:r w:rsidRPr="1A8E6423">
              <w:rPr>
                <w:rFonts w:ascii="Arial" w:hAnsi="Arial" w:cs="Arial"/>
                <w:i/>
                <w:iCs/>
                <w:color w:val="000000" w:themeColor="text1"/>
                <w:sz w:val="20"/>
                <w:szCs w:val="20"/>
                <w:lang w:val="sr-Cyrl-RS"/>
              </w:rPr>
              <w:t>Удео капиталних издатака у укупним издацима локалне самоуправе</w:t>
            </w:r>
          </w:p>
        </w:tc>
        <w:tc>
          <w:tcPr>
            <w:tcW w:w="681" w:type="pct"/>
            <w:vAlign w:val="center"/>
          </w:tcPr>
          <w:p w14:paraId="5F5CE022" w14:textId="6E035BE7" w:rsidR="007C1F4F" w:rsidRPr="00A021B7" w:rsidRDefault="04FA5616" w:rsidP="1A8E6423">
            <w:pPr>
              <w:pStyle w:val="basic-paragraph"/>
              <w:spacing w:before="0" w:beforeAutospacing="0" w:after="0" w:afterAutospacing="0"/>
              <w:jc w:val="center"/>
              <w:rPr>
                <w:rFonts w:ascii="Arial" w:hAnsi="Arial" w:cs="Arial"/>
                <w:i/>
                <w:iCs/>
                <w:color w:val="000000" w:themeColor="text1"/>
                <w:sz w:val="20"/>
                <w:szCs w:val="20"/>
                <w:lang w:val="sr-Cyrl-RS"/>
              </w:rPr>
            </w:pPr>
            <w:r w:rsidRPr="1A8E6423">
              <w:rPr>
                <w:rFonts w:ascii="Arial" w:hAnsi="Arial" w:cs="Arial"/>
                <w:i/>
                <w:iCs/>
                <w:color w:val="000000" w:themeColor="text1"/>
                <w:sz w:val="20"/>
                <w:szCs w:val="20"/>
                <w:lang w:val="sr-Cyrl-RS"/>
              </w:rPr>
              <w:t>15</w:t>
            </w:r>
            <w:r w:rsidR="000A442F" w:rsidRPr="1A8E6423">
              <w:rPr>
                <w:rFonts w:ascii="Arial" w:hAnsi="Arial" w:cs="Arial"/>
                <w:i/>
                <w:iCs/>
                <w:color w:val="000000" w:themeColor="text1"/>
                <w:sz w:val="20"/>
                <w:szCs w:val="20"/>
                <w:lang w:val="sr-Cyrl-RS"/>
              </w:rPr>
              <w:t>,</w:t>
            </w:r>
            <w:r w:rsidRPr="1A8E6423">
              <w:rPr>
                <w:rFonts w:ascii="Arial" w:hAnsi="Arial" w:cs="Arial"/>
                <w:i/>
                <w:iCs/>
                <w:color w:val="000000" w:themeColor="text1"/>
                <w:sz w:val="20"/>
                <w:szCs w:val="20"/>
                <w:lang w:val="sr-Cyrl-RS"/>
              </w:rPr>
              <w:t>54% (2019)</w:t>
            </w:r>
          </w:p>
        </w:tc>
        <w:tc>
          <w:tcPr>
            <w:tcW w:w="602" w:type="pct"/>
            <w:vAlign w:val="center"/>
          </w:tcPr>
          <w:p w14:paraId="090F715D" w14:textId="55F10AF6" w:rsidR="007C1F4F" w:rsidRPr="00A021B7" w:rsidRDefault="007C1F4F" w:rsidP="008E7770">
            <w:pPr>
              <w:pStyle w:val="basic-paragraph"/>
              <w:spacing w:before="0" w:beforeAutospacing="0" w:after="0" w:afterAutospacing="0"/>
              <w:jc w:val="center"/>
              <w:rPr>
                <w:rFonts w:ascii="Arial" w:hAnsi="Arial" w:cs="Arial"/>
                <w:bCs/>
                <w:i/>
                <w:iCs/>
                <w:color w:val="000000" w:themeColor="text1"/>
                <w:kern w:val="24"/>
                <w:sz w:val="20"/>
                <w:szCs w:val="20"/>
                <w:lang w:val="sr-Cyrl-RS"/>
              </w:rPr>
            </w:pPr>
            <w:r w:rsidRPr="00A021B7">
              <w:rPr>
                <w:rFonts w:ascii="Arial" w:hAnsi="Arial" w:cs="Arial"/>
                <w:bCs/>
                <w:i/>
                <w:iCs/>
                <w:color w:val="000000" w:themeColor="text1"/>
                <w:kern w:val="24"/>
                <w:sz w:val="20"/>
                <w:szCs w:val="20"/>
                <w:lang w:val="sr-Cyrl-RS"/>
              </w:rPr>
              <w:t>1</w:t>
            </w:r>
            <w:r w:rsidR="008E7770" w:rsidRPr="00A021B7">
              <w:rPr>
                <w:rFonts w:ascii="Arial" w:hAnsi="Arial" w:cs="Arial"/>
                <w:bCs/>
                <w:i/>
                <w:iCs/>
                <w:color w:val="000000" w:themeColor="text1"/>
                <w:kern w:val="24"/>
                <w:sz w:val="20"/>
                <w:szCs w:val="20"/>
                <w:lang w:val="sr-Cyrl-RS"/>
              </w:rPr>
              <w:t>6</w:t>
            </w:r>
            <w:r w:rsidRPr="00A021B7">
              <w:rPr>
                <w:rFonts w:ascii="Arial" w:hAnsi="Arial" w:cs="Arial"/>
                <w:bCs/>
                <w:i/>
                <w:iCs/>
                <w:color w:val="000000" w:themeColor="text1"/>
                <w:kern w:val="24"/>
                <w:sz w:val="20"/>
                <w:szCs w:val="20"/>
                <w:lang w:val="sr-Cyrl-RS"/>
              </w:rPr>
              <w:t>%</w:t>
            </w:r>
          </w:p>
        </w:tc>
        <w:tc>
          <w:tcPr>
            <w:tcW w:w="641" w:type="pct"/>
            <w:vAlign w:val="center"/>
          </w:tcPr>
          <w:p w14:paraId="307CBDAD" w14:textId="3406EB26" w:rsidR="007C1F4F" w:rsidRPr="00A021B7" w:rsidRDefault="04FA5616" w:rsidP="1A8E6423">
            <w:pPr>
              <w:pStyle w:val="basic-paragraph"/>
              <w:spacing w:before="0" w:beforeAutospacing="0" w:after="0" w:afterAutospacing="0"/>
              <w:jc w:val="center"/>
              <w:rPr>
                <w:rFonts w:ascii="Arial" w:hAnsi="Arial" w:cs="Arial"/>
                <w:i/>
                <w:iCs/>
                <w:color w:val="000000" w:themeColor="text1"/>
                <w:sz w:val="20"/>
                <w:szCs w:val="20"/>
                <w:lang w:val="sr-Cyrl-RS"/>
              </w:rPr>
            </w:pPr>
            <w:r w:rsidRPr="1A8E6423">
              <w:rPr>
                <w:rFonts w:ascii="Arial" w:hAnsi="Arial" w:cs="Arial"/>
                <w:i/>
                <w:iCs/>
                <w:color w:val="000000" w:themeColor="text1"/>
                <w:kern w:val="24"/>
                <w:sz w:val="20"/>
                <w:szCs w:val="20"/>
                <w:lang w:val="sr-Cyrl-RS"/>
              </w:rPr>
              <w:t>16</w:t>
            </w:r>
            <w:r w:rsidR="000A442F" w:rsidRPr="1A8E6423">
              <w:rPr>
                <w:rFonts w:ascii="Arial" w:hAnsi="Arial" w:cs="Arial"/>
                <w:i/>
                <w:iCs/>
                <w:color w:val="000000" w:themeColor="text1"/>
                <w:kern w:val="24"/>
                <w:sz w:val="20"/>
                <w:szCs w:val="20"/>
                <w:lang w:val="sr-Cyrl-RS"/>
              </w:rPr>
              <w:t>,</w:t>
            </w:r>
            <w:r w:rsidR="36AC1B05" w:rsidRPr="1A8E6423">
              <w:rPr>
                <w:rFonts w:ascii="Arial" w:hAnsi="Arial" w:cs="Arial"/>
                <w:i/>
                <w:iCs/>
                <w:color w:val="000000" w:themeColor="text1"/>
                <w:kern w:val="24"/>
                <w:sz w:val="20"/>
                <w:szCs w:val="20"/>
                <w:lang w:val="sr-Cyrl-RS"/>
              </w:rPr>
              <w:t>3</w:t>
            </w:r>
            <w:r w:rsidRPr="1A8E6423">
              <w:rPr>
                <w:rFonts w:ascii="Arial" w:hAnsi="Arial" w:cs="Arial"/>
                <w:i/>
                <w:iCs/>
                <w:color w:val="000000" w:themeColor="text1"/>
                <w:kern w:val="24"/>
                <w:sz w:val="20"/>
                <w:szCs w:val="20"/>
                <w:lang w:val="sr-Cyrl-RS"/>
              </w:rPr>
              <w:t>%</w:t>
            </w:r>
          </w:p>
        </w:tc>
        <w:tc>
          <w:tcPr>
            <w:tcW w:w="641" w:type="pct"/>
            <w:vAlign w:val="center"/>
          </w:tcPr>
          <w:p w14:paraId="3C8554DD" w14:textId="0877D8F7" w:rsidR="007C1F4F" w:rsidRPr="00A021B7" w:rsidRDefault="04FA5616" w:rsidP="1A8E6423">
            <w:pPr>
              <w:pStyle w:val="basic-paragraph"/>
              <w:spacing w:before="0" w:beforeAutospacing="0" w:after="0" w:afterAutospacing="0"/>
              <w:jc w:val="center"/>
              <w:rPr>
                <w:rFonts w:ascii="Arial" w:hAnsi="Arial" w:cs="Arial"/>
                <w:i/>
                <w:iCs/>
                <w:color w:val="000000" w:themeColor="text1"/>
                <w:sz w:val="20"/>
                <w:szCs w:val="20"/>
                <w:lang w:val="sr-Cyrl-RS"/>
              </w:rPr>
            </w:pPr>
            <w:r w:rsidRPr="1A8E6423">
              <w:rPr>
                <w:rFonts w:ascii="Arial" w:hAnsi="Arial" w:cs="Arial"/>
                <w:i/>
                <w:iCs/>
                <w:color w:val="000000" w:themeColor="text1"/>
                <w:kern w:val="24"/>
                <w:sz w:val="20"/>
                <w:szCs w:val="20"/>
                <w:lang w:val="sr-Cyrl-RS"/>
              </w:rPr>
              <w:t>1</w:t>
            </w:r>
            <w:r w:rsidR="36AC1B05" w:rsidRPr="1A8E6423">
              <w:rPr>
                <w:rFonts w:ascii="Arial" w:hAnsi="Arial" w:cs="Arial"/>
                <w:i/>
                <w:iCs/>
                <w:color w:val="000000" w:themeColor="text1"/>
                <w:kern w:val="24"/>
                <w:sz w:val="20"/>
                <w:szCs w:val="20"/>
                <w:lang w:val="sr-Cyrl-RS"/>
              </w:rPr>
              <w:t>6</w:t>
            </w:r>
            <w:r w:rsidR="000A442F" w:rsidRPr="1A8E6423">
              <w:rPr>
                <w:rFonts w:ascii="Arial" w:hAnsi="Arial" w:cs="Arial"/>
                <w:i/>
                <w:iCs/>
                <w:color w:val="000000" w:themeColor="text1"/>
                <w:kern w:val="24"/>
                <w:sz w:val="20"/>
                <w:szCs w:val="20"/>
                <w:lang w:val="sr-Cyrl-RS"/>
              </w:rPr>
              <w:t>,</w:t>
            </w:r>
            <w:r w:rsidR="36AC1B05" w:rsidRPr="1A8E6423">
              <w:rPr>
                <w:rFonts w:ascii="Arial" w:hAnsi="Arial" w:cs="Arial"/>
                <w:i/>
                <w:iCs/>
                <w:color w:val="000000" w:themeColor="text1"/>
                <w:kern w:val="24"/>
                <w:sz w:val="20"/>
                <w:szCs w:val="20"/>
                <w:lang w:val="sr-Cyrl-RS"/>
              </w:rPr>
              <w:t>7</w:t>
            </w:r>
            <w:r w:rsidRPr="1A8E6423">
              <w:rPr>
                <w:rFonts w:ascii="Arial" w:hAnsi="Arial" w:cs="Arial"/>
                <w:i/>
                <w:iCs/>
                <w:color w:val="000000" w:themeColor="text1"/>
                <w:kern w:val="24"/>
                <w:sz w:val="20"/>
                <w:szCs w:val="20"/>
                <w:lang w:val="sr-Cyrl-RS"/>
              </w:rPr>
              <w:t>%</w:t>
            </w:r>
          </w:p>
        </w:tc>
        <w:tc>
          <w:tcPr>
            <w:tcW w:w="641" w:type="pct"/>
            <w:vAlign w:val="center"/>
          </w:tcPr>
          <w:p w14:paraId="621572E8" w14:textId="78CB2C22" w:rsidR="007C1F4F" w:rsidRPr="00A021B7" w:rsidRDefault="04FA5616" w:rsidP="1A8E6423">
            <w:pPr>
              <w:pStyle w:val="basic-paragraph"/>
              <w:spacing w:before="0" w:beforeAutospacing="0" w:after="0" w:afterAutospacing="0"/>
              <w:jc w:val="center"/>
              <w:rPr>
                <w:rFonts w:ascii="Arial" w:hAnsi="Arial" w:cs="Arial"/>
                <w:i/>
                <w:iCs/>
                <w:color w:val="000000" w:themeColor="text1"/>
                <w:sz w:val="20"/>
                <w:szCs w:val="20"/>
                <w:lang w:val="sr-Cyrl-RS"/>
              </w:rPr>
            </w:pPr>
            <w:r w:rsidRPr="1A8E6423">
              <w:rPr>
                <w:rFonts w:ascii="Arial" w:hAnsi="Arial" w:cs="Arial"/>
                <w:i/>
                <w:iCs/>
                <w:color w:val="000000" w:themeColor="text1"/>
                <w:kern w:val="24"/>
                <w:sz w:val="20"/>
                <w:szCs w:val="20"/>
                <w:lang w:val="sr-Cyrl-RS"/>
              </w:rPr>
              <w:t>1</w:t>
            </w:r>
            <w:r w:rsidR="693F6C45" w:rsidRPr="1A8E6423">
              <w:rPr>
                <w:rFonts w:ascii="Arial" w:hAnsi="Arial" w:cs="Arial"/>
                <w:i/>
                <w:iCs/>
                <w:color w:val="000000" w:themeColor="text1"/>
                <w:kern w:val="24"/>
                <w:sz w:val="20"/>
                <w:szCs w:val="20"/>
                <w:lang w:val="sr-Cyrl-RS"/>
              </w:rPr>
              <w:t>7</w:t>
            </w:r>
            <w:r w:rsidR="000A442F" w:rsidRPr="1A8E6423">
              <w:rPr>
                <w:rFonts w:ascii="Arial" w:hAnsi="Arial" w:cs="Arial"/>
                <w:i/>
                <w:iCs/>
                <w:color w:val="000000" w:themeColor="text1"/>
                <w:kern w:val="24"/>
                <w:sz w:val="20"/>
                <w:szCs w:val="20"/>
                <w:lang w:val="sr-Cyrl-RS"/>
              </w:rPr>
              <w:t>,</w:t>
            </w:r>
            <w:r w:rsidR="36AC1B05" w:rsidRPr="1A8E6423">
              <w:rPr>
                <w:rFonts w:ascii="Arial" w:hAnsi="Arial" w:cs="Arial"/>
                <w:i/>
                <w:iCs/>
                <w:color w:val="000000" w:themeColor="text1"/>
                <w:kern w:val="24"/>
                <w:sz w:val="20"/>
                <w:szCs w:val="20"/>
                <w:lang w:val="sr-Cyrl-RS"/>
              </w:rPr>
              <w:t>2</w:t>
            </w:r>
            <w:r w:rsidRPr="1A8E6423">
              <w:rPr>
                <w:rFonts w:ascii="Arial" w:hAnsi="Arial" w:cs="Arial"/>
                <w:i/>
                <w:iCs/>
                <w:color w:val="000000" w:themeColor="text1"/>
                <w:kern w:val="24"/>
                <w:sz w:val="20"/>
                <w:szCs w:val="20"/>
                <w:lang w:val="sr-Cyrl-RS"/>
              </w:rPr>
              <w:t>%</w:t>
            </w:r>
          </w:p>
        </w:tc>
        <w:tc>
          <w:tcPr>
            <w:tcW w:w="641" w:type="pct"/>
            <w:vAlign w:val="center"/>
          </w:tcPr>
          <w:p w14:paraId="6BE61934" w14:textId="2568FB3B" w:rsidR="007C1F4F" w:rsidRPr="00A021B7" w:rsidRDefault="04FA5616" w:rsidP="1A8E6423">
            <w:pPr>
              <w:pStyle w:val="basic-paragraph"/>
              <w:spacing w:before="0" w:beforeAutospacing="0" w:after="0" w:afterAutospacing="0"/>
              <w:jc w:val="center"/>
              <w:rPr>
                <w:rFonts w:ascii="Arial" w:hAnsi="Arial" w:cs="Arial"/>
                <w:i/>
                <w:iCs/>
                <w:color w:val="000000" w:themeColor="text1"/>
                <w:sz w:val="20"/>
                <w:szCs w:val="20"/>
                <w:lang w:val="sr-Cyrl-RS"/>
              </w:rPr>
            </w:pPr>
            <w:r w:rsidRPr="1A8E6423">
              <w:rPr>
                <w:rFonts w:ascii="Arial" w:hAnsi="Arial" w:cs="Arial"/>
                <w:i/>
                <w:iCs/>
                <w:color w:val="000000" w:themeColor="text1"/>
                <w:kern w:val="24"/>
                <w:sz w:val="20"/>
                <w:szCs w:val="20"/>
                <w:lang w:val="sr-Cyrl-RS"/>
              </w:rPr>
              <w:t>17</w:t>
            </w:r>
            <w:r w:rsidR="000A442F" w:rsidRPr="1A8E6423">
              <w:rPr>
                <w:rFonts w:ascii="Arial" w:hAnsi="Arial" w:cs="Arial"/>
                <w:i/>
                <w:iCs/>
                <w:color w:val="000000" w:themeColor="text1"/>
                <w:kern w:val="24"/>
                <w:sz w:val="20"/>
                <w:szCs w:val="20"/>
                <w:lang w:val="sr-Cyrl-RS"/>
              </w:rPr>
              <w:t>,</w:t>
            </w:r>
            <w:r w:rsidR="36AC1B05" w:rsidRPr="1A8E6423">
              <w:rPr>
                <w:rFonts w:ascii="Arial" w:hAnsi="Arial" w:cs="Arial"/>
                <w:i/>
                <w:iCs/>
                <w:color w:val="000000" w:themeColor="text1"/>
                <w:kern w:val="24"/>
                <w:sz w:val="20"/>
                <w:szCs w:val="20"/>
                <w:lang w:val="sr-Cyrl-RS"/>
              </w:rPr>
              <w:t>5</w:t>
            </w:r>
            <w:r w:rsidRPr="1A8E6423">
              <w:rPr>
                <w:rFonts w:ascii="Arial" w:hAnsi="Arial" w:cs="Arial"/>
                <w:i/>
                <w:iCs/>
                <w:color w:val="000000" w:themeColor="text1"/>
                <w:kern w:val="24"/>
                <w:sz w:val="20"/>
                <w:szCs w:val="20"/>
                <w:lang w:val="sr-Cyrl-RS"/>
              </w:rPr>
              <w:t>%</w:t>
            </w:r>
          </w:p>
        </w:tc>
      </w:tr>
    </w:tbl>
    <w:p w14:paraId="42471F6F" w14:textId="75C33BBC"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p w14:paraId="18E543F6" w14:textId="65E69610" w:rsidR="005C02B6" w:rsidRPr="00A021B7" w:rsidRDefault="005C02B6" w:rsidP="005C02B6">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 xml:space="preserve">Мера 2.1: Реформа система финансирања локалне самоуправе </w:t>
      </w:r>
      <w:r w:rsidR="00A233B6" w:rsidRPr="00A021B7">
        <w:rPr>
          <w:rFonts w:ascii="Arial" w:hAnsi="Arial" w:cs="Arial"/>
          <w:b/>
          <w:color w:val="000000"/>
          <w:sz w:val="20"/>
          <w:szCs w:val="20"/>
          <w:lang w:val="sr-Cyrl-RS" w:eastAsia="sr-Latn-RS"/>
        </w:rPr>
        <w:t>и подршка развоју фискалне децентрализације</w:t>
      </w:r>
    </w:p>
    <w:p w14:paraId="2E6CFFAC" w14:textId="77777777" w:rsidR="005C02B6" w:rsidRPr="00A021B7" w:rsidRDefault="005C02B6" w:rsidP="005C02B6">
      <w:pPr>
        <w:jc w:val="both"/>
        <w:rPr>
          <w:rFonts w:ascii="Arial" w:hAnsi="Arial" w:cs="Arial"/>
          <w:b/>
          <w:color w:val="000000"/>
          <w:sz w:val="20"/>
          <w:szCs w:val="20"/>
          <w:lang w:val="sr-Cyrl-RS" w:eastAsia="sr-Latn-RS"/>
        </w:rPr>
      </w:pPr>
    </w:p>
    <w:p w14:paraId="12937DFA" w14:textId="688DE813" w:rsidR="002C4209" w:rsidRPr="00A021B7" w:rsidRDefault="00720F7A" w:rsidP="1A8E6423">
      <w:pPr>
        <w:ind w:firstLine="720"/>
        <w:jc w:val="both"/>
        <w:rPr>
          <w:rFonts w:ascii="Arial" w:hAnsi="Arial" w:cs="Arial"/>
          <w:sz w:val="20"/>
          <w:szCs w:val="20"/>
          <w:lang w:val="sr-Cyrl-RS"/>
        </w:rPr>
      </w:pPr>
      <w:bookmarkStart w:id="171" w:name="_Hlk63273795"/>
      <w:r w:rsidRPr="1A8E6423">
        <w:rPr>
          <w:rFonts w:ascii="Arial" w:hAnsi="Arial" w:cs="Arial"/>
          <w:sz w:val="20"/>
          <w:szCs w:val="20"/>
          <w:lang w:val="sr-Cyrl-RS"/>
        </w:rPr>
        <w:t xml:space="preserve">У оквиру ове мере, </w:t>
      </w:r>
      <w:r w:rsidR="005C02B6" w:rsidRPr="1A8E6423">
        <w:rPr>
          <w:rFonts w:ascii="Arial" w:hAnsi="Arial" w:cs="Arial"/>
          <w:sz w:val="20"/>
          <w:szCs w:val="20"/>
          <w:lang w:val="sr-Cyrl-RS"/>
        </w:rPr>
        <w:t>предвиђа</w:t>
      </w:r>
      <w:r w:rsidRPr="1A8E6423">
        <w:rPr>
          <w:rFonts w:ascii="Arial" w:hAnsi="Arial" w:cs="Arial"/>
          <w:sz w:val="20"/>
          <w:szCs w:val="20"/>
          <w:lang w:val="sr-Cyrl-RS"/>
        </w:rPr>
        <w:t xml:space="preserve"> се</w:t>
      </w:r>
      <w:r w:rsidR="005C02B6" w:rsidRPr="1A8E6423">
        <w:rPr>
          <w:rFonts w:ascii="Arial" w:hAnsi="Arial" w:cs="Arial"/>
          <w:sz w:val="20"/>
          <w:szCs w:val="20"/>
          <w:lang w:val="sr-Cyrl-RS"/>
        </w:rPr>
        <w:t xml:space="preserve"> предузимање неопходних корака за</w:t>
      </w:r>
      <w:r w:rsidRPr="1A8E6423">
        <w:rPr>
          <w:rFonts w:ascii="Arial" w:hAnsi="Arial" w:cs="Arial"/>
          <w:sz w:val="20"/>
          <w:szCs w:val="20"/>
          <w:lang w:val="sr-Cyrl-RS"/>
        </w:rPr>
        <w:t xml:space="preserve"> даље унапређење</w:t>
      </w:r>
      <w:r w:rsidR="005C02B6" w:rsidRPr="1A8E6423">
        <w:rPr>
          <w:rFonts w:ascii="Arial" w:hAnsi="Arial" w:cs="Arial"/>
          <w:sz w:val="20"/>
          <w:szCs w:val="20"/>
          <w:lang w:val="sr-Cyrl-RS"/>
        </w:rPr>
        <w:t xml:space="preserve"> </w:t>
      </w:r>
      <w:r w:rsidR="009078E1">
        <w:rPr>
          <w:rFonts w:ascii="Arial" w:hAnsi="Arial" w:cs="Arial"/>
          <w:sz w:val="20"/>
          <w:szCs w:val="20"/>
          <w:lang w:val="sr-Cyrl-RS"/>
        </w:rPr>
        <w:t>система</w:t>
      </w:r>
      <w:r w:rsidR="005C02B6" w:rsidRPr="1A8E6423">
        <w:rPr>
          <w:rFonts w:ascii="Arial" w:hAnsi="Arial" w:cs="Arial"/>
          <w:sz w:val="20"/>
          <w:szCs w:val="20"/>
          <w:lang w:val="sr-Cyrl-RS"/>
        </w:rPr>
        <w:t xml:space="preserve"> финансирањ</w:t>
      </w:r>
      <w:r w:rsidR="009078E1">
        <w:rPr>
          <w:rFonts w:ascii="Arial" w:hAnsi="Arial" w:cs="Arial"/>
          <w:sz w:val="20"/>
          <w:szCs w:val="20"/>
          <w:lang w:val="sr-Cyrl-RS"/>
        </w:rPr>
        <w:t>а</w:t>
      </w:r>
      <w:r w:rsidR="005C02B6" w:rsidRPr="1A8E6423">
        <w:rPr>
          <w:rFonts w:ascii="Arial" w:hAnsi="Arial" w:cs="Arial"/>
          <w:sz w:val="20"/>
          <w:szCs w:val="20"/>
          <w:lang w:val="sr-Cyrl-RS"/>
        </w:rPr>
        <w:t xml:space="preserve"> локалне самоуправе</w:t>
      </w:r>
      <w:r w:rsidR="00C207E2">
        <w:rPr>
          <w:rFonts w:ascii="Arial" w:hAnsi="Arial" w:cs="Arial"/>
          <w:sz w:val="20"/>
          <w:szCs w:val="20"/>
          <w:lang w:val="sr-Cyrl-RS"/>
        </w:rPr>
        <w:t xml:space="preserve"> и за подршку </w:t>
      </w:r>
      <w:r w:rsidR="005C02B6" w:rsidRPr="1A8E6423">
        <w:rPr>
          <w:rFonts w:ascii="Arial" w:hAnsi="Arial" w:cs="Arial"/>
          <w:sz w:val="20"/>
          <w:szCs w:val="20"/>
          <w:lang w:val="sr-Cyrl-RS"/>
        </w:rPr>
        <w:t>унапређењ</w:t>
      </w:r>
      <w:r w:rsidR="00C207E2">
        <w:rPr>
          <w:rFonts w:ascii="Arial" w:hAnsi="Arial" w:cs="Arial"/>
          <w:sz w:val="20"/>
          <w:szCs w:val="20"/>
          <w:lang w:val="sr-Cyrl-RS"/>
        </w:rPr>
        <w:t>у</w:t>
      </w:r>
      <w:r w:rsidR="005C02B6" w:rsidRPr="1A8E6423">
        <w:rPr>
          <w:rFonts w:ascii="Arial" w:hAnsi="Arial" w:cs="Arial"/>
          <w:sz w:val="20"/>
          <w:szCs w:val="20"/>
          <w:lang w:val="sr-Cyrl-RS"/>
        </w:rPr>
        <w:t xml:space="preserve"> капацитета ЈЛС за администрирање </w:t>
      </w:r>
      <w:r w:rsidR="00C207E2">
        <w:rPr>
          <w:rFonts w:ascii="Arial" w:hAnsi="Arial" w:cs="Arial"/>
          <w:sz w:val="20"/>
          <w:szCs w:val="20"/>
          <w:lang w:val="sr-Cyrl-RS"/>
        </w:rPr>
        <w:t>локалних изворних прихода</w:t>
      </w:r>
      <w:r w:rsidR="005C02B6" w:rsidRPr="1A8E6423">
        <w:rPr>
          <w:rFonts w:ascii="Arial" w:hAnsi="Arial" w:cs="Arial"/>
          <w:sz w:val="20"/>
          <w:szCs w:val="20"/>
          <w:lang w:val="sr-Cyrl-RS"/>
        </w:rPr>
        <w:t>.</w:t>
      </w:r>
      <w:r w:rsidR="00B618A1" w:rsidRPr="1A8E6423">
        <w:rPr>
          <w:rFonts w:ascii="Arial" w:hAnsi="Arial" w:cs="Arial"/>
          <w:sz w:val="20"/>
          <w:szCs w:val="20"/>
          <w:lang w:val="sr-Cyrl-RS"/>
        </w:rPr>
        <w:t xml:space="preserve"> </w:t>
      </w:r>
      <w:r w:rsidR="000A442F" w:rsidRPr="1A8E6423">
        <w:rPr>
          <w:rFonts w:ascii="Arial" w:hAnsi="Arial" w:cs="Arial"/>
          <w:sz w:val="20"/>
          <w:szCs w:val="20"/>
          <w:lang w:val="sr-Cyrl-RS"/>
        </w:rPr>
        <w:t>С обзиром на то</w:t>
      </w:r>
      <w:r w:rsidR="0091083B" w:rsidRPr="1A8E6423">
        <w:rPr>
          <w:rFonts w:ascii="Arial" w:hAnsi="Arial" w:cs="Arial"/>
          <w:sz w:val="20"/>
          <w:szCs w:val="20"/>
          <w:lang w:val="sr-Cyrl-RS"/>
        </w:rPr>
        <w:t xml:space="preserve"> да </w:t>
      </w:r>
      <w:r w:rsidR="002C4209" w:rsidRPr="1A8E6423">
        <w:rPr>
          <w:rFonts w:ascii="Arial" w:hAnsi="Arial" w:cs="Arial"/>
          <w:sz w:val="20"/>
          <w:szCs w:val="20"/>
          <w:lang w:val="sr-Cyrl-RS"/>
        </w:rPr>
        <w:t xml:space="preserve">је систем финансирања дефинисан системским </w:t>
      </w:r>
      <w:r w:rsidR="0091083B" w:rsidRPr="1A8E6423">
        <w:rPr>
          <w:rFonts w:ascii="Arial" w:hAnsi="Arial" w:cs="Arial"/>
          <w:sz w:val="20"/>
          <w:szCs w:val="20"/>
          <w:lang w:val="sr-Cyrl-RS"/>
        </w:rPr>
        <w:t>Закон</w:t>
      </w:r>
      <w:r w:rsidR="002C4209" w:rsidRPr="1A8E6423">
        <w:rPr>
          <w:rFonts w:ascii="Arial" w:hAnsi="Arial" w:cs="Arial"/>
          <w:sz w:val="20"/>
          <w:szCs w:val="20"/>
          <w:lang w:val="sr-Cyrl-RS"/>
        </w:rPr>
        <w:t>ом</w:t>
      </w:r>
      <w:r w:rsidR="0091083B" w:rsidRPr="1A8E6423">
        <w:rPr>
          <w:rFonts w:ascii="Arial" w:hAnsi="Arial" w:cs="Arial"/>
          <w:sz w:val="20"/>
          <w:szCs w:val="20"/>
          <w:lang w:val="sr-Cyrl-RS"/>
        </w:rPr>
        <w:t xml:space="preserve"> о финансирању локалне самоуправе</w:t>
      </w:r>
      <w:r w:rsidR="000A442F" w:rsidRPr="1A8E6423">
        <w:rPr>
          <w:rFonts w:ascii="Arial" w:hAnsi="Arial" w:cs="Arial"/>
          <w:sz w:val="20"/>
          <w:szCs w:val="20"/>
          <w:lang w:val="sr-Cyrl-RS"/>
        </w:rPr>
        <w:t>,</w:t>
      </w:r>
      <w:r w:rsidR="00EB58E1" w:rsidRPr="1A8E6423">
        <w:rPr>
          <w:rFonts w:ascii="Arial" w:hAnsi="Arial" w:cs="Arial"/>
          <w:sz w:val="20"/>
          <w:szCs w:val="20"/>
          <w:lang w:val="sr-Cyrl-RS"/>
        </w:rPr>
        <w:t xml:space="preserve"> </w:t>
      </w:r>
      <w:r w:rsidR="002C4209" w:rsidRPr="1A8E6423">
        <w:rPr>
          <w:rFonts w:ascii="Arial" w:hAnsi="Arial" w:cs="Arial"/>
          <w:sz w:val="20"/>
          <w:szCs w:val="20"/>
          <w:lang w:val="sr-Cyrl-RS"/>
        </w:rPr>
        <w:t xml:space="preserve">који се </w:t>
      </w:r>
      <w:r w:rsidR="00EB58E1" w:rsidRPr="1A8E6423">
        <w:rPr>
          <w:rFonts w:ascii="Arial" w:hAnsi="Arial" w:cs="Arial"/>
          <w:sz w:val="20"/>
          <w:szCs w:val="20"/>
          <w:lang w:val="sr-Cyrl-RS"/>
        </w:rPr>
        <w:t>примењује од 2007.</w:t>
      </w:r>
      <w:r w:rsidR="000E1F49" w:rsidRPr="1A8E6423">
        <w:rPr>
          <w:rFonts w:ascii="Arial" w:hAnsi="Arial" w:cs="Arial"/>
          <w:sz w:val="20"/>
          <w:szCs w:val="20"/>
          <w:lang w:val="sr-Cyrl-RS"/>
        </w:rPr>
        <w:t xml:space="preserve"> </w:t>
      </w:r>
      <w:r w:rsidR="00EB58E1" w:rsidRPr="1A8E6423">
        <w:rPr>
          <w:rFonts w:ascii="Arial" w:hAnsi="Arial" w:cs="Arial"/>
          <w:sz w:val="20"/>
          <w:szCs w:val="20"/>
          <w:lang w:val="sr-Cyrl-RS"/>
        </w:rPr>
        <w:t>године</w:t>
      </w:r>
      <w:r w:rsidR="000A442F" w:rsidRPr="1A8E6423">
        <w:rPr>
          <w:rFonts w:ascii="Arial" w:hAnsi="Arial" w:cs="Arial"/>
          <w:sz w:val="20"/>
          <w:szCs w:val="20"/>
          <w:lang w:val="sr-Cyrl-RS"/>
        </w:rPr>
        <w:t>,</w:t>
      </w:r>
      <w:r w:rsidR="002C4209" w:rsidRPr="1A8E6423">
        <w:rPr>
          <w:rFonts w:ascii="Arial" w:hAnsi="Arial" w:cs="Arial"/>
          <w:sz w:val="20"/>
          <w:szCs w:val="20"/>
          <w:lang w:val="sr-Cyrl-RS"/>
        </w:rPr>
        <w:t xml:space="preserve"> и другим прописима који уређују буџетски систем или </w:t>
      </w:r>
      <w:r w:rsidR="00687541">
        <w:rPr>
          <w:rFonts w:ascii="Arial" w:hAnsi="Arial" w:cs="Arial"/>
          <w:sz w:val="20"/>
          <w:szCs w:val="20"/>
          <w:lang w:val="sr-Cyrl-RS"/>
        </w:rPr>
        <w:t xml:space="preserve">законима који уређују </w:t>
      </w:r>
      <w:r w:rsidR="002C4209" w:rsidRPr="1A8E6423">
        <w:rPr>
          <w:rFonts w:ascii="Arial" w:hAnsi="Arial" w:cs="Arial"/>
          <w:sz w:val="20"/>
          <w:szCs w:val="20"/>
          <w:lang w:val="sr-Cyrl-RS"/>
        </w:rPr>
        <w:t>поједине приходе ЈЛС, као и да</w:t>
      </w:r>
      <w:r w:rsidR="00EB58E1" w:rsidRPr="1A8E6423">
        <w:rPr>
          <w:rFonts w:ascii="Arial" w:hAnsi="Arial" w:cs="Arial"/>
          <w:sz w:val="20"/>
          <w:szCs w:val="20"/>
          <w:lang w:val="sr-Cyrl-RS"/>
        </w:rPr>
        <w:t xml:space="preserve"> </w:t>
      </w:r>
      <w:r w:rsidR="002C4209" w:rsidRPr="1A8E6423">
        <w:rPr>
          <w:rFonts w:ascii="Arial" w:hAnsi="Arial" w:cs="Arial"/>
          <w:sz w:val="20"/>
          <w:szCs w:val="20"/>
          <w:lang w:val="sr-Cyrl-RS"/>
        </w:rPr>
        <w:t xml:space="preserve">је овај правни оквир </w:t>
      </w:r>
      <w:r w:rsidR="00EB58E1" w:rsidRPr="1A8E6423">
        <w:rPr>
          <w:rFonts w:ascii="Arial" w:hAnsi="Arial" w:cs="Arial"/>
          <w:sz w:val="20"/>
          <w:szCs w:val="20"/>
          <w:lang w:val="sr-Cyrl-RS"/>
        </w:rPr>
        <w:t xml:space="preserve">више пута значајно </w:t>
      </w:r>
      <w:r w:rsidR="002C4209" w:rsidRPr="1A8E6423">
        <w:rPr>
          <w:rFonts w:ascii="Arial" w:hAnsi="Arial" w:cs="Arial"/>
          <w:sz w:val="20"/>
          <w:szCs w:val="20"/>
          <w:lang w:val="sr-Cyrl-RS"/>
        </w:rPr>
        <w:t>унапређиван у претходној деценији</w:t>
      </w:r>
      <w:r w:rsidR="00EB58E1" w:rsidRPr="1A8E6423">
        <w:rPr>
          <w:rFonts w:ascii="Arial" w:hAnsi="Arial" w:cs="Arial"/>
          <w:sz w:val="20"/>
          <w:szCs w:val="20"/>
          <w:lang w:val="sr-Cyrl-RS"/>
        </w:rPr>
        <w:t xml:space="preserve">, постоји потреба да се изврши анализа </w:t>
      </w:r>
      <w:r w:rsidR="00F87953">
        <w:rPr>
          <w:rFonts w:ascii="Arial" w:hAnsi="Arial" w:cs="Arial"/>
          <w:sz w:val="20"/>
          <w:szCs w:val="20"/>
          <w:lang w:val="sr-Cyrl-RS"/>
        </w:rPr>
        <w:t xml:space="preserve">примене </w:t>
      </w:r>
      <w:r w:rsidR="002C4209" w:rsidRPr="1A8E6423">
        <w:rPr>
          <w:rFonts w:ascii="Arial" w:hAnsi="Arial" w:cs="Arial"/>
          <w:sz w:val="20"/>
          <w:szCs w:val="20"/>
          <w:lang w:val="sr-Cyrl-RS"/>
        </w:rPr>
        <w:t xml:space="preserve">постојећег </w:t>
      </w:r>
      <w:r w:rsidR="004B452E" w:rsidRPr="1A8E6423">
        <w:rPr>
          <w:rFonts w:ascii="Arial" w:hAnsi="Arial" w:cs="Arial"/>
          <w:sz w:val="20"/>
          <w:szCs w:val="20"/>
          <w:lang w:val="sr-Cyrl-RS"/>
        </w:rPr>
        <w:t>система финансирања</w:t>
      </w:r>
      <w:r w:rsidR="002C4209" w:rsidRPr="1A8E6423">
        <w:rPr>
          <w:rFonts w:ascii="Arial" w:hAnsi="Arial" w:cs="Arial"/>
          <w:sz w:val="20"/>
          <w:szCs w:val="20"/>
          <w:lang w:val="sr-Cyrl-RS"/>
        </w:rPr>
        <w:t xml:space="preserve"> локалне самоуправе</w:t>
      </w:r>
      <w:r w:rsidR="004B452E" w:rsidRPr="1A8E6423">
        <w:rPr>
          <w:rFonts w:ascii="Arial" w:hAnsi="Arial" w:cs="Arial"/>
          <w:sz w:val="20"/>
          <w:szCs w:val="20"/>
          <w:lang w:val="sr-Cyrl-RS"/>
        </w:rPr>
        <w:t xml:space="preserve">. </w:t>
      </w:r>
      <w:r w:rsidR="002C4209" w:rsidRPr="1A8E6423">
        <w:rPr>
          <w:rFonts w:ascii="Arial" w:hAnsi="Arial" w:cs="Arial"/>
          <w:sz w:val="20"/>
          <w:szCs w:val="20"/>
          <w:lang w:val="sr-Cyrl-RS"/>
        </w:rPr>
        <w:t>Поред примене правног оквира за финансирање локалне самоуправе, посебно т</w:t>
      </w:r>
      <w:r w:rsidR="004B452E" w:rsidRPr="1A8E6423">
        <w:rPr>
          <w:rFonts w:ascii="Arial" w:hAnsi="Arial" w:cs="Arial"/>
          <w:sz w:val="20"/>
          <w:szCs w:val="20"/>
          <w:lang w:val="sr-Cyrl-RS"/>
        </w:rPr>
        <w:t>реба</w:t>
      </w:r>
      <w:r w:rsidR="002113BF" w:rsidRPr="1A8E6423">
        <w:rPr>
          <w:rFonts w:ascii="Arial" w:hAnsi="Arial" w:cs="Arial"/>
          <w:sz w:val="20"/>
          <w:szCs w:val="20"/>
          <w:lang w:val="sr-Cyrl-RS"/>
        </w:rPr>
        <w:t xml:space="preserve"> </w:t>
      </w:r>
      <w:r w:rsidR="004B452E" w:rsidRPr="1A8E6423">
        <w:rPr>
          <w:rFonts w:ascii="Arial" w:hAnsi="Arial" w:cs="Arial"/>
          <w:sz w:val="20"/>
          <w:szCs w:val="20"/>
          <w:lang w:val="sr-Cyrl-RS"/>
        </w:rPr>
        <w:t xml:space="preserve">сагледати стање прихода и примања, као и расхода и издатака јединица локалне самоуправе (у смислу начина планирања и остваривања прихода и примања, односно планирања и извршења расхода и издатака, </w:t>
      </w:r>
      <w:r w:rsidR="000A442F" w:rsidRPr="1A8E6423">
        <w:rPr>
          <w:rFonts w:ascii="Arial" w:hAnsi="Arial" w:cs="Arial"/>
          <w:sz w:val="20"/>
          <w:szCs w:val="20"/>
          <w:lang w:val="sr-Cyrl-RS"/>
        </w:rPr>
        <w:t xml:space="preserve">њихове </w:t>
      </w:r>
      <w:r w:rsidR="004B452E" w:rsidRPr="1A8E6423">
        <w:rPr>
          <w:rFonts w:ascii="Arial" w:hAnsi="Arial" w:cs="Arial"/>
          <w:sz w:val="20"/>
          <w:szCs w:val="20"/>
          <w:lang w:val="sr-Cyrl-RS"/>
        </w:rPr>
        <w:t>усклађености са смерницама Министарства финансија и др.). Након тога</w:t>
      </w:r>
      <w:r w:rsidR="000A442F" w:rsidRPr="1A8E6423">
        <w:rPr>
          <w:rFonts w:ascii="Arial" w:hAnsi="Arial" w:cs="Arial"/>
          <w:sz w:val="20"/>
          <w:szCs w:val="20"/>
          <w:lang w:val="sr-Cyrl-RS"/>
        </w:rPr>
        <w:t>,</w:t>
      </w:r>
      <w:r w:rsidR="004B452E" w:rsidRPr="1A8E6423">
        <w:rPr>
          <w:rFonts w:ascii="Arial" w:hAnsi="Arial" w:cs="Arial"/>
          <w:sz w:val="20"/>
          <w:szCs w:val="20"/>
          <w:lang w:val="sr-Cyrl-RS"/>
        </w:rPr>
        <w:t xml:space="preserve"> на основу закључака из</w:t>
      </w:r>
      <w:r w:rsidR="002113BF" w:rsidRPr="1A8E6423">
        <w:rPr>
          <w:rFonts w:ascii="Arial" w:hAnsi="Arial" w:cs="Arial"/>
          <w:sz w:val="20"/>
          <w:szCs w:val="20"/>
          <w:lang w:val="sr-Cyrl-RS"/>
        </w:rPr>
        <w:t xml:space="preserve"> </w:t>
      </w:r>
      <w:r w:rsidR="002C4209" w:rsidRPr="1A8E6423">
        <w:rPr>
          <w:rFonts w:ascii="Arial" w:hAnsi="Arial" w:cs="Arial"/>
          <w:sz w:val="20"/>
          <w:szCs w:val="20"/>
          <w:lang w:val="sr-Cyrl-RS"/>
        </w:rPr>
        <w:t xml:space="preserve">ових </w:t>
      </w:r>
      <w:r w:rsidR="002113BF" w:rsidRPr="1A8E6423">
        <w:rPr>
          <w:rFonts w:ascii="Arial" w:hAnsi="Arial" w:cs="Arial"/>
          <w:sz w:val="20"/>
          <w:szCs w:val="20"/>
          <w:lang w:val="sr-Cyrl-RS"/>
        </w:rPr>
        <w:t>анализ</w:t>
      </w:r>
      <w:r w:rsidR="002C4209" w:rsidRPr="1A8E6423">
        <w:rPr>
          <w:rFonts w:ascii="Arial" w:hAnsi="Arial" w:cs="Arial"/>
          <w:sz w:val="20"/>
          <w:szCs w:val="20"/>
          <w:lang w:val="sr-Cyrl-RS"/>
        </w:rPr>
        <w:t>а</w:t>
      </w:r>
      <w:r w:rsidR="00396E97" w:rsidRPr="1A8E6423">
        <w:rPr>
          <w:rFonts w:ascii="Arial" w:hAnsi="Arial" w:cs="Arial"/>
          <w:sz w:val="20"/>
          <w:szCs w:val="20"/>
          <w:lang w:val="sr-Cyrl-RS"/>
        </w:rPr>
        <w:t>,</w:t>
      </w:r>
      <w:r w:rsidR="004B452E" w:rsidRPr="1A8E6423">
        <w:rPr>
          <w:rFonts w:ascii="Arial" w:hAnsi="Arial" w:cs="Arial"/>
          <w:sz w:val="20"/>
          <w:szCs w:val="20"/>
          <w:lang w:val="sr-Cyrl-RS"/>
        </w:rPr>
        <w:t xml:space="preserve"> </w:t>
      </w:r>
      <w:r w:rsidR="002C4209" w:rsidRPr="1A8E6423">
        <w:rPr>
          <w:rFonts w:ascii="Arial" w:hAnsi="Arial" w:cs="Arial"/>
          <w:sz w:val="20"/>
          <w:szCs w:val="20"/>
          <w:lang w:val="sr-Cyrl-RS"/>
        </w:rPr>
        <w:t xml:space="preserve">треба </w:t>
      </w:r>
      <w:r w:rsidR="004B452E" w:rsidRPr="1A8E6423">
        <w:rPr>
          <w:rFonts w:ascii="Arial" w:hAnsi="Arial" w:cs="Arial"/>
          <w:sz w:val="20"/>
          <w:szCs w:val="20"/>
          <w:lang w:val="sr-Cyrl-RS"/>
        </w:rPr>
        <w:t>приступи</w:t>
      </w:r>
      <w:r w:rsidR="002C4209" w:rsidRPr="1A8E6423">
        <w:rPr>
          <w:rFonts w:ascii="Arial" w:hAnsi="Arial" w:cs="Arial"/>
          <w:sz w:val="20"/>
          <w:szCs w:val="20"/>
          <w:lang w:val="sr-Cyrl-RS"/>
        </w:rPr>
        <w:t>ти</w:t>
      </w:r>
      <w:r w:rsidR="004B452E" w:rsidRPr="1A8E6423">
        <w:rPr>
          <w:rFonts w:ascii="Arial" w:hAnsi="Arial" w:cs="Arial"/>
          <w:sz w:val="20"/>
          <w:szCs w:val="20"/>
          <w:lang w:val="sr-Cyrl-RS"/>
        </w:rPr>
        <w:t xml:space="preserve"> </w:t>
      </w:r>
      <w:r w:rsidR="00EB58E1" w:rsidRPr="1A8E6423">
        <w:rPr>
          <w:rFonts w:ascii="Arial" w:hAnsi="Arial" w:cs="Arial"/>
          <w:sz w:val="20"/>
          <w:szCs w:val="20"/>
          <w:lang w:val="sr-Cyrl-RS"/>
        </w:rPr>
        <w:t>дефини</w:t>
      </w:r>
      <w:r w:rsidR="004B452E" w:rsidRPr="1A8E6423">
        <w:rPr>
          <w:rFonts w:ascii="Arial" w:hAnsi="Arial" w:cs="Arial"/>
          <w:sz w:val="20"/>
          <w:szCs w:val="20"/>
          <w:lang w:val="sr-Cyrl-RS"/>
        </w:rPr>
        <w:t xml:space="preserve">сању </w:t>
      </w:r>
      <w:r w:rsidR="00396E97" w:rsidRPr="1A8E6423">
        <w:rPr>
          <w:rFonts w:ascii="Arial" w:hAnsi="Arial" w:cs="Arial"/>
          <w:sz w:val="20"/>
          <w:szCs w:val="20"/>
          <w:lang w:val="sr-Cyrl-RS"/>
        </w:rPr>
        <w:t>могућег</w:t>
      </w:r>
      <w:r w:rsidR="00EB58E1" w:rsidRPr="1A8E6423">
        <w:rPr>
          <w:rFonts w:ascii="Arial" w:hAnsi="Arial" w:cs="Arial"/>
          <w:sz w:val="20"/>
          <w:szCs w:val="20"/>
          <w:lang w:val="sr-Cyrl-RS"/>
        </w:rPr>
        <w:t xml:space="preserve"> правц</w:t>
      </w:r>
      <w:r w:rsidR="004B452E" w:rsidRPr="1A8E6423">
        <w:rPr>
          <w:rFonts w:ascii="Arial" w:hAnsi="Arial" w:cs="Arial"/>
          <w:sz w:val="20"/>
          <w:szCs w:val="20"/>
          <w:lang w:val="sr-Cyrl-RS"/>
        </w:rPr>
        <w:t>а</w:t>
      </w:r>
      <w:r w:rsidR="00EB58E1" w:rsidRPr="1A8E6423">
        <w:rPr>
          <w:rFonts w:ascii="Arial" w:hAnsi="Arial" w:cs="Arial"/>
          <w:sz w:val="20"/>
          <w:szCs w:val="20"/>
          <w:lang w:val="sr-Cyrl-RS"/>
        </w:rPr>
        <w:t xml:space="preserve"> з</w:t>
      </w:r>
      <w:r w:rsidR="004B452E" w:rsidRPr="1A8E6423">
        <w:rPr>
          <w:rFonts w:ascii="Arial" w:hAnsi="Arial" w:cs="Arial"/>
          <w:sz w:val="20"/>
          <w:szCs w:val="20"/>
          <w:lang w:val="sr-Cyrl-RS"/>
        </w:rPr>
        <w:t>а унапређење система финансирања локалне самоуправе</w:t>
      </w:r>
      <w:r w:rsidR="00396E97" w:rsidRPr="1A8E6423">
        <w:rPr>
          <w:rFonts w:ascii="Arial" w:hAnsi="Arial" w:cs="Arial"/>
          <w:sz w:val="20"/>
          <w:szCs w:val="20"/>
          <w:lang w:val="sr-Cyrl-RS"/>
        </w:rPr>
        <w:t xml:space="preserve"> </w:t>
      </w:r>
      <w:r w:rsidR="002113BF" w:rsidRPr="1A8E6423">
        <w:rPr>
          <w:rFonts w:ascii="Arial" w:hAnsi="Arial" w:cs="Arial"/>
          <w:sz w:val="20"/>
          <w:szCs w:val="20"/>
          <w:lang w:val="sr-Cyrl-RS"/>
        </w:rPr>
        <w:t xml:space="preserve">– кроз реформу системског правног оквира </w:t>
      </w:r>
      <w:r w:rsidR="002328E0">
        <w:rPr>
          <w:rFonts w:ascii="Arial" w:hAnsi="Arial" w:cs="Arial"/>
          <w:sz w:val="20"/>
          <w:szCs w:val="20"/>
          <w:lang w:val="sr-Cyrl-RS"/>
        </w:rPr>
        <w:t xml:space="preserve">уколико она </w:t>
      </w:r>
      <w:r w:rsidR="002113BF" w:rsidRPr="1A8E6423">
        <w:rPr>
          <w:rFonts w:ascii="Arial" w:hAnsi="Arial" w:cs="Arial"/>
          <w:sz w:val="20"/>
          <w:szCs w:val="20"/>
          <w:lang w:val="sr-Cyrl-RS"/>
        </w:rPr>
        <w:t xml:space="preserve">буде </w:t>
      </w:r>
      <w:r w:rsidR="00861261">
        <w:rPr>
          <w:rFonts w:ascii="Arial" w:hAnsi="Arial" w:cs="Arial"/>
          <w:sz w:val="20"/>
          <w:szCs w:val="20"/>
          <w:lang w:val="sr-Cyrl-RS"/>
        </w:rPr>
        <w:t xml:space="preserve">била </w:t>
      </w:r>
      <w:r w:rsidR="002113BF" w:rsidRPr="1A8E6423">
        <w:rPr>
          <w:rFonts w:ascii="Arial" w:hAnsi="Arial" w:cs="Arial"/>
          <w:sz w:val="20"/>
          <w:szCs w:val="20"/>
          <w:lang w:val="sr-Cyrl-RS"/>
        </w:rPr>
        <w:t>потреб</w:t>
      </w:r>
      <w:r w:rsidR="00396E97" w:rsidRPr="1A8E6423">
        <w:rPr>
          <w:rFonts w:ascii="Arial" w:hAnsi="Arial" w:cs="Arial"/>
          <w:sz w:val="20"/>
          <w:szCs w:val="20"/>
          <w:lang w:val="sr-Cyrl-RS"/>
        </w:rPr>
        <w:t>н</w:t>
      </w:r>
      <w:r w:rsidR="002113BF" w:rsidRPr="1A8E6423">
        <w:rPr>
          <w:rFonts w:ascii="Arial" w:hAnsi="Arial" w:cs="Arial"/>
          <w:sz w:val="20"/>
          <w:szCs w:val="20"/>
          <w:lang w:val="sr-Cyrl-RS"/>
        </w:rPr>
        <w:t xml:space="preserve">а и </w:t>
      </w:r>
      <w:r w:rsidR="00396E97" w:rsidRPr="1A8E6423">
        <w:rPr>
          <w:rFonts w:ascii="Arial" w:hAnsi="Arial" w:cs="Arial"/>
          <w:sz w:val="20"/>
          <w:szCs w:val="20"/>
          <w:lang w:val="sr-Cyrl-RS"/>
        </w:rPr>
        <w:t xml:space="preserve">кроз обавезно даље интензивно </w:t>
      </w:r>
      <w:r w:rsidR="004B452E" w:rsidRPr="1A8E6423">
        <w:rPr>
          <w:rFonts w:ascii="Arial" w:hAnsi="Arial" w:cs="Arial"/>
          <w:sz w:val="20"/>
          <w:szCs w:val="20"/>
          <w:lang w:val="sr-Cyrl-RS"/>
        </w:rPr>
        <w:t>јачањ</w:t>
      </w:r>
      <w:r w:rsidR="00396E97" w:rsidRPr="1A8E6423">
        <w:rPr>
          <w:rFonts w:ascii="Arial" w:hAnsi="Arial" w:cs="Arial"/>
          <w:sz w:val="20"/>
          <w:szCs w:val="20"/>
          <w:lang w:val="sr-Cyrl-RS"/>
        </w:rPr>
        <w:t>е</w:t>
      </w:r>
      <w:r w:rsidR="002113BF" w:rsidRPr="1A8E6423">
        <w:rPr>
          <w:rFonts w:ascii="Arial" w:hAnsi="Arial" w:cs="Arial"/>
          <w:sz w:val="20"/>
          <w:szCs w:val="20"/>
          <w:lang w:val="sr-Cyrl-RS"/>
        </w:rPr>
        <w:t xml:space="preserve"> </w:t>
      </w:r>
      <w:r w:rsidR="004B452E" w:rsidRPr="1A8E6423">
        <w:rPr>
          <w:rFonts w:ascii="Arial" w:hAnsi="Arial" w:cs="Arial"/>
          <w:sz w:val="20"/>
          <w:szCs w:val="20"/>
          <w:lang w:val="sr-Cyrl-RS"/>
        </w:rPr>
        <w:t>капацитета</w:t>
      </w:r>
      <w:r w:rsidR="002113BF" w:rsidRPr="1A8E6423">
        <w:rPr>
          <w:rFonts w:ascii="Arial" w:hAnsi="Arial" w:cs="Arial"/>
          <w:sz w:val="20"/>
          <w:szCs w:val="20"/>
          <w:lang w:val="sr-Cyrl-RS"/>
        </w:rPr>
        <w:t xml:space="preserve"> </w:t>
      </w:r>
      <w:r w:rsidR="004B452E" w:rsidRPr="1A8E6423">
        <w:rPr>
          <w:rFonts w:ascii="Arial" w:hAnsi="Arial" w:cs="Arial"/>
          <w:sz w:val="20"/>
          <w:szCs w:val="20"/>
          <w:lang w:val="sr-Cyrl-RS"/>
        </w:rPr>
        <w:t xml:space="preserve">за управљање </w:t>
      </w:r>
      <w:r w:rsidR="00396E97" w:rsidRPr="1A8E6423">
        <w:rPr>
          <w:rFonts w:ascii="Arial" w:hAnsi="Arial" w:cs="Arial"/>
          <w:sz w:val="20"/>
          <w:szCs w:val="20"/>
          <w:lang w:val="sr-Cyrl-RS"/>
        </w:rPr>
        <w:t>локалним финансијама</w:t>
      </w:r>
      <w:r w:rsidR="002113BF" w:rsidRPr="1A8E6423">
        <w:rPr>
          <w:rFonts w:ascii="Arial" w:hAnsi="Arial" w:cs="Arial"/>
          <w:sz w:val="20"/>
          <w:szCs w:val="20"/>
          <w:lang w:val="sr-Cyrl-RS"/>
        </w:rPr>
        <w:t xml:space="preserve"> и</w:t>
      </w:r>
      <w:r w:rsidR="00396E97" w:rsidRPr="1A8E6423">
        <w:rPr>
          <w:rFonts w:ascii="Arial" w:hAnsi="Arial" w:cs="Arial"/>
          <w:sz w:val="20"/>
          <w:szCs w:val="20"/>
          <w:lang w:val="sr-Cyrl-RS"/>
        </w:rPr>
        <w:t xml:space="preserve"> за</w:t>
      </w:r>
      <w:r w:rsidR="004B452E" w:rsidRPr="1A8E6423">
        <w:rPr>
          <w:rFonts w:ascii="Arial" w:hAnsi="Arial" w:cs="Arial"/>
          <w:sz w:val="20"/>
          <w:szCs w:val="20"/>
          <w:lang w:val="sr-Cyrl-RS"/>
        </w:rPr>
        <w:t xml:space="preserve"> унапређењ</w:t>
      </w:r>
      <w:r w:rsidR="00396E97" w:rsidRPr="1A8E6423">
        <w:rPr>
          <w:rFonts w:ascii="Arial" w:hAnsi="Arial" w:cs="Arial"/>
          <w:sz w:val="20"/>
          <w:szCs w:val="20"/>
          <w:lang w:val="sr-Cyrl-RS"/>
        </w:rPr>
        <w:t>е</w:t>
      </w:r>
      <w:r w:rsidR="004B452E" w:rsidRPr="1A8E6423">
        <w:rPr>
          <w:rFonts w:ascii="Arial" w:hAnsi="Arial" w:cs="Arial"/>
          <w:sz w:val="20"/>
          <w:szCs w:val="20"/>
          <w:lang w:val="sr-Cyrl-RS"/>
        </w:rPr>
        <w:t xml:space="preserve"> праксе локалне самоуправе</w:t>
      </w:r>
      <w:r w:rsidR="00EB58E1" w:rsidRPr="1A8E6423">
        <w:rPr>
          <w:rFonts w:ascii="Arial" w:hAnsi="Arial" w:cs="Arial"/>
          <w:sz w:val="20"/>
          <w:szCs w:val="20"/>
          <w:lang w:val="sr-Cyrl-RS"/>
        </w:rPr>
        <w:t>.</w:t>
      </w:r>
    </w:p>
    <w:bookmarkEnd w:id="171"/>
    <w:p w14:paraId="2BCBAEF6" w14:textId="77777777" w:rsidR="002C4209" w:rsidRPr="00A021B7" w:rsidRDefault="002C4209" w:rsidP="1A8E6423">
      <w:pPr>
        <w:ind w:firstLine="720"/>
        <w:jc w:val="both"/>
        <w:rPr>
          <w:rFonts w:ascii="Arial" w:hAnsi="Arial" w:cs="Arial"/>
          <w:sz w:val="20"/>
          <w:szCs w:val="20"/>
          <w:lang w:val="sr-Cyrl-RS"/>
        </w:rPr>
      </w:pPr>
    </w:p>
    <w:p w14:paraId="1A1AF979" w14:textId="7674C89A" w:rsidR="004B7F92" w:rsidRPr="00A021B7" w:rsidRDefault="004B7F92" w:rsidP="1A8E6423">
      <w:pPr>
        <w:ind w:firstLine="720"/>
        <w:jc w:val="both"/>
        <w:rPr>
          <w:rFonts w:ascii="Arial" w:hAnsi="Arial" w:cs="Arial"/>
          <w:sz w:val="20"/>
          <w:szCs w:val="20"/>
          <w:lang w:val="sr-Cyrl-RS"/>
        </w:rPr>
      </w:pPr>
      <w:r w:rsidRPr="1A8E6423">
        <w:rPr>
          <w:rFonts w:ascii="Arial" w:hAnsi="Arial" w:cs="Arial"/>
          <w:sz w:val="20"/>
          <w:szCs w:val="20"/>
          <w:lang w:val="sr-Cyrl-RS"/>
        </w:rPr>
        <w:t>Систем</w:t>
      </w:r>
      <w:r w:rsidR="00EB58E1" w:rsidRPr="1A8E6423">
        <w:rPr>
          <w:rFonts w:ascii="Arial" w:hAnsi="Arial" w:cs="Arial"/>
          <w:sz w:val="20"/>
          <w:szCs w:val="20"/>
          <w:lang w:val="sr-Cyrl-RS"/>
        </w:rPr>
        <w:t xml:space="preserve"> финансирања локалне самоуправе треба да </w:t>
      </w:r>
      <w:r w:rsidR="00C801F9" w:rsidRPr="1A8E6423">
        <w:rPr>
          <w:rFonts w:ascii="Arial" w:hAnsi="Arial" w:cs="Arial"/>
          <w:sz w:val="20"/>
          <w:szCs w:val="20"/>
          <w:lang w:val="sr-Cyrl-RS"/>
        </w:rPr>
        <w:t>обезбеди</w:t>
      </w:r>
      <w:r w:rsidR="005518D8" w:rsidRPr="1A8E6423">
        <w:rPr>
          <w:rFonts w:ascii="Arial" w:hAnsi="Arial" w:cs="Arial"/>
          <w:sz w:val="20"/>
          <w:szCs w:val="20"/>
          <w:lang w:val="sr-Cyrl-RS"/>
        </w:rPr>
        <w:t xml:space="preserve"> пуну</w:t>
      </w:r>
      <w:r w:rsidR="003C6EEA" w:rsidRPr="1A8E6423">
        <w:rPr>
          <w:rFonts w:ascii="Arial" w:hAnsi="Arial" w:cs="Arial"/>
          <w:sz w:val="20"/>
          <w:szCs w:val="20"/>
          <w:lang w:val="sr-Cyrl-RS"/>
        </w:rPr>
        <w:t xml:space="preserve"> стабилност и</w:t>
      </w:r>
      <w:r w:rsidR="00C801F9" w:rsidRPr="1A8E6423">
        <w:rPr>
          <w:rFonts w:ascii="Arial" w:hAnsi="Arial" w:cs="Arial"/>
          <w:sz w:val="20"/>
          <w:szCs w:val="20"/>
          <w:lang w:val="sr-Cyrl-RS"/>
        </w:rPr>
        <w:t xml:space="preserve"> </w:t>
      </w:r>
      <w:r w:rsidR="005C02B6" w:rsidRPr="1A8E6423">
        <w:rPr>
          <w:rFonts w:ascii="Arial" w:hAnsi="Arial" w:cs="Arial"/>
          <w:sz w:val="20"/>
          <w:szCs w:val="20"/>
          <w:lang w:val="sr-Cyrl-RS"/>
        </w:rPr>
        <w:t>предвидиво планирање прихода у локалним самоуправама</w:t>
      </w:r>
      <w:r w:rsidR="00023FAE" w:rsidRPr="1A8E6423">
        <w:rPr>
          <w:rFonts w:ascii="Arial" w:hAnsi="Arial" w:cs="Arial"/>
          <w:sz w:val="20"/>
          <w:szCs w:val="20"/>
          <w:lang w:val="sr-Cyrl-RS"/>
        </w:rPr>
        <w:t xml:space="preserve">. </w:t>
      </w:r>
      <w:r w:rsidRPr="1A8E6423">
        <w:rPr>
          <w:rFonts w:ascii="Arial" w:hAnsi="Arial" w:cs="Arial"/>
          <w:sz w:val="20"/>
          <w:szCs w:val="20"/>
          <w:lang w:val="sr-Cyrl-RS"/>
        </w:rPr>
        <w:t>Даље реформе треба да воде додатном унапређењу транспарентност система трансфера ка локалним буџетима и да на средњи рок успоставе оквир за јачање прихода локалне самоуправе и фискалне децентрализације у Републици Србији. С</w:t>
      </w:r>
      <w:r w:rsidR="00023FAE" w:rsidRPr="1A8E6423">
        <w:rPr>
          <w:rFonts w:ascii="Arial" w:hAnsi="Arial" w:cs="Arial"/>
          <w:sz w:val="20"/>
          <w:szCs w:val="20"/>
          <w:lang w:val="sr-Cyrl-RS"/>
        </w:rPr>
        <w:t>табилношћу локалних прихода</w:t>
      </w:r>
      <w:r w:rsidR="000A442F" w:rsidRPr="1A8E6423">
        <w:rPr>
          <w:rFonts w:ascii="Arial" w:hAnsi="Arial" w:cs="Arial"/>
          <w:sz w:val="20"/>
          <w:szCs w:val="20"/>
          <w:lang w:val="sr-Cyrl-RS"/>
        </w:rPr>
        <w:t>,</w:t>
      </w:r>
      <w:r w:rsidR="00023FAE" w:rsidRPr="1A8E6423">
        <w:rPr>
          <w:rFonts w:ascii="Arial" w:hAnsi="Arial" w:cs="Arial"/>
          <w:sz w:val="20"/>
          <w:szCs w:val="20"/>
          <w:lang w:val="sr-Cyrl-RS"/>
        </w:rPr>
        <w:t xml:space="preserve"> који не би </w:t>
      </w:r>
      <w:r w:rsidRPr="1A8E6423">
        <w:rPr>
          <w:rFonts w:ascii="Arial" w:hAnsi="Arial" w:cs="Arial"/>
          <w:sz w:val="20"/>
          <w:szCs w:val="20"/>
          <w:lang w:val="sr-Cyrl-RS"/>
        </w:rPr>
        <w:t>смели</w:t>
      </w:r>
      <w:r w:rsidR="00023FAE" w:rsidRPr="1A8E6423">
        <w:rPr>
          <w:rFonts w:ascii="Arial" w:hAnsi="Arial" w:cs="Arial"/>
          <w:sz w:val="20"/>
          <w:szCs w:val="20"/>
          <w:lang w:val="sr-Cyrl-RS"/>
        </w:rPr>
        <w:t xml:space="preserve"> бити предмет честих измена</w:t>
      </w:r>
      <w:r w:rsidR="000A442F" w:rsidRPr="1A8E6423">
        <w:rPr>
          <w:rFonts w:ascii="Arial" w:hAnsi="Arial" w:cs="Arial"/>
          <w:sz w:val="20"/>
          <w:szCs w:val="20"/>
          <w:lang w:val="sr-Cyrl-RS"/>
        </w:rPr>
        <w:t>,</w:t>
      </w:r>
      <w:r w:rsidRPr="1A8E6423">
        <w:rPr>
          <w:rFonts w:ascii="Arial" w:hAnsi="Arial" w:cs="Arial"/>
          <w:sz w:val="20"/>
          <w:szCs w:val="20"/>
          <w:lang w:val="sr-Cyrl-RS"/>
        </w:rPr>
        <w:t xml:space="preserve"> и</w:t>
      </w:r>
      <w:r w:rsidR="00023FAE" w:rsidRPr="1A8E6423">
        <w:rPr>
          <w:rFonts w:ascii="Arial" w:hAnsi="Arial" w:cs="Arial"/>
          <w:sz w:val="20"/>
          <w:szCs w:val="20"/>
          <w:lang w:val="sr-Cyrl-RS"/>
        </w:rPr>
        <w:t xml:space="preserve"> добрим планирање</w:t>
      </w:r>
      <w:r w:rsidRPr="1A8E6423">
        <w:rPr>
          <w:rFonts w:ascii="Arial" w:hAnsi="Arial" w:cs="Arial"/>
          <w:sz w:val="20"/>
          <w:szCs w:val="20"/>
          <w:lang w:val="sr-Cyrl-RS"/>
        </w:rPr>
        <w:t>м и анализом ефеката</w:t>
      </w:r>
      <w:r w:rsidR="00023FAE" w:rsidRPr="1A8E6423">
        <w:rPr>
          <w:rFonts w:ascii="Arial" w:hAnsi="Arial" w:cs="Arial"/>
          <w:sz w:val="20"/>
          <w:szCs w:val="20"/>
          <w:lang w:val="sr-Cyrl-RS"/>
        </w:rPr>
        <w:t xml:space="preserve"> расподеле</w:t>
      </w:r>
      <w:r w:rsidRPr="1A8E6423">
        <w:rPr>
          <w:rFonts w:ascii="Arial" w:hAnsi="Arial" w:cs="Arial"/>
          <w:sz w:val="20"/>
          <w:szCs w:val="20"/>
          <w:lang w:val="sr-Cyrl-RS"/>
        </w:rPr>
        <w:t xml:space="preserve"> и примене постојећих и</w:t>
      </w:r>
      <w:r w:rsidR="000A442F" w:rsidRPr="1A8E6423">
        <w:rPr>
          <w:rFonts w:ascii="Arial" w:hAnsi="Arial" w:cs="Arial"/>
          <w:sz w:val="20"/>
          <w:szCs w:val="20"/>
          <w:lang w:val="sr-Cyrl-RS"/>
        </w:rPr>
        <w:t>,</w:t>
      </w:r>
      <w:r w:rsidRPr="1A8E6423">
        <w:rPr>
          <w:rFonts w:ascii="Arial" w:hAnsi="Arial" w:cs="Arial"/>
          <w:sz w:val="20"/>
          <w:szCs w:val="20"/>
          <w:lang w:val="sr-Cyrl-RS"/>
        </w:rPr>
        <w:t xml:space="preserve"> посебно</w:t>
      </w:r>
      <w:r w:rsidR="000A442F" w:rsidRPr="1A8E6423">
        <w:rPr>
          <w:rFonts w:ascii="Arial" w:hAnsi="Arial" w:cs="Arial"/>
          <w:sz w:val="20"/>
          <w:szCs w:val="20"/>
          <w:lang w:val="sr-Cyrl-RS"/>
        </w:rPr>
        <w:t>,</w:t>
      </w:r>
      <w:r w:rsidR="00023FAE" w:rsidRPr="1A8E6423">
        <w:rPr>
          <w:rFonts w:ascii="Arial" w:hAnsi="Arial" w:cs="Arial"/>
          <w:sz w:val="20"/>
          <w:szCs w:val="20"/>
          <w:lang w:val="sr-Cyrl-RS"/>
        </w:rPr>
        <w:t xml:space="preserve"> нових послова</w:t>
      </w:r>
      <w:r w:rsidRPr="1A8E6423">
        <w:rPr>
          <w:rFonts w:ascii="Arial" w:hAnsi="Arial" w:cs="Arial"/>
          <w:sz w:val="20"/>
          <w:szCs w:val="20"/>
          <w:lang w:val="sr-Cyrl-RS"/>
        </w:rPr>
        <w:t xml:space="preserve"> локалне самоуправе</w:t>
      </w:r>
      <w:r w:rsidR="00023FAE" w:rsidRPr="1A8E6423">
        <w:rPr>
          <w:rFonts w:ascii="Arial" w:hAnsi="Arial" w:cs="Arial"/>
          <w:sz w:val="20"/>
          <w:szCs w:val="20"/>
          <w:lang w:val="sr-Cyrl-RS"/>
        </w:rPr>
        <w:t xml:space="preserve"> и јавних расхода и трошкова за њихово спровођење</w:t>
      </w:r>
      <w:r w:rsidRPr="1A8E6423">
        <w:rPr>
          <w:rFonts w:ascii="Arial" w:hAnsi="Arial" w:cs="Arial"/>
          <w:sz w:val="20"/>
          <w:szCs w:val="20"/>
          <w:lang w:val="sr-Cyrl-RS"/>
        </w:rPr>
        <w:t xml:space="preserve">, треба обезбедити максималну могућу </w:t>
      </w:r>
      <w:r w:rsidR="00023FAE" w:rsidRPr="1A8E6423">
        <w:rPr>
          <w:rFonts w:ascii="Arial" w:hAnsi="Arial" w:cs="Arial"/>
          <w:sz w:val="20"/>
          <w:szCs w:val="20"/>
          <w:lang w:val="sr-Cyrl-RS"/>
        </w:rPr>
        <w:t>равнотеж</w:t>
      </w:r>
      <w:r w:rsidRPr="1A8E6423">
        <w:rPr>
          <w:rFonts w:ascii="Arial" w:hAnsi="Arial" w:cs="Arial"/>
          <w:sz w:val="20"/>
          <w:szCs w:val="20"/>
          <w:lang w:val="sr-Cyrl-RS"/>
        </w:rPr>
        <w:t>у локалних јавних финансија. Р</w:t>
      </w:r>
      <w:r w:rsidR="000A0C7F" w:rsidRPr="1A8E6423">
        <w:rPr>
          <w:rFonts w:ascii="Arial" w:hAnsi="Arial" w:cs="Arial"/>
          <w:sz w:val="20"/>
          <w:szCs w:val="20"/>
          <w:lang w:val="sr-Cyrl-RS"/>
        </w:rPr>
        <w:t>еформе</w:t>
      </w:r>
      <w:r w:rsidRPr="1A8E6423">
        <w:rPr>
          <w:rFonts w:ascii="Arial" w:hAnsi="Arial" w:cs="Arial"/>
          <w:sz w:val="20"/>
          <w:szCs w:val="20"/>
          <w:lang w:val="sr-Cyrl-RS"/>
        </w:rPr>
        <w:t xml:space="preserve"> система финансирања</w:t>
      </w:r>
      <w:r w:rsidR="005C02B6" w:rsidRPr="1A8E6423">
        <w:rPr>
          <w:rFonts w:ascii="Arial" w:hAnsi="Arial" w:cs="Arial"/>
          <w:sz w:val="20"/>
          <w:szCs w:val="20"/>
          <w:lang w:val="sr-Cyrl-RS"/>
        </w:rPr>
        <w:t xml:space="preserve"> треба да охрабре ЈЛС да унапреде структуру локалних расхода кроз повећање учешћа капиталних издатака у својим буџетима.</w:t>
      </w:r>
    </w:p>
    <w:p w14:paraId="3844DDC2" w14:textId="77777777" w:rsidR="004B7F92" w:rsidRPr="00A021B7" w:rsidRDefault="004B7F92" w:rsidP="1A8E6423">
      <w:pPr>
        <w:ind w:firstLine="720"/>
        <w:jc w:val="both"/>
        <w:rPr>
          <w:rFonts w:ascii="Arial" w:hAnsi="Arial" w:cs="Arial"/>
          <w:sz w:val="20"/>
          <w:szCs w:val="20"/>
          <w:lang w:val="sr-Cyrl-RS"/>
        </w:rPr>
      </w:pPr>
    </w:p>
    <w:p w14:paraId="419176E8" w14:textId="67453D05" w:rsidR="00537CAE" w:rsidRPr="00A021B7" w:rsidRDefault="00AD5A76" w:rsidP="1A8E6423">
      <w:pPr>
        <w:ind w:firstLine="720"/>
        <w:jc w:val="both"/>
        <w:rPr>
          <w:rFonts w:ascii="Arial" w:hAnsi="Arial" w:cs="Arial"/>
          <w:sz w:val="20"/>
          <w:szCs w:val="20"/>
          <w:lang w:val="sr-Cyrl-RS"/>
        </w:rPr>
      </w:pPr>
      <w:r w:rsidRPr="1A8E6423">
        <w:rPr>
          <w:rFonts w:ascii="Arial" w:hAnsi="Arial" w:cs="Arial"/>
          <w:sz w:val="20"/>
          <w:szCs w:val="20"/>
          <w:lang w:val="sr-Cyrl-RS"/>
        </w:rPr>
        <w:t>У процесу даље реформе система локалних финансија треба посебно сагледати положај и подстицаје односно мере за даљу подршку за оне општине које припадају групи континуирано неразвијених</w:t>
      </w:r>
      <w:r w:rsidR="00396E97" w:rsidRPr="1A8E6423">
        <w:rPr>
          <w:rFonts w:ascii="Arial" w:hAnsi="Arial" w:cs="Arial"/>
          <w:sz w:val="20"/>
          <w:szCs w:val="20"/>
          <w:lang w:val="sr-Cyrl-RS"/>
        </w:rPr>
        <w:t xml:space="preserve"> односно девастираних</w:t>
      </w:r>
      <w:r w:rsidRPr="1A8E6423">
        <w:rPr>
          <w:rFonts w:ascii="Arial" w:hAnsi="Arial" w:cs="Arial"/>
          <w:sz w:val="20"/>
          <w:szCs w:val="20"/>
          <w:lang w:val="sr-Cyrl-RS"/>
        </w:rPr>
        <w:t xml:space="preserve"> ЈЛС. Социјално-економски и демографски изазови којима су оне изложене дуги низ година</w:t>
      </w:r>
      <w:r w:rsidR="00475858" w:rsidRPr="1A8E6423">
        <w:rPr>
          <w:rFonts w:ascii="Arial" w:hAnsi="Arial" w:cs="Arial"/>
          <w:sz w:val="20"/>
          <w:szCs w:val="20"/>
          <w:lang w:val="sr-Cyrl-RS"/>
        </w:rPr>
        <w:t>,</w:t>
      </w:r>
      <w:r w:rsidR="009D6D7E" w:rsidRPr="1A8E6423">
        <w:rPr>
          <w:rFonts w:ascii="Arial" w:hAnsi="Arial" w:cs="Arial"/>
          <w:sz w:val="20"/>
          <w:szCs w:val="20"/>
          <w:lang w:val="sr-Cyrl-RS"/>
        </w:rPr>
        <w:t xml:space="preserve"> траже посебан приступ и посебно профилисане мере финансијске подршке</w:t>
      </w:r>
      <w:r w:rsidR="00475858" w:rsidRPr="1A8E6423">
        <w:rPr>
          <w:rFonts w:ascii="Arial" w:hAnsi="Arial" w:cs="Arial"/>
          <w:sz w:val="20"/>
          <w:szCs w:val="20"/>
          <w:lang w:val="sr-Cyrl-RS"/>
        </w:rPr>
        <w:t xml:space="preserve"> како би оне бил</w:t>
      </w:r>
      <w:r w:rsidR="000A442F" w:rsidRPr="1A8E6423">
        <w:rPr>
          <w:rFonts w:ascii="Arial" w:hAnsi="Arial" w:cs="Arial"/>
          <w:sz w:val="20"/>
          <w:szCs w:val="20"/>
          <w:lang w:val="sr-Cyrl-RS"/>
        </w:rPr>
        <w:t>е</w:t>
      </w:r>
      <w:r w:rsidR="00475858" w:rsidRPr="1A8E6423">
        <w:rPr>
          <w:rFonts w:ascii="Arial" w:hAnsi="Arial" w:cs="Arial"/>
          <w:sz w:val="20"/>
          <w:szCs w:val="20"/>
          <w:lang w:val="sr-Cyrl-RS"/>
        </w:rPr>
        <w:t xml:space="preserve"> у могућности да покрену </w:t>
      </w:r>
      <w:r w:rsidR="00537CAE" w:rsidRPr="1A8E6423">
        <w:rPr>
          <w:rFonts w:ascii="Arial" w:hAnsi="Arial" w:cs="Arial"/>
          <w:sz w:val="20"/>
          <w:szCs w:val="20"/>
          <w:lang w:val="sr-Cyrl-RS"/>
        </w:rPr>
        <w:t xml:space="preserve">свој развој и подигну </w:t>
      </w:r>
      <w:r w:rsidRPr="1A8E6423">
        <w:rPr>
          <w:rFonts w:ascii="Arial" w:hAnsi="Arial" w:cs="Arial"/>
          <w:color w:val="000000" w:themeColor="text1"/>
          <w:sz w:val="20"/>
          <w:szCs w:val="20"/>
          <w:lang w:val="sr-Cyrl-RS"/>
        </w:rPr>
        <w:t>квалит</w:t>
      </w:r>
      <w:r w:rsidR="00537CAE" w:rsidRPr="1A8E6423">
        <w:rPr>
          <w:rFonts w:ascii="Arial" w:hAnsi="Arial" w:cs="Arial"/>
          <w:color w:val="000000" w:themeColor="text1"/>
          <w:sz w:val="20"/>
          <w:szCs w:val="20"/>
          <w:lang w:val="sr-Cyrl-RS"/>
        </w:rPr>
        <w:t>ет</w:t>
      </w:r>
      <w:r w:rsidRPr="1A8E6423">
        <w:rPr>
          <w:rFonts w:ascii="Arial" w:hAnsi="Arial" w:cs="Arial"/>
          <w:color w:val="000000" w:themeColor="text1"/>
          <w:sz w:val="20"/>
          <w:szCs w:val="20"/>
          <w:lang w:val="sr-Cyrl-RS"/>
        </w:rPr>
        <w:t xml:space="preserve"> јавних услуга грађанима.</w:t>
      </w:r>
    </w:p>
    <w:p w14:paraId="783F0ABF" w14:textId="53384085" w:rsidR="00537CAE" w:rsidRPr="00A021B7" w:rsidRDefault="00537CAE" w:rsidP="1A8E6423">
      <w:pPr>
        <w:ind w:firstLine="720"/>
        <w:jc w:val="both"/>
        <w:rPr>
          <w:rFonts w:ascii="Arial" w:hAnsi="Arial" w:cs="Arial"/>
          <w:sz w:val="20"/>
          <w:szCs w:val="20"/>
          <w:lang w:val="sr-Cyrl-RS"/>
        </w:rPr>
      </w:pPr>
    </w:p>
    <w:p w14:paraId="75CB7017" w14:textId="10F22BEE" w:rsidR="004B7F92" w:rsidRPr="00A021B7" w:rsidRDefault="004B7F92" w:rsidP="1A8E6423">
      <w:pPr>
        <w:ind w:firstLine="720"/>
        <w:jc w:val="both"/>
        <w:rPr>
          <w:rFonts w:ascii="Arial" w:hAnsi="Arial" w:cs="Arial"/>
          <w:sz w:val="20"/>
          <w:szCs w:val="20"/>
          <w:lang w:val="sr-Cyrl-RS"/>
        </w:rPr>
      </w:pPr>
      <w:r w:rsidRPr="1A8E6423">
        <w:rPr>
          <w:rFonts w:ascii="Arial" w:hAnsi="Arial" w:cs="Arial"/>
          <w:sz w:val="20"/>
          <w:szCs w:val="20"/>
          <w:lang w:val="sr-Cyrl-RS"/>
        </w:rPr>
        <w:t>Веома је важно у даљем процесу унапређења система финансирања локалне самоуправе</w:t>
      </w:r>
      <w:r w:rsidR="00F4083B" w:rsidRPr="1A8E6423">
        <w:rPr>
          <w:rFonts w:ascii="Arial" w:hAnsi="Arial" w:cs="Arial"/>
          <w:sz w:val="20"/>
          <w:szCs w:val="20"/>
          <w:lang w:val="sr-Cyrl-RS"/>
        </w:rPr>
        <w:t xml:space="preserve"> </w:t>
      </w:r>
      <w:r w:rsidRPr="1A8E6423">
        <w:rPr>
          <w:rFonts w:ascii="Arial" w:hAnsi="Arial" w:cs="Arial"/>
          <w:sz w:val="20"/>
          <w:szCs w:val="20"/>
          <w:lang w:val="sr-Cyrl-RS"/>
        </w:rPr>
        <w:t>остварити</w:t>
      </w:r>
      <w:r w:rsidR="005C02B6" w:rsidRPr="1A8E6423">
        <w:rPr>
          <w:rFonts w:ascii="Arial" w:hAnsi="Arial" w:cs="Arial"/>
          <w:sz w:val="20"/>
          <w:szCs w:val="20"/>
          <w:lang w:val="sr-Cyrl-RS"/>
        </w:rPr>
        <w:t xml:space="preserve"> шир</w:t>
      </w:r>
      <w:r w:rsidRPr="1A8E6423">
        <w:rPr>
          <w:rFonts w:ascii="Arial" w:hAnsi="Arial" w:cs="Arial"/>
          <w:sz w:val="20"/>
          <w:szCs w:val="20"/>
          <w:lang w:val="sr-Cyrl-RS"/>
        </w:rPr>
        <w:t>и</w:t>
      </w:r>
      <w:r w:rsidR="005C02B6" w:rsidRPr="1A8E6423">
        <w:rPr>
          <w:rFonts w:ascii="Arial" w:hAnsi="Arial" w:cs="Arial"/>
          <w:sz w:val="20"/>
          <w:szCs w:val="20"/>
          <w:lang w:val="sr-Cyrl-RS"/>
        </w:rPr>
        <w:t xml:space="preserve"> дијалог националног и локалног нивоа јавне власти</w:t>
      </w:r>
      <w:r w:rsidR="00DB17CA" w:rsidRPr="1A8E6423">
        <w:rPr>
          <w:rFonts w:ascii="Arial" w:hAnsi="Arial" w:cs="Arial"/>
          <w:sz w:val="20"/>
          <w:szCs w:val="20"/>
          <w:lang w:val="sr-Cyrl-RS"/>
        </w:rPr>
        <w:t>, првенствено</w:t>
      </w:r>
      <w:r w:rsidR="005C02B6" w:rsidRPr="1A8E6423">
        <w:rPr>
          <w:rFonts w:ascii="Arial" w:hAnsi="Arial" w:cs="Arial"/>
          <w:sz w:val="20"/>
          <w:szCs w:val="20"/>
          <w:lang w:val="sr-Cyrl-RS"/>
        </w:rPr>
        <w:t xml:space="preserve"> кроз активирање Комисије за финансирање ЈЛС, али и дијалог унутар самих локалних власти</w:t>
      </w:r>
      <w:r w:rsidR="009E3A59" w:rsidRPr="1A8E6423">
        <w:rPr>
          <w:rFonts w:ascii="Arial" w:hAnsi="Arial" w:cs="Arial"/>
          <w:sz w:val="20"/>
          <w:szCs w:val="20"/>
          <w:lang w:val="sr-Cyrl-RS"/>
        </w:rPr>
        <w:t xml:space="preserve"> и са </w:t>
      </w:r>
      <w:r w:rsidR="00DF6354" w:rsidRPr="1A8E6423">
        <w:rPr>
          <w:rFonts w:ascii="Arial" w:hAnsi="Arial" w:cs="Arial"/>
          <w:sz w:val="20"/>
          <w:szCs w:val="20"/>
          <w:lang w:val="sr-Cyrl-RS"/>
        </w:rPr>
        <w:t xml:space="preserve">другим важним партнерима (цивилно друштво, пословна и привредна удружења, регионалне </w:t>
      </w:r>
      <w:r w:rsidR="00DF6354" w:rsidRPr="1A8E6423">
        <w:rPr>
          <w:rFonts w:ascii="Arial" w:hAnsi="Arial" w:cs="Arial"/>
          <w:sz w:val="20"/>
          <w:szCs w:val="20"/>
          <w:lang w:val="sr-Cyrl-RS"/>
        </w:rPr>
        <w:lastRenderedPageBreak/>
        <w:t>развојне агенције и др.)</w:t>
      </w:r>
      <w:r w:rsidR="005C02B6" w:rsidRPr="1A8E6423">
        <w:rPr>
          <w:rFonts w:ascii="Arial" w:hAnsi="Arial" w:cs="Arial"/>
          <w:sz w:val="20"/>
          <w:szCs w:val="20"/>
          <w:lang w:val="sr-Cyrl-RS"/>
        </w:rPr>
        <w:t xml:space="preserve">, што би требало да доведе до </w:t>
      </w:r>
      <w:r w:rsidRPr="1A8E6423">
        <w:rPr>
          <w:rFonts w:ascii="Arial" w:hAnsi="Arial" w:cs="Arial"/>
          <w:sz w:val="20"/>
          <w:szCs w:val="20"/>
          <w:lang w:val="sr-Cyrl-RS"/>
        </w:rPr>
        <w:t xml:space="preserve">добрих решења </w:t>
      </w:r>
      <w:r w:rsidR="000A442F" w:rsidRPr="1A8E6423">
        <w:rPr>
          <w:rFonts w:ascii="Arial" w:hAnsi="Arial" w:cs="Arial"/>
          <w:sz w:val="20"/>
          <w:szCs w:val="20"/>
          <w:lang w:val="sr-Cyrl-RS"/>
        </w:rPr>
        <w:t xml:space="preserve">у вези са </w:t>
      </w:r>
      <w:r w:rsidRPr="1A8E6423">
        <w:rPr>
          <w:rFonts w:ascii="Arial" w:hAnsi="Arial" w:cs="Arial"/>
          <w:sz w:val="20"/>
          <w:szCs w:val="20"/>
          <w:lang w:val="sr-Cyrl-RS"/>
        </w:rPr>
        <w:t>реформ</w:t>
      </w:r>
      <w:r w:rsidR="000A442F" w:rsidRPr="1A8E6423">
        <w:rPr>
          <w:rFonts w:ascii="Arial" w:hAnsi="Arial" w:cs="Arial"/>
          <w:sz w:val="20"/>
          <w:szCs w:val="20"/>
          <w:lang w:val="sr-Cyrl-RS"/>
        </w:rPr>
        <w:t>ом</w:t>
      </w:r>
      <w:r w:rsidRPr="1A8E6423">
        <w:rPr>
          <w:rFonts w:ascii="Arial" w:hAnsi="Arial" w:cs="Arial"/>
          <w:sz w:val="20"/>
          <w:szCs w:val="20"/>
          <w:lang w:val="sr-Cyrl-RS"/>
        </w:rPr>
        <w:t xml:space="preserve"> правног оквира и унапређењ</w:t>
      </w:r>
      <w:r w:rsidR="000A442F" w:rsidRPr="1A8E6423">
        <w:rPr>
          <w:rFonts w:ascii="Arial" w:hAnsi="Arial" w:cs="Arial"/>
          <w:sz w:val="20"/>
          <w:szCs w:val="20"/>
          <w:lang w:val="sr-Cyrl-RS"/>
        </w:rPr>
        <w:t>ем</w:t>
      </w:r>
      <w:r w:rsidRPr="1A8E6423">
        <w:rPr>
          <w:rFonts w:ascii="Arial" w:hAnsi="Arial" w:cs="Arial"/>
          <w:sz w:val="20"/>
          <w:szCs w:val="20"/>
          <w:lang w:val="sr-Cyrl-RS"/>
        </w:rPr>
        <w:t xml:space="preserve"> праксе локалне самоуправе. </w:t>
      </w:r>
      <w:r w:rsidR="00E0061B" w:rsidRPr="1A8E6423">
        <w:rPr>
          <w:rFonts w:ascii="Arial" w:hAnsi="Arial" w:cs="Arial"/>
          <w:sz w:val="20"/>
          <w:szCs w:val="20"/>
          <w:lang w:val="sr-Cyrl-RS"/>
        </w:rPr>
        <w:t>Функционисање Комисије за финансирање локалне самоуправе</w:t>
      </w:r>
      <w:r w:rsidR="00CD2A59" w:rsidRPr="1A8E6423">
        <w:rPr>
          <w:rFonts w:ascii="Arial" w:hAnsi="Arial" w:cs="Arial"/>
          <w:sz w:val="20"/>
          <w:szCs w:val="20"/>
          <w:lang w:val="sr-Cyrl-RS"/>
        </w:rPr>
        <w:t xml:space="preserve"> је </w:t>
      </w:r>
      <w:r w:rsidR="00DB17CA" w:rsidRPr="1A8E6423">
        <w:rPr>
          <w:rFonts w:ascii="Arial" w:hAnsi="Arial" w:cs="Arial"/>
          <w:sz w:val="20"/>
          <w:szCs w:val="20"/>
          <w:lang w:val="sr-Cyrl-RS"/>
        </w:rPr>
        <w:t>посебно</w:t>
      </w:r>
      <w:r w:rsidR="00CD2A59" w:rsidRPr="1A8E6423">
        <w:rPr>
          <w:rFonts w:ascii="Arial" w:hAnsi="Arial" w:cs="Arial"/>
          <w:sz w:val="20"/>
          <w:szCs w:val="20"/>
          <w:lang w:val="sr-Cyrl-RS"/>
        </w:rPr>
        <w:t xml:space="preserve"> важно </w:t>
      </w:r>
      <w:r w:rsidR="00E0061B" w:rsidRPr="1A8E6423">
        <w:rPr>
          <w:rFonts w:ascii="Arial" w:hAnsi="Arial" w:cs="Arial"/>
          <w:sz w:val="20"/>
          <w:szCs w:val="20"/>
          <w:lang w:val="sr-Cyrl-RS"/>
        </w:rPr>
        <w:t>за</w:t>
      </w:r>
      <w:r w:rsidR="00CD2A59" w:rsidRPr="1A8E6423">
        <w:rPr>
          <w:rFonts w:ascii="Arial" w:hAnsi="Arial" w:cs="Arial"/>
          <w:sz w:val="20"/>
          <w:szCs w:val="20"/>
          <w:lang w:val="sr-Cyrl-RS"/>
        </w:rPr>
        <w:t xml:space="preserve"> даље</w:t>
      </w:r>
      <w:r w:rsidR="00E0061B" w:rsidRPr="1A8E6423">
        <w:rPr>
          <w:rFonts w:ascii="Arial" w:hAnsi="Arial" w:cs="Arial"/>
          <w:sz w:val="20"/>
          <w:szCs w:val="20"/>
          <w:lang w:val="sr-Cyrl-RS"/>
        </w:rPr>
        <w:t xml:space="preserve"> унапређење процеса планирања локалних финансија </w:t>
      </w:r>
      <w:r w:rsidR="00CD2A59" w:rsidRPr="1A8E6423">
        <w:rPr>
          <w:rFonts w:ascii="Arial" w:hAnsi="Arial" w:cs="Arial"/>
          <w:sz w:val="20"/>
          <w:szCs w:val="20"/>
          <w:lang w:val="sr-Cyrl-RS"/>
        </w:rPr>
        <w:t>и</w:t>
      </w:r>
      <w:r w:rsidR="00E0061B" w:rsidRPr="1A8E6423">
        <w:rPr>
          <w:rFonts w:ascii="Arial" w:hAnsi="Arial" w:cs="Arial"/>
          <w:sz w:val="20"/>
          <w:szCs w:val="20"/>
          <w:lang w:val="sr-Cyrl-RS"/>
        </w:rPr>
        <w:t xml:space="preserve"> са становишта обезбеђења отворености система финансирања </w:t>
      </w:r>
      <w:r w:rsidR="00A2420F" w:rsidRPr="1A8E6423">
        <w:rPr>
          <w:rFonts w:ascii="Arial" w:hAnsi="Arial" w:cs="Arial"/>
          <w:sz w:val="20"/>
          <w:szCs w:val="20"/>
          <w:lang w:val="sr-Cyrl-RS"/>
        </w:rPr>
        <w:t xml:space="preserve">локалне самоуправе </w:t>
      </w:r>
      <w:r w:rsidR="00E0061B" w:rsidRPr="1A8E6423">
        <w:rPr>
          <w:rFonts w:ascii="Arial" w:hAnsi="Arial" w:cs="Arial"/>
          <w:sz w:val="20"/>
          <w:szCs w:val="20"/>
          <w:lang w:val="sr-Cyrl-RS"/>
        </w:rPr>
        <w:t>и давања препорука за унапређења у том смислу.</w:t>
      </w:r>
    </w:p>
    <w:p w14:paraId="1FB1E264" w14:textId="77777777" w:rsidR="004B7F92" w:rsidRPr="00A021B7" w:rsidRDefault="004B7F92" w:rsidP="1A8E6423">
      <w:pPr>
        <w:ind w:firstLine="720"/>
        <w:jc w:val="both"/>
        <w:rPr>
          <w:rFonts w:ascii="Arial" w:hAnsi="Arial" w:cs="Arial"/>
          <w:sz w:val="20"/>
          <w:szCs w:val="20"/>
          <w:lang w:val="sr-Cyrl-RS"/>
        </w:rPr>
      </w:pPr>
    </w:p>
    <w:p w14:paraId="2E485439" w14:textId="7CA3D026" w:rsidR="005C02B6" w:rsidRPr="00A021B7" w:rsidRDefault="005C02B6" w:rsidP="1A8E6423">
      <w:pPr>
        <w:ind w:firstLine="720"/>
        <w:jc w:val="both"/>
        <w:rPr>
          <w:rFonts w:ascii="Arial" w:hAnsi="Arial" w:cs="Arial"/>
          <w:sz w:val="20"/>
          <w:szCs w:val="20"/>
          <w:lang w:val="sr-Cyrl-RS"/>
        </w:rPr>
      </w:pPr>
      <w:r w:rsidRPr="1A8E6423">
        <w:rPr>
          <w:rFonts w:ascii="Arial" w:hAnsi="Arial" w:cs="Arial"/>
          <w:sz w:val="20"/>
          <w:szCs w:val="20"/>
          <w:lang w:val="sr-Cyrl-RS"/>
        </w:rPr>
        <w:t>Поред у</w:t>
      </w:r>
      <w:r w:rsidR="00D13F05" w:rsidRPr="1A8E6423">
        <w:rPr>
          <w:rFonts w:ascii="Arial" w:hAnsi="Arial" w:cs="Arial"/>
          <w:sz w:val="20"/>
          <w:szCs w:val="20"/>
          <w:lang w:val="sr-Cyrl-RS"/>
        </w:rPr>
        <w:t xml:space="preserve">напређења </w:t>
      </w:r>
      <w:r w:rsidRPr="1A8E6423">
        <w:rPr>
          <w:rFonts w:ascii="Arial" w:hAnsi="Arial" w:cs="Arial"/>
          <w:sz w:val="20"/>
          <w:szCs w:val="20"/>
          <w:lang w:val="sr-Cyrl-RS"/>
        </w:rPr>
        <w:t>системск</w:t>
      </w:r>
      <w:r w:rsidR="00D13F05" w:rsidRPr="1A8E6423">
        <w:rPr>
          <w:rFonts w:ascii="Arial" w:hAnsi="Arial" w:cs="Arial"/>
          <w:sz w:val="20"/>
          <w:szCs w:val="20"/>
          <w:lang w:val="sr-Cyrl-RS"/>
        </w:rPr>
        <w:t>их</w:t>
      </w:r>
      <w:r w:rsidRPr="1A8E6423">
        <w:rPr>
          <w:rFonts w:ascii="Arial" w:hAnsi="Arial" w:cs="Arial"/>
          <w:sz w:val="20"/>
          <w:szCs w:val="20"/>
          <w:lang w:val="sr-Cyrl-RS"/>
        </w:rPr>
        <w:t xml:space="preserve"> решења за финансирања локалне самоуправе, </w:t>
      </w:r>
      <w:r w:rsidR="004B7F92" w:rsidRPr="1A8E6423">
        <w:rPr>
          <w:rFonts w:ascii="Arial" w:hAnsi="Arial" w:cs="Arial"/>
          <w:sz w:val="20"/>
          <w:szCs w:val="20"/>
          <w:lang w:val="sr-Cyrl-RS"/>
        </w:rPr>
        <w:t xml:space="preserve">посебно је </w:t>
      </w:r>
      <w:r w:rsidRPr="1A8E6423">
        <w:rPr>
          <w:rFonts w:ascii="Arial" w:hAnsi="Arial" w:cs="Arial"/>
          <w:sz w:val="20"/>
          <w:szCs w:val="20"/>
          <w:lang w:val="sr-Cyrl-RS"/>
        </w:rPr>
        <w:t xml:space="preserve">потребно </w:t>
      </w:r>
      <w:r w:rsidR="00D13F05" w:rsidRPr="1A8E6423">
        <w:rPr>
          <w:rFonts w:ascii="Arial" w:hAnsi="Arial" w:cs="Arial"/>
          <w:sz w:val="20"/>
          <w:szCs w:val="20"/>
          <w:lang w:val="sr-Cyrl-RS"/>
        </w:rPr>
        <w:t xml:space="preserve">наставити </w:t>
      </w:r>
      <w:r w:rsidR="002E40BE" w:rsidRPr="1A8E6423">
        <w:rPr>
          <w:rFonts w:ascii="Arial" w:hAnsi="Arial" w:cs="Arial"/>
          <w:sz w:val="20"/>
          <w:szCs w:val="20"/>
          <w:lang w:val="sr-Cyrl-RS"/>
        </w:rPr>
        <w:t xml:space="preserve">пружати </w:t>
      </w:r>
      <w:r w:rsidR="00D13F05" w:rsidRPr="1A8E6423">
        <w:rPr>
          <w:rFonts w:ascii="Arial" w:hAnsi="Arial" w:cs="Arial"/>
          <w:sz w:val="20"/>
          <w:szCs w:val="20"/>
          <w:lang w:val="sr-Cyrl-RS"/>
        </w:rPr>
        <w:t xml:space="preserve">подршку </w:t>
      </w:r>
      <w:r w:rsidRPr="1A8E6423">
        <w:rPr>
          <w:rFonts w:ascii="Arial" w:hAnsi="Arial" w:cs="Arial"/>
          <w:sz w:val="20"/>
          <w:szCs w:val="20"/>
          <w:lang w:val="sr-Cyrl-RS"/>
        </w:rPr>
        <w:t>рад</w:t>
      </w:r>
      <w:r w:rsidR="00D13F05" w:rsidRPr="1A8E6423">
        <w:rPr>
          <w:rFonts w:ascii="Arial" w:hAnsi="Arial" w:cs="Arial"/>
          <w:sz w:val="20"/>
          <w:szCs w:val="20"/>
          <w:lang w:val="sr-Cyrl-RS"/>
        </w:rPr>
        <w:t>у</w:t>
      </w:r>
      <w:r w:rsidRPr="1A8E6423">
        <w:rPr>
          <w:rFonts w:ascii="Arial" w:hAnsi="Arial" w:cs="Arial"/>
          <w:sz w:val="20"/>
          <w:szCs w:val="20"/>
          <w:lang w:val="sr-Cyrl-RS"/>
        </w:rPr>
        <w:t xml:space="preserve"> локалних пореских управа</w:t>
      </w:r>
      <w:r w:rsidR="002E40BE" w:rsidRPr="1A8E6423">
        <w:rPr>
          <w:rFonts w:ascii="Arial" w:hAnsi="Arial" w:cs="Arial"/>
          <w:sz w:val="20"/>
          <w:szCs w:val="20"/>
          <w:lang w:val="sr-Cyrl-RS"/>
        </w:rPr>
        <w:t>,</w:t>
      </w:r>
      <w:r w:rsidR="00A2420F" w:rsidRPr="1A8E6423">
        <w:rPr>
          <w:rFonts w:ascii="Arial" w:hAnsi="Arial" w:cs="Arial"/>
          <w:sz w:val="20"/>
          <w:szCs w:val="20"/>
          <w:lang w:val="sr-Cyrl-RS"/>
        </w:rPr>
        <w:t xml:space="preserve"> које су основа за успешну и одрживу фискалну децентрализацију</w:t>
      </w:r>
      <w:r w:rsidR="00093559" w:rsidRPr="1A8E6423">
        <w:rPr>
          <w:rFonts w:ascii="Arial" w:hAnsi="Arial" w:cs="Arial"/>
          <w:sz w:val="20"/>
          <w:szCs w:val="20"/>
          <w:lang w:val="sr-Cyrl-RS"/>
        </w:rPr>
        <w:t xml:space="preserve">. У наредном периоду то ће бити </w:t>
      </w:r>
      <w:r w:rsidR="004B7F92" w:rsidRPr="1A8E6423">
        <w:rPr>
          <w:rFonts w:ascii="Arial" w:hAnsi="Arial" w:cs="Arial"/>
          <w:sz w:val="20"/>
          <w:szCs w:val="20"/>
          <w:lang w:val="sr-Cyrl-RS"/>
        </w:rPr>
        <w:t xml:space="preserve">додатно </w:t>
      </w:r>
      <w:r w:rsidR="00093559" w:rsidRPr="1A8E6423">
        <w:rPr>
          <w:rFonts w:ascii="Arial" w:hAnsi="Arial" w:cs="Arial"/>
          <w:sz w:val="20"/>
          <w:szCs w:val="20"/>
          <w:lang w:val="sr-Cyrl-RS"/>
        </w:rPr>
        <w:t xml:space="preserve">важно </w:t>
      </w:r>
      <w:r w:rsidR="002E40BE" w:rsidRPr="1A8E6423">
        <w:rPr>
          <w:rFonts w:ascii="Arial" w:hAnsi="Arial" w:cs="Arial"/>
          <w:sz w:val="20"/>
          <w:szCs w:val="20"/>
          <w:lang w:val="sr-Cyrl-RS"/>
        </w:rPr>
        <w:t xml:space="preserve">ако се </w:t>
      </w:r>
      <w:r w:rsidR="00093559" w:rsidRPr="1A8E6423">
        <w:rPr>
          <w:rFonts w:ascii="Arial" w:hAnsi="Arial" w:cs="Arial"/>
          <w:sz w:val="20"/>
          <w:szCs w:val="20"/>
          <w:lang w:val="sr-Cyrl-RS"/>
        </w:rPr>
        <w:t>има у виду</w:t>
      </w:r>
      <w:r w:rsidR="002E40BE" w:rsidRPr="1A8E6423">
        <w:rPr>
          <w:rFonts w:ascii="Arial" w:hAnsi="Arial" w:cs="Arial"/>
          <w:sz w:val="20"/>
          <w:szCs w:val="20"/>
          <w:lang w:val="sr-Cyrl-RS"/>
        </w:rPr>
        <w:t xml:space="preserve"> то</w:t>
      </w:r>
      <w:r w:rsidR="00093559" w:rsidRPr="1A8E6423">
        <w:rPr>
          <w:rFonts w:ascii="Arial" w:hAnsi="Arial" w:cs="Arial"/>
          <w:sz w:val="20"/>
          <w:szCs w:val="20"/>
          <w:lang w:val="sr-Cyrl-RS"/>
        </w:rPr>
        <w:t xml:space="preserve"> да оне</w:t>
      </w:r>
      <w:r w:rsidR="002E40BE" w:rsidRPr="1A8E6423">
        <w:rPr>
          <w:rFonts w:ascii="Arial" w:hAnsi="Arial" w:cs="Arial"/>
          <w:sz w:val="20"/>
          <w:szCs w:val="20"/>
          <w:lang w:val="sr-Cyrl-RS"/>
        </w:rPr>
        <w:t>,</w:t>
      </w:r>
      <w:r w:rsidR="00093559" w:rsidRPr="1A8E6423">
        <w:rPr>
          <w:rFonts w:ascii="Arial" w:hAnsi="Arial" w:cs="Arial"/>
          <w:sz w:val="20"/>
          <w:szCs w:val="20"/>
          <w:lang w:val="sr-Cyrl-RS"/>
        </w:rPr>
        <w:t xml:space="preserve"> </w:t>
      </w:r>
      <w:r w:rsidR="000178EC" w:rsidRPr="1A8E6423">
        <w:rPr>
          <w:rFonts w:ascii="Arial" w:hAnsi="Arial" w:cs="Arial"/>
          <w:sz w:val="20"/>
          <w:szCs w:val="20"/>
          <w:lang w:val="sr-Cyrl-RS"/>
        </w:rPr>
        <w:t xml:space="preserve">у склопу процеса даље децентрализације управљања јавним приходима, </w:t>
      </w:r>
      <w:r w:rsidR="00093559" w:rsidRPr="1A8E6423">
        <w:rPr>
          <w:rFonts w:ascii="Arial" w:hAnsi="Arial" w:cs="Arial"/>
          <w:sz w:val="20"/>
          <w:szCs w:val="20"/>
          <w:lang w:val="sr-Cyrl-RS"/>
        </w:rPr>
        <w:t xml:space="preserve">преузимају </w:t>
      </w:r>
      <w:r w:rsidRPr="1A8E6423">
        <w:rPr>
          <w:rFonts w:ascii="Arial" w:hAnsi="Arial" w:cs="Arial"/>
          <w:sz w:val="20"/>
          <w:szCs w:val="20"/>
          <w:lang w:val="sr-Cyrl-RS"/>
        </w:rPr>
        <w:t>нов</w:t>
      </w:r>
      <w:r w:rsidR="00093559" w:rsidRPr="1A8E6423">
        <w:rPr>
          <w:rFonts w:ascii="Arial" w:hAnsi="Arial" w:cs="Arial"/>
          <w:sz w:val="20"/>
          <w:szCs w:val="20"/>
          <w:lang w:val="sr-Cyrl-RS"/>
        </w:rPr>
        <w:t>е</w:t>
      </w:r>
      <w:r w:rsidRPr="1A8E6423">
        <w:rPr>
          <w:rFonts w:ascii="Arial" w:hAnsi="Arial" w:cs="Arial"/>
          <w:sz w:val="20"/>
          <w:szCs w:val="20"/>
          <w:lang w:val="sr-Cyrl-RS"/>
        </w:rPr>
        <w:t xml:space="preserve"> надлежности </w:t>
      </w:r>
      <w:r w:rsidR="00093559" w:rsidRPr="1A8E6423">
        <w:rPr>
          <w:rFonts w:ascii="Arial" w:hAnsi="Arial" w:cs="Arial"/>
          <w:sz w:val="20"/>
          <w:szCs w:val="20"/>
          <w:lang w:val="sr-Cyrl-RS"/>
        </w:rPr>
        <w:t xml:space="preserve">у вези са </w:t>
      </w:r>
      <w:r w:rsidRPr="1A8E6423">
        <w:rPr>
          <w:rFonts w:ascii="Arial" w:hAnsi="Arial" w:cs="Arial"/>
          <w:sz w:val="20"/>
          <w:szCs w:val="20"/>
          <w:lang w:val="sr-Cyrl-RS"/>
        </w:rPr>
        <w:t>администрирање</w:t>
      </w:r>
      <w:r w:rsidR="00093559" w:rsidRPr="1A8E6423">
        <w:rPr>
          <w:rFonts w:ascii="Arial" w:hAnsi="Arial" w:cs="Arial"/>
          <w:sz w:val="20"/>
          <w:szCs w:val="20"/>
          <w:lang w:val="sr-Cyrl-RS"/>
        </w:rPr>
        <w:t>м</w:t>
      </w:r>
      <w:r w:rsidRPr="1A8E6423">
        <w:rPr>
          <w:rFonts w:ascii="Arial" w:hAnsi="Arial" w:cs="Arial"/>
          <w:sz w:val="20"/>
          <w:szCs w:val="20"/>
          <w:lang w:val="sr-Cyrl-RS"/>
        </w:rPr>
        <w:t xml:space="preserve"> пореза на имовину</w:t>
      </w:r>
      <w:r w:rsidR="00093559" w:rsidRPr="1A8E6423">
        <w:rPr>
          <w:rFonts w:ascii="Arial" w:hAnsi="Arial" w:cs="Arial"/>
          <w:sz w:val="20"/>
          <w:szCs w:val="20"/>
          <w:lang w:val="sr-Cyrl-RS"/>
        </w:rPr>
        <w:t xml:space="preserve"> (у делу пореза на пренос апсолутних права и пореза на наслеђе и поклон),</w:t>
      </w:r>
      <w:r w:rsidRPr="1A8E6423">
        <w:rPr>
          <w:rFonts w:ascii="Arial" w:hAnsi="Arial" w:cs="Arial"/>
          <w:sz w:val="20"/>
          <w:szCs w:val="20"/>
          <w:lang w:val="sr-Cyrl-RS"/>
        </w:rPr>
        <w:t xml:space="preserve"> што имплицира потребу </w:t>
      </w:r>
      <w:r w:rsidR="00313280" w:rsidRPr="1A8E6423">
        <w:rPr>
          <w:rFonts w:ascii="Arial" w:hAnsi="Arial" w:cs="Arial"/>
          <w:sz w:val="20"/>
          <w:szCs w:val="20"/>
          <w:lang w:val="sr-Cyrl-RS"/>
        </w:rPr>
        <w:t>за додатном подршк</w:t>
      </w:r>
      <w:r w:rsidR="00DA3DBC" w:rsidRPr="1A8E6423">
        <w:rPr>
          <w:rFonts w:ascii="Arial" w:hAnsi="Arial" w:cs="Arial"/>
          <w:sz w:val="20"/>
          <w:szCs w:val="20"/>
          <w:lang w:val="sr-Cyrl-RS"/>
        </w:rPr>
        <w:t>ом</w:t>
      </w:r>
      <w:r w:rsidR="00313280" w:rsidRPr="1A8E6423">
        <w:rPr>
          <w:rFonts w:ascii="Arial" w:hAnsi="Arial" w:cs="Arial"/>
          <w:sz w:val="20"/>
          <w:szCs w:val="20"/>
          <w:lang w:val="sr-Cyrl-RS"/>
        </w:rPr>
        <w:t xml:space="preserve"> ЛПА у развоју </w:t>
      </w:r>
      <w:r w:rsidRPr="1A8E6423">
        <w:rPr>
          <w:rFonts w:ascii="Arial" w:hAnsi="Arial" w:cs="Arial"/>
          <w:sz w:val="20"/>
          <w:szCs w:val="20"/>
          <w:lang w:val="sr-Cyrl-RS"/>
        </w:rPr>
        <w:t>техничких и људских капацитета</w:t>
      </w:r>
      <w:r w:rsidR="00313280" w:rsidRPr="1A8E6423">
        <w:rPr>
          <w:rFonts w:ascii="Arial" w:hAnsi="Arial" w:cs="Arial"/>
          <w:sz w:val="20"/>
          <w:szCs w:val="20"/>
          <w:lang w:val="sr-Cyrl-RS"/>
        </w:rPr>
        <w:t xml:space="preserve"> за администрирање локалних јавних прихода</w:t>
      </w:r>
      <w:r w:rsidRPr="1A8E6423">
        <w:rPr>
          <w:rFonts w:ascii="Arial" w:hAnsi="Arial" w:cs="Arial"/>
          <w:sz w:val="20"/>
          <w:szCs w:val="20"/>
          <w:lang w:val="sr-Cyrl-RS"/>
        </w:rPr>
        <w:t>.</w:t>
      </w:r>
    </w:p>
    <w:p w14:paraId="27D3DD75" w14:textId="77777777" w:rsidR="005C02B6" w:rsidRPr="00A021B7" w:rsidRDefault="005C02B6" w:rsidP="005C02B6">
      <w:pPr>
        <w:jc w:val="both"/>
        <w:rPr>
          <w:rFonts w:ascii="Arial" w:hAnsi="Arial" w:cs="Arial"/>
          <w:b/>
          <w:color w:val="000000"/>
          <w:sz w:val="20"/>
          <w:szCs w:val="20"/>
          <w:lang w:val="sr-Cyrl-RS" w:eastAsia="sr-Latn-RS"/>
        </w:rPr>
      </w:pPr>
    </w:p>
    <w:p w14:paraId="05E3A7AD" w14:textId="77777777" w:rsidR="005C02B6" w:rsidRPr="00A021B7" w:rsidRDefault="005C02B6" w:rsidP="005C02B6">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Мера 2.2: Унапређење процеса планирања буџета</w:t>
      </w:r>
    </w:p>
    <w:p w14:paraId="09A446FB" w14:textId="77777777" w:rsidR="005C02B6" w:rsidRPr="00A021B7" w:rsidRDefault="005C02B6" w:rsidP="005C02B6">
      <w:pPr>
        <w:jc w:val="both"/>
        <w:rPr>
          <w:rFonts w:ascii="Arial" w:hAnsi="Arial" w:cs="Arial"/>
          <w:b/>
          <w:color w:val="000000"/>
          <w:sz w:val="20"/>
          <w:szCs w:val="20"/>
          <w:lang w:val="sr-Cyrl-RS" w:eastAsia="sr-Latn-RS"/>
        </w:rPr>
      </w:pPr>
    </w:p>
    <w:p w14:paraId="355EE5B6" w14:textId="40040611" w:rsidR="00BC5898" w:rsidRPr="00A021B7" w:rsidRDefault="00E93C5C" w:rsidP="006F7F01">
      <w:pPr>
        <w:ind w:firstLine="720"/>
        <w:jc w:val="both"/>
        <w:rPr>
          <w:rFonts w:ascii="Arial" w:hAnsi="Arial" w:cs="Arial"/>
          <w:sz w:val="20"/>
          <w:szCs w:val="20"/>
          <w:lang w:val="sr-Cyrl-RS"/>
        </w:rPr>
      </w:pPr>
      <w:r w:rsidRPr="1A8E6423">
        <w:rPr>
          <w:rFonts w:ascii="Arial" w:hAnsi="Arial" w:cs="Arial"/>
          <w:sz w:val="20"/>
          <w:szCs w:val="20"/>
          <w:lang w:val="sr-Cyrl-RS"/>
        </w:rPr>
        <w:t xml:space="preserve">Кроз ову меру предвиђена је </w:t>
      </w:r>
      <w:r w:rsidR="004A7259" w:rsidRPr="1A8E6423">
        <w:rPr>
          <w:rFonts w:ascii="Arial" w:hAnsi="Arial" w:cs="Arial"/>
          <w:sz w:val="20"/>
          <w:szCs w:val="20"/>
          <w:lang w:val="sr-Cyrl-RS"/>
        </w:rPr>
        <w:t xml:space="preserve">директна подршка </w:t>
      </w:r>
      <w:r w:rsidR="005C02B6" w:rsidRPr="1A8E6423">
        <w:rPr>
          <w:rFonts w:ascii="Arial" w:hAnsi="Arial" w:cs="Arial"/>
          <w:sz w:val="20"/>
          <w:szCs w:val="20"/>
          <w:lang w:val="sr-Cyrl-RS"/>
        </w:rPr>
        <w:t xml:space="preserve">одређеном броју ЛС за израду средњорочних планова којима се операционализују планови развоја и остала планска документа кроз </w:t>
      </w:r>
      <w:r w:rsidR="00DF4E5D">
        <w:rPr>
          <w:rFonts w:ascii="Arial" w:hAnsi="Arial" w:cs="Arial"/>
          <w:sz w:val="20"/>
          <w:szCs w:val="20"/>
          <w:lang w:val="sr-Cyrl-RS"/>
        </w:rPr>
        <w:t>усаглашавање</w:t>
      </w:r>
      <w:r w:rsidR="005C02B6" w:rsidRPr="1A8E6423">
        <w:rPr>
          <w:rFonts w:ascii="Arial" w:hAnsi="Arial" w:cs="Arial"/>
          <w:sz w:val="20"/>
          <w:szCs w:val="20"/>
          <w:lang w:val="sr-Cyrl-RS"/>
        </w:rPr>
        <w:t xml:space="preserve"> са буџетским </w:t>
      </w:r>
      <w:r w:rsidR="00DF4E5D">
        <w:rPr>
          <w:rFonts w:ascii="Arial" w:hAnsi="Arial" w:cs="Arial"/>
          <w:sz w:val="20"/>
          <w:szCs w:val="20"/>
          <w:lang w:val="sr-Cyrl-RS"/>
        </w:rPr>
        <w:t>планирањем</w:t>
      </w:r>
      <w:r w:rsidR="009915C3" w:rsidRPr="1A8E6423">
        <w:rPr>
          <w:rFonts w:ascii="Arial" w:hAnsi="Arial" w:cs="Arial"/>
          <w:sz w:val="20"/>
          <w:szCs w:val="20"/>
          <w:lang w:val="sr-Cyrl-RS"/>
        </w:rPr>
        <w:t xml:space="preserve"> (укључујући и </w:t>
      </w:r>
      <w:r w:rsidR="005C02B6" w:rsidRPr="1A8E6423">
        <w:rPr>
          <w:rFonts w:ascii="Arial" w:hAnsi="Arial" w:cs="Arial"/>
          <w:sz w:val="20"/>
          <w:szCs w:val="20"/>
          <w:lang w:val="sr-Cyrl-RS"/>
        </w:rPr>
        <w:t>извештавање о учинцима буџетских програма и о спровођењу средњорочних планова, приме</w:t>
      </w:r>
      <w:r w:rsidR="009915C3" w:rsidRPr="1A8E6423">
        <w:rPr>
          <w:rFonts w:ascii="Arial" w:hAnsi="Arial" w:cs="Arial"/>
          <w:sz w:val="20"/>
          <w:szCs w:val="20"/>
          <w:lang w:val="sr-Cyrl-RS"/>
        </w:rPr>
        <w:t>ну</w:t>
      </w:r>
      <w:r w:rsidR="005C02B6" w:rsidRPr="1A8E6423">
        <w:rPr>
          <w:rFonts w:ascii="Arial" w:hAnsi="Arial" w:cs="Arial"/>
          <w:sz w:val="20"/>
          <w:szCs w:val="20"/>
          <w:lang w:val="sr-Cyrl-RS"/>
        </w:rPr>
        <w:t xml:space="preserve"> родно одговорног буџетирања и координациј</w:t>
      </w:r>
      <w:r w:rsidR="003E4957" w:rsidRPr="1A8E6423">
        <w:rPr>
          <w:rFonts w:ascii="Arial" w:hAnsi="Arial" w:cs="Arial"/>
          <w:sz w:val="20"/>
          <w:szCs w:val="20"/>
          <w:lang w:val="sr-Cyrl-RS"/>
        </w:rPr>
        <w:t>у</w:t>
      </w:r>
      <w:r w:rsidR="005C02B6" w:rsidRPr="1A8E6423">
        <w:rPr>
          <w:rFonts w:ascii="Arial" w:hAnsi="Arial" w:cs="Arial"/>
          <w:sz w:val="20"/>
          <w:szCs w:val="20"/>
          <w:lang w:val="sr-Cyrl-RS"/>
        </w:rPr>
        <w:t xml:space="preserve"> локалних актера значајних за ове процесе</w:t>
      </w:r>
      <w:r w:rsidR="009915C3" w:rsidRPr="1A8E6423">
        <w:rPr>
          <w:rFonts w:ascii="Arial" w:hAnsi="Arial" w:cs="Arial"/>
          <w:sz w:val="20"/>
          <w:szCs w:val="20"/>
          <w:lang w:val="sr-Cyrl-RS"/>
        </w:rPr>
        <w:t>)</w:t>
      </w:r>
      <w:r w:rsidR="005C02B6" w:rsidRPr="1A8E6423">
        <w:rPr>
          <w:rFonts w:ascii="Arial" w:hAnsi="Arial" w:cs="Arial"/>
          <w:sz w:val="20"/>
          <w:szCs w:val="20"/>
          <w:lang w:val="sr-Cyrl-RS"/>
        </w:rPr>
        <w:t xml:space="preserve">. </w:t>
      </w:r>
      <w:r w:rsidR="00E96D3E" w:rsidRPr="1A8E6423">
        <w:rPr>
          <w:rFonts w:ascii="Arial" w:hAnsi="Arial" w:cs="Arial"/>
          <w:sz w:val="20"/>
          <w:szCs w:val="20"/>
          <w:lang w:val="sr-Cyrl-RS"/>
        </w:rPr>
        <w:t>Н</w:t>
      </w:r>
      <w:r w:rsidR="005C02B6" w:rsidRPr="1A8E6423">
        <w:rPr>
          <w:rFonts w:ascii="Arial" w:hAnsi="Arial" w:cs="Arial"/>
          <w:sz w:val="20"/>
          <w:szCs w:val="20"/>
          <w:lang w:val="sr-Cyrl-RS"/>
        </w:rPr>
        <w:t>аставиће се саветодавна подршка и изградња капацитета свих ЛС у Србији, како кроз припрему и реализацију програма стручног усавршавања намењених свим ЛС, умрежавање ЛС и размену информација и успешних пракси, тако и кроз разраду даљих инструкција за ЛС и</w:t>
      </w:r>
      <w:r w:rsidR="00D425D8" w:rsidRPr="1A8E6423">
        <w:rPr>
          <w:rFonts w:ascii="Arial" w:hAnsi="Arial" w:cs="Arial"/>
          <w:sz w:val="20"/>
          <w:szCs w:val="20"/>
          <w:lang w:val="sr-Cyrl-RS"/>
        </w:rPr>
        <w:t>,</w:t>
      </w:r>
      <w:r w:rsidR="005C02B6" w:rsidRPr="1A8E6423">
        <w:rPr>
          <w:rFonts w:ascii="Arial" w:hAnsi="Arial" w:cs="Arial"/>
          <w:sz w:val="20"/>
          <w:szCs w:val="20"/>
          <w:lang w:val="sr-Cyrl-RS"/>
        </w:rPr>
        <w:t xml:space="preserve"> по потреби</w:t>
      </w:r>
      <w:r w:rsidR="00D425D8" w:rsidRPr="1A8E6423">
        <w:rPr>
          <w:rFonts w:ascii="Arial" w:hAnsi="Arial" w:cs="Arial"/>
          <w:sz w:val="20"/>
          <w:szCs w:val="20"/>
          <w:lang w:val="sr-Cyrl-RS"/>
        </w:rPr>
        <w:t>,</w:t>
      </w:r>
      <w:r w:rsidR="005C02B6" w:rsidRPr="1A8E6423">
        <w:rPr>
          <w:rFonts w:ascii="Arial" w:hAnsi="Arial" w:cs="Arial"/>
          <w:sz w:val="20"/>
          <w:szCs w:val="20"/>
          <w:lang w:val="sr-Cyrl-RS"/>
        </w:rPr>
        <w:t xml:space="preserve"> модела и помоћних докумената</w:t>
      </w:r>
      <w:r w:rsidR="00D64C7D" w:rsidRPr="1A8E6423">
        <w:rPr>
          <w:rFonts w:ascii="Arial" w:hAnsi="Arial" w:cs="Arial"/>
          <w:sz w:val="20"/>
          <w:szCs w:val="20"/>
          <w:lang w:val="sr-Cyrl-RS"/>
        </w:rPr>
        <w:t>.</w:t>
      </w:r>
      <w:r w:rsidR="005C02B6" w:rsidRPr="1A8E6423">
        <w:rPr>
          <w:rFonts w:ascii="Arial" w:hAnsi="Arial" w:cs="Arial"/>
          <w:sz w:val="20"/>
          <w:szCs w:val="20"/>
          <w:lang w:val="sr-Cyrl-RS"/>
        </w:rPr>
        <w:t xml:space="preserve"> </w:t>
      </w:r>
    </w:p>
    <w:p w14:paraId="513F81EA" w14:textId="77777777" w:rsidR="005C02B6" w:rsidRPr="00A021B7" w:rsidRDefault="005C02B6" w:rsidP="1A8E6423">
      <w:pPr>
        <w:ind w:firstLine="720"/>
        <w:jc w:val="both"/>
        <w:rPr>
          <w:rFonts w:ascii="Arial" w:hAnsi="Arial" w:cs="Arial"/>
          <w:sz w:val="20"/>
          <w:szCs w:val="20"/>
          <w:lang w:val="sr-Cyrl-RS"/>
        </w:rPr>
      </w:pPr>
    </w:p>
    <w:p w14:paraId="0C67C827" w14:textId="77777777" w:rsidR="005C02B6" w:rsidRPr="00A021B7" w:rsidRDefault="005C02B6" w:rsidP="005C02B6">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Мера 2.3: Повећање транспарентности и отворености локалних финансија</w:t>
      </w:r>
    </w:p>
    <w:p w14:paraId="04762C74" w14:textId="77777777" w:rsidR="005C02B6" w:rsidRPr="00A021B7" w:rsidRDefault="005C02B6" w:rsidP="005C02B6">
      <w:pPr>
        <w:jc w:val="both"/>
        <w:rPr>
          <w:rFonts w:ascii="Arial" w:hAnsi="Arial" w:cs="Arial"/>
          <w:b/>
          <w:color w:val="000000"/>
          <w:sz w:val="20"/>
          <w:szCs w:val="20"/>
          <w:lang w:val="sr-Cyrl-RS" w:eastAsia="sr-Latn-RS"/>
        </w:rPr>
      </w:pPr>
    </w:p>
    <w:p w14:paraId="1E4395F7" w14:textId="715CD4E3" w:rsidR="00C83F1E" w:rsidRPr="00A021B7" w:rsidRDefault="005C02B6" w:rsidP="1A8E6423">
      <w:pPr>
        <w:ind w:firstLine="720"/>
        <w:jc w:val="both"/>
        <w:rPr>
          <w:rFonts w:ascii="Arial" w:hAnsi="Arial" w:cs="Arial"/>
          <w:sz w:val="20"/>
          <w:szCs w:val="20"/>
          <w:lang w:val="sr-Cyrl-RS"/>
        </w:rPr>
      </w:pPr>
      <w:r w:rsidRPr="1A8E6423">
        <w:rPr>
          <w:rFonts w:ascii="Arial" w:hAnsi="Arial" w:cs="Arial"/>
          <w:sz w:val="20"/>
          <w:szCs w:val="20"/>
          <w:lang w:val="sr-Cyrl-RS"/>
        </w:rPr>
        <w:t>Одговорност и отвореност јавне управе на свим нивоима представља</w:t>
      </w:r>
      <w:r w:rsidR="00D425D8" w:rsidRPr="1A8E6423">
        <w:rPr>
          <w:rFonts w:ascii="Arial" w:hAnsi="Arial" w:cs="Arial"/>
          <w:sz w:val="20"/>
          <w:szCs w:val="20"/>
          <w:lang w:val="sr-Cyrl-RS"/>
        </w:rPr>
        <w:t>ју</w:t>
      </w:r>
      <w:r w:rsidRPr="1A8E6423">
        <w:rPr>
          <w:rFonts w:ascii="Arial" w:hAnsi="Arial" w:cs="Arial"/>
          <w:sz w:val="20"/>
          <w:szCs w:val="20"/>
          <w:lang w:val="sr-Cyrl-RS"/>
        </w:rPr>
        <w:t xml:space="preserve"> стандард модерних демократских друштава и један од циљева којима је Србија посвећена</w:t>
      </w:r>
      <w:r w:rsidR="0060657E" w:rsidRPr="1A8E6423">
        <w:rPr>
          <w:rFonts w:ascii="Arial" w:hAnsi="Arial" w:cs="Arial"/>
          <w:sz w:val="20"/>
          <w:szCs w:val="20"/>
          <w:lang w:val="sr-Cyrl-RS"/>
        </w:rPr>
        <w:t xml:space="preserve">, како својим јавним политикама тако и </w:t>
      </w:r>
      <w:r w:rsidRPr="1A8E6423">
        <w:rPr>
          <w:rFonts w:ascii="Arial" w:hAnsi="Arial" w:cs="Arial"/>
          <w:sz w:val="20"/>
          <w:szCs w:val="20"/>
          <w:lang w:val="sr-Cyrl-RS"/>
        </w:rPr>
        <w:t xml:space="preserve">као учесница међународних аранжмана који се односе на јавну управу и јавне финансије (СИГМА принципи, Партнерство за отворену управу итд.). </w:t>
      </w:r>
      <w:r w:rsidR="00C83F1E" w:rsidRPr="1A8E6423">
        <w:rPr>
          <w:rFonts w:ascii="Arial" w:hAnsi="Arial" w:cs="Arial"/>
          <w:sz w:val="20"/>
          <w:szCs w:val="20"/>
          <w:lang w:val="sr-Cyrl-RS"/>
        </w:rPr>
        <w:t>Значајан искорак у правцу достизања стандарда и праксе држава чланица ЕУ</w:t>
      </w:r>
      <w:r w:rsidR="00D425D8" w:rsidRPr="1A8E6423">
        <w:rPr>
          <w:rFonts w:ascii="Arial" w:hAnsi="Arial" w:cs="Arial"/>
          <w:sz w:val="20"/>
          <w:szCs w:val="20"/>
          <w:lang w:val="sr-Cyrl-RS"/>
        </w:rPr>
        <w:t>,</w:t>
      </w:r>
      <w:r w:rsidR="00C83F1E" w:rsidRPr="1A8E6423">
        <w:rPr>
          <w:rFonts w:ascii="Arial" w:hAnsi="Arial" w:cs="Arial"/>
          <w:sz w:val="20"/>
          <w:szCs w:val="20"/>
          <w:lang w:val="sr-Cyrl-RS"/>
        </w:rPr>
        <w:t xml:space="preserve"> али и земаља у окружењу</w:t>
      </w:r>
      <w:r w:rsidR="00A61C5C" w:rsidRPr="1A8E6423">
        <w:rPr>
          <w:rFonts w:ascii="Arial" w:hAnsi="Arial" w:cs="Arial"/>
          <w:sz w:val="20"/>
          <w:szCs w:val="20"/>
          <w:lang w:val="sr-Cyrl-RS"/>
        </w:rPr>
        <w:t xml:space="preserve"> </w:t>
      </w:r>
      <w:r w:rsidR="00C83F1E" w:rsidRPr="1A8E6423">
        <w:rPr>
          <w:rFonts w:ascii="Arial" w:hAnsi="Arial" w:cs="Arial"/>
          <w:sz w:val="20"/>
          <w:szCs w:val="20"/>
          <w:lang w:val="sr-Cyrl-RS"/>
        </w:rPr>
        <w:t>представљало би повећање доступности информација о локалним јавним финансијама. Парцијални елементи и поједини параметри у овом домену публикују се кроз билтене јавних финансија МФИН, финансијске показатеље ЛС у оквиру аналитичког сервиса ЛС који води РСЈП и на порталу отворених података</w:t>
      </w:r>
      <w:r w:rsidR="00D425D8" w:rsidRPr="1A8E6423">
        <w:rPr>
          <w:rFonts w:ascii="Arial" w:hAnsi="Arial" w:cs="Arial"/>
          <w:sz w:val="20"/>
          <w:szCs w:val="20"/>
          <w:lang w:val="sr-Cyrl-RS"/>
        </w:rPr>
        <w:t>,</w:t>
      </w:r>
      <w:r w:rsidR="00C83F1E" w:rsidRPr="1A8E6423">
        <w:rPr>
          <w:rFonts w:ascii="Arial" w:hAnsi="Arial" w:cs="Arial"/>
          <w:sz w:val="20"/>
          <w:szCs w:val="20"/>
          <w:lang w:val="sr-Cyrl-RS"/>
        </w:rPr>
        <w:t xml:space="preserve"> који води Канцеларија за ИТ и </w:t>
      </w:r>
      <w:r w:rsidR="00D425D8" w:rsidRPr="1A8E6423">
        <w:rPr>
          <w:rFonts w:ascii="Arial" w:hAnsi="Arial" w:cs="Arial"/>
          <w:sz w:val="20"/>
          <w:szCs w:val="20"/>
          <w:lang w:val="sr-Cyrl-RS"/>
        </w:rPr>
        <w:t>е</w:t>
      </w:r>
      <w:r w:rsidR="00C83F1E" w:rsidRPr="1A8E6423">
        <w:rPr>
          <w:rFonts w:ascii="Arial" w:hAnsi="Arial" w:cs="Arial"/>
          <w:sz w:val="20"/>
          <w:szCs w:val="20"/>
          <w:lang w:val="sr-Cyrl-RS"/>
        </w:rPr>
        <w:t xml:space="preserve">-управу. </w:t>
      </w:r>
      <w:r w:rsidR="009B112A" w:rsidRPr="1A8E6423">
        <w:rPr>
          <w:rFonts w:ascii="Arial" w:hAnsi="Arial" w:cs="Arial"/>
          <w:sz w:val="20"/>
          <w:szCs w:val="20"/>
          <w:lang w:val="sr-Cyrl-RS"/>
        </w:rPr>
        <w:t xml:space="preserve">Међутим, </w:t>
      </w:r>
      <w:r w:rsidR="00F27F04" w:rsidRPr="1A8E6423">
        <w:rPr>
          <w:rFonts w:ascii="Arial" w:hAnsi="Arial" w:cs="Arial"/>
          <w:sz w:val="20"/>
          <w:szCs w:val="20"/>
          <w:lang w:val="sr-Cyrl-RS"/>
        </w:rPr>
        <w:t xml:space="preserve">доступни подаци или нису довољно детаљни или нису </w:t>
      </w:r>
      <w:r w:rsidR="00AB26DA" w:rsidRPr="1A8E6423">
        <w:rPr>
          <w:rFonts w:ascii="Arial" w:hAnsi="Arial" w:cs="Arial"/>
          <w:sz w:val="20"/>
          <w:szCs w:val="20"/>
          <w:lang w:val="sr-Cyrl-RS"/>
        </w:rPr>
        <w:t xml:space="preserve">у потпуности </w:t>
      </w:r>
      <w:r w:rsidR="00F27F04" w:rsidRPr="1A8E6423">
        <w:rPr>
          <w:rFonts w:ascii="Arial" w:hAnsi="Arial" w:cs="Arial"/>
          <w:sz w:val="20"/>
          <w:szCs w:val="20"/>
          <w:lang w:val="sr-Cyrl-RS"/>
        </w:rPr>
        <w:t>актуелни</w:t>
      </w:r>
      <w:r w:rsidR="00AB26DA" w:rsidRPr="1A8E6423">
        <w:rPr>
          <w:rFonts w:ascii="Arial" w:hAnsi="Arial" w:cs="Arial"/>
          <w:sz w:val="20"/>
          <w:szCs w:val="20"/>
          <w:lang w:val="sr-Cyrl-RS"/>
        </w:rPr>
        <w:t xml:space="preserve"> (не односе се </w:t>
      </w:r>
      <w:r w:rsidR="00E82DB5" w:rsidRPr="1A8E6423">
        <w:rPr>
          <w:rFonts w:ascii="Arial" w:hAnsi="Arial" w:cs="Arial"/>
          <w:sz w:val="20"/>
          <w:szCs w:val="20"/>
          <w:lang w:val="sr-Cyrl-RS"/>
        </w:rPr>
        <w:t xml:space="preserve">сви </w:t>
      </w:r>
      <w:r w:rsidR="00AB26DA" w:rsidRPr="1A8E6423">
        <w:rPr>
          <w:rFonts w:ascii="Arial" w:hAnsi="Arial" w:cs="Arial"/>
          <w:sz w:val="20"/>
          <w:szCs w:val="20"/>
          <w:lang w:val="sr-Cyrl-RS"/>
        </w:rPr>
        <w:t>на текућу годину</w:t>
      </w:r>
      <w:r w:rsidR="00AB26DA" w:rsidRPr="00F077C6">
        <w:rPr>
          <w:rFonts w:ascii="Arial" w:hAnsi="Arial" w:cs="Arial"/>
          <w:sz w:val="20"/>
          <w:szCs w:val="20"/>
          <w:lang w:val="sr-Cyrl-RS"/>
        </w:rPr>
        <w:t xml:space="preserve">). </w:t>
      </w:r>
      <w:r w:rsidR="00C83F1E" w:rsidRPr="00F077C6">
        <w:rPr>
          <w:rFonts w:ascii="Arial" w:hAnsi="Arial" w:cs="Arial"/>
          <w:sz w:val="20"/>
          <w:szCs w:val="20"/>
          <w:lang w:val="sr-Cyrl-RS"/>
        </w:rPr>
        <w:t xml:space="preserve">Стога се у оквиру </w:t>
      </w:r>
      <w:r w:rsidR="009B112A" w:rsidRPr="00F077C6">
        <w:rPr>
          <w:rFonts w:ascii="Arial" w:hAnsi="Arial" w:cs="Arial"/>
          <w:sz w:val="20"/>
          <w:szCs w:val="20"/>
          <w:lang w:val="sr-Cyrl-RS"/>
        </w:rPr>
        <w:t>ове</w:t>
      </w:r>
      <w:r w:rsidR="00C83F1E" w:rsidRPr="00F077C6">
        <w:rPr>
          <w:rFonts w:ascii="Arial" w:hAnsi="Arial" w:cs="Arial"/>
          <w:sz w:val="20"/>
          <w:szCs w:val="20"/>
          <w:lang w:val="sr-Cyrl-RS"/>
        </w:rPr>
        <w:t xml:space="preserve"> мере планира успостављање</w:t>
      </w:r>
      <w:r w:rsidR="00A9552B" w:rsidRPr="00F077C6">
        <w:rPr>
          <w:rFonts w:ascii="Arial" w:hAnsi="Arial" w:cs="Arial"/>
          <w:sz w:val="20"/>
          <w:szCs w:val="20"/>
          <w:lang w:val="sr-Cyrl-RS"/>
        </w:rPr>
        <w:t xml:space="preserve"> јавног</w:t>
      </w:r>
      <w:r w:rsidR="00C83F1E" w:rsidRPr="00F077C6">
        <w:rPr>
          <w:rFonts w:ascii="Arial" w:hAnsi="Arial" w:cs="Arial"/>
          <w:sz w:val="20"/>
          <w:szCs w:val="20"/>
          <w:lang w:val="sr-Cyrl-RS"/>
        </w:rPr>
        <w:t xml:space="preserve"> </w:t>
      </w:r>
      <w:r w:rsidR="005669F7" w:rsidRPr="00F077C6">
        <w:rPr>
          <w:rFonts w:ascii="Arial" w:hAnsi="Arial" w:cs="Arial"/>
          <w:sz w:val="20"/>
          <w:szCs w:val="20"/>
          <w:lang w:val="sr-Cyrl-RS"/>
        </w:rPr>
        <w:t>приказа у електронски читљивом формату</w:t>
      </w:r>
      <w:r w:rsidR="00E771EB" w:rsidRPr="00F077C6">
        <w:rPr>
          <w:rFonts w:ascii="Arial" w:hAnsi="Arial" w:cs="Arial"/>
          <w:sz w:val="20"/>
          <w:szCs w:val="20"/>
          <w:lang w:val="sr-Cyrl-RS"/>
        </w:rPr>
        <w:t xml:space="preserve"> </w:t>
      </w:r>
      <w:r w:rsidR="005669F7" w:rsidRPr="00F077C6">
        <w:rPr>
          <w:rFonts w:ascii="Arial" w:hAnsi="Arial" w:cs="Arial"/>
          <w:sz w:val="20"/>
          <w:szCs w:val="20"/>
          <w:lang w:val="sr-Cyrl-RS"/>
        </w:rPr>
        <w:t>стања локалних буџета (планирање и извршење</w:t>
      </w:r>
      <w:r w:rsidR="00A9552B" w:rsidRPr="00F077C6">
        <w:rPr>
          <w:rFonts w:ascii="Arial" w:hAnsi="Arial" w:cs="Arial"/>
          <w:sz w:val="20"/>
          <w:szCs w:val="20"/>
          <w:lang w:val="sr-Cyrl-RS"/>
        </w:rPr>
        <w:t xml:space="preserve"> по свакој ЛС) у циљу омогућавања </w:t>
      </w:r>
      <w:r w:rsidR="00C83F1E" w:rsidRPr="00F077C6">
        <w:rPr>
          <w:rFonts w:ascii="Arial" w:hAnsi="Arial" w:cs="Arial"/>
          <w:sz w:val="20"/>
          <w:szCs w:val="20"/>
          <w:lang w:val="sr-Cyrl-RS"/>
        </w:rPr>
        <w:t>свеобухватно</w:t>
      </w:r>
      <w:r w:rsidR="00A9552B" w:rsidRPr="00F077C6">
        <w:rPr>
          <w:rFonts w:ascii="Arial" w:hAnsi="Arial" w:cs="Arial"/>
          <w:sz w:val="20"/>
          <w:szCs w:val="20"/>
          <w:lang w:val="sr-Cyrl-RS"/>
        </w:rPr>
        <w:t>г</w:t>
      </w:r>
      <w:r w:rsidR="00C83F1E" w:rsidRPr="00F077C6">
        <w:rPr>
          <w:rFonts w:ascii="Arial" w:hAnsi="Arial" w:cs="Arial"/>
          <w:sz w:val="20"/>
          <w:szCs w:val="20"/>
          <w:lang w:val="sr-Cyrl-RS"/>
        </w:rPr>
        <w:t xml:space="preserve"> праћењ</w:t>
      </w:r>
      <w:r w:rsidR="00861261" w:rsidRPr="00F077C6">
        <w:rPr>
          <w:rFonts w:ascii="Arial" w:hAnsi="Arial" w:cs="Arial"/>
          <w:sz w:val="20"/>
          <w:szCs w:val="20"/>
          <w:lang w:val="sr-Cyrl-RS"/>
        </w:rPr>
        <w:t>а</w:t>
      </w:r>
      <w:r w:rsidR="00C83F1E" w:rsidRPr="00F077C6">
        <w:rPr>
          <w:rFonts w:ascii="Arial" w:hAnsi="Arial" w:cs="Arial"/>
          <w:sz w:val="20"/>
          <w:szCs w:val="20"/>
          <w:lang w:val="sr-Cyrl-RS"/>
        </w:rPr>
        <w:t xml:space="preserve"> јавних финансија свих ЛС.</w:t>
      </w:r>
    </w:p>
    <w:p w14:paraId="3F8FEB34" w14:textId="42F9724E" w:rsidR="00C83F1E" w:rsidRPr="00A021B7" w:rsidRDefault="00C83F1E" w:rsidP="1A8E6423">
      <w:pPr>
        <w:ind w:firstLine="720"/>
        <w:jc w:val="both"/>
        <w:rPr>
          <w:rFonts w:ascii="Arial" w:hAnsi="Arial" w:cs="Arial"/>
          <w:sz w:val="20"/>
          <w:szCs w:val="20"/>
          <w:lang w:val="sr-Cyrl-RS"/>
        </w:rPr>
      </w:pPr>
    </w:p>
    <w:p w14:paraId="06CF3D46" w14:textId="339501F4" w:rsidR="006441C4" w:rsidRPr="00A021B7" w:rsidRDefault="00A61C5C"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У значајној мери опште оцене о добром управљању, квалитету и транспарентности рада ЛС заснивају </w:t>
      </w:r>
      <w:r w:rsidR="006441C4" w:rsidRPr="1A8E6423">
        <w:rPr>
          <w:rFonts w:ascii="Arial" w:hAnsi="Arial" w:cs="Arial"/>
          <w:sz w:val="20"/>
          <w:szCs w:val="20"/>
          <w:lang w:val="sr-Cyrl-RS"/>
        </w:rPr>
        <w:t xml:space="preserve">се </w:t>
      </w:r>
      <w:r w:rsidRPr="1A8E6423">
        <w:rPr>
          <w:rFonts w:ascii="Arial" w:hAnsi="Arial" w:cs="Arial"/>
          <w:sz w:val="20"/>
          <w:szCs w:val="20"/>
          <w:lang w:val="sr-Cyrl-RS"/>
        </w:rPr>
        <w:t>на сагледавању буџетских материјала и процеса. Иако је у претходном периоду учињено више важних корака у правцу веће транспаре</w:t>
      </w:r>
      <w:r w:rsidR="733383B2" w:rsidRPr="1A8E6423">
        <w:rPr>
          <w:rFonts w:ascii="Arial" w:hAnsi="Arial" w:cs="Arial"/>
          <w:sz w:val="20"/>
          <w:szCs w:val="20"/>
          <w:lang w:val="sr-Cyrl-RS"/>
        </w:rPr>
        <w:t>н</w:t>
      </w:r>
      <w:r w:rsidRPr="1A8E6423">
        <w:rPr>
          <w:rFonts w:ascii="Arial" w:hAnsi="Arial" w:cs="Arial"/>
          <w:sz w:val="20"/>
          <w:szCs w:val="20"/>
          <w:lang w:val="sr-Cyrl-RS"/>
        </w:rPr>
        <w:t xml:space="preserve">тности (уведена је обавезна јавна расправа </w:t>
      </w:r>
      <w:r w:rsidR="00D425D8" w:rsidRPr="1A8E6423">
        <w:rPr>
          <w:rFonts w:ascii="Arial" w:hAnsi="Arial" w:cs="Arial"/>
          <w:sz w:val="20"/>
          <w:szCs w:val="20"/>
          <w:lang w:val="sr-Cyrl-RS"/>
        </w:rPr>
        <w:t xml:space="preserve">о </w:t>
      </w:r>
      <w:r w:rsidRPr="1A8E6423">
        <w:rPr>
          <w:rFonts w:ascii="Arial" w:hAnsi="Arial" w:cs="Arial"/>
          <w:sz w:val="20"/>
          <w:szCs w:val="20"/>
          <w:lang w:val="sr-Cyrl-RS"/>
        </w:rPr>
        <w:t>нацрт</w:t>
      </w:r>
      <w:r w:rsidR="00D425D8" w:rsidRPr="1A8E6423">
        <w:rPr>
          <w:rFonts w:ascii="Arial" w:hAnsi="Arial" w:cs="Arial"/>
          <w:sz w:val="20"/>
          <w:szCs w:val="20"/>
          <w:lang w:val="sr-Cyrl-RS"/>
        </w:rPr>
        <w:t>има</w:t>
      </w:r>
      <w:r w:rsidRPr="1A8E6423">
        <w:rPr>
          <w:rFonts w:ascii="Arial" w:hAnsi="Arial" w:cs="Arial"/>
          <w:sz w:val="20"/>
          <w:szCs w:val="20"/>
          <w:lang w:val="sr-Cyrl-RS"/>
        </w:rPr>
        <w:t xml:space="preserve"> локалних буџета, повећан је број јавних расправа, значајан број ЛС има грађ</w:t>
      </w:r>
      <w:r w:rsidR="00DC73A7" w:rsidRPr="1A8E6423">
        <w:rPr>
          <w:rFonts w:ascii="Arial" w:hAnsi="Arial" w:cs="Arial"/>
          <w:sz w:val="20"/>
          <w:szCs w:val="20"/>
          <w:lang w:val="sr-Cyrl-RS"/>
        </w:rPr>
        <w:t>а</w:t>
      </w:r>
      <w:r w:rsidRPr="1A8E6423">
        <w:rPr>
          <w:rFonts w:ascii="Arial" w:hAnsi="Arial" w:cs="Arial"/>
          <w:sz w:val="20"/>
          <w:szCs w:val="20"/>
          <w:lang w:val="sr-Cyrl-RS"/>
        </w:rPr>
        <w:t>нске водиче кроз буџет, поједине ЈЛС су покренуле јавне буџетске портале и др.)</w:t>
      </w:r>
      <w:r w:rsidR="00D425D8" w:rsidRPr="1A8E6423">
        <w:rPr>
          <w:rFonts w:ascii="Arial" w:hAnsi="Arial" w:cs="Arial"/>
          <w:sz w:val="20"/>
          <w:szCs w:val="20"/>
          <w:lang w:val="sr-Cyrl-RS"/>
        </w:rPr>
        <w:t>,</w:t>
      </w:r>
      <w:r w:rsidRPr="1A8E6423">
        <w:rPr>
          <w:rFonts w:ascii="Arial" w:hAnsi="Arial" w:cs="Arial"/>
          <w:sz w:val="20"/>
          <w:szCs w:val="20"/>
          <w:lang w:val="sr-Cyrl-RS"/>
        </w:rPr>
        <w:t xml:space="preserve"> остаје значајан простор за унапређење како у погледу квалитета</w:t>
      </w:r>
      <w:r w:rsidR="00D425D8" w:rsidRPr="1A8E6423">
        <w:rPr>
          <w:rFonts w:ascii="Arial" w:hAnsi="Arial" w:cs="Arial"/>
          <w:sz w:val="20"/>
          <w:szCs w:val="20"/>
          <w:lang w:val="sr-Cyrl-RS"/>
        </w:rPr>
        <w:t>, тако</w:t>
      </w:r>
      <w:r w:rsidRPr="1A8E6423">
        <w:rPr>
          <w:rFonts w:ascii="Arial" w:hAnsi="Arial" w:cs="Arial"/>
          <w:sz w:val="20"/>
          <w:szCs w:val="20"/>
          <w:lang w:val="sr-Cyrl-RS"/>
        </w:rPr>
        <w:t xml:space="preserve"> и</w:t>
      </w:r>
      <w:r w:rsidR="00D425D8" w:rsidRPr="1A8E6423">
        <w:rPr>
          <w:rFonts w:ascii="Arial" w:hAnsi="Arial" w:cs="Arial"/>
          <w:sz w:val="20"/>
          <w:szCs w:val="20"/>
          <w:lang w:val="sr-Cyrl-RS"/>
        </w:rPr>
        <w:t xml:space="preserve"> у погледу</w:t>
      </w:r>
      <w:r w:rsidRPr="1A8E6423">
        <w:rPr>
          <w:rFonts w:ascii="Arial" w:hAnsi="Arial" w:cs="Arial"/>
          <w:sz w:val="20"/>
          <w:szCs w:val="20"/>
          <w:lang w:val="sr-Cyrl-RS"/>
        </w:rPr>
        <w:t xml:space="preserve"> примене од стране свих ЛС. </w:t>
      </w:r>
      <w:r w:rsidR="00293DFD" w:rsidRPr="1A8E6423">
        <w:rPr>
          <w:rFonts w:ascii="Arial" w:hAnsi="Arial" w:cs="Arial"/>
          <w:sz w:val="20"/>
          <w:szCs w:val="20"/>
          <w:lang w:val="sr-Cyrl-RS"/>
        </w:rPr>
        <w:t xml:space="preserve">Посебно је важно </w:t>
      </w:r>
      <w:r w:rsidR="005C02B6" w:rsidRPr="1A8E6423">
        <w:rPr>
          <w:rFonts w:ascii="Arial" w:hAnsi="Arial" w:cs="Arial"/>
          <w:sz w:val="20"/>
          <w:szCs w:val="20"/>
          <w:lang w:val="sr-Cyrl-RS"/>
        </w:rPr>
        <w:t>настав</w:t>
      </w:r>
      <w:r w:rsidR="00293DFD" w:rsidRPr="1A8E6423">
        <w:rPr>
          <w:rFonts w:ascii="Arial" w:hAnsi="Arial" w:cs="Arial"/>
          <w:sz w:val="20"/>
          <w:szCs w:val="20"/>
          <w:lang w:val="sr-Cyrl-RS"/>
        </w:rPr>
        <w:t xml:space="preserve">ити </w:t>
      </w:r>
      <w:r w:rsidR="005C02B6" w:rsidRPr="1A8E6423">
        <w:rPr>
          <w:rFonts w:ascii="Arial" w:hAnsi="Arial" w:cs="Arial"/>
          <w:sz w:val="20"/>
          <w:szCs w:val="20"/>
          <w:lang w:val="sr-Cyrl-RS"/>
        </w:rPr>
        <w:t>деловањ</w:t>
      </w:r>
      <w:r w:rsidR="00D425D8" w:rsidRPr="1A8E6423">
        <w:rPr>
          <w:rFonts w:ascii="Arial" w:hAnsi="Arial" w:cs="Arial"/>
          <w:sz w:val="20"/>
          <w:szCs w:val="20"/>
          <w:lang w:val="sr-Cyrl-RS"/>
        </w:rPr>
        <w:t>е</w:t>
      </w:r>
      <w:r w:rsidR="005C02B6" w:rsidRPr="1A8E6423">
        <w:rPr>
          <w:rFonts w:ascii="Arial" w:hAnsi="Arial" w:cs="Arial"/>
          <w:sz w:val="20"/>
          <w:szCs w:val="20"/>
          <w:lang w:val="sr-Cyrl-RS"/>
        </w:rPr>
        <w:t xml:space="preserve"> </w:t>
      </w:r>
      <w:r w:rsidR="00D425D8" w:rsidRPr="1A8E6423">
        <w:rPr>
          <w:rFonts w:ascii="Arial" w:hAnsi="Arial" w:cs="Arial"/>
          <w:sz w:val="20"/>
          <w:szCs w:val="20"/>
          <w:lang w:val="sr-Cyrl-RS"/>
        </w:rPr>
        <w:t xml:space="preserve">на </w:t>
      </w:r>
      <w:r w:rsidR="005C02B6" w:rsidRPr="1A8E6423">
        <w:rPr>
          <w:rFonts w:ascii="Arial" w:hAnsi="Arial" w:cs="Arial"/>
          <w:sz w:val="20"/>
          <w:szCs w:val="20"/>
          <w:lang w:val="sr-Cyrl-RS"/>
        </w:rPr>
        <w:t xml:space="preserve">подршци ЛС </w:t>
      </w:r>
      <w:r w:rsidR="004E0BC4" w:rsidRPr="1A8E6423">
        <w:rPr>
          <w:rFonts w:ascii="Arial" w:hAnsi="Arial" w:cs="Arial"/>
          <w:sz w:val="20"/>
          <w:szCs w:val="20"/>
          <w:lang w:val="sr-Cyrl-RS"/>
        </w:rPr>
        <w:t xml:space="preserve">у процесу развоја </w:t>
      </w:r>
      <w:r w:rsidR="005C02B6" w:rsidRPr="1A8E6423">
        <w:rPr>
          <w:rFonts w:ascii="Arial" w:hAnsi="Arial" w:cs="Arial"/>
          <w:sz w:val="20"/>
          <w:szCs w:val="20"/>
          <w:lang w:val="sr-Cyrl-RS"/>
        </w:rPr>
        <w:t>буџетск</w:t>
      </w:r>
      <w:r w:rsidR="004E0BC4" w:rsidRPr="1A8E6423">
        <w:rPr>
          <w:rFonts w:ascii="Arial" w:hAnsi="Arial" w:cs="Arial"/>
          <w:sz w:val="20"/>
          <w:szCs w:val="20"/>
          <w:lang w:val="sr-Cyrl-RS"/>
        </w:rPr>
        <w:t>е</w:t>
      </w:r>
      <w:r w:rsidR="005C02B6" w:rsidRPr="1A8E6423">
        <w:rPr>
          <w:rFonts w:ascii="Arial" w:hAnsi="Arial" w:cs="Arial"/>
          <w:sz w:val="20"/>
          <w:szCs w:val="20"/>
          <w:lang w:val="sr-Cyrl-RS"/>
        </w:rPr>
        <w:t xml:space="preserve"> транспарентности и партиципације </w:t>
      </w:r>
      <w:r w:rsidR="004E0BC4" w:rsidRPr="1A8E6423">
        <w:rPr>
          <w:rFonts w:ascii="Arial" w:hAnsi="Arial" w:cs="Arial"/>
          <w:sz w:val="20"/>
          <w:szCs w:val="20"/>
          <w:lang w:val="sr-Cyrl-RS"/>
        </w:rPr>
        <w:t>и укупној транспаре</w:t>
      </w:r>
      <w:r w:rsidR="22154039" w:rsidRPr="1A8E6423">
        <w:rPr>
          <w:rFonts w:ascii="Arial" w:hAnsi="Arial" w:cs="Arial"/>
          <w:sz w:val="20"/>
          <w:szCs w:val="20"/>
          <w:lang w:val="sr-Cyrl-RS"/>
        </w:rPr>
        <w:t>н</w:t>
      </w:r>
      <w:r w:rsidR="004E0BC4" w:rsidRPr="1A8E6423">
        <w:rPr>
          <w:rFonts w:ascii="Arial" w:hAnsi="Arial" w:cs="Arial"/>
          <w:sz w:val="20"/>
          <w:szCs w:val="20"/>
          <w:lang w:val="sr-Cyrl-RS"/>
        </w:rPr>
        <w:t xml:space="preserve">тности </w:t>
      </w:r>
      <w:r w:rsidR="005C02B6" w:rsidRPr="1A8E6423">
        <w:rPr>
          <w:rFonts w:ascii="Arial" w:hAnsi="Arial" w:cs="Arial"/>
          <w:sz w:val="20"/>
          <w:szCs w:val="20"/>
          <w:lang w:val="sr-Cyrl-RS"/>
        </w:rPr>
        <w:t>буџетског календара</w:t>
      </w:r>
      <w:r w:rsidR="004E0BC4" w:rsidRPr="1A8E6423">
        <w:rPr>
          <w:rFonts w:ascii="Arial" w:hAnsi="Arial" w:cs="Arial"/>
          <w:sz w:val="20"/>
          <w:szCs w:val="20"/>
          <w:lang w:val="sr-Cyrl-RS"/>
        </w:rPr>
        <w:t xml:space="preserve"> (</w:t>
      </w:r>
      <w:r w:rsidR="005C02B6" w:rsidRPr="1A8E6423">
        <w:rPr>
          <w:rFonts w:ascii="Arial" w:hAnsi="Arial" w:cs="Arial"/>
          <w:sz w:val="20"/>
          <w:szCs w:val="20"/>
          <w:lang w:val="sr-Cyrl-RS"/>
        </w:rPr>
        <w:t>праћења буџета</w:t>
      </w:r>
      <w:r w:rsidR="00D425D8" w:rsidRPr="1A8E6423">
        <w:rPr>
          <w:rFonts w:ascii="Arial" w:hAnsi="Arial" w:cs="Arial"/>
          <w:sz w:val="20"/>
          <w:szCs w:val="20"/>
          <w:lang w:val="sr-Cyrl-RS"/>
        </w:rPr>
        <w:t xml:space="preserve"> – </w:t>
      </w:r>
      <w:r w:rsidR="004E0BC4" w:rsidRPr="1A8E6423">
        <w:rPr>
          <w:rFonts w:ascii="Arial" w:hAnsi="Arial" w:cs="Arial"/>
          <w:sz w:val="20"/>
          <w:szCs w:val="20"/>
          <w:lang w:val="sr-Cyrl-RS"/>
        </w:rPr>
        <w:t>прихода и расход</w:t>
      </w:r>
      <w:r w:rsidR="00DC73A7" w:rsidRPr="1A8E6423">
        <w:rPr>
          <w:rFonts w:ascii="Arial" w:hAnsi="Arial" w:cs="Arial"/>
          <w:sz w:val="20"/>
          <w:szCs w:val="20"/>
          <w:lang w:val="sr-Cyrl-RS"/>
        </w:rPr>
        <w:t>а</w:t>
      </w:r>
      <w:r w:rsidR="005C02B6" w:rsidRPr="1A8E6423">
        <w:rPr>
          <w:rFonts w:ascii="Arial" w:hAnsi="Arial" w:cs="Arial"/>
          <w:sz w:val="20"/>
          <w:szCs w:val="20"/>
          <w:lang w:val="sr-Cyrl-RS"/>
        </w:rPr>
        <w:t xml:space="preserve"> током целе године, обавештавање јавности о извршењу буџета и реализованим инвестицијама, објављивање података о кредитној способности и задужености ЈЛС, доступност извештаја о ревизији завршног рачуна буџета ЛС</w:t>
      </w:r>
      <w:r w:rsidR="004E0BC4" w:rsidRPr="1A8E6423">
        <w:rPr>
          <w:rFonts w:ascii="Arial" w:hAnsi="Arial" w:cs="Arial"/>
          <w:sz w:val="20"/>
          <w:szCs w:val="20"/>
          <w:lang w:val="sr-Cyrl-RS"/>
        </w:rPr>
        <w:t xml:space="preserve"> итд.)</w:t>
      </w:r>
      <w:r w:rsidR="005C02B6" w:rsidRPr="1A8E6423">
        <w:rPr>
          <w:rFonts w:ascii="Arial" w:hAnsi="Arial" w:cs="Arial"/>
          <w:sz w:val="20"/>
          <w:szCs w:val="20"/>
          <w:lang w:val="sr-Cyrl-RS"/>
        </w:rPr>
        <w:t xml:space="preserve">. Стога </w:t>
      </w:r>
      <w:r w:rsidR="004E0BC4" w:rsidRPr="1A8E6423">
        <w:rPr>
          <w:rFonts w:ascii="Arial" w:hAnsi="Arial" w:cs="Arial"/>
          <w:sz w:val="20"/>
          <w:szCs w:val="20"/>
          <w:lang w:val="sr-Cyrl-RS"/>
        </w:rPr>
        <w:t>се</w:t>
      </w:r>
      <w:r w:rsidR="005C02B6" w:rsidRPr="1A8E6423">
        <w:rPr>
          <w:rFonts w:ascii="Arial" w:hAnsi="Arial" w:cs="Arial"/>
          <w:sz w:val="20"/>
          <w:szCs w:val="20"/>
          <w:lang w:val="sr-Cyrl-RS"/>
        </w:rPr>
        <w:t xml:space="preserve"> планира интензивирање изградње капацитета носилаца ових процеса у ЛС, како кроз стручно усавршавање, тако и кроз даље моделовање помоћних материјала и алата</w:t>
      </w:r>
      <w:r w:rsidR="00C5229F" w:rsidRPr="1A8E6423">
        <w:rPr>
          <w:rFonts w:ascii="Arial" w:hAnsi="Arial" w:cs="Arial"/>
          <w:sz w:val="20"/>
          <w:szCs w:val="20"/>
          <w:lang w:val="sr-Cyrl-RS"/>
        </w:rPr>
        <w:t xml:space="preserve"> и </w:t>
      </w:r>
      <w:r w:rsidR="005C02B6" w:rsidRPr="1A8E6423">
        <w:rPr>
          <w:rFonts w:ascii="Arial" w:hAnsi="Arial" w:cs="Arial"/>
          <w:sz w:val="20"/>
          <w:szCs w:val="20"/>
          <w:lang w:val="sr-Cyrl-RS"/>
        </w:rPr>
        <w:t>појачану промоцију важности процеса</w:t>
      </w:r>
      <w:r w:rsidR="00C5229F" w:rsidRPr="1A8E6423">
        <w:rPr>
          <w:rFonts w:ascii="Arial" w:hAnsi="Arial" w:cs="Arial"/>
          <w:sz w:val="20"/>
          <w:szCs w:val="20"/>
          <w:lang w:val="sr-Cyrl-RS"/>
        </w:rPr>
        <w:t xml:space="preserve"> транспаре</w:t>
      </w:r>
      <w:r w:rsidR="76DCB41B" w:rsidRPr="1A8E6423">
        <w:rPr>
          <w:rFonts w:ascii="Arial" w:hAnsi="Arial" w:cs="Arial"/>
          <w:sz w:val="20"/>
          <w:szCs w:val="20"/>
          <w:lang w:val="sr-Cyrl-RS"/>
        </w:rPr>
        <w:t>н</w:t>
      </w:r>
      <w:r w:rsidR="00C5229F" w:rsidRPr="1A8E6423">
        <w:rPr>
          <w:rFonts w:ascii="Arial" w:hAnsi="Arial" w:cs="Arial"/>
          <w:sz w:val="20"/>
          <w:szCs w:val="20"/>
          <w:lang w:val="sr-Cyrl-RS"/>
        </w:rPr>
        <w:t>тности локалних јавних финансија.</w:t>
      </w:r>
      <w:r w:rsidR="006441C4" w:rsidRPr="1A8E6423">
        <w:rPr>
          <w:rFonts w:ascii="Arial" w:hAnsi="Arial" w:cs="Arial"/>
          <w:sz w:val="20"/>
          <w:szCs w:val="20"/>
          <w:lang w:val="sr-Cyrl-RS"/>
        </w:rPr>
        <w:t xml:space="preserve"> Посебн</w:t>
      </w:r>
      <w:r w:rsidR="00D425D8" w:rsidRPr="1A8E6423">
        <w:rPr>
          <w:rFonts w:ascii="Arial" w:hAnsi="Arial" w:cs="Arial"/>
          <w:sz w:val="20"/>
          <w:szCs w:val="20"/>
          <w:lang w:val="sr-Cyrl-RS"/>
        </w:rPr>
        <w:t>у</w:t>
      </w:r>
      <w:r w:rsidR="006441C4" w:rsidRPr="1A8E6423">
        <w:rPr>
          <w:rFonts w:ascii="Arial" w:hAnsi="Arial" w:cs="Arial"/>
          <w:sz w:val="20"/>
          <w:szCs w:val="20"/>
          <w:lang w:val="sr-Cyrl-RS"/>
        </w:rPr>
        <w:t xml:space="preserve"> </w:t>
      </w:r>
      <w:r w:rsidR="00D425D8" w:rsidRPr="1A8E6423">
        <w:rPr>
          <w:rFonts w:ascii="Arial" w:hAnsi="Arial" w:cs="Arial"/>
          <w:sz w:val="20"/>
          <w:szCs w:val="20"/>
          <w:lang w:val="sr-Cyrl-RS"/>
        </w:rPr>
        <w:t>пажњу</w:t>
      </w:r>
      <w:r w:rsidR="006441C4" w:rsidRPr="1A8E6423">
        <w:rPr>
          <w:rFonts w:ascii="Arial" w:hAnsi="Arial" w:cs="Arial"/>
          <w:sz w:val="20"/>
          <w:szCs w:val="20"/>
          <w:lang w:val="sr-Cyrl-RS"/>
        </w:rPr>
        <w:t xml:space="preserve"> треба </w:t>
      </w:r>
      <w:r w:rsidR="00D425D8" w:rsidRPr="1A8E6423">
        <w:rPr>
          <w:rFonts w:ascii="Arial" w:hAnsi="Arial" w:cs="Arial"/>
          <w:sz w:val="20"/>
          <w:szCs w:val="20"/>
          <w:lang w:val="sr-Cyrl-RS"/>
        </w:rPr>
        <w:t>посветити</w:t>
      </w:r>
      <w:r w:rsidR="006441C4" w:rsidRPr="1A8E6423">
        <w:rPr>
          <w:rFonts w:ascii="Arial" w:hAnsi="Arial" w:cs="Arial"/>
          <w:sz w:val="20"/>
          <w:szCs w:val="20"/>
          <w:lang w:val="sr-Cyrl-RS"/>
        </w:rPr>
        <w:t xml:space="preserve"> електронским решењима која су лако доступна и разумљива грађанима. У том смислу, на бази искустава стечених кроз пилотирање иницијативе за већу отвореност података о локалним буџетима, планирана је надоградња модела индивидуалних буџетских портала градова и општина (на којима је део ЈЛС већ радио са СКГО) и подршка заинтересованим градовима и општинама за успостављање њихових буџетских и инвестиционих портала, као и </w:t>
      </w:r>
      <w:r w:rsidR="006441C4" w:rsidRPr="1A8E6423">
        <w:rPr>
          <w:rFonts w:ascii="Arial" w:hAnsi="Arial" w:cs="Arial"/>
          <w:sz w:val="20"/>
          <w:szCs w:val="20"/>
          <w:lang w:val="sr-Cyrl-RS"/>
        </w:rPr>
        <w:lastRenderedPageBreak/>
        <w:t>подстицање и праћење усвојених пракси од стране ЛС за ажурно објављивање месечних извештаја о извршењу буџета.</w:t>
      </w:r>
    </w:p>
    <w:p w14:paraId="4FFCE0BE" w14:textId="0A294606" w:rsidR="005C02B6" w:rsidRPr="00A021B7" w:rsidRDefault="005C02B6" w:rsidP="005C02B6">
      <w:pPr>
        <w:jc w:val="both"/>
        <w:rPr>
          <w:rFonts w:ascii="Arial" w:hAnsi="Arial" w:cs="Arial"/>
          <w:sz w:val="20"/>
          <w:szCs w:val="20"/>
          <w:lang w:val="sr-Cyrl-RS"/>
        </w:rPr>
      </w:pPr>
    </w:p>
    <w:p w14:paraId="3346C598" w14:textId="77777777" w:rsidR="005C02B6" w:rsidRPr="00A021B7" w:rsidRDefault="005C02B6" w:rsidP="005C02B6">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Мера 2.4: Интензиван развој система интерне финансијске контроле у јавном сектору (ИФКЈ) на локалном нивоу</w:t>
      </w:r>
    </w:p>
    <w:p w14:paraId="3D1739A0" w14:textId="77777777" w:rsidR="005C02B6" w:rsidRPr="00A021B7" w:rsidRDefault="005C02B6" w:rsidP="005C02B6">
      <w:pPr>
        <w:jc w:val="both"/>
        <w:rPr>
          <w:rFonts w:ascii="Arial" w:hAnsi="Arial" w:cs="Arial"/>
          <w:b/>
          <w:color w:val="000000"/>
          <w:sz w:val="20"/>
          <w:szCs w:val="20"/>
          <w:lang w:val="sr-Cyrl-RS" w:eastAsia="sr-Latn-RS"/>
        </w:rPr>
      </w:pPr>
    </w:p>
    <w:p w14:paraId="6A35925F" w14:textId="01A05598" w:rsidR="005C02B6" w:rsidRPr="00A021B7" w:rsidRDefault="00E844C5"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У </w:t>
      </w:r>
      <w:r w:rsidR="006C2B41" w:rsidRPr="1A8E6423">
        <w:rPr>
          <w:rFonts w:ascii="Arial" w:hAnsi="Arial" w:cs="Arial"/>
          <w:sz w:val="20"/>
          <w:szCs w:val="20"/>
          <w:lang w:val="sr-Cyrl-RS"/>
        </w:rPr>
        <w:t xml:space="preserve">наредном периоду потребно је </w:t>
      </w:r>
      <w:r w:rsidR="006576C5" w:rsidRPr="1A8E6423">
        <w:rPr>
          <w:rFonts w:ascii="Arial" w:hAnsi="Arial" w:cs="Arial"/>
          <w:sz w:val="20"/>
          <w:szCs w:val="20"/>
          <w:lang w:val="sr-Cyrl-RS"/>
        </w:rPr>
        <w:t xml:space="preserve">даље наставити </w:t>
      </w:r>
      <w:r w:rsidR="005C02B6" w:rsidRPr="1A8E6423">
        <w:rPr>
          <w:rFonts w:ascii="Arial" w:hAnsi="Arial" w:cs="Arial"/>
          <w:sz w:val="20"/>
          <w:szCs w:val="20"/>
          <w:lang w:val="sr-Cyrl-RS"/>
        </w:rPr>
        <w:t xml:space="preserve">активности усмерене на подршку ЈЛС у успостављању или даљем развоју система ИФКЈ, као </w:t>
      </w:r>
      <w:r w:rsidR="00F9214A" w:rsidRPr="1A8E6423">
        <w:rPr>
          <w:rFonts w:ascii="Arial" w:hAnsi="Arial" w:cs="Arial"/>
          <w:sz w:val="20"/>
          <w:szCs w:val="20"/>
          <w:lang w:val="sr-Cyrl-RS"/>
        </w:rPr>
        <w:t xml:space="preserve">и </w:t>
      </w:r>
      <w:r w:rsidR="00DC73A7" w:rsidRPr="1A8E6423">
        <w:rPr>
          <w:rFonts w:ascii="Arial" w:hAnsi="Arial" w:cs="Arial"/>
          <w:sz w:val="20"/>
          <w:szCs w:val="20"/>
          <w:lang w:val="sr-Cyrl-RS"/>
        </w:rPr>
        <w:t xml:space="preserve">рад </w:t>
      </w:r>
      <w:r w:rsidR="00F9214A" w:rsidRPr="1A8E6423">
        <w:rPr>
          <w:rFonts w:ascii="Arial" w:hAnsi="Arial" w:cs="Arial"/>
          <w:sz w:val="20"/>
          <w:szCs w:val="20"/>
          <w:lang w:val="sr-Cyrl-RS"/>
        </w:rPr>
        <w:t>на</w:t>
      </w:r>
      <w:r w:rsidR="005C02B6" w:rsidRPr="1A8E6423">
        <w:rPr>
          <w:rFonts w:ascii="Arial" w:hAnsi="Arial" w:cs="Arial"/>
          <w:sz w:val="20"/>
          <w:szCs w:val="20"/>
          <w:lang w:val="sr-Cyrl-RS"/>
        </w:rPr>
        <w:t xml:space="preserve"> јачањ</w:t>
      </w:r>
      <w:r w:rsidR="00F9214A" w:rsidRPr="1A8E6423">
        <w:rPr>
          <w:rFonts w:ascii="Arial" w:hAnsi="Arial" w:cs="Arial"/>
          <w:sz w:val="20"/>
          <w:szCs w:val="20"/>
          <w:lang w:val="sr-Cyrl-RS"/>
        </w:rPr>
        <w:t xml:space="preserve">у </w:t>
      </w:r>
      <w:r w:rsidR="005C02B6" w:rsidRPr="1A8E6423">
        <w:rPr>
          <w:rFonts w:ascii="Arial" w:hAnsi="Arial" w:cs="Arial"/>
          <w:sz w:val="20"/>
          <w:szCs w:val="20"/>
          <w:lang w:val="sr-Cyrl-RS"/>
        </w:rPr>
        <w:t xml:space="preserve">свести о значају ИФКЈ. Значајна искуства у подршци ЛС произлазе из рада на ИФКЈ са одабраним градовима и општинама у оквиру актуелних пројеката развојне помоћи, на основу којих се формира и база знања и снажи дијалог о јавним политикама на тему ФУК и ИР. Редефинисање регулаторног оквира у том смислу већ је започето кроз ревизију респективних правилника, фокусирање примене система на веће буџетске кориснике, сагледавање опција за увођење заједничких хоризонталних служби за ФУК на нивоу свих КЈС у ЈЛС или за више ЈЛС, предлагање целисходнијих решења за сертификацију интерних ревизора. </w:t>
      </w:r>
      <w:r w:rsidR="006576C5" w:rsidRPr="1A8E6423">
        <w:rPr>
          <w:rFonts w:ascii="Arial" w:hAnsi="Arial" w:cs="Arial"/>
          <w:sz w:val="20"/>
          <w:szCs w:val="20"/>
          <w:lang w:val="sr-Cyrl-RS"/>
        </w:rPr>
        <w:t>Иако су констатовани п</w:t>
      </w:r>
      <w:r w:rsidR="005C02B6" w:rsidRPr="1A8E6423">
        <w:rPr>
          <w:rFonts w:ascii="Arial" w:hAnsi="Arial" w:cs="Arial"/>
          <w:sz w:val="20"/>
          <w:szCs w:val="20"/>
          <w:lang w:val="sr-Cyrl-RS"/>
        </w:rPr>
        <w:t xml:space="preserve">озитивни помаци </w:t>
      </w:r>
      <w:r w:rsidR="00693FE1" w:rsidRPr="1A8E6423">
        <w:rPr>
          <w:rFonts w:ascii="Arial" w:hAnsi="Arial" w:cs="Arial"/>
          <w:sz w:val="20"/>
          <w:szCs w:val="20"/>
          <w:lang w:val="sr-Cyrl-RS"/>
        </w:rPr>
        <w:t xml:space="preserve">на нивоу целе јавне управе, </w:t>
      </w:r>
      <w:r w:rsidR="005C02B6" w:rsidRPr="1A8E6423">
        <w:rPr>
          <w:rFonts w:ascii="Arial" w:hAnsi="Arial" w:cs="Arial"/>
          <w:sz w:val="20"/>
          <w:szCs w:val="20"/>
          <w:lang w:val="sr-Cyrl-RS"/>
        </w:rPr>
        <w:t xml:space="preserve">даљи фокус </w:t>
      </w:r>
      <w:r w:rsidR="00693FE1" w:rsidRPr="1A8E6423">
        <w:rPr>
          <w:rFonts w:ascii="Arial" w:hAnsi="Arial" w:cs="Arial"/>
          <w:sz w:val="20"/>
          <w:szCs w:val="20"/>
          <w:lang w:val="sr-Cyrl-RS"/>
        </w:rPr>
        <w:t xml:space="preserve">треба да </w:t>
      </w:r>
      <w:r w:rsidR="005C02B6" w:rsidRPr="1A8E6423">
        <w:rPr>
          <w:rFonts w:ascii="Arial" w:hAnsi="Arial" w:cs="Arial"/>
          <w:sz w:val="20"/>
          <w:szCs w:val="20"/>
          <w:lang w:val="sr-Cyrl-RS"/>
        </w:rPr>
        <w:t>буде на обухватнијој примени система на локалном нивоу, уз јачање аспекта управљачке одговорности.</w:t>
      </w:r>
      <w:r w:rsidR="00C52F22" w:rsidRPr="1A8E6423">
        <w:rPr>
          <w:rFonts w:ascii="Arial" w:hAnsi="Arial" w:cs="Arial"/>
          <w:sz w:val="20"/>
          <w:szCs w:val="20"/>
          <w:lang w:val="sr-Cyrl-RS"/>
        </w:rPr>
        <w:t xml:space="preserve"> </w:t>
      </w:r>
      <w:r w:rsidR="005C02B6" w:rsidRPr="1A8E6423">
        <w:rPr>
          <w:rFonts w:ascii="Arial" w:hAnsi="Arial" w:cs="Arial"/>
          <w:sz w:val="20"/>
          <w:szCs w:val="20"/>
          <w:lang w:val="sr-Cyrl-RS"/>
        </w:rPr>
        <w:t>У том смислу, планиран</w:t>
      </w:r>
      <w:r w:rsidR="00D425D8" w:rsidRPr="1A8E6423">
        <w:rPr>
          <w:rFonts w:ascii="Arial" w:hAnsi="Arial" w:cs="Arial"/>
          <w:sz w:val="20"/>
          <w:szCs w:val="20"/>
          <w:lang w:val="sr-Cyrl-RS"/>
        </w:rPr>
        <w:t>и</w:t>
      </w:r>
      <w:r w:rsidR="005C02B6" w:rsidRPr="1A8E6423">
        <w:rPr>
          <w:rFonts w:ascii="Arial" w:hAnsi="Arial" w:cs="Arial"/>
          <w:sz w:val="20"/>
          <w:szCs w:val="20"/>
          <w:lang w:val="sr-Cyrl-RS"/>
        </w:rPr>
        <w:t xml:space="preserve"> </w:t>
      </w:r>
      <w:r w:rsidR="00D425D8" w:rsidRPr="1A8E6423">
        <w:rPr>
          <w:rFonts w:ascii="Arial" w:hAnsi="Arial" w:cs="Arial"/>
          <w:sz w:val="20"/>
          <w:szCs w:val="20"/>
          <w:lang w:val="sr-Cyrl-RS"/>
        </w:rPr>
        <w:t>су,</w:t>
      </w:r>
      <w:r w:rsidR="005C02B6" w:rsidRPr="1A8E6423">
        <w:rPr>
          <w:rFonts w:ascii="Arial" w:hAnsi="Arial" w:cs="Arial"/>
          <w:sz w:val="20"/>
          <w:szCs w:val="20"/>
          <w:lang w:val="sr-Cyrl-RS"/>
        </w:rPr>
        <w:t xml:space="preserve"> са једне стране</w:t>
      </w:r>
      <w:r w:rsidR="00D425D8" w:rsidRPr="1A8E6423">
        <w:rPr>
          <w:rFonts w:ascii="Arial" w:hAnsi="Arial" w:cs="Arial"/>
          <w:sz w:val="20"/>
          <w:szCs w:val="20"/>
          <w:lang w:val="sr-Cyrl-RS"/>
        </w:rPr>
        <w:t>,</w:t>
      </w:r>
      <w:r w:rsidR="005C02B6" w:rsidRPr="1A8E6423">
        <w:rPr>
          <w:rFonts w:ascii="Arial" w:hAnsi="Arial" w:cs="Arial"/>
          <w:sz w:val="20"/>
          <w:szCs w:val="20"/>
          <w:lang w:val="sr-Cyrl-RS"/>
        </w:rPr>
        <w:t xml:space="preserve"> хоризонтална подршка градовима и општинама, заговарање и ефективан рад на унапређењу правног оквира</w:t>
      </w:r>
      <w:r w:rsidR="00D425D8" w:rsidRPr="1A8E6423">
        <w:rPr>
          <w:rFonts w:ascii="Arial" w:hAnsi="Arial" w:cs="Arial"/>
          <w:sz w:val="20"/>
          <w:szCs w:val="20"/>
          <w:lang w:val="sr-Cyrl-RS"/>
        </w:rPr>
        <w:t>,</w:t>
      </w:r>
      <w:r w:rsidR="005C02B6" w:rsidRPr="1A8E6423">
        <w:rPr>
          <w:rFonts w:ascii="Arial" w:hAnsi="Arial" w:cs="Arial"/>
          <w:sz w:val="20"/>
          <w:szCs w:val="20"/>
          <w:lang w:val="sr-Cyrl-RS"/>
        </w:rPr>
        <w:t xml:space="preserve"> уз интензивно консултовање ЈЛС и јачање свести о значају ИФКЈ као интегралног дела локалних стратешких и оперативних процеса</w:t>
      </w:r>
      <w:r w:rsidR="00D425D8" w:rsidRPr="1A8E6423">
        <w:rPr>
          <w:rFonts w:ascii="Arial" w:hAnsi="Arial" w:cs="Arial"/>
          <w:sz w:val="20"/>
          <w:szCs w:val="20"/>
          <w:lang w:val="sr-Cyrl-RS"/>
        </w:rPr>
        <w:t>,</w:t>
      </w:r>
      <w:r w:rsidR="005C02B6" w:rsidRPr="1A8E6423">
        <w:rPr>
          <w:rFonts w:ascii="Arial" w:hAnsi="Arial" w:cs="Arial"/>
          <w:sz w:val="20"/>
          <w:szCs w:val="20"/>
          <w:lang w:val="sr-Cyrl-RS"/>
        </w:rPr>
        <w:t xml:space="preserve"> и интензивније умрежавање ЈЛС по овим питањима. Поред тога, предвиђен је и наставак непосредне техничке помоћи у раду са изабраним ЈЛС кроз координацију доступних пројеката развојне сарадње и осигуравање што већег обухвата градова и општина и репродуковање резултата појединачних пакета подршке </w:t>
      </w:r>
      <w:r w:rsidR="00FE17DB" w:rsidRPr="1A8E6423">
        <w:rPr>
          <w:rFonts w:ascii="Arial" w:hAnsi="Arial" w:cs="Arial"/>
          <w:sz w:val="20"/>
          <w:szCs w:val="20"/>
          <w:lang w:val="sr-Cyrl-RS"/>
        </w:rPr>
        <w:t>кроз</w:t>
      </w:r>
      <w:r w:rsidR="005C02B6" w:rsidRPr="1A8E6423">
        <w:rPr>
          <w:rFonts w:ascii="Arial" w:hAnsi="Arial" w:cs="Arial"/>
          <w:sz w:val="20"/>
          <w:szCs w:val="20"/>
          <w:lang w:val="sr-Cyrl-RS"/>
        </w:rPr>
        <w:t xml:space="preserve"> </w:t>
      </w:r>
      <w:r w:rsidR="00FE17DB" w:rsidRPr="1A8E6423">
        <w:rPr>
          <w:rFonts w:ascii="Arial" w:hAnsi="Arial" w:cs="Arial"/>
          <w:sz w:val="20"/>
          <w:szCs w:val="20"/>
          <w:lang w:val="sr-Cyrl-RS"/>
        </w:rPr>
        <w:t xml:space="preserve">размену </w:t>
      </w:r>
      <w:r w:rsidR="005C02B6" w:rsidRPr="1A8E6423">
        <w:rPr>
          <w:rFonts w:ascii="Arial" w:hAnsi="Arial" w:cs="Arial"/>
          <w:sz w:val="20"/>
          <w:szCs w:val="20"/>
          <w:lang w:val="sr-Cyrl-RS"/>
        </w:rPr>
        <w:t>доб</w:t>
      </w:r>
      <w:r w:rsidR="00FE17DB" w:rsidRPr="1A8E6423">
        <w:rPr>
          <w:rFonts w:ascii="Arial" w:hAnsi="Arial" w:cs="Arial"/>
          <w:sz w:val="20"/>
          <w:szCs w:val="20"/>
          <w:lang w:val="sr-Cyrl-RS"/>
        </w:rPr>
        <w:t>ре</w:t>
      </w:r>
      <w:r w:rsidR="005C02B6" w:rsidRPr="1A8E6423">
        <w:rPr>
          <w:rFonts w:ascii="Arial" w:hAnsi="Arial" w:cs="Arial"/>
          <w:sz w:val="20"/>
          <w:szCs w:val="20"/>
          <w:lang w:val="sr-Cyrl-RS"/>
        </w:rPr>
        <w:t xml:space="preserve"> праксе и дораду методолошких смерница и приручника са фокусом на ИФКЈ.</w:t>
      </w:r>
    </w:p>
    <w:p w14:paraId="16C04463" w14:textId="77777777" w:rsidR="005C02B6" w:rsidRPr="00A021B7" w:rsidRDefault="005C02B6" w:rsidP="003E7BC9">
      <w:pPr>
        <w:pStyle w:val="Naslov111"/>
        <w:ind w:left="0" w:firstLine="0"/>
        <w:jc w:val="both"/>
        <w:rPr>
          <w:rFonts w:ascii="Arial" w:hAnsi="Arial" w:cs="Arial"/>
          <w:bCs/>
          <w:i/>
          <w:iCs/>
          <w:noProof w:val="0"/>
          <w:color w:val="000000" w:themeColor="text1"/>
          <w:sz w:val="20"/>
          <w:szCs w:val="20"/>
          <w:lang w:val="sr-Cyrl-RS"/>
        </w:rPr>
      </w:pPr>
    </w:p>
    <w:p w14:paraId="34BD694E" w14:textId="77777777" w:rsidR="005E6575" w:rsidRPr="00A021B7" w:rsidRDefault="005E6575" w:rsidP="486C755F">
      <w:pPr>
        <w:pStyle w:val="Heading2"/>
        <w:jc w:val="both"/>
        <w:rPr>
          <w:lang w:val="sr-Cyrl-RS"/>
        </w:rPr>
      </w:pPr>
      <w:bookmarkStart w:id="172" w:name="_Toc60136114"/>
      <w:r w:rsidRPr="00A021B7">
        <w:rPr>
          <w:lang w:val="sr-Cyrl-RS"/>
        </w:rPr>
        <w:t>ПОСЕБНИ ЦИЉ 3: УНАПРЕЂЕНА ОРГАНИЗАЦИЈА И КАПАЦИТЕТИ ЛОКАЛНЕ САМОУПРАВЕ</w:t>
      </w:r>
      <w:bookmarkEnd w:id="172"/>
    </w:p>
    <w:p w14:paraId="617DA309"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p w14:paraId="506B1EA8" w14:textId="608B6208" w:rsidR="00C8317C" w:rsidRPr="00A021B7" w:rsidRDefault="00C8317C" w:rsidP="1A8E6423">
      <w:pPr>
        <w:pStyle w:val="Naslov111"/>
        <w:ind w:left="0" w:firstLine="720"/>
        <w:jc w:val="both"/>
        <w:rPr>
          <w:rFonts w:ascii="Arial" w:hAnsi="Arial" w:cs="Arial"/>
          <w:b w:val="0"/>
          <w:noProof w:val="0"/>
          <w:color w:val="000000" w:themeColor="text1"/>
          <w:sz w:val="20"/>
          <w:szCs w:val="20"/>
          <w:lang w:val="sr-Cyrl-RS"/>
        </w:rPr>
      </w:pPr>
      <w:bookmarkStart w:id="173" w:name="_Toc60136115"/>
      <w:r w:rsidRPr="1A8E6423">
        <w:rPr>
          <w:rFonts w:ascii="Arial" w:hAnsi="Arial" w:cs="Arial"/>
          <w:b w:val="0"/>
          <w:noProof w:val="0"/>
          <w:color w:val="000000" w:themeColor="text1"/>
          <w:sz w:val="20"/>
          <w:szCs w:val="20"/>
          <w:lang w:val="sr-Cyrl-RS"/>
        </w:rPr>
        <w:t xml:space="preserve">Овај правац деловања политике усмерен је на унапређење организације и капацитета локалне самоуправе и подразумева организациону промену начина управљања локалним пословима кроз </w:t>
      </w:r>
      <w:r w:rsidR="00B77D1A" w:rsidRPr="1A8E6423">
        <w:rPr>
          <w:rFonts w:ascii="Arial" w:hAnsi="Arial" w:cs="Arial"/>
          <w:b w:val="0"/>
          <w:noProof w:val="0"/>
          <w:color w:val="000000" w:themeColor="text1"/>
          <w:sz w:val="20"/>
          <w:szCs w:val="20"/>
          <w:lang w:val="sr-Cyrl-RS"/>
        </w:rPr>
        <w:t xml:space="preserve">функционално </w:t>
      </w:r>
      <w:r w:rsidRPr="1A8E6423">
        <w:rPr>
          <w:rFonts w:ascii="Arial" w:hAnsi="Arial" w:cs="Arial"/>
          <w:b w:val="0"/>
          <w:noProof w:val="0"/>
          <w:color w:val="000000" w:themeColor="text1"/>
          <w:sz w:val="20"/>
          <w:szCs w:val="20"/>
          <w:lang w:val="sr-Cyrl-RS"/>
        </w:rPr>
        <w:t xml:space="preserve">редефинисање </w:t>
      </w:r>
      <w:r w:rsidR="00B77D1A" w:rsidRPr="1A8E6423">
        <w:rPr>
          <w:rFonts w:ascii="Arial" w:hAnsi="Arial" w:cs="Arial"/>
          <w:b w:val="0"/>
          <w:noProof w:val="0"/>
          <w:color w:val="000000" w:themeColor="text1"/>
          <w:sz w:val="20"/>
          <w:szCs w:val="20"/>
          <w:lang w:val="sr-Cyrl-RS"/>
        </w:rPr>
        <w:t>послова у оквиру јавне управе и</w:t>
      </w:r>
      <w:r w:rsidR="005B5F49" w:rsidRPr="1A8E6423">
        <w:rPr>
          <w:rFonts w:ascii="Arial" w:hAnsi="Arial" w:cs="Arial"/>
          <w:b w:val="0"/>
          <w:noProof w:val="0"/>
          <w:color w:val="000000" w:themeColor="text1"/>
          <w:sz w:val="20"/>
          <w:szCs w:val="20"/>
          <w:lang w:val="sr-Cyrl-RS"/>
        </w:rPr>
        <w:t>,</w:t>
      </w:r>
      <w:r w:rsidR="00B77D1A" w:rsidRPr="1A8E6423">
        <w:rPr>
          <w:rFonts w:ascii="Arial" w:hAnsi="Arial" w:cs="Arial"/>
          <w:b w:val="0"/>
          <w:noProof w:val="0"/>
          <w:color w:val="000000" w:themeColor="text1"/>
          <w:sz w:val="20"/>
          <w:szCs w:val="20"/>
          <w:lang w:val="sr-Cyrl-RS"/>
        </w:rPr>
        <w:t xml:space="preserve"> посебно</w:t>
      </w:r>
      <w:r w:rsidR="005B5F49" w:rsidRPr="1A8E6423">
        <w:rPr>
          <w:rFonts w:ascii="Arial" w:hAnsi="Arial" w:cs="Arial"/>
          <w:b w:val="0"/>
          <w:noProof w:val="0"/>
          <w:color w:val="000000" w:themeColor="text1"/>
          <w:sz w:val="20"/>
          <w:szCs w:val="20"/>
          <w:lang w:val="sr-Cyrl-RS"/>
        </w:rPr>
        <w:t>,</w:t>
      </w:r>
      <w:r w:rsidR="00B77D1A"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t>локалне самоуправе (кроз елиминисање преклапања надлежности, заокруживање целине надлежности ЛС у појединим областима, дефинисање критеријума за процену капацитета ЛС за спровођење надлежности и за њихово даље поверавање, увођење могућности преношења послова у две брзине или више корака, увођење могућности факултативних надлежности, јачање позиције градова и др.)</w:t>
      </w:r>
      <w:r w:rsidR="00B77D1A" w:rsidRPr="1A8E6423">
        <w:rPr>
          <w:rFonts w:ascii="Arial" w:hAnsi="Arial" w:cs="Arial"/>
          <w:b w:val="0"/>
          <w:noProof w:val="0"/>
          <w:color w:val="000000" w:themeColor="text1"/>
          <w:sz w:val="20"/>
          <w:szCs w:val="20"/>
          <w:lang w:val="sr-Cyrl-RS"/>
        </w:rPr>
        <w:t xml:space="preserve">, успостављање јасне и доследне типологије организационих облика (органа, установа, предузећа и организација) </w:t>
      </w:r>
      <w:r w:rsidR="005B5F49" w:rsidRPr="1A8E6423">
        <w:rPr>
          <w:rFonts w:ascii="Arial" w:hAnsi="Arial" w:cs="Arial"/>
          <w:b w:val="0"/>
          <w:noProof w:val="0"/>
          <w:color w:val="000000" w:themeColor="text1"/>
          <w:sz w:val="20"/>
          <w:szCs w:val="20"/>
          <w:lang w:val="sr-Cyrl-RS"/>
        </w:rPr>
        <w:t xml:space="preserve">преко </w:t>
      </w:r>
      <w:r w:rsidR="00B77D1A" w:rsidRPr="1A8E6423">
        <w:rPr>
          <w:rFonts w:ascii="Arial" w:hAnsi="Arial" w:cs="Arial"/>
          <w:b w:val="0"/>
          <w:noProof w:val="0"/>
          <w:color w:val="000000" w:themeColor="text1"/>
          <w:sz w:val="20"/>
          <w:szCs w:val="20"/>
          <w:lang w:val="sr-Cyrl-RS"/>
        </w:rPr>
        <w:t>којих се управља пословима локалне самоуправе</w:t>
      </w:r>
      <w:r w:rsidRPr="1A8E6423">
        <w:rPr>
          <w:rFonts w:ascii="Arial" w:hAnsi="Arial" w:cs="Arial"/>
          <w:b w:val="0"/>
          <w:noProof w:val="0"/>
          <w:color w:val="000000" w:themeColor="text1"/>
          <w:sz w:val="20"/>
          <w:szCs w:val="20"/>
          <w:lang w:val="sr-Cyrl-RS"/>
        </w:rPr>
        <w:t xml:space="preserve"> и кроз интензивирање развоја међуопштинске сарадње у спровођењу послова локалне самоуправе. </w:t>
      </w:r>
      <w:r w:rsidR="008D75D4" w:rsidRPr="1A8E6423">
        <w:rPr>
          <w:rFonts w:ascii="Arial" w:hAnsi="Arial" w:cs="Arial"/>
          <w:b w:val="0"/>
          <w:noProof w:val="0"/>
          <w:color w:val="000000" w:themeColor="text1"/>
          <w:sz w:val="20"/>
          <w:szCs w:val="20"/>
          <w:lang w:val="sr-Cyrl-RS"/>
        </w:rPr>
        <w:t xml:space="preserve">Основа ових реформи </w:t>
      </w:r>
      <w:r w:rsidR="00B77D1A" w:rsidRPr="1A8E6423">
        <w:rPr>
          <w:rFonts w:ascii="Arial" w:hAnsi="Arial" w:cs="Arial"/>
          <w:b w:val="0"/>
          <w:noProof w:val="0"/>
          <w:color w:val="000000" w:themeColor="text1"/>
          <w:sz w:val="20"/>
          <w:szCs w:val="20"/>
          <w:lang w:val="sr-Cyrl-RS"/>
        </w:rPr>
        <w:t xml:space="preserve">јесте </w:t>
      </w:r>
      <w:r w:rsidR="008D75D4" w:rsidRPr="1A8E6423">
        <w:rPr>
          <w:rFonts w:ascii="Arial" w:hAnsi="Arial" w:cs="Arial"/>
          <w:b w:val="0"/>
          <w:noProof w:val="0"/>
          <w:color w:val="000000" w:themeColor="text1"/>
          <w:sz w:val="20"/>
          <w:szCs w:val="20"/>
          <w:lang w:val="sr-Cyrl-RS"/>
        </w:rPr>
        <w:t xml:space="preserve">будући </w:t>
      </w:r>
      <w:r w:rsidR="0007764E" w:rsidRPr="1A8E6423">
        <w:rPr>
          <w:rFonts w:ascii="Arial" w:hAnsi="Arial" w:cs="Arial"/>
          <w:b w:val="0"/>
          <w:noProof w:val="0"/>
          <w:color w:val="000000" w:themeColor="text1"/>
          <w:sz w:val="20"/>
          <w:szCs w:val="20"/>
          <w:lang w:val="sr-Cyrl-RS"/>
        </w:rPr>
        <w:t xml:space="preserve">договор у оквиру целе јавне управе о најрационалнијој расподели надлежности и о томе које су то јавне услуге приоритет у процесу преношења одговорности на локалну самоуправу. </w:t>
      </w:r>
      <w:r w:rsidR="00B77D1A" w:rsidRPr="1A8E6423">
        <w:rPr>
          <w:rFonts w:ascii="Arial" w:hAnsi="Arial" w:cs="Arial"/>
          <w:b w:val="0"/>
          <w:noProof w:val="0"/>
          <w:color w:val="000000" w:themeColor="text1"/>
          <w:sz w:val="20"/>
          <w:szCs w:val="20"/>
          <w:lang w:val="sr-Cyrl-RS"/>
        </w:rPr>
        <w:t>О</w:t>
      </w:r>
      <w:r w:rsidR="0007764E" w:rsidRPr="1A8E6423">
        <w:rPr>
          <w:rFonts w:ascii="Arial" w:hAnsi="Arial" w:cs="Arial"/>
          <w:b w:val="0"/>
          <w:noProof w:val="0"/>
          <w:color w:val="000000" w:themeColor="text1"/>
          <w:sz w:val="20"/>
          <w:szCs w:val="20"/>
          <w:lang w:val="sr-Cyrl-RS"/>
        </w:rPr>
        <w:t>сновни критеријуми треба да буду економска ефикасност</w:t>
      </w:r>
      <w:r w:rsidR="00B77D1A" w:rsidRPr="1A8E6423">
        <w:rPr>
          <w:rFonts w:ascii="Arial" w:hAnsi="Arial" w:cs="Arial"/>
          <w:b w:val="0"/>
          <w:noProof w:val="0"/>
          <w:color w:val="000000" w:themeColor="text1"/>
          <w:sz w:val="20"/>
          <w:szCs w:val="20"/>
          <w:lang w:val="sr-Cyrl-RS"/>
        </w:rPr>
        <w:t xml:space="preserve"> организације јавних послова, обезбеђени потребни капацитети за њихово обављање на конкретном нивоу јавне управе и </w:t>
      </w:r>
      <w:r w:rsidR="0007764E" w:rsidRPr="1A8E6423">
        <w:rPr>
          <w:rFonts w:ascii="Arial" w:hAnsi="Arial" w:cs="Arial"/>
          <w:b w:val="0"/>
          <w:noProof w:val="0"/>
          <w:color w:val="000000" w:themeColor="text1"/>
          <w:sz w:val="20"/>
          <w:szCs w:val="20"/>
          <w:lang w:val="sr-Cyrl-RS"/>
        </w:rPr>
        <w:t>већ</w:t>
      </w:r>
      <w:r w:rsidR="00B77D1A" w:rsidRPr="1A8E6423">
        <w:rPr>
          <w:rFonts w:ascii="Arial" w:hAnsi="Arial" w:cs="Arial"/>
          <w:b w:val="0"/>
          <w:noProof w:val="0"/>
          <w:color w:val="000000" w:themeColor="text1"/>
          <w:sz w:val="20"/>
          <w:szCs w:val="20"/>
          <w:lang w:val="sr-Cyrl-RS"/>
        </w:rPr>
        <w:t>а</w:t>
      </w:r>
      <w:r w:rsidR="0007764E" w:rsidRPr="1A8E6423">
        <w:rPr>
          <w:rFonts w:ascii="Arial" w:hAnsi="Arial" w:cs="Arial"/>
          <w:b w:val="0"/>
          <w:noProof w:val="0"/>
          <w:color w:val="000000" w:themeColor="text1"/>
          <w:sz w:val="20"/>
          <w:szCs w:val="20"/>
          <w:lang w:val="sr-Cyrl-RS"/>
        </w:rPr>
        <w:t xml:space="preserve"> доступност, бољ</w:t>
      </w:r>
      <w:r w:rsidR="00B77D1A" w:rsidRPr="1A8E6423">
        <w:rPr>
          <w:rFonts w:ascii="Arial" w:hAnsi="Arial" w:cs="Arial"/>
          <w:b w:val="0"/>
          <w:noProof w:val="0"/>
          <w:color w:val="000000" w:themeColor="text1"/>
          <w:sz w:val="20"/>
          <w:szCs w:val="20"/>
          <w:lang w:val="sr-Cyrl-RS"/>
        </w:rPr>
        <w:t>и</w:t>
      </w:r>
      <w:r w:rsidR="0007764E" w:rsidRPr="1A8E6423">
        <w:rPr>
          <w:rFonts w:ascii="Arial" w:hAnsi="Arial" w:cs="Arial"/>
          <w:b w:val="0"/>
          <w:noProof w:val="0"/>
          <w:color w:val="000000" w:themeColor="text1"/>
          <w:sz w:val="20"/>
          <w:szCs w:val="20"/>
          <w:lang w:val="sr-Cyrl-RS"/>
        </w:rPr>
        <w:t xml:space="preserve"> квалитет и јефтиниј</w:t>
      </w:r>
      <w:r w:rsidR="00B77D1A" w:rsidRPr="1A8E6423">
        <w:rPr>
          <w:rFonts w:ascii="Arial" w:hAnsi="Arial" w:cs="Arial"/>
          <w:b w:val="0"/>
          <w:noProof w:val="0"/>
          <w:color w:val="000000" w:themeColor="text1"/>
          <w:sz w:val="20"/>
          <w:szCs w:val="20"/>
          <w:lang w:val="sr-Cyrl-RS"/>
        </w:rPr>
        <w:t>е</w:t>
      </w:r>
      <w:r w:rsidR="0007764E" w:rsidRPr="1A8E6423">
        <w:rPr>
          <w:rFonts w:ascii="Arial" w:hAnsi="Arial" w:cs="Arial"/>
          <w:b w:val="0"/>
          <w:noProof w:val="0"/>
          <w:color w:val="000000" w:themeColor="text1"/>
          <w:sz w:val="20"/>
          <w:szCs w:val="20"/>
          <w:lang w:val="sr-Cyrl-RS"/>
        </w:rPr>
        <w:t xml:space="preserve"> јавне услуге грађанима.</w:t>
      </w:r>
      <w:r w:rsidR="00100039" w:rsidRPr="1A8E6423">
        <w:rPr>
          <w:rFonts w:ascii="Arial" w:hAnsi="Arial" w:cs="Arial"/>
          <w:b w:val="0"/>
          <w:noProof w:val="0"/>
          <w:color w:val="000000" w:themeColor="text1"/>
          <w:sz w:val="20"/>
          <w:szCs w:val="20"/>
          <w:lang w:val="sr-Cyrl-RS"/>
        </w:rPr>
        <w:t xml:space="preserve"> Класификација расподеле надлежности треба да има у виду и различитости које постоје у вези величином, бројем становника, финансијским и административним капацитетима локалних </w:t>
      </w:r>
      <w:r w:rsidR="1F024FC6" w:rsidRPr="1A8E6423">
        <w:rPr>
          <w:rFonts w:ascii="Arial" w:hAnsi="Arial" w:cs="Arial"/>
          <w:b w:val="0"/>
          <w:noProof w:val="0"/>
          <w:color w:val="000000" w:themeColor="text1"/>
          <w:sz w:val="20"/>
          <w:szCs w:val="20"/>
          <w:lang w:val="sr-Cyrl-RS"/>
        </w:rPr>
        <w:t>самоуправа</w:t>
      </w:r>
      <w:r w:rsidR="00100039" w:rsidRPr="1A8E6423">
        <w:rPr>
          <w:rFonts w:ascii="Arial" w:hAnsi="Arial" w:cs="Arial"/>
          <w:b w:val="0"/>
          <w:noProof w:val="0"/>
          <w:color w:val="000000" w:themeColor="text1"/>
          <w:sz w:val="20"/>
          <w:szCs w:val="20"/>
          <w:lang w:val="sr-Cyrl-RS"/>
        </w:rPr>
        <w:t>.</w:t>
      </w:r>
      <w:r w:rsidR="00D17098" w:rsidRPr="1A8E6423">
        <w:rPr>
          <w:rFonts w:ascii="Arial" w:hAnsi="Arial" w:cs="Arial"/>
          <w:b w:val="0"/>
          <w:noProof w:val="0"/>
          <w:color w:val="000000" w:themeColor="text1"/>
          <w:sz w:val="20"/>
          <w:szCs w:val="20"/>
          <w:lang w:val="sr-Cyrl-RS"/>
        </w:rPr>
        <w:t xml:space="preserve"> Будућу функционалну класификацију надлежности треба да прати и адекватна расподела </w:t>
      </w:r>
      <w:r w:rsidR="00100039" w:rsidRPr="1A8E6423">
        <w:rPr>
          <w:rFonts w:ascii="Arial" w:hAnsi="Arial" w:cs="Arial"/>
          <w:b w:val="0"/>
          <w:noProof w:val="0"/>
          <w:color w:val="000000" w:themeColor="text1"/>
          <w:sz w:val="20"/>
          <w:szCs w:val="20"/>
          <w:lang w:val="sr-Cyrl-RS"/>
        </w:rPr>
        <w:t xml:space="preserve">капацитета унутар јавне управе </w:t>
      </w:r>
      <w:r w:rsidR="00D17098" w:rsidRPr="1A8E6423">
        <w:rPr>
          <w:rFonts w:ascii="Arial" w:hAnsi="Arial" w:cs="Arial"/>
          <w:b w:val="0"/>
          <w:noProof w:val="0"/>
          <w:color w:val="000000" w:themeColor="text1"/>
          <w:sz w:val="20"/>
          <w:szCs w:val="20"/>
          <w:lang w:val="sr-Cyrl-RS"/>
        </w:rPr>
        <w:t>како би сваки ниво јавне власти, посебно онај који је најближи грађанима могао да у потпуности обавља своје послове.</w:t>
      </w:r>
      <w:r w:rsidR="00100039"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t>Даљи развој капацитета</w:t>
      </w:r>
      <w:r w:rsidR="00100039" w:rsidRPr="1A8E6423">
        <w:rPr>
          <w:rFonts w:ascii="Arial" w:hAnsi="Arial" w:cs="Arial"/>
          <w:b w:val="0"/>
          <w:noProof w:val="0"/>
          <w:color w:val="000000" w:themeColor="text1"/>
          <w:sz w:val="20"/>
          <w:szCs w:val="20"/>
          <w:lang w:val="sr-Cyrl-RS"/>
        </w:rPr>
        <w:t xml:space="preserve"> локалне самоуправе представља зато један од кључних приоритета. Првенствено је неопходно ј</w:t>
      </w:r>
      <w:r w:rsidRPr="1A8E6423">
        <w:rPr>
          <w:rFonts w:ascii="Arial" w:hAnsi="Arial" w:cs="Arial"/>
          <w:b w:val="0"/>
          <w:noProof w:val="0"/>
          <w:color w:val="000000" w:themeColor="text1"/>
          <w:sz w:val="20"/>
          <w:szCs w:val="20"/>
          <w:lang w:val="sr-Cyrl-RS"/>
        </w:rPr>
        <w:t>ачање људск</w:t>
      </w:r>
      <w:r w:rsidR="00100039" w:rsidRPr="1A8E6423">
        <w:rPr>
          <w:rFonts w:ascii="Arial" w:hAnsi="Arial" w:cs="Arial"/>
          <w:b w:val="0"/>
          <w:noProof w:val="0"/>
          <w:color w:val="000000" w:themeColor="text1"/>
          <w:sz w:val="20"/>
          <w:szCs w:val="20"/>
          <w:lang w:val="sr-Cyrl-RS"/>
        </w:rPr>
        <w:t>их</w:t>
      </w:r>
      <w:r w:rsidRPr="1A8E6423">
        <w:rPr>
          <w:rFonts w:ascii="Arial" w:hAnsi="Arial" w:cs="Arial"/>
          <w:b w:val="0"/>
          <w:noProof w:val="0"/>
          <w:color w:val="000000" w:themeColor="text1"/>
          <w:sz w:val="20"/>
          <w:szCs w:val="20"/>
          <w:lang w:val="sr-Cyrl-RS"/>
        </w:rPr>
        <w:t xml:space="preserve"> ресурс</w:t>
      </w:r>
      <w:r w:rsidR="00100039" w:rsidRPr="1A8E6423">
        <w:rPr>
          <w:rFonts w:ascii="Arial" w:hAnsi="Arial" w:cs="Arial"/>
          <w:b w:val="0"/>
          <w:noProof w:val="0"/>
          <w:color w:val="000000" w:themeColor="text1"/>
          <w:sz w:val="20"/>
          <w:szCs w:val="20"/>
          <w:lang w:val="sr-Cyrl-RS"/>
        </w:rPr>
        <w:t>а</w:t>
      </w:r>
      <w:r w:rsidRPr="1A8E6423">
        <w:rPr>
          <w:rFonts w:ascii="Arial" w:hAnsi="Arial" w:cs="Arial"/>
          <w:b w:val="0"/>
          <w:noProof w:val="0"/>
          <w:color w:val="000000" w:themeColor="text1"/>
          <w:sz w:val="20"/>
          <w:szCs w:val="20"/>
          <w:lang w:val="sr-Cyrl-RS"/>
        </w:rPr>
        <w:t xml:space="preserve"> у локалној самоуправи и модерн</w:t>
      </w:r>
      <w:r w:rsidR="00100039" w:rsidRPr="1A8E6423">
        <w:rPr>
          <w:rFonts w:ascii="Arial" w:hAnsi="Arial" w:cs="Arial"/>
          <w:b w:val="0"/>
          <w:noProof w:val="0"/>
          <w:color w:val="000000" w:themeColor="text1"/>
          <w:sz w:val="20"/>
          <w:szCs w:val="20"/>
          <w:lang w:val="sr-Cyrl-RS"/>
        </w:rPr>
        <w:t>их</w:t>
      </w:r>
      <w:r w:rsidRPr="1A8E6423">
        <w:rPr>
          <w:rFonts w:ascii="Arial" w:hAnsi="Arial" w:cs="Arial"/>
          <w:b w:val="0"/>
          <w:noProof w:val="0"/>
          <w:color w:val="000000" w:themeColor="text1"/>
          <w:sz w:val="20"/>
          <w:szCs w:val="20"/>
          <w:lang w:val="sr-Cyrl-RS"/>
        </w:rPr>
        <w:t xml:space="preserve"> техничк</w:t>
      </w:r>
      <w:r w:rsidR="00100039" w:rsidRPr="1A8E6423">
        <w:rPr>
          <w:rFonts w:ascii="Arial" w:hAnsi="Arial" w:cs="Arial"/>
          <w:b w:val="0"/>
          <w:noProof w:val="0"/>
          <w:color w:val="000000" w:themeColor="text1"/>
          <w:sz w:val="20"/>
          <w:szCs w:val="20"/>
          <w:lang w:val="sr-Cyrl-RS"/>
        </w:rPr>
        <w:t>их</w:t>
      </w:r>
      <w:r w:rsidRPr="1A8E6423">
        <w:rPr>
          <w:rFonts w:ascii="Arial" w:hAnsi="Arial" w:cs="Arial"/>
          <w:b w:val="0"/>
          <w:noProof w:val="0"/>
          <w:color w:val="000000" w:themeColor="text1"/>
          <w:sz w:val="20"/>
          <w:szCs w:val="20"/>
          <w:lang w:val="sr-Cyrl-RS"/>
        </w:rPr>
        <w:t xml:space="preserve"> и друг</w:t>
      </w:r>
      <w:r w:rsidR="00100039" w:rsidRPr="1A8E6423">
        <w:rPr>
          <w:rFonts w:ascii="Arial" w:hAnsi="Arial" w:cs="Arial"/>
          <w:b w:val="0"/>
          <w:noProof w:val="0"/>
          <w:color w:val="000000" w:themeColor="text1"/>
          <w:sz w:val="20"/>
          <w:szCs w:val="20"/>
          <w:lang w:val="sr-Cyrl-RS"/>
        </w:rPr>
        <w:t>их</w:t>
      </w:r>
      <w:r w:rsidRPr="1A8E6423">
        <w:rPr>
          <w:rFonts w:ascii="Arial" w:hAnsi="Arial" w:cs="Arial"/>
          <w:b w:val="0"/>
          <w:noProof w:val="0"/>
          <w:color w:val="000000" w:themeColor="text1"/>
          <w:sz w:val="20"/>
          <w:szCs w:val="20"/>
          <w:lang w:val="sr-Cyrl-RS"/>
        </w:rPr>
        <w:t xml:space="preserve"> претпоставк</w:t>
      </w:r>
      <w:r w:rsidR="00100039" w:rsidRPr="1A8E6423">
        <w:rPr>
          <w:rFonts w:ascii="Arial" w:hAnsi="Arial" w:cs="Arial"/>
          <w:b w:val="0"/>
          <w:noProof w:val="0"/>
          <w:color w:val="000000" w:themeColor="text1"/>
          <w:sz w:val="20"/>
          <w:szCs w:val="20"/>
          <w:lang w:val="sr-Cyrl-RS"/>
        </w:rPr>
        <w:t>и</w:t>
      </w:r>
      <w:r w:rsidRPr="1A8E6423">
        <w:rPr>
          <w:rFonts w:ascii="Arial" w:hAnsi="Arial" w:cs="Arial"/>
          <w:b w:val="0"/>
          <w:noProof w:val="0"/>
          <w:color w:val="000000" w:themeColor="text1"/>
          <w:sz w:val="20"/>
          <w:szCs w:val="20"/>
          <w:lang w:val="sr-Cyrl-RS"/>
        </w:rPr>
        <w:t>, како би обим послова ЈЛС</w:t>
      </w:r>
      <w:r w:rsidR="005B5F49"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t>био</w:t>
      </w:r>
      <w:r w:rsidR="005B5F49"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t>усклађен са</w:t>
      </w:r>
      <w:r w:rsidR="005B5F49" w:rsidRPr="1A8E6423">
        <w:rPr>
          <w:rFonts w:ascii="Arial" w:hAnsi="Arial" w:cs="Arial"/>
          <w:b w:val="0"/>
          <w:noProof w:val="0"/>
          <w:color w:val="000000" w:themeColor="text1"/>
          <w:sz w:val="20"/>
          <w:szCs w:val="20"/>
          <w:lang w:val="sr-Cyrl-RS"/>
        </w:rPr>
        <w:t xml:space="preserve"> </w:t>
      </w:r>
      <w:r w:rsidRPr="1A8E6423">
        <w:rPr>
          <w:rFonts w:ascii="Arial" w:hAnsi="Arial" w:cs="Arial"/>
          <w:b w:val="0"/>
          <w:noProof w:val="0"/>
          <w:color w:val="000000" w:themeColor="text1"/>
          <w:sz w:val="20"/>
          <w:szCs w:val="20"/>
          <w:lang w:val="sr-Cyrl-RS"/>
        </w:rPr>
        <w:t xml:space="preserve">њиховим финансијским, кадровским и другим неопходним ресурсима. </w:t>
      </w:r>
      <w:r w:rsidR="00100039" w:rsidRPr="1A8E6423">
        <w:rPr>
          <w:rFonts w:ascii="Arial" w:hAnsi="Arial" w:cs="Arial"/>
          <w:b w:val="0"/>
          <w:noProof w:val="0"/>
          <w:color w:val="000000" w:themeColor="text1"/>
          <w:sz w:val="20"/>
          <w:szCs w:val="20"/>
          <w:lang w:val="sr-Cyrl-RS"/>
        </w:rPr>
        <w:t>У</w:t>
      </w:r>
      <w:r w:rsidRPr="1A8E6423">
        <w:rPr>
          <w:rFonts w:ascii="Arial" w:hAnsi="Arial" w:cs="Arial"/>
          <w:b w:val="0"/>
          <w:noProof w:val="0"/>
          <w:color w:val="000000" w:themeColor="text1"/>
          <w:sz w:val="20"/>
          <w:szCs w:val="20"/>
          <w:lang w:val="sr-Cyrl-RS"/>
        </w:rPr>
        <w:t>напређење управљања локалном самоуправом подразумева и инте</w:t>
      </w:r>
      <w:r w:rsidR="00100039" w:rsidRPr="1A8E6423">
        <w:rPr>
          <w:rFonts w:ascii="Arial" w:hAnsi="Arial" w:cs="Arial"/>
          <w:b w:val="0"/>
          <w:noProof w:val="0"/>
          <w:color w:val="000000" w:themeColor="text1"/>
          <w:sz w:val="20"/>
          <w:szCs w:val="20"/>
          <w:lang w:val="sr-Cyrl-RS"/>
        </w:rPr>
        <w:t>н</w:t>
      </w:r>
      <w:r w:rsidRPr="1A8E6423">
        <w:rPr>
          <w:rFonts w:ascii="Arial" w:hAnsi="Arial" w:cs="Arial"/>
          <w:b w:val="0"/>
          <w:noProof w:val="0"/>
          <w:color w:val="000000" w:themeColor="text1"/>
          <w:sz w:val="20"/>
          <w:szCs w:val="20"/>
          <w:lang w:val="sr-Cyrl-RS"/>
        </w:rPr>
        <w:t>зивно јачање капацитета локалних власти за планирање развоја локалне заједнице, дефинисање локалних јавних политика и увезивање свих ових активности са организационим, људским и финансијским капацитетима (буџетом) локалне самоуправе.</w:t>
      </w:r>
      <w:bookmarkEnd w:id="173"/>
    </w:p>
    <w:p w14:paraId="41F9E85C" w14:textId="04632B1E" w:rsidR="003842D2" w:rsidRPr="00A021B7" w:rsidRDefault="003842D2" w:rsidP="003E7BC9">
      <w:pPr>
        <w:pStyle w:val="Naslov111"/>
        <w:ind w:left="0" w:firstLine="0"/>
        <w:jc w:val="both"/>
        <w:rPr>
          <w:rFonts w:ascii="Arial" w:hAnsi="Arial" w:cs="Arial"/>
          <w:b w:val="0"/>
          <w:noProof w:val="0"/>
          <w:color w:val="000000" w:themeColor="text1"/>
          <w:sz w:val="20"/>
          <w:szCs w:val="20"/>
          <w:lang w:val="sr-Cyrl-RS"/>
        </w:rPr>
      </w:pPr>
    </w:p>
    <w:tbl>
      <w:tblPr>
        <w:tblStyle w:val="TableGrid"/>
        <w:tblW w:w="4950" w:type="pct"/>
        <w:tblLayout w:type="fixed"/>
        <w:tblLook w:val="04A0" w:firstRow="1" w:lastRow="0" w:firstColumn="1" w:lastColumn="0" w:noHBand="0" w:noVBand="1"/>
      </w:tblPr>
      <w:tblGrid>
        <w:gridCol w:w="1833"/>
        <w:gridCol w:w="1422"/>
        <w:gridCol w:w="1133"/>
        <w:gridCol w:w="1133"/>
        <w:gridCol w:w="1133"/>
        <w:gridCol w:w="1133"/>
        <w:gridCol w:w="1133"/>
      </w:tblGrid>
      <w:tr w:rsidR="005E6575" w:rsidRPr="00A021B7" w14:paraId="7BDDE87A" w14:textId="77777777" w:rsidTr="1A8E6423">
        <w:tc>
          <w:tcPr>
            <w:tcW w:w="1027" w:type="pct"/>
            <w:vAlign w:val="center"/>
          </w:tcPr>
          <w:p w14:paraId="56490EA1"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Показатељ исхода</w:t>
            </w:r>
          </w:p>
        </w:tc>
        <w:tc>
          <w:tcPr>
            <w:tcW w:w="797" w:type="pct"/>
            <w:vAlign w:val="center"/>
          </w:tcPr>
          <w:p w14:paraId="4BC323CF"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Полазна вредност</w:t>
            </w:r>
          </w:p>
        </w:tc>
        <w:tc>
          <w:tcPr>
            <w:tcW w:w="635" w:type="pct"/>
            <w:vAlign w:val="center"/>
          </w:tcPr>
          <w:p w14:paraId="18419691" w14:textId="284B7DB1"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2021</w:t>
            </w:r>
            <w:r w:rsidR="4BBAD362" w:rsidRPr="1A8E6423">
              <w:rPr>
                <w:rFonts w:ascii="Arial" w:hAnsi="Arial" w:cs="Arial"/>
                <w:sz w:val="20"/>
                <w:szCs w:val="20"/>
                <w:lang w:val="sr-Cyrl-RS"/>
              </w:rPr>
              <w:t>.</w:t>
            </w:r>
          </w:p>
        </w:tc>
        <w:tc>
          <w:tcPr>
            <w:tcW w:w="635" w:type="pct"/>
            <w:vAlign w:val="center"/>
          </w:tcPr>
          <w:p w14:paraId="2739EE67" w14:textId="7321B1A1"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2022</w:t>
            </w:r>
            <w:r w:rsidR="4BBAD362" w:rsidRPr="1A8E6423">
              <w:rPr>
                <w:rFonts w:ascii="Arial" w:hAnsi="Arial" w:cs="Arial"/>
                <w:sz w:val="20"/>
                <w:szCs w:val="20"/>
                <w:lang w:val="sr-Cyrl-RS"/>
              </w:rPr>
              <w:t>.</w:t>
            </w:r>
          </w:p>
        </w:tc>
        <w:tc>
          <w:tcPr>
            <w:tcW w:w="635" w:type="pct"/>
            <w:vAlign w:val="center"/>
          </w:tcPr>
          <w:p w14:paraId="747BA1F5" w14:textId="6EA85C4E"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2023</w:t>
            </w:r>
            <w:r w:rsidR="4BBAD362" w:rsidRPr="1A8E6423">
              <w:rPr>
                <w:rFonts w:ascii="Arial" w:hAnsi="Arial" w:cs="Arial"/>
                <w:sz w:val="20"/>
                <w:szCs w:val="20"/>
                <w:lang w:val="sr-Cyrl-RS"/>
              </w:rPr>
              <w:t>.</w:t>
            </w:r>
          </w:p>
        </w:tc>
        <w:tc>
          <w:tcPr>
            <w:tcW w:w="635" w:type="pct"/>
            <w:vAlign w:val="center"/>
          </w:tcPr>
          <w:p w14:paraId="46012B37" w14:textId="4BEA0F0D"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2024</w:t>
            </w:r>
            <w:r w:rsidR="4BBAD362" w:rsidRPr="1A8E6423">
              <w:rPr>
                <w:rFonts w:ascii="Arial" w:hAnsi="Arial" w:cs="Arial"/>
                <w:sz w:val="20"/>
                <w:szCs w:val="20"/>
                <w:lang w:val="sr-Cyrl-RS"/>
              </w:rPr>
              <w:t>.</w:t>
            </w:r>
          </w:p>
        </w:tc>
        <w:tc>
          <w:tcPr>
            <w:tcW w:w="635" w:type="pct"/>
            <w:vAlign w:val="center"/>
          </w:tcPr>
          <w:p w14:paraId="35E3B685" w14:textId="6D504328"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2025</w:t>
            </w:r>
            <w:r w:rsidR="4BBAD362" w:rsidRPr="1A8E6423">
              <w:rPr>
                <w:rFonts w:ascii="Arial" w:hAnsi="Arial" w:cs="Arial"/>
                <w:sz w:val="20"/>
                <w:szCs w:val="20"/>
                <w:lang w:val="sr-Cyrl-RS"/>
              </w:rPr>
              <w:t>.</w:t>
            </w:r>
          </w:p>
        </w:tc>
      </w:tr>
      <w:tr w:rsidR="005E6575" w:rsidRPr="00A021B7" w14:paraId="5906D777" w14:textId="77777777" w:rsidTr="1A8E6423">
        <w:tc>
          <w:tcPr>
            <w:tcW w:w="1027" w:type="pct"/>
            <w:vAlign w:val="center"/>
          </w:tcPr>
          <w:p w14:paraId="0B2C7A33" w14:textId="77777777" w:rsidR="005E6575" w:rsidRPr="00A021B7" w:rsidRDefault="005E6575" w:rsidP="003E7BC9">
            <w:pPr>
              <w:pStyle w:val="basic-paragraph"/>
              <w:spacing w:before="0" w:beforeAutospacing="0" w:after="0" w:afterAutospacing="0"/>
              <w:rPr>
                <w:rFonts w:ascii="Arial" w:hAnsi="Arial" w:cs="Arial"/>
                <w:sz w:val="20"/>
                <w:szCs w:val="20"/>
                <w:lang w:val="sr-Cyrl-RS"/>
              </w:rPr>
            </w:pPr>
            <w:r w:rsidRPr="00A021B7">
              <w:rPr>
                <w:rFonts w:ascii="Arial" w:hAnsi="Arial" w:cs="Arial"/>
                <w:i/>
                <w:iCs/>
                <w:color w:val="000000"/>
                <w:sz w:val="20"/>
                <w:szCs w:val="20"/>
                <w:lang w:val="sr-Cyrl-RS"/>
              </w:rPr>
              <w:lastRenderedPageBreak/>
              <w:t>Капацитет ЈЛС за УЉР у локалној управи</w:t>
            </w:r>
          </w:p>
        </w:tc>
        <w:tc>
          <w:tcPr>
            <w:tcW w:w="797" w:type="pct"/>
            <w:vAlign w:val="center"/>
          </w:tcPr>
          <w:p w14:paraId="44589CF7"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color w:val="000000"/>
                <w:sz w:val="20"/>
                <w:szCs w:val="20"/>
                <w:lang w:val="sr-Cyrl-RS"/>
              </w:rPr>
              <w:t>51% (2020)</w:t>
            </w:r>
          </w:p>
        </w:tc>
        <w:tc>
          <w:tcPr>
            <w:tcW w:w="635" w:type="pct"/>
            <w:vAlign w:val="center"/>
          </w:tcPr>
          <w:p w14:paraId="5572D02B" w14:textId="30EC04C1" w:rsidR="00512DC4" w:rsidRPr="00A021B7" w:rsidRDefault="005E6575" w:rsidP="00512DC4">
            <w:pPr>
              <w:pStyle w:val="basic-paragraph"/>
              <w:spacing w:before="0" w:beforeAutospacing="0" w:after="0" w:afterAutospacing="0"/>
              <w:rPr>
                <w:rFonts w:ascii="Arial" w:hAnsi="Arial" w:cs="Arial"/>
                <w:bCs/>
                <w:i/>
                <w:color w:val="000000" w:themeColor="text1"/>
                <w:kern w:val="24"/>
                <w:sz w:val="20"/>
                <w:szCs w:val="20"/>
                <w:lang w:val="sr-Cyrl-RS"/>
              </w:rPr>
            </w:pPr>
            <w:r w:rsidRPr="00A021B7">
              <w:rPr>
                <w:rFonts w:ascii="Arial" w:hAnsi="Arial" w:cs="Arial"/>
                <w:bCs/>
                <w:i/>
                <w:color w:val="000000" w:themeColor="text1"/>
                <w:kern w:val="24"/>
                <w:sz w:val="20"/>
                <w:szCs w:val="20"/>
                <w:lang w:val="sr-Cyrl-RS"/>
              </w:rPr>
              <w:t xml:space="preserve"> </w:t>
            </w:r>
          </w:p>
          <w:p w14:paraId="5A3A0F71" w14:textId="57BDBBF4" w:rsidR="00512DC4" w:rsidRPr="00A021B7" w:rsidRDefault="1B7B809F" w:rsidP="00512DC4">
            <w:pPr>
              <w:jc w:val="center"/>
              <w:rPr>
                <w:rFonts w:ascii="Arial" w:hAnsi="Arial" w:cs="Arial"/>
                <w:color w:val="000000"/>
                <w:sz w:val="20"/>
                <w:szCs w:val="20"/>
                <w:lang w:val="sr-Cyrl-RS"/>
              </w:rPr>
            </w:pPr>
            <w:r w:rsidRPr="1A8E6423">
              <w:rPr>
                <w:rFonts w:ascii="Arial" w:hAnsi="Arial" w:cs="Arial"/>
                <w:color w:val="000000" w:themeColor="text1"/>
                <w:sz w:val="20"/>
                <w:szCs w:val="20"/>
                <w:lang w:val="sr-Cyrl-RS"/>
              </w:rPr>
              <w:t>56%</w:t>
            </w:r>
          </w:p>
          <w:p w14:paraId="168A908A" w14:textId="0E01B810" w:rsidR="005E6575" w:rsidRPr="00A021B7" w:rsidRDefault="005E6575" w:rsidP="00310714">
            <w:pPr>
              <w:pStyle w:val="basic-paragraph"/>
              <w:spacing w:before="0" w:beforeAutospacing="0" w:after="0" w:afterAutospacing="0"/>
              <w:rPr>
                <w:rFonts w:ascii="Arial" w:hAnsi="Arial" w:cs="Arial"/>
                <w:sz w:val="20"/>
                <w:szCs w:val="20"/>
                <w:lang w:val="sr-Cyrl-RS"/>
              </w:rPr>
            </w:pPr>
          </w:p>
        </w:tc>
        <w:tc>
          <w:tcPr>
            <w:tcW w:w="635" w:type="pct"/>
            <w:vAlign w:val="center"/>
          </w:tcPr>
          <w:p w14:paraId="5CD7CBAF"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w:t>
            </w:r>
          </w:p>
        </w:tc>
        <w:tc>
          <w:tcPr>
            <w:tcW w:w="635" w:type="pct"/>
            <w:vAlign w:val="center"/>
          </w:tcPr>
          <w:p w14:paraId="75B0C16C" w14:textId="3711AA62" w:rsidR="0066086F" w:rsidRPr="00A021B7" w:rsidRDefault="0066086F" w:rsidP="003E7BC9">
            <w:pPr>
              <w:pStyle w:val="basic-paragraph"/>
              <w:spacing w:before="0" w:beforeAutospacing="0" w:after="0" w:afterAutospacing="0"/>
              <w:jc w:val="center"/>
              <w:rPr>
                <w:rFonts w:ascii="Arial" w:hAnsi="Arial" w:cs="Arial"/>
                <w:bCs/>
                <w:iCs/>
                <w:color w:val="000000" w:themeColor="text1"/>
                <w:kern w:val="24"/>
                <w:sz w:val="20"/>
                <w:szCs w:val="20"/>
                <w:lang w:val="sr-Cyrl-RS"/>
              </w:rPr>
            </w:pPr>
          </w:p>
          <w:p w14:paraId="0BAFAC45" w14:textId="5FCBC0D5" w:rsidR="0066086F" w:rsidRPr="00A021B7" w:rsidRDefault="3BE18760" w:rsidP="1A8E6423">
            <w:pPr>
              <w:jc w:val="center"/>
              <w:rPr>
                <w:rFonts w:ascii="Arial" w:hAnsi="Arial" w:cs="Arial"/>
                <w:color w:val="000000" w:themeColor="text1"/>
                <w:kern w:val="24"/>
                <w:sz w:val="20"/>
                <w:szCs w:val="20"/>
                <w:lang w:val="sr-Cyrl-RS"/>
              </w:rPr>
            </w:pPr>
            <w:r w:rsidRPr="1A8E6423">
              <w:rPr>
                <w:rFonts w:ascii="Arial" w:hAnsi="Arial" w:cs="Arial"/>
                <w:color w:val="000000" w:themeColor="text1"/>
                <w:kern w:val="24"/>
                <w:sz w:val="20"/>
                <w:szCs w:val="20"/>
                <w:lang w:val="sr-Cyrl-RS"/>
              </w:rPr>
              <w:t>6</w:t>
            </w:r>
            <w:r w:rsidR="0E44F9BB" w:rsidRPr="1A8E6423">
              <w:rPr>
                <w:rFonts w:ascii="Arial" w:hAnsi="Arial" w:cs="Arial"/>
                <w:color w:val="000000" w:themeColor="text1"/>
                <w:kern w:val="24"/>
                <w:sz w:val="20"/>
                <w:szCs w:val="20"/>
                <w:lang w:val="sr-Cyrl-RS"/>
              </w:rPr>
              <w:t>2</w:t>
            </w:r>
            <w:r w:rsidRPr="1A8E6423">
              <w:rPr>
                <w:rFonts w:ascii="Arial" w:hAnsi="Arial" w:cs="Arial"/>
                <w:color w:val="000000" w:themeColor="text1"/>
                <w:kern w:val="24"/>
                <w:sz w:val="20"/>
                <w:szCs w:val="20"/>
                <w:lang w:val="sr-Cyrl-RS"/>
              </w:rPr>
              <w:t>%</w:t>
            </w:r>
          </w:p>
          <w:p w14:paraId="5DADD256" w14:textId="18F941A6" w:rsidR="005E6575" w:rsidRPr="00A021B7" w:rsidRDefault="005E6575" w:rsidP="003E7BC9">
            <w:pPr>
              <w:pStyle w:val="basic-paragraph"/>
              <w:spacing w:before="0" w:beforeAutospacing="0" w:after="0" w:afterAutospacing="0"/>
              <w:jc w:val="center"/>
              <w:rPr>
                <w:rFonts w:ascii="Arial" w:hAnsi="Arial" w:cs="Arial"/>
                <w:bCs/>
                <w:iCs/>
                <w:color w:val="000000" w:themeColor="text1"/>
                <w:kern w:val="24"/>
                <w:sz w:val="20"/>
                <w:szCs w:val="20"/>
                <w:lang w:val="sr-Cyrl-RS"/>
              </w:rPr>
            </w:pPr>
          </w:p>
        </w:tc>
        <w:tc>
          <w:tcPr>
            <w:tcW w:w="635" w:type="pct"/>
            <w:vAlign w:val="center"/>
          </w:tcPr>
          <w:p w14:paraId="706B1E4E" w14:textId="77777777" w:rsidR="005E6575" w:rsidRPr="00A021B7" w:rsidRDefault="005E6575" w:rsidP="003E7BC9">
            <w:pPr>
              <w:pStyle w:val="basic-paragraph"/>
              <w:spacing w:before="0" w:beforeAutospacing="0" w:after="0" w:afterAutospacing="0"/>
              <w:jc w:val="center"/>
              <w:rPr>
                <w:rFonts w:ascii="Arial" w:hAnsi="Arial" w:cs="Arial"/>
                <w:bCs/>
                <w:iCs/>
                <w:color w:val="000000" w:themeColor="text1"/>
                <w:kern w:val="24"/>
                <w:sz w:val="20"/>
                <w:szCs w:val="20"/>
                <w:lang w:val="sr-Cyrl-RS"/>
              </w:rPr>
            </w:pPr>
            <w:r w:rsidRPr="00A021B7">
              <w:rPr>
                <w:rFonts w:ascii="Arial" w:hAnsi="Arial" w:cs="Arial"/>
                <w:bCs/>
                <w:iCs/>
                <w:color w:val="000000" w:themeColor="text1"/>
                <w:kern w:val="24"/>
                <w:sz w:val="20"/>
                <w:szCs w:val="20"/>
                <w:lang w:val="sr-Cyrl-RS"/>
              </w:rPr>
              <w:t>/</w:t>
            </w:r>
          </w:p>
        </w:tc>
        <w:tc>
          <w:tcPr>
            <w:tcW w:w="635" w:type="pct"/>
            <w:vAlign w:val="center"/>
          </w:tcPr>
          <w:p w14:paraId="58769A35" w14:textId="07BD1411" w:rsidR="005E6575" w:rsidRPr="00A021B7" w:rsidRDefault="3BE18760"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color w:val="000000" w:themeColor="text1"/>
                <w:kern w:val="24"/>
                <w:sz w:val="20"/>
                <w:szCs w:val="20"/>
                <w:lang w:val="sr-Cyrl-RS"/>
              </w:rPr>
              <w:t>6</w:t>
            </w:r>
            <w:r w:rsidR="0E44F9BB" w:rsidRPr="1A8E6423">
              <w:rPr>
                <w:rFonts w:ascii="Arial" w:hAnsi="Arial" w:cs="Arial"/>
                <w:color w:val="000000" w:themeColor="text1"/>
                <w:kern w:val="24"/>
                <w:sz w:val="20"/>
                <w:szCs w:val="20"/>
                <w:lang w:val="sr-Cyrl-RS"/>
              </w:rPr>
              <w:t>8</w:t>
            </w:r>
            <w:r w:rsidRPr="1A8E6423">
              <w:rPr>
                <w:rFonts w:ascii="Arial" w:hAnsi="Arial" w:cs="Arial"/>
                <w:color w:val="000000" w:themeColor="text1"/>
                <w:kern w:val="24"/>
                <w:sz w:val="20"/>
                <w:szCs w:val="20"/>
                <w:lang w:val="sr-Cyrl-RS"/>
              </w:rPr>
              <w:t xml:space="preserve">% </w:t>
            </w:r>
          </w:p>
        </w:tc>
      </w:tr>
      <w:tr w:rsidR="005C424A" w:rsidRPr="00A021B7" w14:paraId="084E2C57" w14:textId="77777777" w:rsidTr="1A8E6423">
        <w:tc>
          <w:tcPr>
            <w:tcW w:w="1027" w:type="pct"/>
            <w:vAlign w:val="center"/>
          </w:tcPr>
          <w:p w14:paraId="7684E5DD" w14:textId="6890BDC2" w:rsidR="005C424A" w:rsidRPr="00A021B7" w:rsidRDefault="1430839D" w:rsidP="1A8E6423">
            <w:pPr>
              <w:pStyle w:val="basic-paragraph"/>
              <w:spacing w:before="0" w:beforeAutospacing="0" w:after="0" w:afterAutospacing="0"/>
              <w:rPr>
                <w:rFonts w:ascii="Arial" w:hAnsi="Arial" w:cs="Arial"/>
                <w:i/>
                <w:iCs/>
                <w:color w:val="000000" w:themeColor="text1"/>
                <w:sz w:val="20"/>
                <w:szCs w:val="20"/>
                <w:lang w:val="sr-Cyrl-RS"/>
              </w:rPr>
            </w:pPr>
            <w:r w:rsidRPr="1A8E6423">
              <w:rPr>
                <w:rFonts w:ascii="Arial" w:hAnsi="Arial" w:cs="Arial"/>
                <w:i/>
                <w:iCs/>
                <w:color w:val="000000" w:themeColor="text1"/>
                <w:sz w:val="20"/>
                <w:szCs w:val="20"/>
                <w:lang w:val="sr-Cyrl-RS"/>
              </w:rPr>
              <w:t>Степен међуопштинске сарадње у спровођењу послова локалне самоуправе у Републици Србији</w:t>
            </w:r>
          </w:p>
        </w:tc>
        <w:tc>
          <w:tcPr>
            <w:tcW w:w="797" w:type="pct"/>
            <w:vAlign w:val="center"/>
          </w:tcPr>
          <w:p w14:paraId="6373563B" w14:textId="185E608F" w:rsidR="005C424A" w:rsidRPr="00A021B7" w:rsidRDefault="00A55B68" w:rsidP="005C424A">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color w:val="000000"/>
                <w:sz w:val="20"/>
                <w:szCs w:val="20"/>
                <w:lang w:val="sr-Cyrl-RS"/>
              </w:rPr>
              <w:t>4,83</w:t>
            </w:r>
            <w:r w:rsidR="005C424A" w:rsidRPr="00A021B7">
              <w:rPr>
                <w:rFonts w:ascii="Arial" w:hAnsi="Arial" w:cs="Arial"/>
                <w:color w:val="000000"/>
                <w:sz w:val="20"/>
                <w:szCs w:val="20"/>
                <w:lang w:val="sr-Cyrl-RS"/>
              </w:rPr>
              <w:t>%</w:t>
            </w:r>
          </w:p>
        </w:tc>
        <w:tc>
          <w:tcPr>
            <w:tcW w:w="635" w:type="pct"/>
            <w:vAlign w:val="center"/>
          </w:tcPr>
          <w:p w14:paraId="5ABFF484" w14:textId="65FD143C" w:rsidR="005C424A" w:rsidRPr="00A021B7" w:rsidRDefault="005C424A" w:rsidP="005C424A">
            <w:pPr>
              <w:jc w:val="center"/>
              <w:rPr>
                <w:rFonts w:ascii="Arial" w:hAnsi="Arial" w:cs="Arial"/>
                <w:color w:val="000000"/>
                <w:sz w:val="20"/>
                <w:szCs w:val="20"/>
                <w:lang w:val="sr-Cyrl-RS"/>
              </w:rPr>
            </w:pPr>
            <w:r w:rsidRPr="00A021B7">
              <w:rPr>
                <w:rFonts w:ascii="Arial" w:hAnsi="Arial" w:cs="Arial"/>
                <w:color w:val="000000"/>
                <w:sz w:val="20"/>
                <w:szCs w:val="20"/>
                <w:lang w:val="sr-Cyrl-RS"/>
              </w:rPr>
              <w:t xml:space="preserve"> </w:t>
            </w:r>
            <w:r w:rsidR="00A55B68" w:rsidRPr="00A021B7">
              <w:rPr>
                <w:rFonts w:ascii="Arial" w:hAnsi="Arial" w:cs="Arial"/>
                <w:color w:val="000000"/>
                <w:sz w:val="20"/>
                <w:szCs w:val="20"/>
                <w:lang w:val="sr-Cyrl-RS"/>
              </w:rPr>
              <w:t>8,28</w:t>
            </w:r>
            <w:r w:rsidR="00B71B7F" w:rsidRPr="00A021B7">
              <w:rPr>
                <w:rFonts w:ascii="Arial" w:hAnsi="Arial" w:cs="Arial"/>
                <w:color w:val="000000"/>
                <w:sz w:val="20"/>
                <w:szCs w:val="20"/>
                <w:lang w:val="sr-Cyrl-RS"/>
              </w:rPr>
              <w:t>%</w:t>
            </w:r>
          </w:p>
        </w:tc>
        <w:tc>
          <w:tcPr>
            <w:tcW w:w="635" w:type="pct"/>
            <w:vAlign w:val="center"/>
          </w:tcPr>
          <w:p w14:paraId="1114590D" w14:textId="122BE796" w:rsidR="005C424A" w:rsidRPr="00A021B7" w:rsidRDefault="00A55B68" w:rsidP="005C424A">
            <w:pPr>
              <w:jc w:val="center"/>
              <w:rPr>
                <w:rFonts w:ascii="Arial" w:hAnsi="Arial" w:cs="Arial"/>
                <w:color w:val="000000"/>
                <w:sz w:val="20"/>
                <w:szCs w:val="20"/>
                <w:lang w:val="sr-Cyrl-RS"/>
              </w:rPr>
            </w:pPr>
            <w:r w:rsidRPr="00A021B7">
              <w:rPr>
                <w:rFonts w:ascii="Arial" w:hAnsi="Arial" w:cs="Arial"/>
                <w:color w:val="000000"/>
                <w:sz w:val="20"/>
                <w:szCs w:val="20"/>
                <w:lang w:val="sr-Cyrl-RS"/>
              </w:rPr>
              <w:t>17,24</w:t>
            </w:r>
            <w:r w:rsidR="00B71B7F" w:rsidRPr="00A021B7">
              <w:rPr>
                <w:rFonts w:ascii="Arial" w:hAnsi="Arial" w:cs="Arial"/>
                <w:color w:val="000000"/>
                <w:sz w:val="20"/>
                <w:szCs w:val="20"/>
                <w:lang w:val="sr-Cyrl-RS"/>
              </w:rPr>
              <w:t>%</w:t>
            </w:r>
          </w:p>
        </w:tc>
        <w:tc>
          <w:tcPr>
            <w:tcW w:w="635" w:type="pct"/>
            <w:vAlign w:val="center"/>
          </w:tcPr>
          <w:p w14:paraId="54A90D2E" w14:textId="052542E9" w:rsidR="005C424A" w:rsidRPr="00A021B7" w:rsidRDefault="00A55B68" w:rsidP="005C424A">
            <w:pPr>
              <w:jc w:val="center"/>
              <w:rPr>
                <w:rFonts w:ascii="Arial" w:hAnsi="Arial" w:cs="Arial"/>
                <w:color w:val="000000"/>
                <w:sz w:val="20"/>
                <w:szCs w:val="20"/>
                <w:lang w:val="sr-Cyrl-RS"/>
              </w:rPr>
            </w:pPr>
            <w:r w:rsidRPr="00A021B7">
              <w:rPr>
                <w:rFonts w:ascii="Arial" w:hAnsi="Arial" w:cs="Arial"/>
                <w:color w:val="000000"/>
                <w:sz w:val="20"/>
                <w:szCs w:val="20"/>
                <w:lang w:val="sr-Cyrl-RS"/>
              </w:rPr>
              <w:t>24,14</w:t>
            </w:r>
            <w:r w:rsidR="00B71B7F" w:rsidRPr="00A021B7">
              <w:rPr>
                <w:rFonts w:ascii="Arial" w:hAnsi="Arial" w:cs="Arial"/>
                <w:color w:val="000000"/>
                <w:sz w:val="20"/>
                <w:szCs w:val="20"/>
                <w:lang w:val="sr-Cyrl-RS"/>
              </w:rPr>
              <w:t>%</w:t>
            </w:r>
          </w:p>
        </w:tc>
        <w:tc>
          <w:tcPr>
            <w:tcW w:w="635" w:type="pct"/>
            <w:vAlign w:val="center"/>
          </w:tcPr>
          <w:p w14:paraId="746B8628" w14:textId="314A55D8" w:rsidR="005C424A" w:rsidRPr="00A021B7" w:rsidRDefault="00A55B68" w:rsidP="005C424A">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iCs/>
                <w:sz w:val="20"/>
                <w:szCs w:val="20"/>
                <w:lang w:val="sr-Cyrl-RS"/>
              </w:rPr>
              <w:t>34,48</w:t>
            </w:r>
            <w:r w:rsidR="00B71B7F" w:rsidRPr="00A021B7">
              <w:rPr>
                <w:rFonts w:ascii="Arial" w:hAnsi="Arial" w:cs="Arial"/>
                <w:iCs/>
                <w:sz w:val="20"/>
                <w:szCs w:val="20"/>
                <w:lang w:val="sr-Cyrl-RS"/>
              </w:rPr>
              <w:t>%</w:t>
            </w:r>
          </w:p>
        </w:tc>
        <w:tc>
          <w:tcPr>
            <w:tcW w:w="635" w:type="pct"/>
            <w:vAlign w:val="center"/>
          </w:tcPr>
          <w:p w14:paraId="5C06B4AD" w14:textId="60206860" w:rsidR="005C424A" w:rsidRPr="00A021B7" w:rsidRDefault="00A55B68" w:rsidP="005C424A">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iCs/>
                <w:sz w:val="20"/>
                <w:szCs w:val="20"/>
                <w:lang w:val="sr-Cyrl-RS"/>
              </w:rPr>
              <w:t>41,38</w:t>
            </w:r>
            <w:r w:rsidR="00B71B7F" w:rsidRPr="00A021B7">
              <w:rPr>
                <w:rFonts w:ascii="Arial" w:hAnsi="Arial" w:cs="Arial"/>
                <w:iCs/>
                <w:sz w:val="20"/>
                <w:szCs w:val="20"/>
                <w:lang w:val="sr-Cyrl-RS"/>
              </w:rPr>
              <w:t>%</w:t>
            </w:r>
          </w:p>
        </w:tc>
      </w:tr>
      <w:tr w:rsidR="005E6575" w:rsidRPr="00A021B7" w14:paraId="5A63DCD0" w14:textId="77777777" w:rsidTr="1A8E6423">
        <w:tc>
          <w:tcPr>
            <w:tcW w:w="1027" w:type="pct"/>
            <w:vAlign w:val="center"/>
          </w:tcPr>
          <w:p w14:paraId="3A07B0C4" w14:textId="52679FD6" w:rsidR="005E6575" w:rsidRPr="00A021B7" w:rsidRDefault="005E6575" w:rsidP="1A8E6423">
            <w:pPr>
              <w:pStyle w:val="basic-paragraph"/>
              <w:spacing w:before="0" w:beforeAutospacing="0" w:after="0" w:afterAutospacing="0"/>
              <w:rPr>
                <w:rFonts w:ascii="Arial" w:hAnsi="Arial" w:cs="Arial"/>
                <w:color w:val="000000" w:themeColor="text1"/>
                <w:sz w:val="20"/>
                <w:szCs w:val="20"/>
                <w:lang w:val="sr-Cyrl-RS"/>
              </w:rPr>
            </w:pPr>
            <w:r w:rsidRPr="1A8E6423">
              <w:rPr>
                <w:rFonts w:ascii="Arial" w:hAnsi="Arial" w:cs="Arial"/>
                <w:i/>
                <w:iCs/>
                <w:color w:val="000000" w:themeColor="text1"/>
                <w:sz w:val="20"/>
                <w:szCs w:val="20"/>
                <w:lang w:val="sr-Cyrl-RS"/>
              </w:rPr>
              <w:t xml:space="preserve">Увезаност развојног и буџетског </w:t>
            </w:r>
            <w:r w:rsidR="4BBAD362" w:rsidRPr="1A8E6423">
              <w:rPr>
                <w:rFonts w:ascii="Arial" w:hAnsi="Arial" w:cs="Arial"/>
                <w:i/>
                <w:iCs/>
                <w:color w:val="000000" w:themeColor="text1"/>
                <w:sz w:val="20"/>
                <w:szCs w:val="20"/>
                <w:lang w:val="sr-Cyrl-RS"/>
              </w:rPr>
              <w:t>планирања</w:t>
            </w:r>
            <w:r w:rsidRPr="1A8E6423">
              <w:rPr>
                <w:rFonts w:ascii="Arial" w:hAnsi="Arial" w:cs="Arial"/>
                <w:i/>
                <w:iCs/>
                <w:color w:val="000000" w:themeColor="text1"/>
                <w:sz w:val="20"/>
                <w:szCs w:val="20"/>
                <w:lang w:val="sr-Cyrl-RS"/>
              </w:rPr>
              <w:t xml:space="preserve"> на нивоу ЈЛС</w:t>
            </w:r>
          </w:p>
        </w:tc>
        <w:tc>
          <w:tcPr>
            <w:tcW w:w="797" w:type="pct"/>
            <w:vAlign w:val="center"/>
          </w:tcPr>
          <w:p w14:paraId="54151AA8" w14:textId="77777777" w:rsidR="005E6575" w:rsidRPr="00A021B7" w:rsidRDefault="005E6575" w:rsidP="003E7BC9">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color w:val="000000"/>
                <w:sz w:val="20"/>
                <w:szCs w:val="20"/>
                <w:lang w:val="sr-Cyrl-RS"/>
              </w:rPr>
              <w:t>0 (2020)</w:t>
            </w:r>
          </w:p>
        </w:tc>
        <w:tc>
          <w:tcPr>
            <w:tcW w:w="635" w:type="pct"/>
            <w:vAlign w:val="center"/>
          </w:tcPr>
          <w:p w14:paraId="48AC7580" w14:textId="7620E6C0" w:rsidR="005E6575" w:rsidRPr="00A021B7" w:rsidRDefault="00413446" w:rsidP="003E7BC9">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iCs/>
                <w:sz w:val="20"/>
                <w:szCs w:val="20"/>
                <w:lang w:val="sr-Cyrl-RS"/>
              </w:rPr>
              <w:t>15%</w:t>
            </w:r>
          </w:p>
        </w:tc>
        <w:tc>
          <w:tcPr>
            <w:tcW w:w="635" w:type="pct"/>
            <w:vAlign w:val="center"/>
          </w:tcPr>
          <w:p w14:paraId="1B247A81" w14:textId="64BF3388" w:rsidR="005E6575" w:rsidRPr="00A021B7" w:rsidRDefault="00413446" w:rsidP="003E7BC9">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iCs/>
                <w:color w:val="000000" w:themeColor="text1"/>
                <w:sz w:val="20"/>
                <w:szCs w:val="20"/>
                <w:lang w:val="sr-Cyrl-RS"/>
              </w:rPr>
              <w:t>30</w:t>
            </w:r>
            <w:r w:rsidR="005E6575" w:rsidRPr="00A021B7">
              <w:rPr>
                <w:rFonts w:ascii="Arial" w:hAnsi="Arial" w:cs="Arial"/>
                <w:iCs/>
                <w:color w:val="000000" w:themeColor="text1"/>
                <w:sz w:val="20"/>
                <w:szCs w:val="20"/>
                <w:lang w:val="sr-Cyrl-RS"/>
              </w:rPr>
              <w:t>%</w:t>
            </w:r>
          </w:p>
        </w:tc>
        <w:tc>
          <w:tcPr>
            <w:tcW w:w="635" w:type="pct"/>
            <w:vAlign w:val="center"/>
          </w:tcPr>
          <w:p w14:paraId="617C79E2" w14:textId="698E733A" w:rsidR="005E6575" w:rsidRPr="00A021B7" w:rsidRDefault="00413446" w:rsidP="00413446">
            <w:pPr>
              <w:pStyle w:val="basic-paragraph"/>
              <w:spacing w:before="0" w:beforeAutospacing="0" w:after="0" w:afterAutospacing="0"/>
              <w:jc w:val="center"/>
              <w:rPr>
                <w:rFonts w:ascii="Arial" w:hAnsi="Arial" w:cs="Arial"/>
                <w:iCs/>
                <w:color w:val="000000" w:themeColor="text1"/>
                <w:sz w:val="20"/>
                <w:szCs w:val="20"/>
                <w:lang w:val="sr-Cyrl-RS"/>
              </w:rPr>
            </w:pPr>
            <w:r w:rsidRPr="00A021B7">
              <w:rPr>
                <w:rFonts w:ascii="Arial" w:hAnsi="Arial" w:cs="Arial"/>
                <w:iCs/>
                <w:color w:val="000000" w:themeColor="text1"/>
                <w:sz w:val="20"/>
                <w:szCs w:val="20"/>
                <w:lang w:val="sr-Cyrl-RS"/>
              </w:rPr>
              <w:t>4</w:t>
            </w:r>
            <w:r w:rsidR="005E6575" w:rsidRPr="00A021B7">
              <w:rPr>
                <w:rFonts w:ascii="Arial" w:hAnsi="Arial" w:cs="Arial"/>
                <w:iCs/>
                <w:color w:val="000000" w:themeColor="text1"/>
                <w:sz w:val="20"/>
                <w:szCs w:val="20"/>
                <w:lang w:val="sr-Cyrl-RS"/>
              </w:rPr>
              <w:t>0%</w:t>
            </w:r>
          </w:p>
        </w:tc>
        <w:tc>
          <w:tcPr>
            <w:tcW w:w="635" w:type="pct"/>
            <w:vAlign w:val="center"/>
          </w:tcPr>
          <w:p w14:paraId="7F5CB6D4" w14:textId="77777777" w:rsidR="005E6575" w:rsidRPr="00A021B7" w:rsidRDefault="005E6575" w:rsidP="003E7BC9">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iCs/>
                <w:color w:val="000000" w:themeColor="text1"/>
                <w:sz w:val="20"/>
                <w:szCs w:val="20"/>
                <w:lang w:val="sr-Cyrl-RS"/>
              </w:rPr>
              <w:t>50%</w:t>
            </w:r>
          </w:p>
        </w:tc>
        <w:tc>
          <w:tcPr>
            <w:tcW w:w="635" w:type="pct"/>
            <w:vAlign w:val="center"/>
          </w:tcPr>
          <w:p w14:paraId="22DEDA27" w14:textId="77777777" w:rsidR="005E6575" w:rsidRPr="00A021B7" w:rsidRDefault="005E6575" w:rsidP="003E7BC9">
            <w:pPr>
              <w:pStyle w:val="basic-paragraph"/>
              <w:spacing w:before="0" w:beforeAutospacing="0" w:after="0" w:afterAutospacing="0"/>
              <w:jc w:val="center"/>
              <w:rPr>
                <w:rFonts w:ascii="Arial" w:hAnsi="Arial" w:cs="Arial"/>
                <w:iCs/>
                <w:sz w:val="20"/>
                <w:szCs w:val="20"/>
                <w:lang w:val="sr-Cyrl-RS"/>
              </w:rPr>
            </w:pPr>
            <w:r w:rsidRPr="00A021B7">
              <w:rPr>
                <w:rFonts w:ascii="Arial" w:hAnsi="Arial" w:cs="Arial"/>
                <w:iCs/>
                <w:color w:val="000000" w:themeColor="text1"/>
                <w:sz w:val="20"/>
                <w:szCs w:val="20"/>
                <w:lang w:val="sr-Cyrl-RS"/>
              </w:rPr>
              <w:t>70%</w:t>
            </w:r>
          </w:p>
        </w:tc>
      </w:tr>
    </w:tbl>
    <w:p w14:paraId="6A5D4261" w14:textId="6C6BC2E2" w:rsidR="00A15CBE" w:rsidRDefault="00A15CBE" w:rsidP="1A8E6423">
      <w:pPr>
        <w:jc w:val="both"/>
        <w:rPr>
          <w:rFonts w:ascii="Arial" w:hAnsi="Arial" w:cs="Arial"/>
          <w:b/>
          <w:bCs/>
          <w:color w:val="000000"/>
          <w:sz w:val="20"/>
          <w:szCs w:val="20"/>
          <w:lang w:val="sr-Cyrl-RS" w:eastAsia="sr-Latn-RS"/>
        </w:rPr>
      </w:pPr>
    </w:p>
    <w:p w14:paraId="7D2058C0" w14:textId="77777777" w:rsidR="001A1134" w:rsidRPr="00A021B7" w:rsidRDefault="001A1134" w:rsidP="003E7BC9">
      <w:pPr>
        <w:jc w:val="both"/>
        <w:rPr>
          <w:rFonts w:ascii="Arial" w:hAnsi="Arial" w:cs="Arial"/>
          <w:b/>
          <w:color w:val="000000"/>
          <w:sz w:val="20"/>
          <w:szCs w:val="20"/>
          <w:lang w:val="sr-Cyrl-RS" w:eastAsia="sr-Latn-RS"/>
        </w:rPr>
      </w:pPr>
    </w:p>
    <w:p w14:paraId="56DF75B7" w14:textId="46696D69" w:rsidR="00C43E6E" w:rsidRPr="00A021B7" w:rsidRDefault="00C43E6E" w:rsidP="1A8E6423">
      <w:pPr>
        <w:jc w:val="both"/>
        <w:rPr>
          <w:rFonts w:ascii="Arial" w:hAnsi="Arial" w:cs="Arial"/>
          <w:b/>
          <w:bCs/>
          <w:color w:val="000000"/>
          <w:sz w:val="20"/>
          <w:szCs w:val="20"/>
          <w:lang w:val="sr-Cyrl-RS" w:eastAsia="sr-Latn-RS"/>
        </w:rPr>
      </w:pPr>
      <w:r w:rsidRPr="1A8E6423">
        <w:rPr>
          <w:rFonts w:ascii="Arial" w:hAnsi="Arial" w:cs="Arial"/>
          <w:b/>
          <w:bCs/>
          <w:color w:val="000000" w:themeColor="text1"/>
          <w:sz w:val="20"/>
          <w:szCs w:val="20"/>
          <w:lang w:val="sr-Cyrl-RS" w:eastAsia="sr-Latn-RS"/>
        </w:rPr>
        <w:t>Мера 3.1: Унапређење функције управљања људским ресурсима у локалној управи</w:t>
      </w:r>
    </w:p>
    <w:p w14:paraId="06AA7F8B" w14:textId="77777777" w:rsidR="00C8317C" w:rsidRPr="00A021B7" w:rsidRDefault="00C8317C" w:rsidP="00C43E6E">
      <w:pPr>
        <w:jc w:val="both"/>
        <w:rPr>
          <w:rFonts w:ascii="Arial" w:hAnsi="Arial" w:cs="Arial"/>
          <w:b/>
          <w:color w:val="000000"/>
          <w:sz w:val="20"/>
          <w:szCs w:val="20"/>
          <w:lang w:val="sr-Cyrl-RS" w:eastAsia="sr-Latn-RS"/>
        </w:rPr>
      </w:pPr>
    </w:p>
    <w:p w14:paraId="6CE1273C" w14:textId="3AA3E8AC" w:rsidR="00C43E6E" w:rsidRPr="00A021B7" w:rsidRDefault="00C43E6E" w:rsidP="1A8E6423">
      <w:pPr>
        <w:ind w:firstLine="720"/>
        <w:jc w:val="both"/>
        <w:rPr>
          <w:rFonts w:ascii="Arial" w:hAnsi="Arial" w:cs="Arial"/>
          <w:color w:val="000000"/>
          <w:sz w:val="20"/>
          <w:szCs w:val="20"/>
          <w:lang w:val="sr-Cyrl-RS" w:eastAsia="sr-Latn-RS"/>
        </w:rPr>
      </w:pPr>
      <w:r w:rsidRPr="1A8E6423">
        <w:rPr>
          <w:rFonts w:ascii="Arial" w:hAnsi="Arial" w:cs="Arial"/>
          <w:color w:val="000000" w:themeColor="text1"/>
          <w:sz w:val="20"/>
          <w:szCs w:val="20"/>
          <w:lang w:val="sr-Cyrl-RS" w:eastAsia="sr-Latn-RS"/>
        </w:rPr>
        <w:t>Увођењем функције управљања људским ресурсима у локалну самоуправу, започет је низ промена и унапређења у циљу подизања функционалности и модернизације локалног службеничког система који</w:t>
      </w:r>
      <w:r w:rsidR="00E81F82" w:rsidRPr="1A8E6423">
        <w:rPr>
          <w:rFonts w:ascii="Arial" w:hAnsi="Arial" w:cs="Arial"/>
          <w:color w:val="000000" w:themeColor="text1"/>
          <w:sz w:val="20"/>
          <w:szCs w:val="20"/>
          <w:lang w:val="sr-Cyrl-RS" w:eastAsia="sr-Latn-RS"/>
        </w:rPr>
        <w:t xml:space="preserve"> треба да буде</w:t>
      </w:r>
      <w:r w:rsidRPr="1A8E6423">
        <w:rPr>
          <w:rFonts w:ascii="Arial" w:hAnsi="Arial" w:cs="Arial"/>
          <w:color w:val="000000" w:themeColor="text1"/>
          <w:sz w:val="20"/>
          <w:szCs w:val="20"/>
          <w:lang w:val="sr-Cyrl-RS" w:eastAsia="sr-Latn-RS"/>
        </w:rPr>
        <w:t xml:space="preserve"> носилац и кључни фактор </w:t>
      </w:r>
      <w:r w:rsidR="00E81F82" w:rsidRPr="1A8E6423">
        <w:rPr>
          <w:rFonts w:ascii="Arial" w:hAnsi="Arial" w:cs="Arial"/>
          <w:color w:val="000000" w:themeColor="text1"/>
          <w:sz w:val="20"/>
          <w:szCs w:val="20"/>
          <w:lang w:val="sr-Cyrl-RS" w:eastAsia="sr-Latn-RS"/>
        </w:rPr>
        <w:t>развоја квалитетног система локалне самоуправе</w:t>
      </w:r>
      <w:r w:rsidRPr="1A8E6423">
        <w:rPr>
          <w:rFonts w:ascii="Arial" w:hAnsi="Arial" w:cs="Arial"/>
          <w:color w:val="000000" w:themeColor="text1"/>
          <w:sz w:val="20"/>
          <w:szCs w:val="20"/>
          <w:lang w:val="sr-Cyrl-RS" w:eastAsia="sr-Latn-RS"/>
        </w:rPr>
        <w:t xml:space="preserve">. Усвајањем и ступањем на снагу Закона о запосленима у аутономним покрајинама и ЈЛС 2016. године успостављена су основна начела каријерног службеничког система за запослене у органима аутономне покрајине и ЈЛС. </w:t>
      </w:r>
      <w:r w:rsidR="00A15CBE" w:rsidRPr="1A8E6423">
        <w:rPr>
          <w:rFonts w:ascii="Arial" w:hAnsi="Arial" w:cs="Arial"/>
          <w:color w:val="000000" w:themeColor="text1"/>
          <w:sz w:val="20"/>
          <w:szCs w:val="20"/>
          <w:lang w:val="sr-Cyrl-RS" w:eastAsia="sr-Latn-RS"/>
        </w:rPr>
        <w:t xml:space="preserve">Иако је </w:t>
      </w:r>
      <w:r w:rsidRPr="1A8E6423">
        <w:rPr>
          <w:rFonts w:ascii="Arial" w:hAnsi="Arial" w:cs="Arial"/>
          <w:color w:val="000000" w:themeColor="text1"/>
          <w:sz w:val="20"/>
          <w:szCs w:val="20"/>
          <w:lang w:val="sr-Cyrl-RS" w:eastAsia="sr-Latn-RS"/>
        </w:rPr>
        <w:t xml:space="preserve">претходне четири године урађено много на успостављању система за </w:t>
      </w:r>
      <w:r w:rsidR="00A15CBE" w:rsidRPr="1A8E6423">
        <w:rPr>
          <w:rFonts w:ascii="Arial" w:hAnsi="Arial" w:cs="Arial"/>
          <w:color w:val="000000" w:themeColor="text1"/>
          <w:sz w:val="20"/>
          <w:szCs w:val="20"/>
          <w:lang w:val="sr-Cyrl-RS" w:eastAsia="sr-Latn-RS"/>
        </w:rPr>
        <w:t>у</w:t>
      </w:r>
      <w:r w:rsidRPr="1A8E6423">
        <w:rPr>
          <w:rFonts w:ascii="Arial" w:hAnsi="Arial" w:cs="Arial"/>
          <w:color w:val="000000" w:themeColor="text1"/>
          <w:sz w:val="20"/>
          <w:szCs w:val="20"/>
          <w:lang w:val="sr-Cyrl-RS" w:eastAsia="sr-Latn-RS"/>
        </w:rPr>
        <w:t xml:space="preserve">прављање људским ресурсима (УЉР), у наредном периоду </w:t>
      </w:r>
      <w:r w:rsidR="00EE3C03" w:rsidRPr="1A8E6423">
        <w:rPr>
          <w:rFonts w:ascii="Arial" w:hAnsi="Arial" w:cs="Arial"/>
          <w:color w:val="000000" w:themeColor="text1"/>
          <w:sz w:val="20"/>
          <w:szCs w:val="20"/>
          <w:lang w:val="sr-Cyrl-RS" w:eastAsia="sr-Latn-RS"/>
        </w:rPr>
        <w:t>неопходна су</w:t>
      </w:r>
      <w:r w:rsidRPr="1A8E6423">
        <w:rPr>
          <w:rFonts w:ascii="Arial" w:hAnsi="Arial" w:cs="Arial"/>
          <w:color w:val="000000" w:themeColor="text1"/>
          <w:sz w:val="20"/>
          <w:szCs w:val="20"/>
          <w:lang w:val="sr-Cyrl-RS" w:eastAsia="sr-Latn-RS"/>
        </w:rPr>
        <w:t xml:space="preserve"> додатна унапређења и активности које треба да доведу до потпуно одрживог и функционалног система, заснованог на принципима меритократије, ефикасности и функционалности.</w:t>
      </w:r>
      <w:r w:rsidR="00EE3C03" w:rsidRPr="1A8E6423">
        <w:rPr>
          <w:rFonts w:ascii="Arial" w:hAnsi="Arial" w:cs="Arial"/>
          <w:color w:val="000000" w:themeColor="text1"/>
          <w:sz w:val="20"/>
          <w:szCs w:val="20"/>
          <w:lang w:val="sr-Cyrl-RS" w:eastAsia="sr-Latn-RS"/>
        </w:rPr>
        <w:t xml:space="preserve"> </w:t>
      </w:r>
    </w:p>
    <w:p w14:paraId="325DB08C" w14:textId="4F4AA959" w:rsidR="00263CE8" w:rsidRPr="00A021B7" w:rsidRDefault="00263CE8" w:rsidP="00383D29">
      <w:pPr>
        <w:ind w:firstLine="720"/>
        <w:jc w:val="both"/>
        <w:rPr>
          <w:rFonts w:ascii="Arial" w:hAnsi="Arial" w:cs="Arial"/>
          <w:bCs/>
          <w:color w:val="000000"/>
          <w:sz w:val="20"/>
          <w:szCs w:val="20"/>
          <w:lang w:val="sr-Cyrl-RS" w:eastAsia="sr-Latn-RS"/>
        </w:rPr>
      </w:pPr>
    </w:p>
    <w:p w14:paraId="24AA4A5D" w14:textId="6C8402A0" w:rsidR="00C43E6E" w:rsidRPr="00A021B7" w:rsidRDefault="00263CE8" w:rsidP="1A8E6423">
      <w:pPr>
        <w:ind w:firstLine="720"/>
        <w:jc w:val="both"/>
        <w:rPr>
          <w:rFonts w:ascii="Arial" w:hAnsi="Arial" w:cs="Arial"/>
          <w:color w:val="000000"/>
          <w:sz w:val="20"/>
          <w:szCs w:val="20"/>
          <w:lang w:val="sr-Cyrl-RS" w:eastAsia="sr-Latn-RS"/>
        </w:rPr>
      </w:pPr>
      <w:r w:rsidRPr="1A8E6423">
        <w:rPr>
          <w:rFonts w:ascii="Arial" w:hAnsi="Arial" w:cs="Arial"/>
          <w:color w:val="000000" w:themeColor="text1"/>
          <w:sz w:val="20"/>
          <w:szCs w:val="20"/>
          <w:lang w:val="sr-Cyrl-RS" w:eastAsia="sr-Latn-RS"/>
        </w:rPr>
        <w:t xml:space="preserve">Како би се подржао даљи интензиван развој функције </w:t>
      </w:r>
      <w:bookmarkStart w:id="174" w:name="_Hlk56589690"/>
      <w:r w:rsidRPr="1A8E6423">
        <w:rPr>
          <w:rFonts w:ascii="Arial" w:hAnsi="Arial" w:cs="Arial"/>
          <w:color w:val="000000" w:themeColor="text1"/>
          <w:sz w:val="20"/>
          <w:szCs w:val="20"/>
          <w:lang w:val="sr-Cyrl-RS" w:eastAsia="sr-Latn-RS"/>
        </w:rPr>
        <w:t xml:space="preserve">УЉР </w:t>
      </w:r>
      <w:bookmarkEnd w:id="174"/>
      <w:r w:rsidRPr="1A8E6423">
        <w:rPr>
          <w:rFonts w:ascii="Arial" w:hAnsi="Arial" w:cs="Arial"/>
          <w:color w:val="000000" w:themeColor="text1"/>
          <w:sz w:val="20"/>
          <w:szCs w:val="20"/>
          <w:lang w:val="sr-Cyrl-RS" w:eastAsia="sr-Latn-RS"/>
        </w:rPr>
        <w:t>у локалној управи, у оквиру ове мере планиран</w:t>
      </w:r>
      <w:r w:rsidR="00A62640" w:rsidRPr="1A8E6423">
        <w:rPr>
          <w:rFonts w:ascii="Arial" w:hAnsi="Arial" w:cs="Arial"/>
          <w:color w:val="000000" w:themeColor="text1"/>
          <w:sz w:val="20"/>
          <w:szCs w:val="20"/>
          <w:lang w:val="sr-Cyrl-RS" w:eastAsia="sr-Latn-RS"/>
        </w:rPr>
        <w:t>и</w:t>
      </w:r>
      <w:r w:rsidRPr="1A8E6423">
        <w:rPr>
          <w:rFonts w:ascii="Arial" w:hAnsi="Arial" w:cs="Arial"/>
          <w:color w:val="000000" w:themeColor="text1"/>
          <w:sz w:val="20"/>
          <w:szCs w:val="20"/>
          <w:lang w:val="sr-Cyrl-RS" w:eastAsia="sr-Latn-RS"/>
        </w:rPr>
        <w:t xml:space="preserve"> </w:t>
      </w:r>
      <w:r w:rsidR="00A62640" w:rsidRPr="1A8E6423">
        <w:rPr>
          <w:rFonts w:ascii="Arial" w:hAnsi="Arial" w:cs="Arial"/>
          <w:color w:val="000000" w:themeColor="text1"/>
          <w:sz w:val="20"/>
          <w:szCs w:val="20"/>
          <w:lang w:val="sr-Cyrl-RS" w:eastAsia="sr-Latn-RS"/>
        </w:rPr>
        <w:t>су</w:t>
      </w:r>
      <w:r w:rsidRPr="1A8E6423">
        <w:rPr>
          <w:rFonts w:ascii="Arial" w:hAnsi="Arial" w:cs="Arial"/>
          <w:color w:val="000000" w:themeColor="text1"/>
          <w:sz w:val="20"/>
          <w:szCs w:val="20"/>
          <w:lang w:val="sr-Cyrl-RS" w:eastAsia="sr-Latn-RS"/>
        </w:rPr>
        <w:t xml:space="preserve"> низ важних активности и различити видови подршке: обуке, техничка подршка, успостављање и развој информационог система за УЉР, хармонизација и измена правног и функционалног оквира и др. </w:t>
      </w:r>
      <w:r w:rsidR="00C43E6E" w:rsidRPr="1A8E6423">
        <w:rPr>
          <w:rFonts w:ascii="Arial" w:hAnsi="Arial" w:cs="Arial"/>
          <w:color w:val="000000" w:themeColor="text1"/>
          <w:sz w:val="20"/>
          <w:szCs w:val="20"/>
          <w:lang w:val="sr-Cyrl-RS" w:eastAsia="sr-Latn-RS"/>
        </w:rPr>
        <w:t>Један од првих корака и неопходних чинилаца за функциониса</w:t>
      </w:r>
      <w:r w:rsidR="00B050F3" w:rsidRPr="1A8E6423">
        <w:rPr>
          <w:rFonts w:ascii="Arial" w:hAnsi="Arial" w:cs="Arial"/>
          <w:color w:val="000000" w:themeColor="text1"/>
          <w:sz w:val="20"/>
          <w:szCs w:val="20"/>
          <w:lang w:val="sr-Cyrl-RS" w:eastAsia="sr-Latn-RS"/>
        </w:rPr>
        <w:t>њ</w:t>
      </w:r>
      <w:r w:rsidR="00C43E6E" w:rsidRPr="1A8E6423">
        <w:rPr>
          <w:rFonts w:ascii="Arial" w:hAnsi="Arial" w:cs="Arial"/>
          <w:color w:val="000000" w:themeColor="text1"/>
          <w:sz w:val="20"/>
          <w:szCs w:val="20"/>
          <w:lang w:val="sr-Cyrl-RS" w:eastAsia="sr-Latn-RS"/>
        </w:rPr>
        <w:t>е система за УЉР јесте пуна имплементација система плата и надокнада, која тренутно недостаје. Да би систем за УЉР био потпуно функционалан и компактан и да би у потпуности заживео, потребно је усвојити и у потпуности имплементирати категорије као што су</w:t>
      </w:r>
      <w:r w:rsidR="00C43E6E" w:rsidRPr="1A8E6423">
        <w:rPr>
          <w:lang w:val="sr-Cyrl-RS"/>
        </w:rPr>
        <w:t xml:space="preserve"> </w:t>
      </w:r>
      <w:r w:rsidR="00C43E6E" w:rsidRPr="1A8E6423">
        <w:rPr>
          <w:rFonts w:ascii="Arial" w:hAnsi="Arial" w:cs="Arial"/>
          <w:color w:val="000000" w:themeColor="text1"/>
          <w:sz w:val="20"/>
          <w:szCs w:val="20"/>
          <w:lang w:val="sr-Cyrl-RS" w:eastAsia="sr-Latn-RS"/>
        </w:rPr>
        <w:t>каталог радних места, односно звања, положаја и функција у локалној самоуправи, платне групе и платн</w:t>
      </w:r>
      <w:r w:rsidR="00A62640" w:rsidRPr="1A8E6423">
        <w:rPr>
          <w:rFonts w:ascii="Arial" w:hAnsi="Arial" w:cs="Arial"/>
          <w:color w:val="000000" w:themeColor="text1"/>
          <w:sz w:val="20"/>
          <w:szCs w:val="20"/>
          <w:lang w:val="sr-Cyrl-RS" w:eastAsia="sr-Latn-RS"/>
        </w:rPr>
        <w:t>и</w:t>
      </w:r>
      <w:r w:rsidR="00C43E6E" w:rsidRPr="1A8E6423">
        <w:rPr>
          <w:rFonts w:ascii="Arial" w:hAnsi="Arial" w:cs="Arial"/>
          <w:color w:val="000000" w:themeColor="text1"/>
          <w:sz w:val="20"/>
          <w:szCs w:val="20"/>
          <w:lang w:val="sr-Cyrl-RS" w:eastAsia="sr-Latn-RS"/>
        </w:rPr>
        <w:t xml:space="preserve"> разред</w:t>
      </w:r>
      <w:r w:rsidR="00A62640" w:rsidRPr="1A8E6423">
        <w:rPr>
          <w:rFonts w:ascii="Arial" w:hAnsi="Arial" w:cs="Arial"/>
          <w:color w:val="000000" w:themeColor="text1"/>
          <w:sz w:val="20"/>
          <w:szCs w:val="20"/>
          <w:lang w:val="sr-Cyrl-RS" w:eastAsia="sr-Latn-RS"/>
        </w:rPr>
        <w:t>и</w:t>
      </w:r>
      <w:r w:rsidR="00C43E6E" w:rsidRPr="1A8E6423">
        <w:rPr>
          <w:rFonts w:ascii="Arial" w:hAnsi="Arial" w:cs="Arial"/>
          <w:color w:val="000000" w:themeColor="text1"/>
          <w:sz w:val="20"/>
          <w:szCs w:val="20"/>
          <w:lang w:val="sr-Cyrl-RS" w:eastAsia="sr-Latn-RS"/>
        </w:rPr>
        <w:t>, систем напредовања итд. Почетком примене Закона о платама службеника и намештеника у органима аутономне покрајине и јединицама локалне самоуправе биће пружена подршка свим локалним самоуправама за правилну и пуну имплементацију свих института које Закон прописује.</w:t>
      </w:r>
      <w:r w:rsidR="00B050F3" w:rsidRPr="1A8E6423">
        <w:rPr>
          <w:rFonts w:ascii="Arial" w:hAnsi="Arial" w:cs="Arial"/>
          <w:color w:val="000000" w:themeColor="text1"/>
          <w:sz w:val="20"/>
          <w:szCs w:val="20"/>
          <w:lang w:val="sr-Cyrl-RS" w:eastAsia="sr-Latn-RS"/>
        </w:rPr>
        <w:t xml:space="preserve"> </w:t>
      </w:r>
      <w:r w:rsidR="00C43E6E" w:rsidRPr="1A8E6423">
        <w:rPr>
          <w:rFonts w:ascii="Arial" w:hAnsi="Arial" w:cs="Arial"/>
          <w:color w:val="000000" w:themeColor="text1"/>
          <w:sz w:val="20"/>
          <w:szCs w:val="20"/>
          <w:lang w:val="sr-Cyrl-RS" w:eastAsia="sr-Latn-RS"/>
        </w:rPr>
        <w:t xml:space="preserve">Други приоритет </w:t>
      </w:r>
      <w:r w:rsidR="00A259DF" w:rsidRPr="1A8E6423">
        <w:rPr>
          <w:rFonts w:ascii="Arial" w:hAnsi="Arial" w:cs="Arial"/>
          <w:color w:val="000000" w:themeColor="text1"/>
          <w:sz w:val="20"/>
          <w:szCs w:val="20"/>
          <w:lang w:val="sr-Cyrl-RS" w:eastAsia="sr-Latn-RS"/>
        </w:rPr>
        <w:t>јесте</w:t>
      </w:r>
      <w:r w:rsidR="00C43E6E" w:rsidRPr="1A8E6423">
        <w:rPr>
          <w:rFonts w:ascii="Arial" w:hAnsi="Arial" w:cs="Arial"/>
          <w:color w:val="000000" w:themeColor="text1"/>
          <w:sz w:val="20"/>
          <w:szCs w:val="20"/>
          <w:lang w:val="sr-Cyrl-RS" w:eastAsia="sr-Latn-RS"/>
        </w:rPr>
        <w:t xml:space="preserve"> увођење компетенција</w:t>
      </w:r>
      <w:r w:rsidR="00A259DF" w:rsidRPr="1A8E6423">
        <w:rPr>
          <w:rFonts w:ascii="Arial" w:hAnsi="Arial" w:cs="Arial"/>
          <w:color w:val="000000" w:themeColor="text1"/>
          <w:sz w:val="20"/>
          <w:szCs w:val="20"/>
          <w:lang w:val="sr-Cyrl-RS" w:eastAsia="sr-Latn-RS"/>
        </w:rPr>
        <w:t>,</w:t>
      </w:r>
      <w:r w:rsidR="00C43E6E" w:rsidRPr="1A8E6423">
        <w:rPr>
          <w:rFonts w:ascii="Arial" w:hAnsi="Arial" w:cs="Arial"/>
          <w:color w:val="000000" w:themeColor="text1"/>
          <w:sz w:val="20"/>
          <w:szCs w:val="20"/>
          <w:lang w:val="sr-Cyrl-RS" w:eastAsia="sr-Latn-RS"/>
        </w:rPr>
        <w:t xml:space="preserve"> што ће додатно ојачати систем за УЉР на локалном нивоу и приближити га државнослужбеничком систему. Увођење и развој компетенција </w:t>
      </w:r>
      <w:r w:rsidR="00A259DF" w:rsidRPr="1A8E6423">
        <w:rPr>
          <w:rFonts w:ascii="Arial" w:hAnsi="Arial" w:cs="Arial"/>
          <w:color w:val="000000" w:themeColor="text1"/>
          <w:sz w:val="20"/>
          <w:szCs w:val="20"/>
          <w:lang w:val="sr-Cyrl-RS" w:eastAsia="sr-Latn-RS"/>
        </w:rPr>
        <w:t>јесте</w:t>
      </w:r>
      <w:r w:rsidR="00C43E6E" w:rsidRPr="1A8E6423">
        <w:rPr>
          <w:rFonts w:ascii="Arial" w:hAnsi="Arial" w:cs="Arial"/>
          <w:color w:val="000000" w:themeColor="text1"/>
          <w:sz w:val="20"/>
          <w:szCs w:val="20"/>
          <w:lang w:val="sr-Cyrl-RS" w:eastAsia="sr-Latn-RS"/>
        </w:rPr>
        <w:t xml:space="preserve"> сложен и континуиран посао </w:t>
      </w:r>
      <w:r w:rsidR="00A259DF" w:rsidRPr="1A8E6423">
        <w:rPr>
          <w:rFonts w:ascii="Arial" w:hAnsi="Arial" w:cs="Arial"/>
          <w:color w:val="000000" w:themeColor="text1"/>
          <w:sz w:val="20"/>
          <w:szCs w:val="20"/>
          <w:lang w:val="sr-Cyrl-RS" w:eastAsia="sr-Latn-RS"/>
        </w:rPr>
        <w:t>и зато је неопходна интензивна подршка</w:t>
      </w:r>
      <w:r w:rsidR="00C43E6E" w:rsidRPr="1A8E6423">
        <w:rPr>
          <w:rFonts w:ascii="Arial" w:hAnsi="Arial" w:cs="Arial"/>
          <w:color w:val="000000" w:themeColor="text1"/>
          <w:sz w:val="20"/>
          <w:szCs w:val="20"/>
          <w:lang w:val="sr-Cyrl-RS" w:eastAsia="sr-Latn-RS"/>
        </w:rPr>
        <w:t xml:space="preserve"> </w:t>
      </w:r>
      <w:r w:rsidR="00A62640" w:rsidRPr="1A8E6423">
        <w:rPr>
          <w:rFonts w:ascii="Arial" w:hAnsi="Arial" w:cs="Arial"/>
          <w:color w:val="000000" w:themeColor="text1"/>
          <w:sz w:val="20"/>
          <w:szCs w:val="20"/>
          <w:lang w:val="sr-Cyrl-RS" w:eastAsia="sr-Latn-RS"/>
        </w:rPr>
        <w:t xml:space="preserve">у </w:t>
      </w:r>
      <w:r w:rsidR="00C43E6E" w:rsidRPr="1A8E6423">
        <w:rPr>
          <w:rFonts w:ascii="Arial" w:hAnsi="Arial" w:cs="Arial"/>
          <w:color w:val="000000" w:themeColor="text1"/>
          <w:sz w:val="20"/>
          <w:szCs w:val="20"/>
          <w:lang w:val="sr-Cyrl-RS" w:eastAsia="sr-Latn-RS"/>
        </w:rPr>
        <w:t>овој области. Такође, увођење компетенција подразумева и значајне измене у свим процесима у оквиру УЉР као што су планирање и попуњавање радних места, оцењивање и каријерни развој, стручно усавршавање итд., што ће захтевати додатну подршку локалним самоуправама за успешну имплементацију ових процеса.</w:t>
      </w:r>
      <w:r w:rsidR="00C46F7E" w:rsidRPr="1A8E6423">
        <w:rPr>
          <w:rFonts w:ascii="Arial" w:hAnsi="Arial" w:cs="Arial"/>
          <w:color w:val="000000" w:themeColor="text1"/>
          <w:sz w:val="20"/>
          <w:szCs w:val="20"/>
          <w:lang w:val="sr-Cyrl-RS" w:eastAsia="sr-Latn-RS"/>
        </w:rPr>
        <w:t xml:space="preserve"> </w:t>
      </w:r>
      <w:r w:rsidR="00410EA9" w:rsidRPr="1A8E6423">
        <w:rPr>
          <w:rFonts w:ascii="Arial" w:hAnsi="Arial" w:cs="Arial"/>
          <w:color w:val="000000" w:themeColor="text1"/>
          <w:sz w:val="20"/>
          <w:szCs w:val="20"/>
          <w:lang w:val="sr-Cyrl-RS" w:eastAsia="sr-Latn-RS"/>
        </w:rPr>
        <w:t>Трећи важан приоритет јесте израда јединствене базе државних и локалн</w:t>
      </w:r>
      <w:r w:rsidR="47C8219B" w:rsidRPr="1A8E6423">
        <w:rPr>
          <w:rFonts w:ascii="Arial" w:hAnsi="Arial" w:cs="Arial"/>
          <w:color w:val="000000" w:themeColor="text1"/>
          <w:sz w:val="20"/>
          <w:szCs w:val="20"/>
          <w:lang w:val="sr-Cyrl-RS" w:eastAsia="sr-Latn-RS"/>
        </w:rPr>
        <w:t>и</w:t>
      </w:r>
      <w:r w:rsidR="00410EA9" w:rsidRPr="1A8E6423">
        <w:rPr>
          <w:rFonts w:ascii="Arial" w:hAnsi="Arial" w:cs="Arial"/>
          <w:color w:val="000000" w:themeColor="text1"/>
          <w:sz w:val="20"/>
          <w:szCs w:val="20"/>
          <w:lang w:val="sr-Cyrl-RS" w:eastAsia="sr-Latn-RS"/>
        </w:rPr>
        <w:t>х службеника</w:t>
      </w:r>
      <w:r w:rsidR="00A62640" w:rsidRPr="1A8E6423">
        <w:rPr>
          <w:rFonts w:ascii="Arial" w:hAnsi="Arial" w:cs="Arial"/>
          <w:color w:val="000000" w:themeColor="text1"/>
          <w:sz w:val="20"/>
          <w:szCs w:val="20"/>
          <w:lang w:val="sr-Cyrl-RS" w:eastAsia="sr-Latn-RS"/>
        </w:rPr>
        <w:t>, која</w:t>
      </w:r>
      <w:r w:rsidR="00410EA9" w:rsidRPr="1A8E6423">
        <w:rPr>
          <w:rFonts w:ascii="Arial" w:hAnsi="Arial" w:cs="Arial"/>
          <w:color w:val="000000" w:themeColor="text1"/>
          <w:sz w:val="20"/>
          <w:szCs w:val="20"/>
          <w:lang w:val="sr-Cyrl-RS" w:eastAsia="sr-Latn-RS"/>
        </w:rPr>
        <w:t xml:space="preserve"> ће значајно олакшати процес УЉР и омогућити боље управљање подацима запослених у локалној самоуправи.</w:t>
      </w:r>
      <w:r w:rsidR="00EB73BC" w:rsidRPr="1A8E6423">
        <w:rPr>
          <w:rFonts w:ascii="Arial" w:hAnsi="Arial" w:cs="Arial"/>
          <w:color w:val="000000" w:themeColor="text1"/>
          <w:sz w:val="20"/>
          <w:szCs w:val="20"/>
          <w:lang w:val="sr-Cyrl-RS" w:eastAsia="sr-Latn-RS"/>
        </w:rPr>
        <w:t xml:space="preserve"> Коначно, у даљем процесу развоја функције </w:t>
      </w:r>
      <w:r w:rsidR="008E5633" w:rsidRPr="1A8E6423">
        <w:rPr>
          <w:rFonts w:ascii="Arial" w:hAnsi="Arial" w:cs="Arial"/>
          <w:color w:val="000000" w:themeColor="text1"/>
          <w:sz w:val="20"/>
          <w:szCs w:val="20"/>
          <w:lang w:val="sr-Cyrl-RS" w:eastAsia="sr-Latn-RS"/>
        </w:rPr>
        <w:t>један од приоритета (не и последњи) јесте и даља укупна подршка остваривању ове функције у пракси. У склопу тога потребно је наставити раз</w:t>
      </w:r>
      <w:r w:rsidR="00955264" w:rsidRPr="1A8E6423">
        <w:rPr>
          <w:rFonts w:ascii="Arial" w:hAnsi="Arial" w:cs="Arial"/>
          <w:color w:val="000000" w:themeColor="text1"/>
          <w:sz w:val="20"/>
          <w:szCs w:val="20"/>
          <w:lang w:val="sr-Cyrl-RS" w:eastAsia="sr-Latn-RS"/>
        </w:rPr>
        <w:t>вој знања и капацитета локалне управе кроз обуке, размену праксе и припрему приручника и модела локалних докумената. Потребно је и наставити</w:t>
      </w:r>
      <w:r w:rsidR="00C43E6E" w:rsidRPr="1A8E6423">
        <w:rPr>
          <w:rFonts w:ascii="Arial" w:hAnsi="Arial" w:cs="Arial"/>
          <w:color w:val="000000" w:themeColor="text1"/>
          <w:sz w:val="20"/>
          <w:szCs w:val="20"/>
          <w:lang w:val="sr-Cyrl-RS" w:eastAsia="sr-Latn-RS"/>
        </w:rPr>
        <w:t xml:space="preserve"> анализ</w:t>
      </w:r>
      <w:r w:rsidR="00955264" w:rsidRPr="1A8E6423">
        <w:rPr>
          <w:rFonts w:ascii="Arial" w:hAnsi="Arial" w:cs="Arial"/>
          <w:color w:val="000000" w:themeColor="text1"/>
          <w:sz w:val="20"/>
          <w:szCs w:val="20"/>
          <w:lang w:val="sr-Cyrl-RS" w:eastAsia="sr-Latn-RS"/>
        </w:rPr>
        <w:t>у</w:t>
      </w:r>
      <w:r w:rsidR="00C43E6E" w:rsidRPr="1A8E6423">
        <w:rPr>
          <w:rFonts w:ascii="Arial" w:hAnsi="Arial" w:cs="Arial"/>
          <w:color w:val="000000" w:themeColor="text1"/>
          <w:sz w:val="20"/>
          <w:szCs w:val="20"/>
          <w:lang w:val="sr-Cyrl-RS" w:eastAsia="sr-Latn-RS"/>
        </w:rPr>
        <w:t xml:space="preserve"> препрек</w:t>
      </w:r>
      <w:r w:rsidR="00B07805" w:rsidRPr="1A8E6423">
        <w:rPr>
          <w:rFonts w:ascii="Arial" w:hAnsi="Arial" w:cs="Arial"/>
          <w:color w:val="000000" w:themeColor="text1"/>
          <w:sz w:val="20"/>
          <w:szCs w:val="20"/>
          <w:lang w:val="sr-Cyrl-RS" w:eastAsia="sr-Latn-RS"/>
        </w:rPr>
        <w:t>а</w:t>
      </w:r>
      <w:r w:rsidR="00C43E6E" w:rsidRPr="1A8E6423">
        <w:rPr>
          <w:rFonts w:ascii="Arial" w:hAnsi="Arial" w:cs="Arial"/>
          <w:color w:val="000000" w:themeColor="text1"/>
          <w:sz w:val="20"/>
          <w:szCs w:val="20"/>
          <w:lang w:val="sr-Cyrl-RS" w:eastAsia="sr-Latn-RS"/>
        </w:rPr>
        <w:t xml:space="preserve"> и изазов</w:t>
      </w:r>
      <w:r w:rsidR="00B07805" w:rsidRPr="1A8E6423">
        <w:rPr>
          <w:rFonts w:ascii="Arial" w:hAnsi="Arial" w:cs="Arial"/>
          <w:color w:val="000000" w:themeColor="text1"/>
          <w:sz w:val="20"/>
          <w:szCs w:val="20"/>
          <w:lang w:val="sr-Cyrl-RS" w:eastAsia="sr-Latn-RS"/>
        </w:rPr>
        <w:t>а</w:t>
      </w:r>
      <w:r w:rsidR="00B04D20" w:rsidRPr="1A8E6423">
        <w:rPr>
          <w:rFonts w:ascii="Arial" w:hAnsi="Arial" w:cs="Arial"/>
          <w:color w:val="000000" w:themeColor="text1"/>
          <w:sz w:val="20"/>
          <w:szCs w:val="20"/>
          <w:lang w:val="sr-Cyrl-RS" w:eastAsia="sr-Latn-RS"/>
        </w:rPr>
        <w:t xml:space="preserve"> за УЉР</w:t>
      </w:r>
      <w:r w:rsidR="00955264" w:rsidRPr="1A8E6423">
        <w:rPr>
          <w:rFonts w:ascii="Arial" w:hAnsi="Arial" w:cs="Arial"/>
          <w:color w:val="000000" w:themeColor="text1"/>
          <w:sz w:val="20"/>
          <w:szCs w:val="20"/>
          <w:lang w:val="sr-Cyrl-RS" w:eastAsia="sr-Latn-RS"/>
        </w:rPr>
        <w:t>, посебно оних</w:t>
      </w:r>
      <w:r w:rsidR="00C43E6E" w:rsidRPr="1A8E6423">
        <w:rPr>
          <w:rFonts w:ascii="Arial" w:hAnsi="Arial" w:cs="Arial"/>
          <w:color w:val="000000" w:themeColor="text1"/>
          <w:sz w:val="20"/>
          <w:szCs w:val="20"/>
          <w:lang w:val="sr-Cyrl-RS" w:eastAsia="sr-Latn-RS"/>
        </w:rPr>
        <w:t xml:space="preserve"> који</w:t>
      </w:r>
      <w:r w:rsidR="00B04D20" w:rsidRPr="1A8E6423">
        <w:rPr>
          <w:rFonts w:ascii="Arial" w:hAnsi="Arial" w:cs="Arial"/>
          <w:color w:val="000000" w:themeColor="text1"/>
          <w:sz w:val="20"/>
          <w:szCs w:val="20"/>
          <w:lang w:val="sr-Cyrl-RS" w:eastAsia="sr-Latn-RS"/>
        </w:rPr>
        <w:t xml:space="preserve"> су повезани са</w:t>
      </w:r>
      <w:r w:rsidR="00C43E6E" w:rsidRPr="1A8E6423">
        <w:rPr>
          <w:rFonts w:ascii="Arial" w:hAnsi="Arial" w:cs="Arial"/>
          <w:color w:val="000000" w:themeColor="text1"/>
          <w:sz w:val="20"/>
          <w:szCs w:val="20"/>
          <w:lang w:val="sr-Cyrl-RS" w:eastAsia="sr-Latn-RS"/>
        </w:rPr>
        <w:t xml:space="preserve"> неадекватн</w:t>
      </w:r>
      <w:r w:rsidR="00B04D20" w:rsidRPr="1A8E6423">
        <w:rPr>
          <w:rFonts w:ascii="Arial" w:hAnsi="Arial" w:cs="Arial"/>
          <w:color w:val="000000" w:themeColor="text1"/>
          <w:sz w:val="20"/>
          <w:szCs w:val="20"/>
          <w:lang w:val="sr-Cyrl-RS" w:eastAsia="sr-Latn-RS"/>
        </w:rPr>
        <w:t>ом</w:t>
      </w:r>
      <w:r w:rsidR="00C43E6E" w:rsidRPr="1A8E6423">
        <w:rPr>
          <w:rFonts w:ascii="Arial" w:hAnsi="Arial" w:cs="Arial"/>
          <w:color w:val="000000" w:themeColor="text1"/>
          <w:sz w:val="20"/>
          <w:szCs w:val="20"/>
          <w:lang w:val="sr-Cyrl-RS" w:eastAsia="sr-Latn-RS"/>
        </w:rPr>
        <w:t xml:space="preserve"> организацион</w:t>
      </w:r>
      <w:r w:rsidR="00B04D20" w:rsidRPr="1A8E6423">
        <w:rPr>
          <w:rFonts w:ascii="Arial" w:hAnsi="Arial" w:cs="Arial"/>
          <w:color w:val="000000" w:themeColor="text1"/>
          <w:sz w:val="20"/>
          <w:szCs w:val="20"/>
          <w:lang w:val="sr-Cyrl-RS" w:eastAsia="sr-Latn-RS"/>
        </w:rPr>
        <w:t>ом</w:t>
      </w:r>
      <w:r w:rsidR="00C43E6E" w:rsidRPr="1A8E6423">
        <w:rPr>
          <w:rFonts w:ascii="Arial" w:hAnsi="Arial" w:cs="Arial"/>
          <w:color w:val="000000" w:themeColor="text1"/>
          <w:sz w:val="20"/>
          <w:szCs w:val="20"/>
          <w:lang w:val="sr-Cyrl-RS" w:eastAsia="sr-Latn-RS"/>
        </w:rPr>
        <w:t xml:space="preserve"> структур</w:t>
      </w:r>
      <w:r w:rsidR="00B04D20" w:rsidRPr="1A8E6423">
        <w:rPr>
          <w:rFonts w:ascii="Arial" w:hAnsi="Arial" w:cs="Arial"/>
          <w:color w:val="000000" w:themeColor="text1"/>
          <w:sz w:val="20"/>
          <w:szCs w:val="20"/>
          <w:lang w:val="sr-Cyrl-RS" w:eastAsia="sr-Latn-RS"/>
        </w:rPr>
        <w:t>ом</w:t>
      </w:r>
      <w:r w:rsidR="00C43E6E" w:rsidRPr="1A8E6423">
        <w:rPr>
          <w:rFonts w:ascii="Arial" w:hAnsi="Arial" w:cs="Arial"/>
          <w:color w:val="000000" w:themeColor="text1"/>
          <w:sz w:val="20"/>
          <w:szCs w:val="20"/>
          <w:lang w:val="sr-Cyrl-RS" w:eastAsia="sr-Latn-RS"/>
        </w:rPr>
        <w:t xml:space="preserve"> </w:t>
      </w:r>
      <w:r w:rsidR="002E1D96" w:rsidRPr="1A8E6423">
        <w:rPr>
          <w:rFonts w:ascii="Arial" w:hAnsi="Arial" w:cs="Arial"/>
          <w:color w:val="000000" w:themeColor="text1"/>
          <w:sz w:val="20"/>
          <w:szCs w:val="20"/>
          <w:lang w:val="sr-Cyrl-RS" w:eastAsia="sr-Latn-RS"/>
        </w:rPr>
        <w:t xml:space="preserve">и </w:t>
      </w:r>
      <w:r w:rsidR="00C43E6E" w:rsidRPr="1A8E6423">
        <w:rPr>
          <w:rFonts w:ascii="Arial" w:hAnsi="Arial" w:cs="Arial"/>
          <w:color w:val="000000" w:themeColor="text1"/>
          <w:sz w:val="20"/>
          <w:szCs w:val="20"/>
          <w:lang w:val="sr-Cyrl-RS" w:eastAsia="sr-Latn-RS"/>
        </w:rPr>
        <w:t>различит</w:t>
      </w:r>
      <w:r w:rsidR="002E1D96" w:rsidRPr="1A8E6423">
        <w:rPr>
          <w:rFonts w:ascii="Arial" w:hAnsi="Arial" w:cs="Arial"/>
          <w:color w:val="000000" w:themeColor="text1"/>
          <w:sz w:val="20"/>
          <w:szCs w:val="20"/>
          <w:lang w:val="sr-Cyrl-RS" w:eastAsia="sr-Latn-RS"/>
        </w:rPr>
        <w:t>и</w:t>
      </w:r>
      <w:r w:rsidR="00B04D20" w:rsidRPr="1A8E6423">
        <w:rPr>
          <w:rFonts w:ascii="Arial" w:hAnsi="Arial" w:cs="Arial"/>
          <w:color w:val="000000" w:themeColor="text1"/>
          <w:sz w:val="20"/>
          <w:szCs w:val="20"/>
          <w:lang w:val="sr-Cyrl-RS" w:eastAsia="sr-Latn-RS"/>
        </w:rPr>
        <w:t>м</w:t>
      </w:r>
      <w:r w:rsidR="00C43E6E" w:rsidRPr="1A8E6423">
        <w:rPr>
          <w:rFonts w:ascii="Arial" w:hAnsi="Arial" w:cs="Arial"/>
          <w:color w:val="000000" w:themeColor="text1"/>
          <w:sz w:val="20"/>
          <w:szCs w:val="20"/>
          <w:lang w:val="sr-Cyrl-RS" w:eastAsia="sr-Latn-RS"/>
        </w:rPr>
        <w:t xml:space="preserve"> дисфункционалности</w:t>
      </w:r>
      <w:r w:rsidR="00B04D20" w:rsidRPr="1A8E6423">
        <w:rPr>
          <w:rFonts w:ascii="Arial" w:hAnsi="Arial" w:cs="Arial"/>
          <w:color w:val="000000" w:themeColor="text1"/>
          <w:sz w:val="20"/>
          <w:szCs w:val="20"/>
          <w:lang w:val="sr-Cyrl-RS" w:eastAsia="sr-Latn-RS"/>
        </w:rPr>
        <w:t>ма</w:t>
      </w:r>
      <w:r w:rsidR="00C43E6E" w:rsidRPr="1A8E6423">
        <w:rPr>
          <w:rFonts w:ascii="Arial" w:hAnsi="Arial" w:cs="Arial"/>
          <w:color w:val="000000" w:themeColor="text1"/>
          <w:sz w:val="20"/>
          <w:szCs w:val="20"/>
          <w:lang w:val="sr-Cyrl-RS" w:eastAsia="sr-Latn-RS"/>
        </w:rPr>
        <w:t xml:space="preserve"> у функционисању локалне управе</w:t>
      </w:r>
      <w:r w:rsidR="00B07805" w:rsidRPr="1A8E6423">
        <w:rPr>
          <w:rFonts w:ascii="Arial" w:hAnsi="Arial" w:cs="Arial"/>
          <w:color w:val="000000" w:themeColor="text1"/>
          <w:sz w:val="20"/>
          <w:szCs w:val="20"/>
          <w:lang w:val="sr-Cyrl-RS" w:eastAsia="sr-Latn-RS"/>
        </w:rPr>
        <w:t xml:space="preserve"> (</w:t>
      </w:r>
      <w:r w:rsidR="00B04D20" w:rsidRPr="1A8E6423">
        <w:rPr>
          <w:rFonts w:ascii="Arial" w:hAnsi="Arial" w:cs="Arial"/>
          <w:color w:val="000000" w:themeColor="text1"/>
          <w:sz w:val="20"/>
          <w:szCs w:val="20"/>
          <w:lang w:val="sr-Cyrl-RS" w:eastAsia="sr-Latn-RS"/>
        </w:rPr>
        <w:t xml:space="preserve">кроз </w:t>
      </w:r>
      <w:r w:rsidR="00B07805" w:rsidRPr="1A8E6423">
        <w:rPr>
          <w:rFonts w:ascii="Arial" w:hAnsi="Arial" w:cs="Arial"/>
          <w:color w:val="000000" w:themeColor="text1"/>
          <w:sz w:val="20"/>
          <w:szCs w:val="20"/>
          <w:lang w:val="sr-Cyrl-RS" w:eastAsia="sr-Latn-RS"/>
        </w:rPr>
        <w:t xml:space="preserve">организационо-функционалне анализе управе) и обезбедити техничку подршку за </w:t>
      </w:r>
      <w:r w:rsidR="00B04D20" w:rsidRPr="1A8E6423">
        <w:rPr>
          <w:rFonts w:ascii="Arial" w:hAnsi="Arial" w:cs="Arial"/>
          <w:color w:val="000000" w:themeColor="text1"/>
          <w:sz w:val="20"/>
          <w:szCs w:val="20"/>
          <w:lang w:val="sr-Cyrl-RS" w:eastAsia="sr-Latn-RS"/>
        </w:rPr>
        <w:t>њихово превазилажење и за даљу трансформацију локалне управе у правцу модерног и професионалног сервиса за грађане и привреду.</w:t>
      </w:r>
    </w:p>
    <w:p w14:paraId="20F2E583" w14:textId="77777777" w:rsidR="00C43E6E" w:rsidRPr="00A021B7" w:rsidRDefault="00C43E6E" w:rsidP="00C43E6E">
      <w:pPr>
        <w:jc w:val="both"/>
        <w:rPr>
          <w:rFonts w:ascii="Arial" w:hAnsi="Arial" w:cs="Arial"/>
          <w:b/>
          <w:color w:val="000000"/>
          <w:sz w:val="20"/>
          <w:szCs w:val="20"/>
          <w:lang w:val="sr-Cyrl-RS" w:eastAsia="sr-Latn-RS"/>
        </w:rPr>
      </w:pPr>
    </w:p>
    <w:p w14:paraId="215BA324" w14:textId="77777777" w:rsidR="00C43E6E" w:rsidRPr="00A021B7" w:rsidRDefault="00C43E6E" w:rsidP="00C43E6E">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Мера 3.2: Унапређење процеса стручног усавршавања запослених у органима ЈЛС</w:t>
      </w:r>
    </w:p>
    <w:p w14:paraId="538E59AB" w14:textId="044E6785" w:rsidR="00C43E6E" w:rsidRPr="00A021B7" w:rsidRDefault="00C43E6E" w:rsidP="00C43E6E">
      <w:pPr>
        <w:jc w:val="both"/>
        <w:rPr>
          <w:rFonts w:ascii="Arial" w:hAnsi="Arial" w:cs="Arial"/>
          <w:b/>
          <w:color w:val="000000"/>
          <w:sz w:val="20"/>
          <w:szCs w:val="20"/>
          <w:lang w:val="sr-Cyrl-RS" w:eastAsia="sr-Latn-RS"/>
        </w:rPr>
      </w:pPr>
    </w:p>
    <w:p w14:paraId="0E70690E" w14:textId="3CE6229C" w:rsidR="00203AE6" w:rsidRPr="00A021B7" w:rsidRDefault="00732830" w:rsidP="1A8E6423">
      <w:pPr>
        <w:ind w:firstLine="720"/>
        <w:jc w:val="both"/>
        <w:rPr>
          <w:rFonts w:ascii="Arial" w:hAnsi="Arial" w:cs="Arial"/>
          <w:sz w:val="20"/>
          <w:szCs w:val="20"/>
          <w:lang w:val="sr-Cyrl-RS"/>
        </w:rPr>
      </w:pPr>
      <w:r w:rsidRPr="1A8E6423">
        <w:rPr>
          <w:rFonts w:ascii="Arial" w:hAnsi="Arial" w:cs="Arial"/>
          <w:sz w:val="20"/>
          <w:szCs w:val="20"/>
          <w:lang w:val="sr-Cyrl-RS"/>
        </w:rPr>
        <w:t>Током 2017. године успостављена је Национална академија за јавну управу (НАЈУ), као кровна институција за стручно усавршавање у јавној управи, која уз Савет за стручно усавршавање запослених у ЈЛС</w:t>
      </w:r>
      <w:r w:rsidR="001B145D" w:rsidRPr="1A8E6423">
        <w:rPr>
          <w:rFonts w:ascii="Arial" w:hAnsi="Arial" w:cs="Arial"/>
          <w:sz w:val="20"/>
          <w:szCs w:val="20"/>
          <w:lang w:val="sr-Cyrl-RS"/>
        </w:rPr>
        <w:t xml:space="preserve"> и</w:t>
      </w:r>
      <w:r w:rsidRPr="1A8E6423">
        <w:rPr>
          <w:rFonts w:ascii="Arial" w:hAnsi="Arial" w:cs="Arial"/>
          <w:sz w:val="20"/>
          <w:szCs w:val="20"/>
          <w:lang w:val="sr-Cyrl-RS"/>
        </w:rPr>
        <w:t xml:space="preserve"> МДУЛС, чини институционални оквир за подршку ЈЛС и спровођење активности у области стручног усавршавања. Новим правним оквиром дефинисан</w:t>
      </w:r>
      <w:r w:rsidR="00A62640" w:rsidRPr="1A8E6423">
        <w:rPr>
          <w:rFonts w:ascii="Arial" w:hAnsi="Arial" w:cs="Arial"/>
          <w:sz w:val="20"/>
          <w:szCs w:val="20"/>
          <w:lang w:val="sr-Cyrl-RS"/>
        </w:rPr>
        <w:t>и</w:t>
      </w:r>
      <w:r w:rsidRPr="1A8E6423">
        <w:rPr>
          <w:rFonts w:ascii="Arial" w:hAnsi="Arial" w:cs="Arial"/>
          <w:sz w:val="20"/>
          <w:szCs w:val="20"/>
          <w:lang w:val="sr-Cyrl-RS"/>
        </w:rPr>
        <w:t xml:space="preserve"> </w:t>
      </w:r>
      <w:r w:rsidR="00A62640" w:rsidRPr="1A8E6423">
        <w:rPr>
          <w:rFonts w:ascii="Arial" w:hAnsi="Arial" w:cs="Arial"/>
          <w:sz w:val="20"/>
          <w:szCs w:val="20"/>
          <w:lang w:val="sr-Cyrl-RS"/>
        </w:rPr>
        <w:t>су</w:t>
      </w:r>
      <w:r w:rsidRPr="1A8E6423">
        <w:rPr>
          <w:rFonts w:ascii="Arial" w:hAnsi="Arial" w:cs="Arial"/>
          <w:sz w:val="20"/>
          <w:szCs w:val="20"/>
          <w:lang w:val="sr-Cyrl-RS"/>
        </w:rPr>
        <w:t xml:space="preserve"> и номенклатура програма стручног усавршавања локалних службеника</w:t>
      </w:r>
      <w:r w:rsidR="00073D2F" w:rsidRPr="1A8E6423">
        <w:rPr>
          <w:rFonts w:ascii="Arial" w:hAnsi="Arial" w:cs="Arial"/>
          <w:sz w:val="20"/>
          <w:szCs w:val="20"/>
          <w:lang w:val="sr-Cyrl-RS"/>
        </w:rPr>
        <w:t xml:space="preserve">, </w:t>
      </w:r>
      <w:r w:rsidRPr="1A8E6423">
        <w:rPr>
          <w:rFonts w:ascii="Arial" w:hAnsi="Arial" w:cs="Arial"/>
          <w:sz w:val="20"/>
          <w:szCs w:val="20"/>
          <w:lang w:val="sr-Cyrl-RS"/>
        </w:rPr>
        <w:t>процес утврђивања потреба, припреме и спровођења програма стручног усавршавања</w:t>
      </w:r>
      <w:r w:rsidR="00045F68" w:rsidRPr="1A8E6423">
        <w:rPr>
          <w:rFonts w:ascii="Arial" w:hAnsi="Arial" w:cs="Arial"/>
          <w:sz w:val="20"/>
          <w:szCs w:val="20"/>
          <w:lang w:val="sr-Cyrl-RS"/>
        </w:rPr>
        <w:t xml:space="preserve"> и започета је пуна имплементација</w:t>
      </w:r>
      <w:r w:rsidR="00073D2F" w:rsidRPr="1A8E6423">
        <w:rPr>
          <w:rFonts w:ascii="Arial" w:hAnsi="Arial" w:cs="Arial"/>
          <w:sz w:val="20"/>
          <w:szCs w:val="20"/>
          <w:lang w:val="sr-Cyrl-RS"/>
        </w:rPr>
        <w:t xml:space="preserve"> новог система за стручно усаврша</w:t>
      </w:r>
      <w:r w:rsidR="00A62640" w:rsidRPr="1A8E6423">
        <w:rPr>
          <w:rFonts w:ascii="Arial" w:hAnsi="Arial" w:cs="Arial"/>
          <w:sz w:val="20"/>
          <w:szCs w:val="20"/>
          <w:lang w:val="sr-Cyrl-RS"/>
        </w:rPr>
        <w:t>ва</w:t>
      </w:r>
      <w:r w:rsidR="00073D2F" w:rsidRPr="1A8E6423">
        <w:rPr>
          <w:rFonts w:ascii="Arial" w:hAnsi="Arial" w:cs="Arial"/>
          <w:sz w:val="20"/>
          <w:szCs w:val="20"/>
          <w:lang w:val="sr-Cyrl-RS"/>
        </w:rPr>
        <w:t>ње</w:t>
      </w:r>
      <w:r w:rsidRPr="1A8E6423">
        <w:rPr>
          <w:rFonts w:ascii="Arial" w:hAnsi="Arial" w:cs="Arial"/>
          <w:sz w:val="20"/>
          <w:szCs w:val="20"/>
          <w:lang w:val="sr-Cyrl-RS"/>
        </w:rPr>
        <w:t xml:space="preserve">. </w:t>
      </w:r>
      <w:r w:rsidR="00073D2F" w:rsidRPr="1A8E6423">
        <w:rPr>
          <w:rFonts w:ascii="Arial" w:hAnsi="Arial" w:cs="Arial"/>
          <w:sz w:val="20"/>
          <w:szCs w:val="20"/>
          <w:lang w:val="sr-Cyrl-RS"/>
        </w:rPr>
        <w:t xml:space="preserve">У наредном периоду, полазећи од </w:t>
      </w:r>
      <w:r w:rsidR="00207221" w:rsidRPr="1A8E6423">
        <w:rPr>
          <w:rFonts w:ascii="Arial" w:hAnsi="Arial" w:cs="Arial"/>
          <w:sz w:val="20"/>
          <w:szCs w:val="20"/>
          <w:lang w:val="sr-Cyrl-RS"/>
        </w:rPr>
        <w:t>оног што је до сада урађено</w:t>
      </w:r>
      <w:r w:rsidRPr="1A8E6423">
        <w:rPr>
          <w:rFonts w:ascii="Arial" w:hAnsi="Arial" w:cs="Arial"/>
          <w:sz w:val="20"/>
          <w:szCs w:val="20"/>
          <w:lang w:val="sr-Cyrl-RS"/>
        </w:rPr>
        <w:t xml:space="preserve">, потребно </w:t>
      </w:r>
      <w:r w:rsidR="005633CE" w:rsidRPr="1A8E6423">
        <w:rPr>
          <w:rFonts w:ascii="Arial" w:hAnsi="Arial" w:cs="Arial"/>
          <w:sz w:val="20"/>
          <w:szCs w:val="20"/>
          <w:lang w:val="sr-Cyrl-RS"/>
        </w:rPr>
        <w:t>је наста</w:t>
      </w:r>
      <w:r w:rsidR="244E1F13" w:rsidRPr="1A8E6423">
        <w:rPr>
          <w:rFonts w:ascii="Arial" w:hAnsi="Arial" w:cs="Arial"/>
          <w:sz w:val="20"/>
          <w:szCs w:val="20"/>
          <w:lang w:val="sr-Cyrl-RS"/>
        </w:rPr>
        <w:t>в</w:t>
      </w:r>
      <w:r w:rsidR="005633CE" w:rsidRPr="1A8E6423">
        <w:rPr>
          <w:rFonts w:ascii="Arial" w:hAnsi="Arial" w:cs="Arial"/>
          <w:sz w:val="20"/>
          <w:szCs w:val="20"/>
          <w:lang w:val="sr-Cyrl-RS"/>
        </w:rPr>
        <w:t>и</w:t>
      </w:r>
      <w:r w:rsidR="00F2411C" w:rsidRPr="1A8E6423">
        <w:rPr>
          <w:rFonts w:ascii="Arial" w:hAnsi="Arial" w:cs="Arial"/>
          <w:sz w:val="20"/>
          <w:szCs w:val="20"/>
          <w:lang w:val="sr-Cyrl-RS"/>
        </w:rPr>
        <w:t>т</w:t>
      </w:r>
      <w:r w:rsidR="005633CE" w:rsidRPr="1A8E6423">
        <w:rPr>
          <w:rFonts w:ascii="Arial" w:hAnsi="Arial" w:cs="Arial"/>
          <w:sz w:val="20"/>
          <w:szCs w:val="20"/>
          <w:lang w:val="sr-Cyrl-RS"/>
        </w:rPr>
        <w:t>и изградњу</w:t>
      </w:r>
      <w:r w:rsidRPr="1A8E6423">
        <w:rPr>
          <w:rFonts w:ascii="Arial" w:hAnsi="Arial" w:cs="Arial"/>
          <w:sz w:val="20"/>
          <w:szCs w:val="20"/>
          <w:lang w:val="sr-Cyrl-RS"/>
        </w:rPr>
        <w:t xml:space="preserve"> одржив</w:t>
      </w:r>
      <w:r w:rsidR="005633CE" w:rsidRPr="1A8E6423">
        <w:rPr>
          <w:rFonts w:ascii="Arial" w:hAnsi="Arial" w:cs="Arial"/>
          <w:sz w:val="20"/>
          <w:szCs w:val="20"/>
          <w:lang w:val="sr-Cyrl-RS"/>
        </w:rPr>
        <w:t>ог</w:t>
      </w:r>
      <w:r w:rsidRPr="1A8E6423">
        <w:rPr>
          <w:rFonts w:ascii="Arial" w:hAnsi="Arial" w:cs="Arial"/>
          <w:sz w:val="20"/>
          <w:szCs w:val="20"/>
          <w:lang w:val="sr-Cyrl-RS"/>
        </w:rPr>
        <w:t xml:space="preserve"> систем</w:t>
      </w:r>
      <w:r w:rsidR="005633CE" w:rsidRPr="1A8E6423">
        <w:rPr>
          <w:rFonts w:ascii="Arial" w:hAnsi="Arial" w:cs="Arial"/>
          <w:sz w:val="20"/>
          <w:szCs w:val="20"/>
          <w:lang w:val="sr-Cyrl-RS"/>
        </w:rPr>
        <w:t>а</w:t>
      </w:r>
      <w:r w:rsidRPr="1A8E6423">
        <w:rPr>
          <w:rFonts w:ascii="Arial" w:hAnsi="Arial" w:cs="Arial"/>
          <w:sz w:val="20"/>
          <w:szCs w:val="20"/>
          <w:lang w:val="sr-Cyrl-RS"/>
        </w:rPr>
        <w:t xml:space="preserve"> за стручно усавршавање</w:t>
      </w:r>
      <w:r w:rsidR="005633CE" w:rsidRPr="1A8E6423">
        <w:rPr>
          <w:rFonts w:ascii="Arial" w:hAnsi="Arial" w:cs="Arial"/>
          <w:sz w:val="20"/>
          <w:szCs w:val="20"/>
          <w:lang w:val="sr-Cyrl-RS"/>
        </w:rPr>
        <w:t xml:space="preserve">. </w:t>
      </w:r>
      <w:r w:rsidR="00203AE6" w:rsidRPr="1A8E6423">
        <w:rPr>
          <w:rFonts w:ascii="Arial" w:hAnsi="Arial" w:cs="Arial"/>
          <w:sz w:val="20"/>
          <w:szCs w:val="20"/>
          <w:lang w:val="sr-Cyrl-RS"/>
        </w:rPr>
        <w:t>Слично претходној</w:t>
      </w:r>
      <w:r w:rsidR="00A62640" w:rsidRPr="1A8E6423">
        <w:rPr>
          <w:rFonts w:ascii="Arial" w:hAnsi="Arial" w:cs="Arial"/>
          <w:sz w:val="20"/>
          <w:szCs w:val="20"/>
          <w:lang w:val="sr-Cyrl-RS"/>
        </w:rPr>
        <w:t>,</w:t>
      </w:r>
      <w:r w:rsidR="00203AE6" w:rsidRPr="1A8E6423">
        <w:rPr>
          <w:rFonts w:ascii="Arial" w:hAnsi="Arial" w:cs="Arial"/>
          <w:sz w:val="20"/>
          <w:szCs w:val="20"/>
          <w:lang w:val="sr-Cyrl-RS"/>
        </w:rPr>
        <w:t xml:space="preserve"> и овом мером се предвиђа низ активности усмерених на унапређење процеса стручног ус</w:t>
      </w:r>
      <w:r w:rsidR="37A52486" w:rsidRPr="1A8E6423">
        <w:rPr>
          <w:rFonts w:ascii="Arial" w:hAnsi="Arial" w:cs="Arial"/>
          <w:sz w:val="20"/>
          <w:szCs w:val="20"/>
          <w:lang w:val="sr-Cyrl-RS"/>
        </w:rPr>
        <w:t>а</w:t>
      </w:r>
      <w:r w:rsidR="00203AE6" w:rsidRPr="1A8E6423">
        <w:rPr>
          <w:rFonts w:ascii="Arial" w:hAnsi="Arial" w:cs="Arial"/>
          <w:sz w:val="20"/>
          <w:szCs w:val="20"/>
          <w:lang w:val="sr-Cyrl-RS"/>
        </w:rPr>
        <w:t>вршавања запослених у органима ЈЛС, кроз различите видове подршке и обуке, развој пратећих материјала и јачање капацитета, као и измену правног оквира.</w:t>
      </w:r>
    </w:p>
    <w:p w14:paraId="6C2F0646" w14:textId="1CCDCA24" w:rsidR="00732830" w:rsidRPr="00A021B7" w:rsidRDefault="00203AE6" w:rsidP="1A8E6423">
      <w:pPr>
        <w:ind w:firstLine="720"/>
        <w:jc w:val="both"/>
        <w:rPr>
          <w:rFonts w:ascii="Arial" w:hAnsi="Arial" w:cs="Arial"/>
          <w:sz w:val="20"/>
          <w:szCs w:val="20"/>
          <w:lang w:val="sr-Cyrl-RS"/>
        </w:rPr>
      </w:pPr>
      <w:r w:rsidRPr="1A8E6423">
        <w:rPr>
          <w:rFonts w:ascii="Arial" w:hAnsi="Arial" w:cs="Arial"/>
          <w:sz w:val="20"/>
          <w:szCs w:val="20"/>
          <w:lang w:val="sr-Cyrl-RS"/>
        </w:rPr>
        <w:t>Локалне самоуправе ће кроз низ активности бити подржане у процесу утврђивања потреба за стручним усавршавањем, припреми и спровођењу програма стручног усавршавања, планирању трошкова стручног усавршавања</w:t>
      </w:r>
      <w:r w:rsidR="519F15BF" w:rsidRPr="1A8E6423">
        <w:rPr>
          <w:rFonts w:ascii="Arial" w:hAnsi="Arial" w:cs="Arial"/>
          <w:sz w:val="20"/>
          <w:szCs w:val="20"/>
          <w:lang w:val="sr-Cyrl-RS"/>
        </w:rPr>
        <w:t>,</w:t>
      </w:r>
      <w:r w:rsidRPr="1A8E6423">
        <w:rPr>
          <w:rFonts w:ascii="Arial" w:hAnsi="Arial" w:cs="Arial"/>
          <w:sz w:val="20"/>
          <w:szCs w:val="20"/>
          <w:lang w:val="sr-Cyrl-RS"/>
        </w:rPr>
        <w:t xml:space="preserve"> као и у процесу вредновања и праћења ефеката обука. Такође, посебан акценат ће се ставити на развој и имплементацију иновативних обука уз примену савремених (неконве</w:t>
      </w:r>
      <w:r w:rsidR="0ABBD7B8" w:rsidRPr="1A8E6423">
        <w:rPr>
          <w:rFonts w:ascii="Arial" w:hAnsi="Arial" w:cs="Arial"/>
          <w:sz w:val="20"/>
          <w:szCs w:val="20"/>
          <w:lang w:val="sr-Cyrl-RS"/>
        </w:rPr>
        <w:t>н</w:t>
      </w:r>
      <w:r w:rsidRPr="1A8E6423">
        <w:rPr>
          <w:rFonts w:ascii="Arial" w:hAnsi="Arial" w:cs="Arial"/>
          <w:sz w:val="20"/>
          <w:szCs w:val="20"/>
          <w:lang w:val="sr-Cyrl-RS"/>
        </w:rPr>
        <w:t>ционалних) облика и метода стручног усавршавања</w:t>
      </w:r>
      <w:r w:rsidR="00A62640" w:rsidRPr="1A8E6423">
        <w:rPr>
          <w:rFonts w:ascii="Arial" w:hAnsi="Arial" w:cs="Arial"/>
          <w:sz w:val="20"/>
          <w:szCs w:val="20"/>
          <w:lang w:val="sr-Cyrl-RS"/>
        </w:rPr>
        <w:t>,</w:t>
      </w:r>
      <w:r w:rsidRPr="1A8E6423">
        <w:rPr>
          <w:rFonts w:ascii="Arial" w:hAnsi="Arial" w:cs="Arial"/>
          <w:sz w:val="20"/>
          <w:szCs w:val="20"/>
          <w:lang w:val="sr-Cyrl-RS"/>
        </w:rPr>
        <w:t xml:space="preserve"> са посебним освртом на стручно усавршавање руководилаца, као и на развој обука за приправнике. Значајна подршка локалним управама</w:t>
      </w:r>
      <w:r w:rsidR="00D7683A" w:rsidRPr="1A8E6423">
        <w:rPr>
          <w:rFonts w:ascii="Arial" w:hAnsi="Arial" w:cs="Arial"/>
          <w:sz w:val="20"/>
          <w:szCs w:val="20"/>
          <w:lang w:val="sr-Cyrl-RS"/>
        </w:rPr>
        <w:t xml:space="preserve"> се планира и</w:t>
      </w:r>
      <w:r w:rsidRPr="1A8E6423">
        <w:rPr>
          <w:rFonts w:ascii="Arial" w:hAnsi="Arial" w:cs="Arial"/>
          <w:sz w:val="20"/>
          <w:szCs w:val="20"/>
          <w:lang w:val="sr-Cyrl-RS"/>
        </w:rPr>
        <w:t xml:space="preserve"> за припрему и организовање обука методом електронског учења, ради обезбеђења једнаког приступа праву на стручно усавршавање репрезентативном броју државних службеника и запослених у јединицама локалне самоуправе. Посебан акценат ће се ставити на дефинисање улоге руководилаца у систему за стручно усавршавање, како кроз опис послова везаних за стручно усавршавање тако и кроз специфичне обуке које ће бити намењене руководиоцима.</w:t>
      </w:r>
      <w:r w:rsidR="00D7683A" w:rsidRPr="1A8E6423">
        <w:rPr>
          <w:rFonts w:ascii="Arial" w:hAnsi="Arial" w:cs="Arial"/>
          <w:sz w:val="20"/>
          <w:szCs w:val="20"/>
          <w:lang w:val="sr-Cyrl-RS"/>
        </w:rPr>
        <w:t xml:space="preserve"> Све ове активности биће усмерене ка томе да се изграђују капацитети који ће омогућити да</w:t>
      </w:r>
      <w:r w:rsidR="00732830" w:rsidRPr="1A8E6423">
        <w:rPr>
          <w:rFonts w:ascii="Arial" w:hAnsi="Arial" w:cs="Arial"/>
          <w:sz w:val="20"/>
          <w:szCs w:val="20"/>
          <w:lang w:val="sr-Cyrl-RS"/>
        </w:rPr>
        <w:t xml:space="preserve"> </w:t>
      </w:r>
      <w:r w:rsidR="00D7683A" w:rsidRPr="1A8E6423">
        <w:rPr>
          <w:rFonts w:ascii="Arial" w:hAnsi="Arial" w:cs="Arial"/>
          <w:sz w:val="20"/>
          <w:szCs w:val="20"/>
          <w:lang w:val="sr-Cyrl-RS"/>
        </w:rPr>
        <w:t>ЛС</w:t>
      </w:r>
      <w:r w:rsidR="00732830" w:rsidRPr="1A8E6423">
        <w:rPr>
          <w:rFonts w:ascii="Arial" w:hAnsi="Arial" w:cs="Arial"/>
          <w:sz w:val="20"/>
          <w:szCs w:val="20"/>
          <w:lang w:val="sr-Cyrl-RS"/>
        </w:rPr>
        <w:t xml:space="preserve"> самостално и </w:t>
      </w:r>
      <w:r w:rsidR="00207221" w:rsidRPr="1A8E6423">
        <w:rPr>
          <w:rFonts w:ascii="Arial" w:hAnsi="Arial" w:cs="Arial"/>
          <w:sz w:val="20"/>
          <w:szCs w:val="20"/>
          <w:lang w:val="sr-Cyrl-RS"/>
        </w:rPr>
        <w:t xml:space="preserve">континуирано </w:t>
      </w:r>
      <w:r w:rsidR="00732830" w:rsidRPr="1A8E6423">
        <w:rPr>
          <w:rFonts w:ascii="Arial" w:hAnsi="Arial" w:cs="Arial"/>
          <w:sz w:val="20"/>
          <w:szCs w:val="20"/>
          <w:lang w:val="sr-Cyrl-RS"/>
        </w:rPr>
        <w:t>припрема</w:t>
      </w:r>
      <w:r w:rsidR="00D7683A" w:rsidRPr="1A8E6423">
        <w:rPr>
          <w:rFonts w:ascii="Arial" w:hAnsi="Arial" w:cs="Arial"/>
          <w:sz w:val="20"/>
          <w:szCs w:val="20"/>
          <w:lang w:val="sr-Cyrl-RS"/>
        </w:rPr>
        <w:t>ју</w:t>
      </w:r>
      <w:r w:rsidR="00732830" w:rsidRPr="1A8E6423">
        <w:rPr>
          <w:rFonts w:ascii="Arial" w:hAnsi="Arial" w:cs="Arial"/>
          <w:sz w:val="20"/>
          <w:szCs w:val="20"/>
          <w:lang w:val="sr-Cyrl-RS"/>
        </w:rPr>
        <w:t xml:space="preserve"> и реализуј</w:t>
      </w:r>
      <w:r w:rsidR="00D7683A" w:rsidRPr="1A8E6423">
        <w:rPr>
          <w:rFonts w:ascii="Arial" w:hAnsi="Arial" w:cs="Arial"/>
          <w:sz w:val="20"/>
          <w:szCs w:val="20"/>
          <w:lang w:val="sr-Cyrl-RS"/>
        </w:rPr>
        <w:t>у</w:t>
      </w:r>
      <w:r w:rsidR="00732830" w:rsidRPr="1A8E6423">
        <w:rPr>
          <w:rFonts w:ascii="Arial" w:hAnsi="Arial" w:cs="Arial"/>
          <w:sz w:val="20"/>
          <w:szCs w:val="20"/>
          <w:lang w:val="sr-Cyrl-RS"/>
        </w:rPr>
        <w:t xml:space="preserve"> програме стручног усавршавања</w:t>
      </w:r>
      <w:r w:rsidR="008109C6" w:rsidRPr="1A8E6423">
        <w:rPr>
          <w:rFonts w:ascii="Arial" w:hAnsi="Arial" w:cs="Arial"/>
          <w:sz w:val="20"/>
          <w:szCs w:val="20"/>
          <w:lang w:val="sr-Cyrl-RS"/>
        </w:rPr>
        <w:t xml:space="preserve"> који су у њиховој надлежности</w:t>
      </w:r>
      <w:r w:rsidR="00207221" w:rsidRPr="1A8E6423">
        <w:rPr>
          <w:rFonts w:ascii="Arial" w:hAnsi="Arial" w:cs="Arial"/>
          <w:sz w:val="20"/>
          <w:szCs w:val="20"/>
          <w:lang w:val="sr-Cyrl-RS"/>
        </w:rPr>
        <w:t xml:space="preserve"> и да у пуној мери корист</w:t>
      </w:r>
      <w:r w:rsidR="008109C6" w:rsidRPr="1A8E6423">
        <w:rPr>
          <w:rFonts w:ascii="Arial" w:hAnsi="Arial" w:cs="Arial"/>
          <w:sz w:val="20"/>
          <w:szCs w:val="20"/>
          <w:lang w:val="sr-Cyrl-RS"/>
        </w:rPr>
        <w:t>е</w:t>
      </w:r>
      <w:r w:rsidR="00207221" w:rsidRPr="1A8E6423">
        <w:rPr>
          <w:rFonts w:ascii="Arial" w:hAnsi="Arial" w:cs="Arial"/>
          <w:sz w:val="20"/>
          <w:szCs w:val="20"/>
          <w:lang w:val="sr-Cyrl-RS"/>
        </w:rPr>
        <w:t xml:space="preserve"> програме који се </w:t>
      </w:r>
      <w:r w:rsidR="008109C6" w:rsidRPr="1A8E6423">
        <w:rPr>
          <w:rFonts w:ascii="Arial" w:hAnsi="Arial" w:cs="Arial"/>
          <w:sz w:val="20"/>
          <w:szCs w:val="20"/>
          <w:lang w:val="sr-Cyrl-RS"/>
        </w:rPr>
        <w:t>спроводе</w:t>
      </w:r>
      <w:r w:rsidR="00207221" w:rsidRPr="1A8E6423">
        <w:rPr>
          <w:rFonts w:ascii="Arial" w:hAnsi="Arial" w:cs="Arial"/>
          <w:sz w:val="20"/>
          <w:szCs w:val="20"/>
          <w:lang w:val="sr-Cyrl-RS"/>
        </w:rPr>
        <w:t xml:space="preserve"> од стране првенствено НАЈУ</w:t>
      </w:r>
      <w:r w:rsidR="008109C6" w:rsidRPr="1A8E6423">
        <w:rPr>
          <w:rFonts w:ascii="Arial" w:hAnsi="Arial" w:cs="Arial"/>
          <w:sz w:val="20"/>
          <w:szCs w:val="20"/>
          <w:lang w:val="sr-Cyrl-RS"/>
        </w:rPr>
        <w:t xml:space="preserve"> и</w:t>
      </w:r>
      <w:r w:rsidR="00207221" w:rsidRPr="1A8E6423">
        <w:rPr>
          <w:rFonts w:ascii="Arial" w:hAnsi="Arial" w:cs="Arial"/>
          <w:sz w:val="20"/>
          <w:szCs w:val="20"/>
          <w:lang w:val="sr-Cyrl-RS"/>
        </w:rPr>
        <w:t xml:space="preserve"> ресорних министарстава</w:t>
      </w:r>
      <w:r w:rsidR="0A662A7A" w:rsidRPr="1A8E6423">
        <w:rPr>
          <w:rFonts w:ascii="Arial" w:hAnsi="Arial" w:cs="Arial"/>
          <w:sz w:val="20"/>
          <w:szCs w:val="20"/>
          <w:lang w:val="sr-Cyrl-RS"/>
        </w:rPr>
        <w:t>,</w:t>
      </w:r>
      <w:r w:rsidR="00207221" w:rsidRPr="1A8E6423">
        <w:rPr>
          <w:rFonts w:ascii="Arial" w:hAnsi="Arial" w:cs="Arial"/>
          <w:sz w:val="20"/>
          <w:szCs w:val="20"/>
          <w:lang w:val="sr-Cyrl-RS"/>
        </w:rPr>
        <w:t xml:space="preserve"> </w:t>
      </w:r>
      <w:r w:rsidR="008109C6" w:rsidRPr="1A8E6423">
        <w:rPr>
          <w:rFonts w:ascii="Arial" w:hAnsi="Arial" w:cs="Arial"/>
          <w:sz w:val="20"/>
          <w:szCs w:val="20"/>
          <w:lang w:val="sr-Cyrl-RS"/>
        </w:rPr>
        <w:t>али и</w:t>
      </w:r>
      <w:r w:rsidR="00207221" w:rsidRPr="1A8E6423">
        <w:rPr>
          <w:rFonts w:ascii="Arial" w:hAnsi="Arial" w:cs="Arial"/>
          <w:sz w:val="20"/>
          <w:szCs w:val="20"/>
          <w:lang w:val="sr-Cyrl-RS"/>
        </w:rPr>
        <w:t xml:space="preserve"> СКГО и других институција и организација које су део система стручног усавршавања локалних службеника</w:t>
      </w:r>
      <w:r w:rsidR="00732830" w:rsidRPr="1A8E6423">
        <w:rPr>
          <w:rFonts w:ascii="Arial" w:hAnsi="Arial" w:cs="Arial"/>
          <w:sz w:val="20"/>
          <w:szCs w:val="20"/>
          <w:lang w:val="sr-Cyrl-RS"/>
        </w:rPr>
        <w:t>.</w:t>
      </w:r>
    </w:p>
    <w:p w14:paraId="69CDDEB2" w14:textId="77777777" w:rsidR="00C8317C" w:rsidRPr="00A021B7" w:rsidRDefault="00C8317C" w:rsidP="1A8E6423">
      <w:pPr>
        <w:ind w:firstLine="720"/>
        <w:jc w:val="both"/>
        <w:rPr>
          <w:rFonts w:ascii="Arial" w:hAnsi="Arial" w:cs="Arial"/>
          <w:sz w:val="20"/>
          <w:szCs w:val="20"/>
          <w:lang w:val="sr-Cyrl-RS"/>
        </w:rPr>
      </w:pPr>
    </w:p>
    <w:p w14:paraId="2116F672" w14:textId="7F466ADA" w:rsidR="00C43E6E" w:rsidRPr="00A021B7" w:rsidRDefault="00C43E6E" w:rsidP="1A8E6423">
      <w:pPr>
        <w:ind w:firstLine="720"/>
        <w:jc w:val="both"/>
        <w:rPr>
          <w:rFonts w:ascii="Arial" w:hAnsi="Arial" w:cs="Arial"/>
          <w:sz w:val="20"/>
          <w:szCs w:val="20"/>
          <w:lang w:val="sr-Cyrl-RS"/>
        </w:rPr>
      </w:pPr>
      <w:r w:rsidRPr="1A8E6423">
        <w:rPr>
          <w:rFonts w:ascii="Arial" w:hAnsi="Arial" w:cs="Arial"/>
          <w:sz w:val="20"/>
          <w:szCs w:val="20"/>
          <w:lang w:val="sr-Cyrl-RS"/>
        </w:rPr>
        <w:t xml:space="preserve">Паралелно са наведеним активностима </w:t>
      </w:r>
      <w:r w:rsidR="00516A7B" w:rsidRPr="1A8E6423">
        <w:rPr>
          <w:rFonts w:ascii="Arial" w:hAnsi="Arial" w:cs="Arial"/>
          <w:sz w:val="20"/>
          <w:szCs w:val="20"/>
          <w:lang w:val="sr-Cyrl-RS"/>
        </w:rPr>
        <w:t xml:space="preserve">анализираће се и припремати у складу са закључцима </w:t>
      </w:r>
      <w:r w:rsidRPr="1A8E6423">
        <w:rPr>
          <w:rFonts w:ascii="Arial" w:hAnsi="Arial" w:cs="Arial"/>
          <w:sz w:val="20"/>
          <w:szCs w:val="20"/>
          <w:lang w:val="sr-Cyrl-RS"/>
        </w:rPr>
        <w:t xml:space="preserve">и неопходне промене и унапређења правног и функционалног оквира за стручно усавршавање запослених у локалној самоуправи. Кроз анализу учинка важећег правног оквира за стручно усавршавање </w:t>
      </w:r>
      <w:r w:rsidR="00516A7B" w:rsidRPr="1A8E6423">
        <w:rPr>
          <w:rFonts w:ascii="Arial" w:hAnsi="Arial" w:cs="Arial"/>
          <w:sz w:val="20"/>
          <w:szCs w:val="20"/>
          <w:lang w:val="sr-Cyrl-RS"/>
        </w:rPr>
        <w:t>планира се утврђивање</w:t>
      </w:r>
      <w:r w:rsidRPr="1A8E6423">
        <w:rPr>
          <w:rFonts w:ascii="Arial" w:hAnsi="Arial" w:cs="Arial"/>
          <w:sz w:val="20"/>
          <w:szCs w:val="20"/>
          <w:lang w:val="sr-Cyrl-RS"/>
        </w:rPr>
        <w:t xml:space="preserve"> оптималн</w:t>
      </w:r>
      <w:r w:rsidR="00516A7B" w:rsidRPr="1A8E6423">
        <w:rPr>
          <w:rFonts w:ascii="Arial" w:hAnsi="Arial" w:cs="Arial"/>
          <w:sz w:val="20"/>
          <w:szCs w:val="20"/>
          <w:lang w:val="sr-Cyrl-RS"/>
        </w:rPr>
        <w:t>их</w:t>
      </w:r>
      <w:r w:rsidRPr="1A8E6423">
        <w:rPr>
          <w:rFonts w:ascii="Arial" w:hAnsi="Arial" w:cs="Arial"/>
          <w:sz w:val="20"/>
          <w:szCs w:val="20"/>
          <w:lang w:val="sr-Cyrl-RS"/>
        </w:rPr>
        <w:t xml:space="preserve"> решења за унапређење и измене законских и подзаконских аката који регулишу област стручног усавршавања.</w:t>
      </w:r>
      <w:r w:rsidR="001763FC" w:rsidRPr="1A8E6423">
        <w:rPr>
          <w:rFonts w:ascii="Arial" w:hAnsi="Arial" w:cs="Arial"/>
          <w:sz w:val="20"/>
          <w:szCs w:val="20"/>
          <w:lang w:val="sr-Cyrl-RS"/>
        </w:rPr>
        <w:t xml:space="preserve"> Коначно, али не и последње, к</w:t>
      </w:r>
      <w:r w:rsidRPr="1A8E6423">
        <w:rPr>
          <w:rFonts w:ascii="Arial" w:hAnsi="Arial" w:cs="Arial"/>
          <w:sz w:val="20"/>
          <w:szCs w:val="20"/>
          <w:lang w:val="sr-Cyrl-RS"/>
        </w:rPr>
        <w:t xml:space="preserve">ако би планиране активности биле успешно спроведене и постављене на одрживе основе, </w:t>
      </w:r>
      <w:r w:rsidR="001763FC" w:rsidRPr="1A8E6423">
        <w:rPr>
          <w:rFonts w:ascii="Arial" w:hAnsi="Arial" w:cs="Arial"/>
          <w:sz w:val="20"/>
          <w:szCs w:val="20"/>
          <w:lang w:val="sr-Cyrl-RS"/>
        </w:rPr>
        <w:t xml:space="preserve">планирају се </w:t>
      </w:r>
      <w:r w:rsidRPr="1A8E6423">
        <w:rPr>
          <w:rFonts w:ascii="Arial" w:hAnsi="Arial" w:cs="Arial"/>
          <w:sz w:val="20"/>
          <w:szCs w:val="20"/>
          <w:lang w:val="sr-Cyrl-RS"/>
        </w:rPr>
        <w:t xml:space="preserve">различите активности подршке </w:t>
      </w:r>
      <w:r w:rsidR="1281C295" w:rsidRPr="1A8E6423">
        <w:rPr>
          <w:rFonts w:ascii="Arial" w:hAnsi="Arial" w:cs="Arial"/>
          <w:sz w:val="20"/>
          <w:szCs w:val="20"/>
          <w:lang w:val="sr-Cyrl-RS"/>
        </w:rPr>
        <w:t>које</w:t>
      </w:r>
      <w:r w:rsidRPr="1A8E6423">
        <w:rPr>
          <w:rFonts w:ascii="Arial" w:hAnsi="Arial" w:cs="Arial"/>
          <w:sz w:val="20"/>
          <w:szCs w:val="20"/>
          <w:lang w:val="sr-Cyrl-RS"/>
        </w:rPr>
        <w:t xml:space="preserve"> ће бити усмерене на унапређење институционалних капацитета на централном и локалном нивоу</w:t>
      </w:r>
      <w:r w:rsidR="00A62640" w:rsidRPr="1A8E6423">
        <w:rPr>
          <w:rFonts w:ascii="Arial" w:hAnsi="Arial" w:cs="Arial"/>
          <w:sz w:val="20"/>
          <w:szCs w:val="20"/>
          <w:lang w:val="sr-Cyrl-RS"/>
        </w:rPr>
        <w:t>,</w:t>
      </w:r>
      <w:r w:rsidRPr="1A8E6423">
        <w:rPr>
          <w:rFonts w:ascii="Arial" w:hAnsi="Arial" w:cs="Arial"/>
          <w:sz w:val="20"/>
          <w:szCs w:val="20"/>
          <w:lang w:val="sr-Cyrl-RS"/>
        </w:rPr>
        <w:t xml:space="preserve"> који ће имати кључну улогу у остварењу већине циљева предвиђених овим програмом.</w:t>
      </w:r>
    </w:p>
    <w:p w14:paraId="32E410D8" w14:textId="77777777" w:rsidR="005E6575" w:rsidRPr="00A021B7" w:rsidRDefault="005E6575" w:rsidP="003E7BC9">
      <w:pPr>
        <w:jc w:val="both"/>
        <w:rPr>
          <w:rFonts w:ascii="Arial" w:hAnsi="Arial" w:cs="Arial"/>
          <w:sz w:val="20"/>
          <w:szCs w:val="20"/>
          <w:lang w:val="sr-Cyrl-RS"/>
        </w:rPr>
      </w:pPr>
    </w:p>
    <w:p w14:paraId="7266FD4A" w14:textId="77777777" w:rsidR="005E6575" w:rsidRPr="00A021B7" w:rsidRDefault="005E6575" w:rsidP="003E7BC9">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Мера 3.3: Подршка организационој и функционалној трансформацији локалне самоуправе и уједначавању организационих облика које оснивају ЈЛС за спровођење својих надлежности и послова</w:t>
      </w:r>
    </w:p>
    <w:p w14:paraId="74100361" w14:textId="77777777" w:rsidR="005E6575" w:rsidRPr="00A021B7" w:rsidRDefault="005E6575" w:rsidP="003E7BC9">
      <w:pPr>
        <w:jc w:val="both"/>
        <w:rPr>
          <w:rFonts w:ascii="Arial" w:hAnsi="Arial" w:cs="Arial"/>
          <w:b/>
          <w:color w:val="000000"/>
          <w:sz w:val="20"/>
          <w:szCs w:val="20"/>
          <w:lang w:val="sr-Cyrl-RS" w:eastAsia="sr-Latn-RS"/>
        </w:rPr>
      </w:pPr>
    </w:p>
    <w:p w14:paraId="255E980D" w14:textId="2220F946"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У процесу даље функционалне трансформације</w:t>
      </w:r>
      <w:r w:rsidR="00B72074" w:rsidRPr="1A8E6423">
        <w:rPr>
          <w:rFonts w:ascii="Arial" w:hAnsi="Arial" w:cs="Arial"/>
          <w:sz w:val="20"/>
          <w:szCs w:val="20"/>
          <w:lang w:val="sr-Cyrl-RS"/>
        </w:rPr>
        <w:t>,</w:t>
      </w:r>
      <w:r w:rsidRPr="1A8E6423">
        <w:rPr>
          <w:rFonts w:ascii="Arial" w:hAnsi="Arial" w:cs="Arial"/>
          <w:sz w:val="20"/>
          <w:szCs w:val="20"/>
          <w:lang w:val="sr-Cyrl-RS"/>
        </w:rPr>
        <w:t xml:space="preserve"> праћење степена </w:t>
      </w:r>
      <w:r w:rsidR="375640A1" w:rsidRPr="1A8E6423">
        <w:rPr>
          <w:rFonts w:ascii="Arial" w:hAnsi="Arial" w:cs="Arial"/>
          <w:sz w:val="20"/>
          <w:szCs w:val="20"/>
          <w:lang w:val="sr-Cyrl-RS"/>
        </w:rPr>
        <w:t>обављања</w:t>
      </w:r>
      <w:r w:rsidRPr="1A8E6423">
        <w:rPr>
          <w:rFonts w:ascii="Arial" w:hAnsi="Arial" w:cs="Arial"/>
          <w:sz w:val="20"/>
          <w:szCs w:val="20"/>
          <w:lang w:val="sr-Cyrl-RS"/>
        </w:rPr>
        <w:t xml:space="preserve"> послова локалне самоуправе у самим ЈЛС представља један од кључних приоритета. У оквиру тога наставиће се ажурирање листе надлежности и послова ЈЛС и биће спроведен процес верификације степена успостављених послова у приоритетним областима из јединственог пописа послова на узорку од </w:t>
      </w:r>
      <w:r w:rsidR="17B183DA" w:rsidRPr="1A8E6423">
        <w:rPr>
          <w:rFonts w:ascii="Arial" w:hAnsi="Arial" w:cs="Arial"/>
          <w:sz w:val="20"/>
          <w:szCs w:val="20"/>
          <w:lang w:val="sr-Cyrl-RS"/>
        </w:rPr>
        <w:t>45</w:t>
      </w:r>
      <w:r w:rsidRPr="1A8E6423">
        <w:rPr>
          <w:rFonts w:ascii="Arial" w:hAnsi="Arial" w:cs="Arial"/>
          <w:sz w:val="20"/>
          <w:szCs w:val="20"/>
          <w:lang w:val="sr-Cyrl-RS"/>
        </w:rPr>
        <w:t xml:space="preserve"> ЈЛС. Зарад системског заокруживање праћења остваривања надлежности локалне самоуправе, биће израђени алати за анализу остваривања функција и надлежности локалне самоуправе. Кључни алат јесте основна методологија за обрачун неопходних капацитета (финансијских, техничких и људских) који су потребни у ЈЛС за </w:t>
      </w:r>
      <w:r w:rsidR="653FC37A" w:rsidRPr="1A8E6423">
        <w:rPr>
          <w:rFonts w:ascii="Arial" w:hAnsi="Arial" w:cs="Arial"/>
          <w:sz w:val="20"/>
          <w:szCs w:val="20"/>
          <w:lang w:val="sr-Cyrl-RS"/>
        </w:rPr>
        <w:t>обављање</w:t>
      </w:r>
      <w:r w:rsidRPr="1A8E6423">
        <w:rPr>
          <w:rFonts w:ascii="Arial" w:hAnsi="Arial" w:cs="Arial"/>
          <w:sz w:val="20"/>
          <w:szCs w:val="20"/>
          <w:lang w:val="sr-Cyrl-RS"/>
        </w:rPr>
        <w:t xml:space="preserve"> постојећих и нових послова. Ова методологија ће бити припремљена и тестирана на групи кључних надлежности у смислу анализе трошкова и потребних капацитета за њихово остваривање.</w:t>
      </w:r>
    </w:p>
    <w:p w14:paraId="38FBEF48" w14:textId="77777777" w:rsidR="005E6575" w:rsidRPr="00A021B7" w:rsidRDefault="005E6575" w:rsidP="1A8E6423">
      <w:pPr>
        <w:ind w:firstLine="720"/>
        <w:jc w:val="both"/>
        <w:rPr>
          <w:rFonts w:ascii="Arial" w:hAnsi="Arial" w:cs="Arial"/>
          <w:sz w:val="20"/>
          <w:szCs w:val="20"/>
          <w:lang w:val="sr-Cyrl-RS"/>
        </w:rPr>
      </w:pPr>
    </w:p>
    <w:p w14:paraId="34177EB7" w14:textId="24C1D1BB"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Упоредо са тим</w:t>
      </w:r>
      <w:r w:rsidR="00B72074" w:rsidRPr="1A8E6423">
        <w:rPr>
          <w:rFonts w:ascii="Arial" w:hAnsi="Arial" w:cs="Arial"/>
          <w:sz w:val="20"/>
          <w:szCs w:val="20"/>
          <w:lang w:val="sr-Cyrl-RS"/>
        </w:rPr>
        <w:t>,</w:t>
      </w:r>
      <w:r w:rsidRPr="1A8E6423">
        <w:rPr>
          <w:rFonts w:ascii="Arial" w:hAnsi="Arial" w:cs="Arial"/>
          <w:sz w:val="20"/>
          <w:szCs w:val="20"/>
          <w:lang w:val="sr-Cyrl-RS"/>
        </w:rPr>
        <w:t xml:space="preserve"> у сарадњи МДУЛС и СКГО, припремиће се функционално-организациони модели локалне управе и</w:t>
      </w:r>
      <w:r w:rsidR="00B72074" w:rsidRPr="1A8E6423">
        <w:rPr>
          <w:rFonts w:ascii="Arial" w:hAnsi="Arial" w:cs="Arial"/>
          <w:sz w:val="20"/>
          <w:szCs w:val="20"/>
          <w:lang w:val="sr-Cyrl-RS"/>
        </w:rPr>
        <w:t>,</w:t>
      </w:r>
      <w:r w:rsidRPr="1A8E6423">
        <w:rPr>
          <w:rFonts w:ascii="Arial" w:hAnsi="Arial" w:cs="Arial"/>
          <w:sz w:val="20"/>
          <w:szCs w:val="20"/>
          <w:lang w:val="sr-Cyrl-RS"/>
        </w:rPr>
        <w:t xml:space="preserve"> уз финансијску подршку Швајцарске Владе, обезбедити техничка и финансијска подршка за њихову примену у једном броју пилот</w:t>
      </w:r>
      <w:r w:rsidR="00B72074" w:rsidRPr="1A8E6423">
        <w:rPr>
          <w:rFonts w:ascii="Arial" w:hAnsi="Arial" w:cs="Arial"/>
          <w:sz w:val="20"/>
          <w:szCs w:val="20"/>
          <w:lang w:val="sr-Cyrl-RS"/>
        </w:rPr>
        <w:t>-</w:t>
      </w:r>
      <w:r w:rsidRPr="1A8E6423">
        <w:rPr>
          <w:rFonts w:ascii="Arial" w:hAnsi="Arial" w:cs="Arial"/>
          <w:sz w:val="20"/>
          <w:szCs w:val="20"/>
          <w:lang w:val="sr-Cyrl-RS"/>
        </w:rPr>
        <w:t xml:space="preserve">ЈЛС. По завршетку овог процеса биће израђена посебна функционална анализа </w:t>
      </w:r>
      <w:r w:rsidR="00B72074" w:rsidRPr="1A8E6423">
        <w:rPr>
          <w:rFonts w:ascii="Arial" w:hAnsi="Arial" w:cs="Arial"/>
          <w:sz w:val="20"/>
          <w:szCs w:val="20"/>
          <w:lang w:val="sr-Cyrl-RS"/>
        </w:rPr>
        <w:t>с</w:t>
      </w:r>
      <w:r w:rsidRPr="1A8E6423">
        <w:rPr>
          <w:rFonts w:ascii="Arial" w:hAnsi="Arial" w:cs="Arial"/>
          <w:sz w:val="20"/>
          <w:szCs w:val="20"/>
          <w:lang w:val="sr-Cyrl-RS"/>
        </w:rPr>
        <w:t xml:space="preserve"> циљ</w:t>
      </w:r>
      <w:r w:rsidR="00B72074" w:rsidRPr="1A8E6423">
        <w:rPr>
          <w:rFonts w:ascii="Arial" w:hAnsi="Arial" w:cs="Arial"/>
          <w:sz w:val="20"/>
          <w:szCs w:val="20"/>
          <w:lang w:val="sr-Cyrl-RS"/>
        </w:rPr>
        <w:t>ем</w:t>
      </w:r>
      <w:r w:rsidRPr="1A8E6423">
        <w:rPr>
          <w:rFonts w:ascii="Arial" w:hAnsi="Arial" w:cs="Arial"/>
          <w:sz w:val="20"/>
          <w:szCs w:val="20"/>
          <w:lang w:val="sr-Cyrl-RS"/>
        </w:rPr>
        <w:t xml:space="preserve"> процене постигнутих организационих и</w:t>
      </w:r>
      <w:r w:rsidR="00B72074" w:rsidRPr="1A8E6423">
        <w:rPr>
          <w:rFonts w:ascii="Arial" w:hAnsi="Arial" w:cs="Arial"/>
          <w:sz w:val="20"/>
          <w:szCs w:val="20"/>
          <w:lang w:val="sr-Cyrl-RS"/>
        </w:rPr>
        <w:t>,</w:t>
      </w:r>
      <w:r w:rsidRPr="1A8E6423">
        <w:rPr>
          <w:rFonts w:ascii="Arial" w:hAnsi="Arial" w:cs="Arial"/>
          <w:sz w:val="20"/>
          <w:szCs w:val="20"/>
          <w:lang w:val="sr-Cyrl-RS"/>
        </w:rPr>
        <w:t xml:space="preserve"> посебно</w:t>
      </w:r>
      <w:r w:rsidR="00B72074" w:rsidRPr="1A8E6423">
        <w:rPr>
          <w:rFonts w:ascii="Arial" w:hAnsi="Arial" w:cs="Arial"/>
          <w:sz w:val="20"/>
          <w:szCs w:val="20"/>
          <w:lang w:val="sr-Cyrl-RS"/>
        </w:rPr>
        <w:t>,</w:t>
      </w:r>
      <w:r w:rsidRPr="1A8E6423">
        <w:rPr>
          <w:rFonts w:ascii="Arial" w:hAnsi="Arial" w:cs="Arial"/>
          <w:sz w:val="20"/>
          <w:szCs w:val="20"/>
          <w:lang w:val="sr-Cyrl-RS"/>
        </w:rPr>
        <w:t xml:space="preserve"> функционалних промена у овим локалним управама </w:t>
      </w:r>
      <w:r w:rsidRPr="1A8E6423">
        <w:rPr>
          <w:rFonts w:ascii="Arial" w:hAnsi="Arial" w:cs="Arial"/>
          <w:sz w:val="20"/>
          <w:szCs w:val="20"/>
          <w:lang w:val="sr-Cyrl-RS"/>
        </w:rPr>
        <w:lastRenderedPageBreak/>
        <w:t>како би се дефинисале препоруке за организациону трансформацију локалних управа у Републици Србији. Део процеса организационе трансформације биће и уједначавање организационих облика које оснивају ЈЛС. У оквиру тога биће израђена анализа постојећих организационих облика које оснивају ЈЛС за спровођење својих надлежности и послова (правни основ и статус, организациона форма, интерно уређење, статус и однос са оснивачем</w:t>
      </w:r>
      <w:r w:rsidRPr="1A8E6423">
        <w:rPr>
          <w:rFonts w:ascii="Arial" w:hAnsi="Arial" w:cs="Arial"/>
          <w:color w:val="000000" w:themeColor="text1"/>
          <w:lang w:val="sr-Cyrl-RS"/>
        </w:rPr>
        <w:t xml:space="preserve">, </w:t>
      </w:r>
      <w:r w:rsidRPr="1A8E6423">
        <w:rPr>
          <w:rFonts w:ascii="Arial" w:hAnsi="Arial" w:cs="Arial"/>
          <w:sz w:val="20"/>
          <w:szCs w:val="20"/>
          <w:lang w:val="sr-Cyrl-RS"/>
        </w:rPr>
        <w:t>процес управљања организационим обликом,</w:t>
      </w:r>
      <w:r w:rsidR="00B72074" w:rsidRPr="1A8E6423">
        <w:rPr>
          <w:rFonts w:ascii="Arial" w:hAnsi="Arial" w:cs="Arial"/>
          <w:sz w:val="20"/>
          <w:szCs w:val="20"/>
          <w:lang w:val="sr-Cyrl-RS"/>
        </w:rPr>
        <w:t xml:space="preserve"> </w:t>
      </w:r>
      <w:r w:rsidRPr="1A8E6423">
        <w:rPr>
          <w:rFonts w:ascii="Arial" w:hAnsi="Arial" w:cs="Arial"/>
          <w:sz w:val="20"/>
          <w:szCs w:val="20"/>
          <w:lang w:val="sr-Cyrl-RS"/>
        </w:rPr>
        <w:t>руковођење и др.).</w:t>
      </w:r>
    </w:p>
    <w:p w14:paraId="0464F8FE" w14:textId="77777777" w:rsidR="005E6575" w:rsidRPr="00A021B7" w:rsidRDefault="005E6575" w:rsidP="1A8E6423">
      <w:pPr>
        <w:ind w:firstLine="720"/>
        <w:jc w:val="both"/>
        <w:rPr>
          <w:rFonts w:ascii="Arial" w:hAnsi="Arial" w:cs="Arial"/>
          <w:sz w:val="20"/>
          <w:szCs w:val="20"/>
          <w:lang w:val="sr-Cyrl-RS"/>
        </w:rPr>
      </w:pPr>
    </w:p>
    <w:p w14:paraId="30B0D8D4" w14:textId="433A3A17"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У правцу даље системске реформе локалне самоуправе</w:t>
      </w:r>
      <w:r w:rsidR="6D11B059" w:rsidRPr="1A8E6423">
        <w:rPr>
          <w:rFonts w:ascii="Arial" w:hAnsi="Arial" w:cs="Arial"/>
          <w:sz w:val="20"/>
          <w:szCs w:val="20"/>
          <w:lang w:val="sr-Cyrl-RS"/>
        </w:rPr>
        <w:t>,</w:t>
      </w:r>
      <w:r w:rsidRPr="1A8E6423">
        <w:rPr>
          <w:rFonts w:ascii="Arial" w:hAnsi="Arial" w:cs="Arial"/>
          <w:sz w:val="20"/>
          <w:szCs w:val="20"/>
          <w:lang w:val="sr-Cyrl-RS"/>
        </w:rPr>
        <w:t xml:space="preserve"> а полазећи од претходних активности (анализе надлежности и послова, методологије за процену капацитета, организационе трансформације), биће припремљене две групе анализа: 1) анализа правилне расподеле постојећих надлежности ЈЛС у циљу прецизног дефинисањ</w:t>
      </w:r>
      <w:r w:rsidR="00B72074" w:rsidRPr="1A8E6423">
        <w:rPr>
          <w:rFonts w:ascii="Arial" w:hAnsi="Arial" w:cs="Arial"/>
          <w:sz w:val="20"/>
          <w:szCs w:val="20"/>
          <w:lang w:val="sr-Cyrl-RS"/>
        </w:rPr>
        <w:t>а</w:t>
      </w:r>
      <w:r w:rsidRPr="1A8E6423">
        <w:rPr>
          <w:rFonts w:ascii="Arial" w:hAnsi="Arial" w:cs="Arial"/>
          <w:sz w:val="20"/>
          <w:szCs w:val="20"/>
          <w:lang w:val="sr-Cyrl-RS"/>
        </w:rPr>
        <w:t xml:space="preserve"> послова који се обављају у ЈЛС и елиминисања преклапања или сукоба надлежности различитих нивоа јавне управе односно незаокружености појединих надлежности ЈЛС; 2) анализа могућности за преношење нових послова јавне управе у циљу ефикасније расподеле одговорности између различитих нивоа власти.</w:t>
      </w:r>
    </w:p>
    <w:p w14:paraId="0B7B0B78" w14:textId="5B6533B1"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Цео овај процес резултираће реформама правног оквира. Реформом Закона о локалној самоуправи и Закона о државној управи уредиће се постајање нових модалитет</w:t>
      </w:r>
      <w:r w:rsidR="00B72074" w:rsidRPr="1A8E6423">
        <w:rPr>
          <w:rFonts w:ascii="Arial" w:hAnsi="Arial" w:cs="Arial"/>
          <w:sz w:val="20"/>
          <w:szCs w:val="20"/>
          <w:lang w:val="sr-Cyrl-RS"/>
        </w:rPr>
        <w:t>а</w:t>
      </w:r>
      <w:r w:rsidRPr="1A8E6423">
        <w:rPr>
          <w:rFonts w:ascii="Arial" w:hAnsi="Arial" w:cs="Arial"/>
          <w:sz w:val="20"/>
          <w:szCs w:val="20"/>
          <w:lang w:val="sr-Cyrl-RS"/>
        </w:rPr>
        <w:t xml:space="preserve"> поверавања или преношења надлежности према ЈЛС (као што су: редефинисање претпоставки за поверавање послова ЈЛС, преношење послова различитим инте</w:t>
      </w:r>
      <w:r w:rsidR="4FE34F23" w:rsidRPr="1A8E6423">
        <w:rPr>
          <w:rFonts w:ascii="Arial" w:hAnsi="Arial" w:cs="Arial"/>
          <w:sz w:val="20"/>
          <w:szCs w:val="20"/>
          <w:lang w:val="sr-Cyrl-RS"/>
        </w:rPr>
        <w:t>н</w:t>
      </w:r>
      <w:r w:rsidRPr="1A8E6423">
        <w:rPr>
          <w:rFonts w:ascii="Arial" w:hAnsi="Arial" w:cs="Arial"/>
          <w:sz w:val="20"/>
          <w:szCs w:val="20"/>
          <w:lang w:val="sr-Cyrl-RS"/>
        </w:rPr>
        <w:t>зитетом преноса кроз проширивање надлежности градова, преношење послова ЈЛС у више корака, увођење могућности факултативне односно условне надлежности ЈЛС итд.). Упоредо са тим, у складу са налазима извршених анализа</w:t>
      </w:r>
      <w:r w:rsidR="00B72074" w:rsidRPr="1A8E6423">
        <w:rPr>
          <w:rFonts w:ascii="Arial" w:hAnsi="Arial" w:cs="Arial"/>
          <w:sz w:val="20"/>
          <w:szCs w:val="20"/>
          <w:lang w:val="sr-Cyrl-RS"/>
        </w:rPr>
        <w:t>,</w:t>
      </w:r>
      <w:r w:rsidRPr="1A8E6423">
        <w:rPr>
          <w:rFonts w:ascii="Arial" w:hAnsi="Arial" w:cs="Arial"/>
          <w:sz w:val="20"/>
          <w:szCs w:val="20"/>
          <w:lang w:val="sr-Cyrl-RS"/>
        </w:rPr>
        <w:t xml:space="preserve"> биће припремљене измене секторских закона како би се наставила даља децентрализација послова, елиминисало преклапање надлежности у јавној управи односно заокружиле надлежности ЈЛС у појединим областима. Изменама и допунама Закона о локалној самоуправи уредиће се организациони облици према природи послова које обављају јединице локалне самоуправе. Подзаконским актом који ће пратити ЗЛС биће уређена основна типологија организационих форми које оснива ЈЛС. Овај део нормативних претпоставки за организационо уједначавање установа и организација које оснивају ЈЛС биће финализован усклађивањем секторских закона у појединим областима. Сама имплементација трансформације односно уједначавања организационих облика ЈЛС у складу са новим правним оквиром, биће подржана програмом подршке ЈЛС од стране МДУЛС и СКГО (кроз израду приручника и модела локалних аката за трансформацију организационих облика и обезбеђивање континуиране саветодавне подршке ЈЛС и организовањем програма обуке за руководства ЈЛС и установа и организација које оне оснивају).</w:t>
      </w:r>
    </w:p>
    <w:p w14:paraId="0A73B4E4" w14:textId="77777777" w:rsidR="005E6575" w:rsidRPr="00A021B7" w:rsidRDefault="005E6575" w:rsidP="1A8E6423">
      <w:pPr>
        <w:ind w:firstLine="720"/>
        <w:jc w:val="both"/>
        <w:rPr>
          <w:rFonts w:ascii="Arial" w:hAnsi="Arial" w:cs="Arial"/>
          <w:sz w:val="20"/>
          <w:szCs w:val="20"/>
          <w:lang w:val="sr-Cyrl-RS"/>
        </w:rPr>
      </w:pPr>
    </w:p>
    <w:p w14:paraId="13EF4E72" w14:textId="05BB73BE"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У укупном процесу подршке за организациону и функционалну трансформацију локалне управе</w:t>
      </w:r>
      <w:r w:rsidR="52311DBC" w:rsidRPr="1A8E6423">
        <w:rPr>
          <w:rFonts w:ascii="Arial" w:hAnsi="Arial" w:cs="Arial"/>
          <w:sz w:val="20"/>
          <w:szCs w:val="20"/>
          <w:lang w:val="sr-Cyrl-RS"/>
        </w:rPr>
        <w:t>,</w:t>
      </w:r>
      <w:r w:rsidRPr="1A8E6423">
        <w:rPr>
          <w:rFonts w:ascii="Arial" w:hAnsi="Arial" w:cs="Arial"/>
          <w:sz w:val="20"/>
          <w:szCs w:val="20"/>
          <w:lang w:val="sr-Cyrl-RS"/>
        </w:rPr>
        <w:t xml:space="preserve"> али и установа и организација које оснивају ЈЛС, посебна пажња биће посвећена малим ЈЛС (испод 20.000 становника). За потребе трансформациј</w:t>
      </w:r>
      <w:r w:rsidR="00B72074" w:rsidRPr="1A8E6423">
        <w:rPr>
          <w:rFonts w:ascii="Arial" w:hAnsi="Arial" w:cs="Arial"/>
          <w:sz w:val="20"/>
          <w:szCs w:val="20"/>
          <w:lang w:val="sr-Cyrl-RS"/>
        </w:rPr>
        <w:t>е</w:t>
      </w:r>
      <w:r w:rsidRPr="1A8E6423">
        <w:rPr>
          <w:rFonts w:ascii="Arial" w:hAnsi="Arial" w:cs="Arial"/>
          <w:sz w:val="20"/>
          <w:szCs w:val="20"/>
          <w:lang w:val="sr-Cyrl-RS"/>
        </w:rPr>
        <w:t xml:space="preserve"> функција које се </w:t>
      </w:r>
      <w:r w:rsidR="00D141C0">
        <w:rPr>
          <w:rFonts w:ascii="Arial" w:hAnsi="Arial" w:cs="Arial"/>
          <w:sz w:val="20"/>
          <w:szCs w:val="20"/>
          <w:lang w:val="sr-Cyrl-RS"/>
        </w:rPr>
        <w:t>врше</w:t>
      </w:r>
      <w:r w:rsidR="000F0E05">
        <w:rPr>
          <w:rFonts w:ascii="Arial" w:hAnsi="Arial" w:cs="Arial"/>
          <w:sz w:val="20"/>
          <w:szCs w:val="20"/>
          <w:lang w:val="sr-Cyrl-RS"/>
        </w:rPr>
        <w:t xml:space="preserve"> </w:t>
      </w:r>
      <w:r w:rsidRPr="1A8E6423">
        <w:rPr>
          <w:rFonts w:ascii="Arial" w:hAnsi="Arial" w:cs="Arial"/>
          <w:sz w:val="20"/>
          <w:szCs w:val="20"/>
          <w:lang w:val="sr-Cyrl-RS"/>
        </w:rPr>
        <w:t xml:space="preserve">у овим ЈЛС, које најчешће имају највеће изазове у </w:t>
      </w:r>
      <w:r w:rsidR="000F0E05">
        <w:rPr>
          <w:rFonts w:ascii="Arial" w:hAnsi="Arial" w:cs="Arial"/>
          <w:sz w:val="20"/>
          <w:szCs w:val="20"/>
          <w:lang w:val="sr-Cyrl-RS"/>
        </w:rPr>
        <w:t>вршењу</w:t>
      </w:r>
      <w:r w:rsidR="000F0E05" w:rsidRPr="1A8E6423">
        <w:rPr>
          <w:rFonts w:ascii="Arial" w:hAnsi="Arial" w:cs="Arial"/>
          <w:sz w:val="20"/>
          <w:szCs w:val="20"/>
          <w:lang w:val="sr-Cyrl-RS"/>
        </w:rPr>
        <w:t xml:space="preserve"> </w:t>
      </w:r>
      <w:r w:rsidRPr="1A8E6423">
        <w:rPr>
          <w:rFonts w:ascii="Arial" w:hAnsi="Arial" w:cs="Arial"/>
          <w:sz w:val="20"/>
          <w:szCs w:val="20"/>
          <w:lang w:val="sr-Cyrl-RS"/>
        </w:rPr>
        <w:t>одговорности локалне самоуправе, биће припремљен посебан план подршке развоју њихових кадровски</w:t>
      </w:r>
      <w:r w:rsidR="00B72074" w:rsidRPr="1A8E6423">
        <w:rPr>
          <w:rFonts w:ascii="Arial" w:hAnsi="Arial" w:cs="Arial"/>
          <w:sz w:val="20"/>
          <w:szCs w:val="20"/>
          <w:lang w:val="sr-Cyrl-RS"/>
        </w:rPr>
        <w:t>х</w:t>
      </w:r>
      <w:r w:rsidRPr="1A8E6423">
        <w:rPr>
          <w:rFonts w:ascii="Arial" w:hAnsi="Arial" w:cs="Arial"/>
          <w:sz w:val="20"/>
          <w:szCs w:val="20"/>
          <w:lang w:val="sr-Cyrl-RS"/>
        </w:rPr>
        <w:t>, финансијских и техничких капацитета.</w:t>
      </w:r>
    </w:p>
    <w:p w14:paraId="5EA1270E" w14:textId="77777777" w:rsidR="005E6575" w:rsidRPr="00A021B7" w:rsidRDefault="005E6575" w:rsidP="003E7BC9">
      <w:pPr>
        <w:jc w:val="both"/>
        <w:rPr>
          <w:rFonts w:ascii="Arial" w:hAnsi="Arial" w:cs="Arial"/>
          <w:sz w:val="20"/>
          <w:szCs w:val="20"/>
          <w:lang w:val="sr-Cyrl-RS"/>
        </w:rPr>
      </w:pPr>
    </w:p>
    <w:p w14:paraId="67643467" w14:textId="4021044C" w:rsidR="005E6575" w:rsidRPr="00A021B7" w:rsidRDefault="005E6575" w:rsidP="003E7BC9">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Мера 3.</w:t>
      </w:r>
      <w:r w:rsidR="008B7AD8" w:rsidRPr="00A021B7">
        <w:rPr>
          <w:rFonts w:ascii="Arial" w:hAnsi="Arial" w:cs="Arial"/>
          <w:b/>
          <w:color w:val="000000"/>
          <w:sz w:val="20"/>
          <w:szCs w:val="20"/>
          <w:lang w:val="sr-Cyrl-RS" w:eastAsia="sr-Latn-RS"/>
        </w:rPr>
        <w:t>4</w:t>
      </w:r>
      <w:r w:rsidR="008935B7" w:rsidRPr="00A021B7">
        <w:rPr>
          <w:rFonts w:ascii="Arial" w:hAnsi="Arial" w:cs="Arial"/>
          <w:b/>
          <w:color w:val="000000"/>
          <w:sz w:val="20"/>
          <w:szCs w:val="20"/>
          <w:lang w:val="sr-Cyrl-RS" w:eastAsia="sr-Latn-RS"/>
        </w:rPr>
        <w:t>:</w:t>
      </w:r>
      <w:r w:rsidRPr="00A021B7">
        <w:rPr>
          <w:rFonts w:ascii="Arial" w:hAnsi="Arial" w:cs="Arial"/>
          <w:b/>
          <w:color w:val="000000"/>
          <w:sz w:val="20"/>
          <w:szCs w:val="20"/>
          <w:lang w:val="sr-Cyrl-RS" w:eastAsia="sr-Latn-RS"/>
        </w:rPr>
        <w:t xml:space="preserve"> Наставак развоја међуопштинске сарадње у спровођењу надлежности локалне самоуправе</w:t>
      </w:r>
    </w:p>
    <w:p w14:paraId="0A3B37FA" w14:textId="77777777" w:rsidR="005E6575" w:rsidRPr="00A021B7" w:rsidRDefault="005E6575" w:rsidP="003E7BC9">
      <w:pPr>
        <w:jc w:val="both"/>
        <w:rPr>
          <w:rFonts w:ascii="Arial" w:hAnsi="Arial" w:cs="Arial"/>
          <w:color w:val="000000"/>
          <w:sz w:val="20"/>
          <w:szCs w:val="20"/>
          <w:lang w:val="sr-Cyrl-RS" w:eastAsia="sr-Latn-RS"/>
        </w:rPr>
      </w:pPr>
    </w:p>
    <w:p w14:paraId="1CDF1C28" w14:textId="4CBE7ED1" w:rsidR="005E6575" w:rsidRPr="00A021B7" w:rsidRDefault="005E6575" w:rsidP="1A8E6423">
      <w:pPr>
        <w:ind w:firstLine="720"/>
        <w:jc w:val="both"/>
        <w:rPr>
          <w:rFonts w:ascii="Arial" w:hAnsi="Arial" w:cs="Arial"/>
          <w:color w:val="000000"/>
          <w:sz w:val="20"/>
          <w:szCs w:val="20"/>
          <w:lang w:val="sr-Cyrl-RS" w:eastAsia="sr-Latn-RS"/>
        </w:rPr>
      </w:pPr>
      <w:r w:rsidRPr="1A8E6423">
        <w:rPr>
          <w:rFonts w:ascii="Arial" w:hAnsi="Arial" w:cs="Arial"/>
          <w:color w:val="000000" w:themeColor="text1"/>
          <w:sz w:val="20"/>
          <w:szCs w:val="20"/>
          <w:lang w:val="sr-Cyrl-RS" w:eastAsia="sr-Latn-RS"/>
        </w:rPr>
        <w:t>Овом мером се предвиђа низ активности усмерен на даљи развој међуопштинске сарадње. У првој групи активности би</w:t>
      </w:r>
      <w:r w:rsidR="00344F24" w:rsidRPr="1A8E6423">
        <w:rPr>
          <w:rFonts w:ascii="Arial" w:hAnsi="Arial" w:cs="Arial"/>
          <w:color w:val="000000" w:themeColor="text1"/>
          <w:sz w:val="20"/>
          <w:szCs w:val="20"/>
          <w:lang w:val="sr-Cyrl-RS" w:eastAsia="sr-Latn-RS"/>
        </w:rPr>
        <w:t>ће активности</w:t>
      </w:r>
      <w:r w:rsidRPr="1A8E6423">
        <w:rPr>
          <w:rFonts w:ascii="Arial" w:hAnsi="Arial" w:cs="Arial"/>
          <w:color w:val="000000" w:themeColor="text1"/>
          <w:sz w:val="20"/>
          <w:szCs w:val="20"/>
          <w:lang w:val="sr-Cyrl-RS" w:eastAsia="sr-Latn-RS"/>
        </w:rPr>
        <w:t xml:space="preserve"> усмерене ка подршци практичном остваривању међуопштинске сарадње. Зарад тога биће обезбеђена саветодавна (стручна и техничка) подршка ЈЛС у процесу успостављања међуопштинске сарадње и алати за њено остваривање (модели међуопштинских споразума, смернице за закључивање и спровођење процеса МОС и др.). Поред стручне и техничке подршке, уз подршку Швајцарске Владе, МДУЛС ће обезбедити финансијску подршку пројектима међуопштинске сарадње у циљу интензивирања овог облика сарадње градова и општина. Друга група активности подразумева правне реформе које треба да унапреде нормативни оквир за остваривање међуопштинске сарадње. Посебан акценат биће стављен на усклађивање секторских прописа у циљу интензивирања међуопштинске сарадње у посебним областима (као што су: Закон о јавним предузећима, Закон о комуналним делатностима, Закон о превозу путника, Закон о водама и др.). Полазећи од резултата мера у области организационо</w:t>
      </w:r>
      <w:r w:rsidR="00344F24" w:rsidRPr="1A8E6423">
        <w:rPr>
          <w:rFonts w:ascii="Arial" w:hAnsi="Arial" w:cs="Arial"/>
          <w:color w:val="000000" w:themeColor="text1"/>
          <w:sz w:val="20"/>
          <w:szCs w:val="20"/>
          <w:lang w:val="sr-Cyrl-RS" w:eastAsia="sr-Latn-RS"/>
        </w:rPr>
        <w:t>-</w:t>
      </w:r>
      <w:r w:rsidRPr="1A8E6423">
        <w:rPr>
          <w:rFonts w:ascii="Arial" w:hAnsi="Arial" w:cs="Arial"/>
          <w:color w:val="000000" w:themeColor="text1"/>
          <w:sz w:val="20"/>
          <w:szCs w:val="20"/>
          <w:lang w:val="sr-Cyrl-RS" w:eastAsia="sr-Latn-RS"/>
        </w:rPr>
        <w:t>функционалне трансформације локалне самоуправе</w:t>
      </w:r>
      <w:r w:rsidR="00344F24" w:rsidRPr="1A8E6423">
        <w:rPr>
          <w:rFonts w:ascii="Arial" w:hAnsi="Arial" w:cs="Arial"/>
          <w:color w:val="000000" w:themeColor="text1"/>
          <w:sz w:val="20"/>
          <w:szCs w:val="20"/>
          <w:lang w:val="sr-Cyrl-RS" w:eastAsia="sr-Latn-RS"/>
        </w:rPr>
        <w:t>,</w:t>
      </w:r>
      <w:r w:rsidRPr="1A8E6423">
        <w:rPr>
          <w:rFonts w:ascii="Arial" w:hAnsi="Arial" w:cs="Arial"/>
          <w:color w:val="000000" w:themeColor="text1"/>
          <w:sz w:val="20"/>
          <w:szCs w:val="20"/>
          <w:lang w:val="sr-Cyrl-RS" w:eastAsia="sr-Latn-RS"/>
        </w:rPr>
        <w:t xml:space="preserve"> а зарад обезбеђивања пуне доступности послова локалне самоуправе у свим ЈЛС, биће израђена посебна анализа могућности за успостављање обавезног облика међуопштинске сарадње и функционалног повезивања ЈЛС у обављању појединих послова локалне самоуправе</w:t>
      </w:r>
      <w:r w:rsidR="005A7E25" w:rsidRPr="1A8E6423">
        <w:rPr>
          <w:rFonts w:ascii="Arial" w:hAnsi="Arial" w:cs="Arial"/>
          <w:color w:val="000000" w:themeColor="text1"/>
          <w:sz w:val="20"/>
          <w:szCs w:val="20"/>
          <w:lang w:val="sr-Cyrl-RS" w:eastAsia="sr-Latn-RS"/>
        </w:rPr>
        <w:t xml:space="preserve">. </w:t>
      </w:r>
      <w:r w:rsidR="005A7E25" w:rsidRPr="1A8E6423">
        <w:rPr>
          <w:rFonts w:ascii="Arial" w:hAnsi="Arial" w:cs="Arial"/>
          <w:color w:val="000000" w:themeColor="text1"/>
          <w:sz w:val="20"/>
          <w:szCs w:val="20"/>
          <w:lang w:val="sr-Cyrl-RS" w:eastAsia="sr-Latn-RS"/>
        </w:rPr>
        <w:lastRenderedPageBreak/>
        <w:t xml:space="preserve">Оваква сарадња би првенствено била разматрана као могуће функционално решење за спровођење нових децентрализованих надлежности које би </w:t>
      </w:r>
      <w:r w:rsidR="30152E13" w:rsidRPr="1A8E6423">
        <w:rPr>
          <w:rFonts w:ascii="Arial" w:hAnsi="Arial" w:cs="Arial"/>
          <w:color w:val="000000" w:themeColor="text1"/>
          <w:sz w:val="20"/>
          <w:szCs w:val="20"/>
          <w:lang w:val="sr-Cyrl-RS" w:eastAsia="sr-Latn-RS"/>
        </w:rPr>
        <w:t>требало да буду</w:t>
      </w:r>
      <w:r w:rsidR="005A7E25" w:rsidRPr="1A8E6423">
        <w:rPr>
          <w:rFonts w:ascii="Arial" w:hAnsi="Arial" w:cs="Arial"/>
          <w:color w:val="000000" w:themeColor="text1"/>
          <w:sz w:val="20"/>
          <w:szCs w:val="20"/>
          <w:lang w:val="sr-Cyrl-RS" w:eastAsia="sr-Latn-RS"/>
        </w:rPr>
        <w:t xml:space="preserve"> пренете </w:t>
      </w:r>
      <w:r w:rsidR="7E138FC3" w:rsidRPr="1A8E6423">
        <w:rPr>
          <w:rFonts w:ascii="Arial" w:hAnsi="Arial" w:cs="Arial"/>
          <w:color w:val="000000" w:themeColor="text1"/>
          <w:sz w:val="20"/>
          <w:szCs w:val="20"/>
          <w:lang w:val="sr-Cyrl-RS" w:eastAsia="sr-Latn-RS"/>
        </w:rPr>
        <w:t xml:space="preserve">свим </w:t>
      </w:r>
      <w:r w:rsidR="005A7E25" w:rsidRPr="1A8E6423">
        <w:rPr>
          <w:rFonts w:ascii="Arial" w:hAnsi="Arial" w:cs="Arial"/>
          <w:color w:val="000000" w:themeColor="text1"/>
          <w:sz w:val="20"/>
          <w:szCs w:val="20"/>
          <w:lang w:val="sr-Cyrl-RS" w:eastAsia="sr-Latn-RS"/>
        </w:rPr>
        <w:t>локалн</w:t>
      </w:r>
      <w:r w:rsidR="0ED3F197" w:rsidRPr="1A8E6423">
        <w:rPr>
          <w:rFonts w:ascii="Arial" w:hAnsi="Arial" w:cs="Arial"/>
          <w:color w:val="000000" w:themeColor="text1"/>
          <w:sz w:val="20"/>
          <w:szCs w:val="20"/>
          <w:lang w:val="sr-Cyrl-RS" w:eastAsia="sr-Latn-RS"/>
        </w:rPr>
        <w:t>им</w:t>
      </w:r>
      <w:r w:rsidR="005A7E25" w:rsidRPr="1A8E6423">
        <w:rPr>
          <w:rFonts w:ascii="Arial" w:hAnsi="Arial" w:cs="Arial"/>
          <w:color w:val="000000" w:themeColor="text1"/>
          <w:sz w:val="20"/>
          <w:szCs w:val="20"/>
          <w:lang w:val="sr-Cyrl-RS" w:eastAsia="sr-Latn-RS"/>
        </w:rPr>
        <w:t xml:space="preserve"> самоуправ</w:t>
      </w:r>
      <w:r w:rsidR="34151505" w:rsidRPr="1A8E6423">
        <w:rPr>
          <w:rFonts w:ascii="Arial" w:hAnsi="Arial" w:cs="Arial"/>
          <w:color w:val="000000" w:themeColor="text1"/>
          <w:sz w:val="20"/>
          <w:szCs w:val="20"/>
          <w:lang w:val="sr-Cyrl-RS" w:eastAsia="sr-Latn-RS"/>
        </w:rPr>
        <w:t>ама</w:t>
      </w:r>
      <w:r w:rsidRPr="1A8E6423">
        <w:rPr>
          <w:rFonts w:ascii="Arial" w:hAnsi="Arial" w:cs="Arial"/>
          <w:color w:val="000000" w:themeColor="text1"/>
          <w:sz w:val="20"/>
          <w:szCs w:val="20"/>
          <w:lang w:val="sr-Cyrl-RS" w:eastAsia="sr-Latn-RS"/>
        </w:rPr>
        <w:t>. Резултат те анализе биће припрема измена и допуна Закона о локалној самоуправи којима ће се</w:t>
      </w:r>
      <w:r w:rsidR="00344F24" w:rsidRPr="1A8E6423">
        <w:rPr>
          <w:rFonts w:ascii="Arial" w:hAnsi="Arial" w:cs="Arial"/>
          <w:color w:val="000000" w:themeColor="text1"/>
          <w:sz w:val="20"/>
          <w:szCs w:val="20"/>
          <w:lang w:val="sr-Cyrl-RS" w:eastAsia="sr-Latn-RS"/>
        </w:rPr>
        <w:t>,</w:t>
      </w:r>
      <w:r w:rsidRPr="1A8E6423">
        <w:rPr>
          <w:rFonts w:ascii="Arial" w:hAnsi="Arial" w:cs="Arial"/>
          <w:color w:val="000000" w:themeColor="text1"/>
          <w:sz w:val="20"/>
          <w:szCs w:val="20"/>
          <w:lang w:val="sr-Cyrl-RS" w:eastAsia="sr-Latn-RS"/>
        </w:rPr>
        <w:t xml:space="preserve"> </w:t>
      </w:r>
      <w:r w:rsidR="005A7E25" w:rsidRPr="1A8E6423">
        <w:rPr>
          <w:rFonts w:ascii="Arial" w:hAnsi="Arial" w:cs="Arial"/>
          <w:color w:val="000000" w:themeColor="text1"/>
          <w:sz w:val="20"/>
          <w:szCs w:val="20"/>
          <w:lang w:val="sr-Cyrl-RS" w:eastAsia="sr-Latn-RS"/>
        </w:rPr>
        <w:t>у складу са потребом и могућностима</w:t>
      </w:r>
      <w:r w:rsidR="00344F24" w:rsidRPr="1A8E6423">
        <w:rPr>
          <w:rFonts w:ascii="Arial" w:hAnsi="Arial" w:cs="Arial"/>
          <w:color w:val="000000" w:themeColor="text1"/>
          <w:sz w:val="20"/>
          <w:szCs w:val="20"/>
          <w:lang w:val="sr-Cyrl-RS" w:eastAsia="sr-Latn-RS"/>
        </w:rPr>
        <w:t>,</w:t>
      </w:r>
      <w:r w:rsidR="005A7E25" w:rsidRPr="1A8E6423">
        <w:rPr>
          <w:rFonts w:ascii="Arial" w:hAnsi="Arial" w:cs="Arial"/>
          <w:color w:val="000000" w:themeColor="text1"/>
          <w:sz w:val="20"/>
          <w:szCs w:val="20"/>
          <w:lang w:val="sr-Cyrl-RS" w:eastAsia="sr-Latn-RS"/>
        </w:rPr>
        <w:t xml:space="preserve"> </w:t>
      </w:r>
      <w:r w:rsidRPr="1A8E6423">
        <w:rPr>
          <w:rFonts w:ascii="Arial" w:hAnsi="Arial" w:cs="Arial"/>
          <w:color w:val="000000" w:themeColor="text1"/>
          <w:sz w:val="20"/>
          <w:szCs w:val="20"/>
          <w:lang w:val="sr-Cyrl-RS" w:eastAsia="sr-Latn-RS"/>
        </w:rPr>
        <w:t xml:space="preserve">спровести њени закључци. Коначно, </w:t>
      </w:r>
      <w:r w:rsidR="00344F24" w:rsidRPr="1A8E6423">
        <w:rPr>
          <w:rFonts w:ascii="Arial" w:hAnsi="Arial" w:cs="Arial"/>
          <w:color w:val="000000" w:themeColor="text1"/>
          <w:sz w:val="20"/>
          <w:szCs w:val="20"/>
          <w:lang w:val="sr-Cyrl-RS" w:eastAsia="sr-Latn-RS"/>
        </w:rPr>
        <w:t>ради</w:t>
      </w:r>
      <w:r w:rsidRPr="1A8E6423">
        <w:rPr>
          <w:rFonts w:ascii="Arial" w:hAnsi="Arial" w:cs="Arial"/>
          <w:color w:val="000000" w:themeColor="text1"/>
          <w:sz w:val="20"/>
          <w:szCs w:val="20"/>
          <w:lang w:val="sr-Cyrl-RS" w:eastAsia="sr-Latn-RS"/>
        </w:rPr>
        <w:t xml:space="preserve"> креирања одрживог финансијског механизма полазећи од искуства МДУЛС, других националних и покрајинских органа и донатора, биће израђена </w:t>
      </w:r>
      <w:r w:rsidRPr="1A8E6423">
        <w:rPr>
          <w:rFonts w:ascii="Arial" w:hAnsi="Arial" w:cs="Arial"/>
          <w:i/>
          <w:iCs/>
          <w:color w:val="000000" w:themeColor="text1"/>
          <w:sz w:val="20"/>
          <w:szCs w:val="20"/>
          <w:lang w:val="sr-Cyrl-RS" w:eastAsia="sr-Latn-RS"/>
        </w:rPr>
        <w:t>ex ante</w:t>
      </w:r>
      <w:r w:rsidRPr="1A8E6423">
        <w:rPr>
          <w:rFonts w:ascii="Arial" w:hAnsi="Arial" w:cs="Arial"/>
          <w:color w:val="000000" w:themeColor="text1"/>
          <w:sz w:val="20"/>
          <w:szCs w:val="20"/>
          <w:lang w:val="sr-Cyrl-RS" w:eastAsia="sr-Latn-RS"/>
        </w:rPr>
        <w:t xml:space="preserve"> </w:t>
      </w:r>
      <w:r w:rsidR="00344F24" w:rsidRPr="1A8E6423">
        <w:rPr>
          <w:rFonts w:ascii="Arial" w:hAnsi="Arial" w:cs="Arial"/>
          <w:color w:val="000000" w:themeColor="text1"/>
          <w:sz w:val="20"/>
          <w:szCs w:val="20"/>
          <w:lang w:val="sr-Cyrl-RS" w:eastAsia="sr-Latn-RS"/>
        </w:rPr>
        <w:t>анализа</w:t>
      </w:r>
      <w:r w:rsidRPr="1A8E6423">
        <w:rPr>
          <w:rFonts w:ascii="Arial" w:hAnsi="Arial" w:cs="Arial"/>
          <w:color w:val="000000" w:themeColor="text1"/>
          <w:sz w:val="20"/>
          <w:szCs w:val="20"/>
          <w:lang w:val="sr-Cyrl-RS" w:eastAsia="sr-Latn-RS"/>
        </w:rPr>
        <w:t xml:space="preserve"> могућности за успостављање јединственог националног фонда за финансирање међуопштинске сарадње у </w:t>
      </w:r>
      <w:r w:rsidR="000E364A" w:rsidRPr="1A8E6423">
        <w:rPr>
          <w:rFonts w:ascii="Arial" w:hAnsi="Arial" w:cs="Arial"/>
          <w:color w:val="000000" w:themeColor="text1"/>
          <w:sz w:val="20"/>
          <w:szCs w:val="20"/>
          <w:lang w:val="sr-Cyrl-RS" w:eastAsia="sr-Latn-RS"/>
        </w:rPr>
        <w:t xml:space="preserve">обезбеђивању </w:t>
      </w:r>
      <w:r w:rsidRPr="1A8E6423">
        <w:rPr>
          <w:rFonts w:ascii="Arial" w:hAnsi="Arial" w:cs="Arial"/>
          <w:color w:val="000000" w:themeColor="text1"/>
          <w:sz w:val="20"/>
          <w:szCs w:val="20"/>
          <w:lang w:val="sr-Cyrl-RS" w:eastAsia="sr-Latn-RS"/>
        </w:rPr>
        <w:t>јавних услуга које пружају ЈЛС и</w:t>
      </w:r>
      <w:r w:rsidR="00266DAD" w:rsidRPr="1A8E6423">
        <w:rPr>
          <w:rFonts w:ascii="Arial" w:hAnsi="Arial" w:cs="Arial"/>
          <w:color w:val="000000" w:themeColor="text1"/>
          <w:sz w:val="20"/>
          <w:szCs w:val="20"/>
          <w:lang w:val="sr-Cyrl-RS" w:eastAsia="sr-Latn-RS"/>
        </w:rPr>
        <w:t>,</w:t>
      </w:r>
      <w:r w:rsidRPr="1A8E6423">
        <w:rPr>
          <w:rFonts w:ascii="Arial" w:hAnsi="Arial" w:cs="Arial"/>
          <w:color w:val="000000" w:themeColor="text1"/>
          <w:sz w:val="20"/>
          <w:szCs w:val="20"/>
          <w:lang w:val="sr-Cyrl-RS" w:eastAsia="sr-Latn-RS"/>
        </w:rPr>
        <w:t xml:space="preserve"> у складу са њеним налазима</w:t>
      </w:r>
      <w:r w:rsidR="00266DAD" w:rsidRPr="1A8E6423">
        <w:rPr>
          <w:rFonts w:ascii="Arial" w:hAnsi="Arial" w:cs="Arial"/>
          <w:color w:val="000000" w:themeColor="text1"/>
          <w:sz w:val="20"/>
          <w:szCs w:val="20"/>
          <w:lang w:val="sr-Cyrl-RS" w:eastAsia="sr-Latn-RS"/>
        </w:rPr>
        <w:t>,</w:t>
      </w:r>
      <w:r w:rsidRPr="1A8E6423">
        <w:rPr>
          <w:rFonts w:ascii="Arial" w:hAnsi="Arial" w:cs="Arial"/>
          <w:color w:val="000000" w:themeColor="text1"/>
          <w:sz w:val="20"/>
          <w:szCs w:val="20"/>
          <w:lang w:val="sr-Cyrl-RS" w:eastAsia="sr-Latn-RS"/>
        </w:rPr>
        <w:t xml:space="preserve"> дефинисане препоруке за његово правно и институционално успостављање.</w:t>
      </w:r>
    </w:p>
    <w:p w14:paraId="3647F60F" w14:textId="77777777" w:rsidR="005E6575" w:rsidRPr="00A021B7" w:rsidRDefault="005E6575" w:rsidP="003E7BC9">
      <w:pPr>
        <w:jc w:val="both"/>
        <w:rPr>
          <w:rFonts w:ascii="Arial" w:hAnsi="Arial" w:cs="Arial"/>
          <w:color w:val="000000"/>
          <w:sz w:val="20"/>
          <w:szCs w:val="20"/>
          <w:lang w:val="sr-Cyrl-RS" w:eastAsia="sr-Latn-RS"/>
        </w:rPr>
      </w:pPr>
    </w:p>
    <w:p w14:paraId="01B77AE4" w14:textId="10520192" w:rsidR="005E6575" w:rsidRPr="00A021B7" w:rsidRDefault="005E6575" w:rsidP="1A8E6423">
      <w:pPr>
        <w:jc w:val="both"/>
        <w:rPr>
          <w:rFonts w:ascii="Arial" w:hAnsi="Arial" w:cs="Arial"/>
          <w:b/>
          <w:bCs/>
          <w:color w:val="000000"/>
          <w:sz w:val="20"/>
          <w:szCs w:val="20"/>
          <w:lang w:val="sr-Cyrl-RS" w:eastAsia="sr-Latn-RS"/>
        </w:rPr>
      </w:pPr>
      <w:r w:rsidRPr="1A8E6423">
        <w:rPr>
          <w:rFonts w:ascii="Arial" w:hAnsi="Arial" w:cs="Arial"/>
          <w:b/>
          <w:bCs/>
          <w:color w:val="000000" w:themeColor="text1"/>
          <w:sz w:val="20"/>
          <w:szCs w:val="20"/>
          <w:lang w:val="sr-Cyrl-RS" w:eastAsia="sr-Latn-RS"/>
        </w:rPr>
        <w:t>Мера 3</w:t>
      </w:r>
      <w:r w:rsidR="008B7AD8" w:rsidRPr="1A8E6423">
        <w:rPr>
          <w:rFonts w:ascii="Arial" w:hAnsi="Arial" w:cs="Arial"/>
          <w:b/>
          <w:bCs/>
          <w:color w:val="000000" w:themeColor="text1"/>
          <w:sz w:val="20"/>
          <w:szCs w:val="20"/>
          <w:lang w:val="sr-Cyrl-RS" w:eastAsia="sr-Latn-RS"/>
        </w:rPr>
        <w:t>.5</w:t>
      </w:r>
      <w:r w:rsidR="008935B7" w:rsidRPr="1A8E6423">
        <w:rPr>
          <w:rFonts w:ascii="Arial" w:hAnsi="Arial" w:cs="Arial"/>
          <w:b/>
          <w:bCs/>
          <w:color w:val="000000" w:themeColor="text1"/>
          <w:sz w:val="20"/>
          <w:szCs w:val="20"/>
          <w:lang w:val="sr-Cyrl-RS" w:eastAsia="sr-Latn-RS"/>
        </w:rPr>
        <w:t xml:space="preserve">: </w:t>
      </w:r>
      <w:r w:rsidRPr="1A8E6423">
        <w:rPr>
          <w:rFonts w:ascii="Arial" w:hAnsi="Arial" w:cs="Arial"/>
          <w:b/>
          <w:bCs/>
          <w:color w:val="000000" w:themeColor="text1"/>
          <w:sz w:val="20"/>
          <w:szCs w:val="20"/>
          <w:lang w:val="sr-Cyrl-RS" w:eastAsia="sr-Latn-RS"/>
        </w:rPr>
        <w:t>Реформа планирања развоја локалне самоуправе</w:t>
      </w:r>
    </w:p>
    <w:p w14:paraId="76F21D58" w14:textId="77777777" w:rsidR="005E6575" w:rsidRPr="00A021B7" w:rsidRDefault="005E6575" w:rsidP="003E7BC9">
      <w:pPr>
        <w:jc w:val="both"/>
        <w:rPr>
          <w:rFonts w:ascii="Arial" w:hAnsi="Arial" w:cs="Arial"/>
          <w:b/>
          <w:color w:val="000000"/>
          <w:sz w:val="20"/>
          <w:szCs w:val="20"/>
          <w:highlight w:val="yellow"/>
          <w:lang w:val="sr-Cyrl-RS" w:eastAsia="sr-Latn-RS"/>
        </w:rPr>
      </w:pPr>
    </w:p>
    <w:p w14:paraId="369EDAD9" w14:textId="764256DE" w:rsidR="002604AC" w:rsidRPr="00A021B7" w:rsidRDefault="6DF0998E" w:rsidP="1A8E6423">
      <w:pPr>
        <w:ind w:firstLine="720"/>
        <w:jc w:val="both"/>
        <w:rPr>
          <w:rFonts w:ascii="Arial" w:hAnsi="Arial" w:cs="Arial"/>
          <w:sz w:val="20"/>
          <w:szCs w:val="20"/>
          <w:lang w:val="sr-Cyrl-RS"/>
        </w:rPr>
      </w:pPr>
      <w:r w:rsidRPr="00A021B7">
        <w:rPr>
          <w:rFonts w:ascii="Arial" w:hAnsi="Arial" w:cs="Arial"/>
          <w:sz w:val="20"/>
          <w:szCs w:val="20"/>
          <w:lang w:val="sr-Cyrl-RS"/>
        </w:rPr>
        <w:t xml:space="preserve">Законом </w:t>
      </w:r>
      <w:r w:rsidRPr="00385C66">
        <w:rPr>
          <w:rFonts w:ascii="Arial" w:hAnsi="Arial" w:cs="Arial"/>
          <w:sz w:val="20"/>
          <w:szCs w:val="20"/>
          <w:lang w:val="sr-Cyrl-RS"/>
        </w:rPr>
        <w:t xml:space="preserve">о планском систему и усвојеним </w:t>
      </w:r>
      <w:r w:rsidR="009E73ED" w:rsidRPr="00385C66">
        <w:rPr>
          <w:rFonts w:ascii="Arial" w:hAnsi="Arial" w:cs="Arial"/>
          <w:sz w:val="20"/>
          <w:szCs w:val="20"/>
          <w:lang w:val="sr-Cyrl-RS"/>
        </w:rPr>
        <w:t xml:space="preserve">правилима за израду </w:t>
      </w:r>
      <w:r w:rsidRPr="00385C66">
        <w:rPr>
          <w:rFonts w:ascii="Arial" w:hAnsi="Arial" w:cs="Arial"/>
          <w:sz w:val="20"/>
          <w:szCs w:val="20"/>
          <w:lang w:val="sr-Cyrl-RS"/>
        </w:rPr>
        <w:t>Плана развоја ЈЛС, на правно обавезујући начин уређује се успостављање конзистентног и усклађеног планског система, којим се конкретизују и уставне надлежности у области планирања на локалном нивоу.</w:t>
      </w:r>
      <w:r w:rsidR="1D11EB18" w:rsidRPr="00385C66">
        <w:rPr>
          <w:rFonts w:ascii="Arial" w:hAnsi="Arial" w:cs="Arial"/>
          <w:sz w:val="20"/>
          <w:szCs w:val="20"/>
          <w:lang w:val="sr-Cyrl-RS"/>
        </w:rPr>
        <w:t xml:space="preserve"> </w:t>
      </w:r>
      <w:r w:rsidR="000E364A" w:rsidRPr="00385C66">
        <w:rPr>
          <w:rFonts w:ascii="Arial" w:hAnsi="Arial" w:cs="Arial"/>
          <w:sz w:val="20"/>
          <w:szCs w:val="20"/>
          <w:lang w:val="sr-Cyrl-RS"/>
        </w:rPr>
        <w:t>С обзиром на то</w:t>
      </w:r>
      <w:r w:rsidRPr="00385C66">
        <w:rPr>
          <w:rFonts w:ascii="Arial" w:hAnsi="Arial" w:cs="Arial"/>
          <w:sz w:val="20"/>
          <w:szCs w:val="20"/>
          <w:lang w:val="sr-Cyrl-RS"/>
        </w:rPr>
        <w:t xml:space="preserve"> да је 2020. године донета и Уредба којом се прецизирају обавезни елементи </w:t>
      </w:r>
      <w:r w:rsidR="000E364A" w:rsidRPr="00385C66">
        <w:rPr>
          <w:rFonts w:ascii="Arial" w:hAnsi="Arial" w:cs="Arial"/>
          <w:sz w:val="20"/>
          <w:szCs w:val="20"/>
          <w:lang w:val="sr-Cyrl-RS"/>
        </w:rPr>
        <w:t>п</w:t>
      </w:r>
      <w:r w:rsidRPr="00385C66">
        <w:rPr>
          <w:rFonts w:ascii="Arial" w:hAnsi="Arial" w:cs="Arial"/>
          <w:sz w:val="20"/>
          <w:szCs w:val="20"/>
          <w:lang w:val="sr-Cyrl-RS"/>
        </w:rPr>
        <w:t>лана развоја ЈЛС</w:t>
      </w:r>
      <w:r w:rsidR="000E364A" w:rsidRPr="00385C66">
        <w:rPr>
          <w:rFonts w:ascii="Arial" w:hAnsi="Arial" w:cs="Arial"/>
          <w:sz w:val="20"/>
          <w:szCs w:val="20"/>
          <w:lang w:val="sr-Cyrl-RS"/>
        </w:rPr>
        <w:t>,</w:t>
      </w:r>
      <w:r w:rsidRPr="00385C66">
        <w:rPr>
          <w:rFonts w:ascii="Arial" w:hAnsi="Arial" w:cs="Arial"/>
          <w:sz w:val="20"/>
          <w:szCs w:val="20"/>
          <w:lang w:val="sr-Cyrl-RS"/>
        </w:rPr>
        <w:t xml:space="preserve"> као и да су објављене Смернице </w:t>
      </w:r>
      <w:r w:rsidR="009E73ED" w:rsidRPr="00385C66">
        <w:rPr>
          <w:rFonts w:ascii="Arial" w:hAnsi="Arial" w:cs="Arial"/>
          <w:sz w:val="20"/>
          <w:szCs w:val="20"/>
          <w:lang w:val="sr-Cyrl-RS"/>
        </w:rPr>
        <w:t>за израду планова развоја јединица локалне самоуправе (</w:t>
      </w:r>
      <w:r w:rsidRPr="00385C66">
        <w:rPr>
          <w:rFonts w:ascii="Arial" w:hAnsi="Arial" w:cs="Arial"/>
          <w:sz w:val="20"/>
          <w:szCs w:val="20"/>
          <w:lang w:val="sr-Cyrl-RS"/>
        </w:rPr>
        <w:t>које</w:t>
      </w:r>
      <w:r w:rsidR="009E73ED" w:rsidRPr="00385C66">
        <w:rPr>
          <w:rFonts w:ascii="Arial" w:hAnsi="Arial" w:cs="Arial"/>
          <w:sz w:val="20"/>
          <w:szCs w:val="20"/>
          <w:lang w:val="sr-Cyrl-RS"/>
        </w:rPr>
        <w:t xml:space="preserve"> су предвиђене и Уредбом</w:t>
      </w:r>
      <w:r w:rsidRPr="00385C66">
        <w:rPr>
          <w:rFonts w:ascii="Arial" w:hAnsi="Arial" w:cs="Arial"/>
          <w:sz w:val="20"/>
          <w:szCs w:val="20"/>
          <w:lang w:val="sr-Cyrl-RS"/>
        </w:rPr>
        <w:t xml:space="preserve">) за израду ових докумената, успостављене су све претпоставке за ефективан рад на новим кровним планским документима ЈЛС. У том смислу, окосницу </w:t>
      </w:r>
      <w:r w:rsidR="000E364A" w:rsidRPr="00385C66">
        <w:rPr>
          <w:rFonts w:ascii="Arial" w:hAnsi="Arial" w:cs="Arial"/>
          <w:sz w:val="20"/>
          <w:szCs w:val="20"/>
          <w:lang w:val="sr-Cyrl-RS"/>
        </w:rPr>
        <w:t>ове</w:t>
      </w:r>
      <w:r w:rsidR="1D11EB18" w:rsidRPr="00385C66">
        <w:rPr>
          <w:rFonts w:ascii="Arial" w:hAnsi="Arial" w:cs="Arial"/>
          <w:sz w:val="20"/>
          <w:szCs w:val="20"/>
          <w:lang w:val="sr-Cyrl-RS"/>
        </w:rPr>
        <w:t xml:space="preserve"> мере чини </w:t>
      </w:r>
      <w:r w:rsidRPr="00385C66">
        <w:rPr>
          <w:rFonts w:ascii="Arial" w:hAnsi="Arial" w:cs="Arial"/>
          <w:sz w:val="20"/>
          <w:szCs w:val="20"/>
          <w:lang w:val="sr-Cyrl-RS"/>
        </w:rPr>
        <w:t xml:space="preserve">подршка за израду </w:t>
      </w:r>
      <w:r w:rsidR="009E73ED" w:rsidRPr="00385C66">
        <w:rPr>
          <w:rFonts w:ascii="Arial" w:hAnsi="Arial" w:cs="Arial"/>
          <w:sz w:val="20"/>
          <w:szCs w:val="20"/>
          <w:lang w:val="sr-Cyrl-RS"/>
        </w:rPr>
        <w:t>П</w:t>
      </w:r>
      <w:r w:rsidRPr="00385C66">
        <w:rPr>
          <w:rFonts w:ascii="Arial" w:hAnsi="Arial" w:cs="Arial"/>
          <w:sz w:val="20"/>
          <w:szCs w:val="20"/>
          <w:lang w:val="sr-Cyrl-RS"/>
        </w:rPr>
        <w:t xml:space="preserve">ланова развоја. Будући да је циљ да све ЈЛС што пре </w:t>
      </w:r>
      <w:r w:rsidR="009E73ED" w:rsidRPr="00385C66">
        <w:rPr>
          <w:rFonts w:ascii="Arial" w:hAnsi="Arial" w:cs="Arial"/>
          <w:sz w:val="20"/>
          <w:szCs w:val="20"/>
          <w:lang w:val="sr-Cyrl-RS"/>
        </w:rPr>
        <w:t xml:space="preserve">започну </w:t>
      </w:r>
      <w:r w:rsidRPr="00385C66">
        <w:rPr>
          <w:rFonts w:ascii="Arial" w:hAnsi="Arial" w:cs="Arial"/>
          <w:sz w:val="20"/>
          <w:szCs w:val="20"/>
          <w:lang w:val="sr-Cyrl-RS"/>
        </w:rPr>
        <w:t xml:space="preserve">нови плански циклус и </w:t>
      </w:r>
      <w:r w:rsidR="007C46CD" w:rsidRPr="00385C66">
        <w:rPr>
          <w:rFonts w:ascii="Arial" w:hAnsi="Arial" w:cs="Arial"/>
          <w:sz w:val="20"/>
          <w:szCs w:val="20"/>
          <w:lang w:val="sr-Cyrl-RS"/>
        </w:rPr>
        <w:t>усагласе</w:t>
      </w:r>
      <w:r w:rsidR="000E364A" w:rsidRPr="00385C66">
        <w:rPr>
          <w:rFonts w:ascii="Arial" w:hAnsi="Arial" w:cs="Arial"/>
          <w:sz w:val="20"/>
          <w:szCs w:val="20"/>
          <w:lang w:val="sr-Cyrl-RS"/>
        </w:rPr>
        <w:t xml:space="preserve"> </w:t>
      </w:r>
      <w:r w:rsidR="007C46CD" w:rsidRPr="00385C66">
        <w:rPr>
          <w:rFonts w:ascii="Arial" w:hAnsi="Arial" w:cs="Arial"/>
          <w:sz w:val="20"/>
          <w:szCs w:val="20"/>
          <w:lang w:val="sr-Cyrl-RS"/>
        </w:rPr>
        <w:t>локално развојно планирање</w:t>
      </w:r>
      <w:r w:rsidRPr="00385C66">
        <w:rPr>
          <w:rFonts w:ascii="Arial" w:hAnsi="Arial" w:cs="Arial"/>
          <w:sz w:val="20"/>
          <w:szCs w:val="20"/>
          <w:lang w:val="sr-Cyrl-RS"/>
        </w:rPr>
        <w:t xml:space="preserve"> са новим регулаторним оквиром користећи сопствене ресурсе и капацитете, у обухват ове мере улазе и активности пружања континуиране саветодавне подршке доступне свим градовима и општинама, дораде инструктивних материјала и модела докумената, те обуке за запослене у ЛС са циљем оспособљавања за </w:t>
      </w:r>
      <w:r w:rsidR="007324B5" w:rsidRPr="00385C66">
        <w:rPr>
          <w:rFonts w:ascii="Arial" w:hAnsi="Arial" w:cs="Arial"/>
          <w:sz w:val="20"/>
          <w:szCs w:val="20"/>
          <w:lang w:val="sr-Cyrl-RS"/>
        </w:rPr>
        <w:t>израду</w:t>
      </w:r>
      <w:r w:rsidRPr="00385C66">
        <w:rPr>
          <w:rFonts w:ascii="Arial" w:hAnsi="Arial" w:cs="Arial"/>
          <w:sz w:val="20"/>
          <w:szCs w:val="20"/>
          <w:lang w:val="sr-Cyrl-RS"/>
        </w:rPr>
        <w:t xml:space="preserve"> планских докумената и спровођење пратећих аналитичких и консултативних процеса.</w:t>
      </w:r>
      <w:r w:rsidR="00724595" w:rsidRPr="00385C66">
        <w:rPr>
          <w:rStyle w:val="FootnoteReference"/>
          <w:rFonts w:ascii="Arial" w:hAnsi="Arial" w:cs="Arial"/>
          <w:sz w:val="20"/>
          <w:szCs w:val="20"/>
          <w:lang w:val="sr-Cyrl-RS"/>
        </w:rPr>
        <w:footnoteReference w:id="184"/>
      </w:r>
      <w:r w:rsidR="0037F41D" w:rsidRPr="00385C66">
        <w:rPr>
          <w:rFonts w:ascii="Arial" w:hAnsi="Arial" w:cs="Arial"/>
          <w:sz w:val="20"/>
          <w:szCs w:val="20"/>
          <w:lang w:val="sr-Cyrl-RS"/>
        </w:rPr>
        <w:t xml:space="preserve"> </w:t>
      </w:r>
      <w:r w:rsidR="00300151" w:rsidRPr="00385C66">
        <w:rPr>
          <w:rFonts w:ascii="Arial" w:hAnsi="Arial" w:cs="Arial"/>
          <w:sz w:val="20"/>
          <w:szCs w:val="20"/>
          <w:lang w:val="sr-Cyrl-RS"/>
        </w:rPr>
        <w:t>З</w:t>
      </w:r>
      <w:r w:rsidR="00A25A99" w:rsidRPr="00385C66">
        <w:rPr>
          <w:rFonts w:ascii="Arial" w:hAnsi="Arial" w:cs="Arial"/>
          <w:sz w:val="20"/>
          <w:szCs w:val="20"/>
          <w:lang w:val="sr-Cyrl-RS"/>
        </w:rPr>
        <w:t xml:space="preserve">а </w:t>
      </w:r>
      <w:r w:rsidR="00283D3E" w:rsidRPr="00385C66">
        <w:rPr>
          <w:rFonts w:ascii="Arial" w:hAnsi="Arial" w:cs="Arial"/>
          <w:sz w:val="20"/>
          <w:szCs w:val="20"/>
          <w:lang w:val="sr-Cyrl-RS"/>
        </w:rPr>
        <w:t xml:space="preserve">што </w:t>
      </w:r>
      <w:r w:rsidR="00B74457" w:rsidRPr="00385C66">
        <w:rPr>
          <w:rFonts w:ascii="Arial" w:hAnsi="Arial" w:cs="Arial"/>
          <w:sz w:val="20"/>
          <w:szCs w:val="20"/>
          <w:lang w:val="sr-Cyrl-RS"/>
        </w:rPr>
        <w:t xml:space="preserve">ефективнији </w:t>
      </w:r>
      <w:r w:rsidR="00BF640C" w:rsidRPr="00385C66">
        <w:rPr>
          <w:rFonts w:ascii="Arial" w:hAnsi="Arial" w:cs="Arial"/>
          <w:sz w:val="20"/>
          <w:szCs w:val="20"/>
          <w:lang w:val="sr-Cyrl-RS"/>
        </w:rPr>
        <w:t>учинак</w:t>
      </w:r>
      <w:r w:rsidR="007A3B23" w:rsidRPr="00385C66">
        <w:rPr>
          <w:rFonts w:ascii="Arial" w:hAnsi="Arial" w:cs="Arial"/>
          <w:sz w:val="20"/>
          <w:szCs w:val="20"/>
          <w:lang w:val="sr-Cyrl-RS"/>
        </w:rPr>
        <w:t xml:space="preserve"> ових процеса на локалном нивоу, важно </w:t>
      </w:r>
      <w:r w:rsidR="0068031E" w:rsidRPr="00385C66">
        <w:rPr>
          <w:rFonts w:ascii="Arial" w:hAnsi="Arial" w:cs="Arial"/>
          <w:sz w:val="20"/>
          <w:szCs w:val="20"/>
          <w:lang w:val="sr-Cyrl-RS"/>
        </w:rPr>
        <w:t xml:space="preserve">је </w:t>
      </w:r>
      <w:r w:rsidR="007A3B23" w:rsidRPr="00385C66">
        <w:rPr>
          <w:rFonts w:ascii="Arial" w:hAnsi="Arial" w:cs="Arial"/>
          <w:sz w:val="20"/>
          <w:szCs w:val="20"/>
          <w:lang w:val="sr-Cyrl-RS"/>
        </w:rPr>
        <w:t xml:space="preserve">у оквиру ове </w:t>
      </w:r>
      <w:r w:rsidR="00AD25C4" w:rsidRPr="00385C66">
        <w:rPr>
          <w:rFonts w:ascii="Arial" w:hAnsi="Arial" w:cs="Arial"/>
          <w:sz w:val="20"/>
          <w:szCs w:val="20"/>
          <w:lang w:val="sr-Cyrl-RS"/>
        </w:rPr>
        <w:t xml:space="preserve">мере размотрити измене и допуне </w:t>
      </w:r>
      <w:r w:rsidR="001C6D5B" w:rsidRPr="00385C66">
        <w:rPr>
          <w:rFonts w:ascii="Arial" w:hAnsi="Arial" w:cs="Arial"/>
          <w:sz w:val="20"/>
          <w:szCs w:val="20"/>
          <w:lang w:val="sr-Cyrl-RS"/>
        </w:rPr>
        <w:t xml:space="preserve">Закона о планском систему </w:t>
      </w:r>
      <w:r w:rsidR="00D55F9E" w:rsidRPr="00385C66">
        <w:rPr>
          <w:rFonts w:ascii="Arial" w:hAnsi="Arial" w:cs="Arial"/>
          <w:sz w:val="20"/>
          <w:szCs w:val="20"/>
          <w:lang w:val="sr-Cyrl-RS"/>
        </w:rPr>
        <w:t>са становишта прописаних рокова и интензивирати рад на</w:t>
      </w:r>
      <w:r w:rsidR="00E750F5" w:rsidRPr="00385C66">
        <w:rPr>
          <w:rFonts w:ascii="Arial" w:hAnsi="Arial" w:cs="Arial"/>
          <w:sz w:val="20"/>
          <w:szCs w:val="20"/>
          <w:lang w:val="sr-Cyrl-RS"/>
        </w:rPr>
        <w:t xml:space="preserve"> усклађивању секторских прописа са системским Законом</w:t>
      </w:r>
      <w:r w:rsidR="00D3124F" w:rsidRPr="00385C66">
        <w:rPr>
          <w:rFonts w:ascii="Arial" w:hAnsi="Arial" w:cs="Arial"/>
          <w:sz w:val="20"/>
          <w:szCs w:val="20"/>
          <w:lang w:val="sr-Cyrl-RS"/>
        </w:rPr>
        <w:t xml:space="preserve"> како би се осигурао </w:t>
      </w:r>
      <w:r w:rsidR="00AD25C4" w:rsidRPr="00385C66">
        <w:rPr>
          <w:rFonts w:ascii="Arial" w:hAnsi="Arial" w:cs="Arial"/>
          <w:sz w:val="20"/>
          <w:szCs w:val="20"/>
          <w:lang w:val="sr-Cyrl-RS"/>
        </w:rPr>
        <w:t>ефикасан процес</w:t>
      </w:r>
      <w:r w:rsidR="0059338F" w:rsidRPr="00385C66">
        <w:rPr>
          <w:rFonts w:ascii="Arial" w:hAnsi="Arial" w:cs="Arial"/>
          <w:sz w:val="20"/>
          <w:szCs w:val="20"/>
          <w:lang w:val="sr-Cyrl-RS"/>
        </w:rPr>
        <w:t xml:space="preserve"> развојног планирања у ЈЛС</w:t>
      </w:r>
      <w:r w:rsidR="00B80452" w:rsidRPr="00385C66">
        <w:rPr>
          <w:rFonts w:ascii="Arial" w:hAnsi="Arial" w:cs="Arial"/>
          <w:sz w:val="20"/>
          <w:szCs w:val="20"/>
          <w:lang w:val="sr-Cyrl-RS"/>
        </w:rPr>
        <w:t xml:space="preserve"> </w:t>
      </w:r>
      <w:r w:rsidR="000351F6" w:rsidRPr="00385C66">
        <w:rPr>
          <w:rFonts w:ascii="Arial" w:hAnsi="Arial" w:cs="Arial"/>
          <w:sz w:val="20"/>
          <w:szCs w:val="20"/>
          <w:lang w:val="sr-Cyrl-RS"/>
        </w:rPr>
        <w:t xml:space="preserve">(консолидовање и рационализација планских докумената </w:t>
      </w:r>
      <w:r w:rsidR="00B80452" w:rsidRPr="00385C66">
        <w:rPr>
          <w:rFonts w:ascii="Arial" w:hAnsi="Arial" w:cs="Arial"/>
          <w:sz w:val="20"/>
          <w:szCs w:val="20"/>
          <w:lang w:val="sr-Cyrl-RS"/>
        </w:rPr>
        <w:t>ЈЛС)</w:t>
      </w:r>
      <w:r w:rsidR="0059338F" w:rsidRPr="00385C66">
        <w:rPr>
          <w:rFonts w:ascii="Arial" w:hAnsi="Arial" w:cs="Arial"/>
          <w:sz w:val="20"/>
          <w:szCs w:val="20"/>
          <w:lang w:val="sr-Cyrl-RS"/>
        </w:rPr>
        <w:t>.</w:t>
      </w:r>
      <w:r w:rsidR="005909D5" w:rsidRPr="00385C66">
        <w:rPr>
          <w:rFonts w:ascii="Arial" w:hAnsi="Arial" w:cs="Arial"/>
          <w:sz w:val="20"/>
          <w:szCs w:val="20"/>
          <w:lang w:val="sr-Cyrl-RS"/>
        </w:rPr>
        <w:t xml:space="preserve"> </w:t>
      </w:r>
      <w:r w:rsidRPr="00385C66">
        <w:rPr>
          <w:rFonts w:ascii="Arial" w:hAnsi="Arial" w:cs="Arial"/>
          <w:sz w:val="20"/>
          <w:szCs w:val="20"/>
          <w:lang w:val="sr-Cyrl-RS"/>
        </w:rPr>
        <w:t>Успостављени аналитички сервис ЈЛ</w:t>
      </w:r>
      <w:r w:rsidR="0DFAD29B" w:rsidRPr="00385C66">
        <w:rPr>
          <w:rFonts w:ascii="Arial" w:hAnsi="Arial" w:cs="Arial"/>
          <w:sz w:val="20"/>
          <w:szCs w:val="20"/>
          <w:lang w:val="sr-Cyrl-RS"/>
        </w:rPr>
        <w:t>С</w:t>
      </w:r>
      <w:r w:rsidRPr="00385C66">
        <w:rPr>
          <w:rFonts w:ascii="Arial" w:hAnsi="Arial" w:cs="Arial"/>
          <w:sz w:val="20"/>
          <w:szCs w:val="20"/>
          <w:lang w:val="sr-Cyrl-RS"/>
        </w:rPr>
        <w:t xml:space="preserve"> представља за сада најдиректнију и кориснички адекватну референтну базу података</w:t>
      </w:r>
      <w:r w:rsidR="000E364A" w:rsidRPr="00385C66">
        <w:rPr>
          <w:rFonts w:ascii="Arial" w:hAnsi="Arial" w:cs="Arial"/>
          <w:sz w:val="20"/>
          <w:szCs w:val="20"/>
          <w:lang w:val="sr-Cyrl-RS"/>
        </w:rPr>
        <w:t>,</w:t>
      </w:r>
      <w:r w:rsidRPr="00385C66">
        <w:rPr>
          <w:rFonts w:ascii="Arial" w:hAnsi="Arial" w:cs="Arial"/>
          <w:sz w:val="20"/>
          <w:szCs w:val="20"/>
          <w:lang w:val="sr-Cyrl-RS"/>
        </w:rPr>
        <w:t xml:space="preserve"> </w:t>
      </w:r>
      <w:r w:rsidR="00AD25C4" w:rsidRPr="00385C66">
        <w:rPr>
          <w:rFonts w:ascii="Arial" w:hAnsi="Arial" w:cs="Arial"/>
          <w:sz w:val="20"/>
          <w:szCs w:val="20"/>
          <w:lang w:val="sr-Cyrl-RS"/>
        </w:rPr>
        <w:t>коју користи све већи број ЈЛС. И због тога је</w:t>
      </w:r>
      <w:r w:rsidRPr="00385C66">
        <w:rPr>
          <w:rFonts w:ascii="Arial" w:hAnsi="Arial" w:cs="Arial"/>
          <w:sz w:val="20"/>
          <w:szCs w:val="20"/>
          <w:lang w:val="sr-Cyrl-RS"/>
        </w:rPr>
        <w:t xml:space="preserve"> нужно осигурати </w:t>
      </w:r>
      <w:r w:rsidR="00AD25C4" w:rsidRPr="00385C66">
        <w:rPr>
          <w:rFonts w:ascii="Arial" w:hAnsi="Arial" w:cs="Arial"/>
          <w:sz w:val="20"/>
          <w:szCs w:val="20"/>
          <w:lang w:val="sr-Cyrl-RS"/>
        </w:rPr>
        <w:t>редовно</w:t>
      </w:r>
      <w:r w:rsidRPr="00385C66">
        <w:rPr>
          <w:rFonts w:ascii="Arial" w:hAnsi="Arial" w:cs="Arial"/>
          <w:sz w:val="20"/>
          <w:szCs w:val="20"/>
          <w:lang w:val="sr-Cyrl-RS"/>
        </w:rPr>
        <w:t xml:space="preserve"> ажурирање постојећих</w:t>
      </w:r>
      <w:r w:rsidR="00AD25C4" w:rsidRPr="00385C66">
        <w:rPr>
          <w:rFonts w:ascii="Arial" w:hAnsi="Arial" w:cs="Arial"/>
          <w:sz w:val="20"/>
          <w:szCs w:val="20"/>
          <w:lang w:val="sr-Cyrl-RS"/>
        </w:rPr>
        <w:t xml:space="preserve"> података</w:t>
      </w:r>
      <w:r w:rsidRPr="00385C66">
        <w:rPr>
          <w:rFonts w:ascii="Arial" w:hAnsi="Arial" w:cs="Arial"/>
          <w:sz w:val="20"/>
          <w:szCs w:val="20"/>
          <w:lang w:val="sr-Cyrl-RS"/>
        </w:rPr>
        <w:t xml:space="preserve"> и</w:t>
      </w:r>
      <w:r w:rsidR="00AD25C4" w:rsidRPr="00385C66">
        <w:rPr>
          <w:rFonts w:ascii="Arial" w:hAnsi="Arial" w:cs="Arial"/>
          <w:sz w:val="20"/>
          <w:szCs w:val="20"/>
          <w:lang w:val="sr-Cyrl-RS"/>
        </w:rPr>
        <w:t xml:space="preserve"> проширивање обухвата, увођењем</w:t>
      </w:r>
      <w:r w:rsidRPr="00385C66">
        <w:rPr>
          <w:rFonts w:ascii="Arial" w:hAnsi="Arial" w:cs="Arial"/>
          <w:sz w:val="20"/>
          <w:szCs w:val="20"/>
          <w:lang w:val="sr-Cyrl-RS"/>
        </w:rPr>
        <w:t xml:space="preserve"> нових области и сетова </w:t>
      </w:r>
      <w:r w:rsidR="00AD25C4" w:rsidRPr="00385C66">
        <w:rPr>
          <w:rFonts w:ascii="Arial" w:hAnsi="Arial" w:cs="Arial"/>
          <w:sz w:val="20"/>
          <w:szCs w:val="20"/>
          <w:lang w:val="sr-Cyrl-RS"/>
        </w:rPr>
        <w:t>показатеља</w:t>
      </w:r>
      <w:r w:rsidRPr="00385C66">
        <w:rPr>
          <w:rFonts w:ascii="Arial" w:hAnsi="Arial" w:cs="Arial"/>
          <w:sz w:val="20"/>
          <w:szCs w:val="20"/>
          <w:lang w:val="sr-Cyrl-RS"/>
        </w:rPr>
        <w:t xml:space="preserve"> у </w:t>
      </w:r>
      <w:r w:rsidR="00AD25C4" w:rsidRPr="00385C66">
        <w:rPr>
          <w:rFonts w:ascii="Arial" w:hAnsi="Arial" w:cs="Arial"/>
          <w:sz w:val="20"/>
          <w:szCs w:val="20"/>
          <w:lang w:val="sr-Cyrl-RS"/>
        </w:rPr>
        <w:t>оквиру тог сервиса,</w:t>
      </w:r>
      <w:r w:rsidRPr="00385C66">
        <w:rPr>
          <w:rFonts w:ascii="Arial" w:hAnsi="Arial" w:cs="Arial"/>
          <w:sz w:val="20"/>
          <w:szCs w:val="20"/>
          <w:lang w:val="sr-Cyrl-RS"/>
        </w:rPr>
        <w:t xml:space="preserve"> како би се додатно олакшал</w:t>
      </w:r>
      <w:r w:rsidR="000E364A" w:rsidRPr="00385C66">
        <w:rPr>
          <w:rFonts w:ascii="Arial" w:hAnsi="Arial" w:cs="Arial"/>
          <w:sz w:val="20"/>
          <w:szCs w:val="20"/>
          <w:lang w:val="sr-Cyrl-RS"/>
        </w:rPr>
        <w:t>и</w:t>
      </w:r>
      <w:r w:rsidRPr="00385C66">
        <w:rPr>
          <w:rFonts w:ascii="Arial" w:hAnsi="Arial" w:cs="Arial"/>
          <w:sz w:val="20"/>
          <w:szCs w:val="20"/>
          <w:lang w:val="sr-Cyrl-RS"/>
        </w:rPr>
        <w:t xml:space="preserve"> израда планских докумената ЛС</w:t>
      </w:r>
      <w:r w:rsidR="00AD25C4" w:rsidRPr="00385C66">
        <w:rPr>
          <w:rFonts w:ascii="Arial" w:hAnsi="Arial" w:cs="Arial"/>
          <w:sz w:val="20"/>
          <w:szCs w:val="20"/>
          <w:lang w:val="sr-Cyrl-RS"/>
        </w:rPr>
        <w:t>, као</w:t>
      </w:r>
      <w:r w:rsidRPr="00385C66">
        <w:rPr>
          <w:rFonts w:ascii="Arial" w:hAnsi="Arial" w:cs="Arial"/>
          <w:sz w:val="20"/>
          <w:szCs w:val="20"/>
          <w:lang w:val="sr-Cyrl-RS"/>
        </w:rPr>
        <w:t xml:space="preserve"> и извештавање о њиховом спровођењу и учинцима</w:t>
      </w:r>
      <w:r w:rsidR="4EE3C4EB" w:rsidRPr="00385C66">
        <w:rPr>
          <w:rFonts w:ascii="Arial" w:hAnsi="Arial" w:cs="Arial"/>
          <w:sz w:val="20"/>
          <w:szCs w:val="20"/>
          <w:lang w:val="sr-Cyrl-RS"/>
        </w:rPr>
        <w:t>.</w:t>
      </w:r>
      <w:r w:rsidR="0DFAD29B" w:rsidRPr="00385C66">
        <w:rPr>
          <w:rFonts w:ascii="Arial" w:hAnsi="Arial" w:cs="Arial"/>
          <w:sz w:val="20"/>
          <w:szCs w:val="20"/>
          <w:lang w:val="sr-Cyrl-RS"/>
        </w:rPr>
        <w:t xml:space="preserve"> Коначно, </w:t>
      </w:r>
      <w:r w:rsidRPr="00385C66">
        <w:rPr>
          <w:rFonts w:ascii="Arial" w:hAnsi="Arial" w:cs="Arial"/>
          <w:sz w:val="20"/>
          <w:szCs w:val="20"/>
          <w:lang w:val="sr-Cyrl-RS"/>
        </w:rPr>
        <w:t xml:space="preserve">будући да је </w:t>
      </w:r>
      <w:r w:rsidR="4EE3C4EB" w:rsidRPr="00385C66">
        <w:rPr>
          <w:rFonts w:ascii="Arial" w:hAnsi="Arial" w:cs="Arial"/>
          <w:sz w:val="20"/>
          <w:szCs w:val="20"/>
          <w:lang w:val="sr-Cyrl-RS"/>
        </w:rPr>
        <w:t>потребно</w:t>
      </w:r>
      <w:r w:rsidRPr="00385C66">
        <w:rPr>
          <w:rFonts w:ascii="Arial" w:hAnsi="Arial" w:cs="Arial"/>
          <w:sz w:val="20"/>
          <w:szCs w:val="20"/>
          <w:lang w:val="sr-Cyrl-RS"/>
        </w:rPr>
        <w:t xml:space="preserve"> да градови и општине буду благовремено припремљени за примену стандарда и за услове функционисања по ступању </w:t>
      </w:r>
      <w:r w:rsidR="00AD25C4" w:rsidRPr="00385C66">
        <w:rPr>
          <w:rFonts w:ascii="Arial" w:hAnsi="Arial" w:cs="Arial"/>
          <w:sz w:val="20"/>
          <w:szCs w:val="20"/>
          <w:lang w:val="sr-Cyrl-RS"/>
        </w:rPr>
        <w:t xml:space="preserve">Републике </w:t>
      </w:r>
      <w:r w:rsidRPr="00385C66">
        <w:rPr>
          <w:rFonts w:ascii="Arial" w:hAnsi="Arial" w:cs="Arial"/>
          <w:sz w:val="20"/>
          <w:szCs w:val="20"/>
          <w:lang w:val="sr-Cyrl-RS"/>
        </w:rPr>
        <w:t xml:space="preserve">Србије у чланство ЕУ, у оквиру </w:t>
      </w:r>
      <w:r w:rsidR="00AD25C4" w:rsidRPr="00385C66">
        <w:rPr>
          <w:rFonts w:ascii="Arial" w:hAnsi="Arial" w:cs="Arial"/>
          <w:sz w:val="20"/>
          <w:szCs w:val="20"/>
          <w:lang w:val="sr-Cyrl-RS"/>
        </w:rPr>
        <w:t>ове</w:t>
      </w:r>
      <w:r w:rsidRPr="00385C66">
        <w:rPr>
          <w:rFonts w:ascii="Arial" w:hAnsi="Arial" w:cs="Arial"/>
          <w:sz w:val="20"/>
          <w:szCs w:val="20"/>
          <w:lang w:val="sr-Cyrl-RS"/>
        </w:rPr>
        <w:t xml:space="preserve"> мере </w:t>
      </w:r>
      <w:r w:rsidR="4EE3C4EB" w:rsidRPr="00A021B7">
        <w:rPr>
          <w:rFonts w:ascii="Arial" w:hAnsi="Arial" w:cs="Arial"/>
          <w:sz w:val="20"/>
          <w:szCs w:val="20"/>
          <w:lang w:val="sr-Cyrl-RS"/>
        </w:rPr>
        <w:t xml:space="preserve">посебна пажња биће посвећена и </w:t>
      </w:r>
      <w:r w:rsidR="00AD25C4">
        <w:rPr>
          <w:rFonts w:ascii="Arial" w:hAnsi="Arial" w:cs="Arial"/>
          <w:sz w:val="20"/>
          <w:szCs w:val="20"/>
          <w:lang w:val="sr-Cyrl-RS"/>
        </w:rPr>
        <w:t>оснаживању</w:t>
      </w:r>
      <w:r w:rsidRPr="00A021B7">
        <w:rPr>
          <w:rFonts w:ascii="Arial" w:hAnsi="Arial" w:cs="Arial"/>
          <w:sz w:val="20"/>
          <w:szCs w:val="20"/>
          <w:lang w:val="sr-Cyrl-RS"/>
        </w:rPr>
        <w:t xml:space="preserve"> капацитета ЛС да своје развојно планирање ускладе са могућностима коришћења превасходно претприступних фондова ЕУ и затим структурних и инвестиционих фондова у оквиру кохезионе политике ЕУ (поглавље 22).</w:t>
      </w:r>
    </w:p>
    <w:p w14:paraId="1C4180C9"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p w14:paraId="17F65220" w14:textId="79E8F9C3" w:rsidR="005E6575" w:rsidRPr="00A021B7" w:rsidRDefault="005E6575" w:rsidP="004935B9">
      <w:pPr>
        <w:pStyle w:val="Heading2"/>
        <w:rPr>
          <w:lang w:val="sr-Cyrl-RS"/>
        </w:rPr>
      </w:pPr>
      <w:bookmarkStart w:id="175" w:name="_Toc60136116"/>
      <w:r w:rsidRPr="1A8E6423">
        <w:rPr>
          <w:lang w:val="sr-Cyrl-RS"/>
        </w:rPr>
        <w:t>ПОСЕБНИ ЦИЉ 4: УНАПРЕЂЕН КВАЛИТЕТ И ДОСТУПНОСТ УПРАВНИХ</w:t>
      </w:r>
      <w:r w:rsidR="000E364A" w:rsidRPr="1A8E6423">
        <w:rPr>
          <w:lang w:val="sr-Cyrl-RS"/>
        </w:rPr>
        <w:t xml:space="preserve"> И</w:t>
      </w:r>
      <w:r w:rsidRPr="1A8E6423">
        <w:rPr>
          <w:lang w:val="sr-Cyrl-RS"/>
        </w:rPr>
        <w:t xml:space="preserve"> КОМУНАЛНИХ</w:t>
      </w:r>
      <w:r w:rsidR="000E364A" w:rsidRPr="1A8E6423">
        <w:rPr>
          <w:lang w:val="sr-Cyrl-RS"/>
        </w:rPr>
        <w:t xml:space="preserve"> УСЛУГА</w:t>
      </w:r>
      <w:r w:rsidRPr="1A8E6423">
        <w:rPr>
          <w:lang w:val="sr-Cyrl-RS"/>
        </w:rPr>
        <w:t xml:space="preserve"> И УСЛУГА ЈАВНИХ УСТАНОВА ЛС СВИМ КОРИСНИЦИМА</w:t>
      </w:r>
      <w:bookmarkEnd w:id="175"/>
    </w:p>
    <w:p w14:paraId="5FB94474"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p w14:paraId="61840422" w14:textId="4265184C" w:rsidR="005E6575" w:rsidRPr="00A021B7" w:rsidRDefault="005E6575" w:rsidP="1A8E6423">
      <w:pPr>
        <w:pStyle w:val="Naslov111"/>
        <w:ind w:left="0" w:firstLine="720"/>
        <w:jc w:val="both"/>
        <w:rPr>
          <w:rFonts w:ascii="Arial" w:hAnsi="Arial" w:cs="Arial"/>
          <w:b w:val="0"/>
          <w:noProof w:val="0"/>
          <w:color w:val="000000" w:themeColor="text1"/>
          <w:sz w:val="20"/>
          <w:szCs w:val="20"/>
          <w:lang w:val="sr-Cyrl-RS"/>
        </w:rPr>
      </w:pPr>
      <w:bookmarkStart w:id="176" w:name="_Toc60136117"/>
      <w:r w:rsidRPr="1A8E6423">
        <w:rPr>
          <w:rFonts w:ascii="Arial" w:hAnsi="Arial" w:cs="Arial"/>
          <w:b w:val="0"/>
          <w:noProof w:val="0"/>
          <w:color w:val="000000" w:themeColor="text1"/>
          <w:sz w:val="20"/>
          <w:szCs w:val="20"/>
          <w:lang w:val="sr-Cyrl-RS"/>
        </w:rPr>
        <w:t xml:space="preserve">Овај правац деловања политике усмерен је према крајњим корисницима и </w:t>
      </w:r>
      <w:r w:rsidR="00542921" w:rsidRPr="1A8E6423">
        <w:rPr>
          <w:rFonts w:ascii="Arial" w:hAnsi="Arial" w:cs="Arial"/>
          <w:b w:val="0"/>
          <w:noProof w:val="0"/>
          <w:color w:val="000000" w:themeColor="text1"/>
          <w:sz w:val="20"/>
          <w:szCs w:val="20"/>
          <w:lang w:val="sr-Cyrl-RS"/>
        </w:rPr>
        <w:t xml:space="preserve">његов исход </w:t>
      </w:r>
      <w:r w:rsidRPr="1A8E6423">
        <w:rPr>
          <w:rFonts w:ascii="Arial" w:hAnsi="Arial" w:cs="Arial"/>
          <w:b w:val="0"/>
          <w:noProof w:val="0"/>
          <w:color w:val="000000" w:themeColor="text1"/>
          <w:sz w:val="20"/>
          <w:szCs w:val="20"/>
          <w:lang w:val="sr-Cyrl-RS"/>
        </w:rPr>
        <w:t xml:space="preserve">треба да </w:t>
      </w:r>
      <w:r w:rsidR="00542921" w:rsidRPr="1A8E6423">
        <w:rPr>
          <w:rFonts w:ascii="Arial" w:hAnsi="Arial" w:cs="Arial"/>
          <w:b w:val="0"/>
          <w:noProof w:val="0"/>
          <w:color w:val="000000" w:themeColor="text1"/>
          <w:sz w:val="20"/>
          <w:szCs w:val="20"/>
          <w:lang w:val="sr-Cyrl-RS"/>
        </w:rPr>
        <w:t>буду</w:t>
      </w:r>
      <w:r w:rsidRPr="1A8E6423">
        <w:rPr>
          <w:rFonts w:ascii="Arial" w:hAnsi="Arial" w:cs="Arial"/>
          <w:b w:val="0"/>
          <w:noProof w:val="0"/>
          <w:color w:val="000000" w:themeColor="text1"/>
          <w:sz w:val="20"/>
          <w:szCs w:val="20"/>
          <w:lang w:val="sr-Cyrl-RS"/>
        </w:rPr>
        <w:t xml:space="preserve"> већ</w:t>
      </w:r>
      <w:r w:rsidR="00542921" w:rsidRPr="1A8E6423">
        <w:rPr>
          <w:rFonts w:ascii="Arial" w:hAnsi="Arial" w:cs="Arial"/>
          <w:b w:val="0"/>
          <w:noProof w:val="0"/>
          <w:color w:val="000000" w:themeColor="text1"/>
          <w:sz w:val="20"/>
          <w:szCs w:val="20"/>
          <w:lang w:val="sr-Cyrl-RS"/>
        </w:rPr>
        <w:t>а</w:t>
      </w:r>
      <w:r w:rsidRPr="1A8E6423">
        <w:rPr>
          <w:rFonts w:ascii="Arial" w:hAnsi="Arial" w:cs="Arial"/>
          <w:b w:val="0"/>
          <w:noProof w:val="0"/>
          <w:color w:val="000000" w:themeColor="text1"/>
          <w:sz w:val="20"/>
          <w:szCs w:val="20"/>
          <w:lang w:val="sr-Cyrl-RS"/>
        </w:rPr>
        <w:t xml:space="preserve"> доступност и квалитет услуга локалне самоуправе према грађанима и привреди и последично већи степен њиховог задовољства услугама које добијају од стране локалних органа, организација, установа и предузећа. У оквиру тога, посебно је важно наставити даље реформе управних услуга, кроз поједностављ</w:t>
      </w:r>
      <w:r w:rsidR="00542921" w:rsidRPr="1A8E6423">
        <w:rPr>
          <w:rFonts w:ascii="Arial" w:hAnsi="Arial" w:cs="Arial"/>
          <w:b w:val="0"/>
          <w:noProof w:val="0"/>
          <w:color w:val="000000" w:themeColor="text1"/>
          <w:sz w:val="20"/>
          <w:szCs w:val="20"/>
          <w:lang w:val="sr-Cyrl-RS"/>
        </w:rPr>
        <w:t>е</w:t>
      </w:r>
      <w:r w:rsidRPr="1A8E6423">
        <w:rPr>
          <w:rFonts w:ascii="Arial" w:hAnsi="Arial" w:cs="Arial"/>
          <w:b w:val="0"/>
          <w:noProof w:val="0"/>
          <w:color w:val="000000" w:themeColor="text1"/>
          <w:sz w:val="20"/>
          <w:szCs w:val="20"/>
          <w:lang w:val="sr-Cyrl-RS"/>
        </w:rPr>
        <w:t>ње управних поступака и инте</w:t>
      </w:r>
      <w:r w:rsidR="00542921" w:rsidRPr="1A8E6423">
        <w:rPr>
          <w:rFonts w:ascii="Arial" w:hAnsi="Arial" w:cs="Arial"/>
          <w:b w:val="0"/>
          <w:noProof w:val="0"/>
          <w:color w:val="000000" w:themeColor="text1"/>
          <w:sz w:val="20"/>
          <w:szCs w:val="20"/>
          <w:lang w:val="sr-Cyrl-RS"/>
        </w:rPr>
        <w:t>н</w:t>
      </w:r>
      <w:r w:rsidRPr="1A8E6423">
        <w:rPr>
          <w:rFonts w:ascii="Arial" w:hAnsi="Arial" w:cs="Arial"/>
          <w:b w:val="0"/>
          <w:noProof w:val="0"/>
          <w:color w:val="000000" w:themeColor="text1"/>
          <w:sz w:val="20"/>
          <w:szCs w:val="20"/>
          <w:lang w:val="sr-Cyrl-RS"/>
        </w:rPr>
        <w:t>зиван развој електронске управе и дигиталних услуга локалне самоуправе. Други важан аспекат јесте инте</w:t>
      </w:r>
      <w:r w:rsidR="00542921" w:rsidRPr="1A8E6423">
        <w:rPr>
          <w:rFonts w:ascii="Arial" w:hAnsi="Arial" w:cs="Arial"/>
          <w:b w:val="0"/>
          <w:noProof w:val="0"/>
          <w:color w:val="000000" w:themeColor="text1"/>
          <w:sz w:val="20"/>
          <w:szCs w:val="20"/>
          <w:lang w:val="sr-Cyrl-RS"/>
        </w:rPr>
        <w:t>н</w:t>
      </w:r>
      <w:r w:rsidRPr="1A8E6423">
        <w:rPr>
          <w:rFonts w:ascii="Arial" w:hAnsi="Arial" w:cs="Arial"/>
          <w:b w:val="0"/>
          <w:noProof w:val="0"/>
          <w:color w:val="000000" w:themeColor="text1"/>
          <w:sz w:val="20"/>
          <w:szCs w:val="20"/>
          <w:lang w:val="sr-Cyrl-RS"/>
        </w:rPr>
        <w:t>зиван развој посебно важних надлежности локалне самоуправе</w:t>
      </w:r>
      <w:r w:rsidR="00542921"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као што </w:t>
      </w:r>
      <w:r w:rsidR="00542921" w:rsidRPr="1A8E6423">
        <w:rPr>
          <w:rFonts w:ascii="Arial" w:hAnsi="Arial" w:cs="Arial"/>
          <w:b w:val="0"/>
          <w:noProof w:val="0"/>
          <w:color w:val="000000" w:themeColor="text1"/>
          <w:sz w:val="20"/>
          <w:szCs w:val="20"/>
          <w:lang w:val="sr-Cyrl-RS"/>
        </w:rPr>
        <w:t xml:space="preserve">су </w:t>
      </w:r>
      <w:r w:rsidRPr="1A8E6423">
        <w:rPr>
          <w:rFonts w:ascii="Arial" w:hAnsi="Arial" w:cs="Arial"/>
          <w:b w:val="0"/>
          <w:noProof w:val="0"/>
          <w:color w:val="000000" w:themeColor="text1"/>
          <w:sz w:val="20"/>
          <w:szCs w:val="20"/>
          <w:lang w:val="sr-Cyrl-RS"/>
        </w:rPr>
        <w:t>локални економски развој и подршка локалној привреди</w:t>
      </w:r>
      <w:r w:rsidR="00542921"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јер од њеног јачања и економских потенцијала локалне заједнице, зависе и могућности локалне самоуправе да развија своје друге јавне услуге. Трећи сегмент у оквиру овог правца деловања јесте разматрање, планирање и покретање системских реформи у области услуга јавних установа које су део одговорности локалне </w:t>
      </w:r>
      <w:r w:rsidRPr="1A8E6423">
        <w:rPr>
          <w:rFonts w:ascii="Arial" w:hAnsi="Arial" w:cs="Arial"/>
          <w:b w:val="0"/>
          <w:noProof w:val="0"/>
          <w:color w:val="000000" w:themeColor="text1"/>
          <w:sz w:val="20"/>
          <w:szCs w:val="20"/>
          <w:lang w:val="sr-Cyrl-RS"/>
        </w:rPr>
        <w:lastRenderedPageBreak/>
        <w:t>самоуправе</w:t>
      </w:r>
      <w:r w:rsidR="00542921"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 xml:space="preserve"> као и у области функционисања комуналних делатности и јавних предузећа која су за њих задужена. Са овим је повезан и даљи наставак процеса јачања јавно</w:t>
      </w:r>
      <w:r w:rsidR="00542921" w:rsidRPr="1A8E6423">
        <w:rPr>
          <w:rFonts w:ascii="Arial" w:hAnsi="Arial" w:cs="Arial"/>
          <w:b w:val="0"/>
          <w:noProof w:val="0"/>
          <w:color w:val="000000" w:themeColor="text1"/>
          <w:sz w:val="20"/>
          <w:szCs w:val="20"/>
          <w:lang w:val="sr-Cyrl-RS"/>
        </w:rPr>
        <w:t>-</w:t>
      </w:r>
      <w:r w:rsidRPr="1A8E6423">
        <w:rPr>
          <w:rFonts w:ascii="Arial" w:hAnsi="Arial" w:cs="Arial"/>
          <w:b w:val="0"/>
          <w:noProof w:val="0"/>
          <w:color w:val="000000" w:themeColor="text1"/>
          <w:sz w:val="20"/>
          <w:szCs w:val="20"/>
          <w:lang w:val="sr-Cyrl-RS"/>
        </w:rPr>
        <w:t>приватног партнерства као модела за обезбеђивање ефикаснијих и доступнијих јавних услуга локалне самоуправе.</w:t>
      </w:r>
      <w:bookmarkEnd w:id="176"/>
    </w:p>
    <w:p w14:paraId="209F7F12" w14:textId="77777777" w:rsidR="005E6575" w:rsidRPr="00A021B7" w:rsidRDefault="005E6575" w:rsidP="003E7BC9">
      <w:pPr>
        <w:pStyle w:val="Naslov111"/>
        <w:ind w:left="0" w:firstLine="0"/>
        <w:jc w:val="both"/>
        <w:rPr>
          <w:rFonts w:ascii="Arial" w:hAnsi="Arial" w:cs="Arial"/>
          <w:b w:val="0"/>
          <w:noProof w:val="0"/>
          <w:color w:val="000000" w:themeColor="text1"/>
          <w:sz w:val="20"/>
          <w:szCs w:val="20"/>
          <w:lang w:val="sr-Cyrl-RS"/>
        </w:rPr>
      </w:pPr>
    </w:p>
    <w:tbl>
      <w:tblPr>
        <w:tblStyle w:val="TableGrid"/>
        <w:tblW w:w="8920" w:type="dxa"/>
        <w:tblLayout w:type="fixed"/>
        <w:tblLook w:val="04A0" w:firstRow="1" w:lastRow="0" w:firstColumn="1" w:lastColumn="0" w:noHBand="0" w:noVBand="1"/>
      </w:tblPr>
      <w:tblGrid>
        <w:gridCol w:w="2122"/>
        <w:gridCol w:w="1559"/>
        <w:gridCol w:w="709"/>
        <w:gridCol w:w="1559"/>
        <w:gridCol w:w="1426"/>
        <w:gridCol w:w="842"/>
        <w:gridCol w:w="703"/>
      </w:tblGrid>
      <w:tr w:rsidR="005E6575" w:rsidRPr="00A021B7" w14:paraId="5B9619C5" w14:textId="77777777" w:rsidTr="1A8E6423">
        <w:tc>
          <w:tcPr>
            <w:tcW w:w="2122" w:type="dxa"/>
            <w:vAlign w:val="center"/>
          </w:tcPr>
          <w:p w14:paraId="21DA8C8A"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Показатељ исхода</w:t>
            </w:r>
          </w:p>
        </w:tc>
        <w:tc>
          <w:tcPr>
            <w:tcW w:w="1559" w:type="dxa"/>
            <w:vAlign w:val="center"/>
          </w:tcPr>
          <w:p w14:paraId="584E4A0C" w14:textId="77777777" w:rsidR="005E6575" w:rsidRPr="00A021B7" w:rsidRDefault="005E6575" w:rsidP="003E7BC9">
            <w:pPr>
              <w:pStyle w:val="basic-paragraph"/>
              <w:spacing w:before="0" w:beforeAutospacing="0" w:after="0" w:afterAutospacing="0"/>
              <w:jc w:val="center"/>
              <w:rPr>
                <w:rFonts w:ascii="Arial" w:hAnsi="Arial" w:cs="Arial"/>
                <w:sz w:val="20"/>
                <w:szCs w:val="20"/>
                <w:lang w:val="sr-Cyrl-RS"/>
              </w:rPr>
            </w:pPr>
            <w:r w:rsidRPr="00A021B7">
              <w:rPr>
                <w:rFonts w:ascii="Arial" w:hAnsi="Arial" w:cs="Arial"/>
                <w:sz w:val="20"/>
                <w:szCs w:val="20"/>
                <w:lang w:val="sr-Cyrl-RS"/>
              </w:rPr>
              <w:t>Полазна вредност</w:t>
            </w:r>
          </w:p>
        </w:tc>
        <w:tc>
          <w:tcPr>
            <w:tcW w:w="709" w:type="dxa"/>
            <w:vAlign w:val="center"/>
          </w:tcPr>
          <w:p w14:paraId="4E7B85E0" w14:textId="147C2E15"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2021</w:t>
            </w:r>
            <w:r w:rsidR="00542921" w:rsidRPr="1A8E6423">
              <w:rPr>
                <w:rFonts w:ascii="Arial" w:hAnsi="Arial" w:cs="Arial"/>
                <w:sz w:val="20"/>
                <w:szCs w:val="20"/>
                <w:lang w:val="sr-Cyrl-RS"/>
              </w:rPr>
              <w:t>.</w:t>
            </w:r>
          </w:p>
        </w:tc>
        <w:tc>
          <w:tcPr>
            <w:tcW w:w="1559" w:type="dxa"/>
            <w:vAlign w:val="center"/>
          </w:tcPr>
          <w:p w14:paraId="73CBC235" w14:textId="7B00909A"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2022</w:t>
            </w:r>
            <w:r w:rsidR="00542921" w:rsidRPr="1A8E6423">
              <w:rPr>
                <w:rFonts w:ascii="Arial" w:hAnsi="Arial" w:cs="Arial"/>
                <w:sz w:val="20"/>
                <w:szCs w:val="20"/>
                <w:lang w:val="sr-Cyrl-RS"/>
              </w:rPr>
              <w:t>.</w:t>
            </w:r>
          </w:p>
        </w:tc>
        <w:tc>
          <w:tcPr>
            <w:tcW w:w="1426" w:type="dxa"/>
            <w:vAlign w:val="center"/>
          </w:tcPr>
          <w:p w14:paraId="6AE6514E" w14:textId="5FB84DE4"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2023</w:t>
            </w:r>
            <w:r w:rsidR="00542921" w:rsidRPr="1A8E6423">
              <w:rPr>
                <w:rFonts w:ascii="Arial" w:hAnsi="Arial" w:cs="Arial"/>
                <w:sz w:val="20"/>
                <w:szCs w:val="20"/>
                <w:lang w:val="sr-Cyrl-RS"/>
              </w:rPr>
              <w:t>.</w:t>
            </w:r>
          </w:p>
        </w:tc>
        <w:tc>
          <w:tcPr>
            <w:tcW w:w="842" w:type="dxa"/>
            <w:vAlign w:val="center"/>
          </w:tcPr>
          <w:p w14:paraId="20CA0676" w14:textId="3C911E09"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2024</w:t>
            </w:r>
            <w:r w:rsidR="00542921" w:rsidRPr="1A8E6423">
              <w:rPr>
                <w:rFonts w:ascii="Arial" w:hAnsi="Arial" w:cs="Arial"/>
                <w:sz w:val="20"/>
                <w:szCs w:val="20"/>
                <w:lang w:val="sr-Cyrl-RS"/>
              </w:rPr>
              <w:t>.</w:t>
            </w:r>
          </w:p>
        </w:tc>
        <w:tc>
          <w:tcPr>
            <w:tcW w:w="703" w:type="dxa"/>
            <w:vAlign w:val="center"/>
          </w:tcPr>
          <w:p w14:paraId="0166B0B7" w14:textId="263A22ED" w:rsidR="005E6575" w:rsidRPr="00A021B7" w:rsidRDefault="005E6575" w:rsidP="1A8E6423">
            <w:pPr>
              <w:pStyle w:val="basic-paragraph"/>
              <w:spacing w:before="0" w:beforeAutospacing="0" w:after="0" w:afterAutospacing="0"/>
              <w:jc w:val="center"/>
              <w:rPr>
                <w:rFonts w:ascii="Arial" w:hAnsi="Arial" w:cs="Arial"/>
                <w:sz w:val="20"/>
                <w:szCs w:val="20"/>
                <w:lang w:val="sr-Cyrl-RS"/>
              </w:rPr>
            </w:pPr>
            <w:r w:rsidRPr="1A8E6423">
              <w:rPr>
                <w:rFonts w:ascii="Arial" w:hAnsi="Arial" w:cs="Arial"/>
                <w:sz w:val="20"/>
                <w:szCs w:val="20"/>
                <w:lang w:val="sr-Cyrl-RS"/>
              </w:rPr>
              <w:t>2025</w:t>
            </w:r>
            <w:r w:rsidR="00542921" w:rsidRPr="1A8E6423">
              <w:rPr>
                <w:rFonts w:ascii="Arial" w:hAnsi="Arial" w:cs="Arial"/>
                <w:sz w:val="20"/>
                <w:szCs w:val="20"/>
                <w:lang w:val="sr-Cyrl-RS"/>
              </w:rPr>
              <w:t>.</w:t>
            </w:r>
          </w:p>
        </w:tc>
      </w:tr>
      <w:tr w:rsidR="0001238F" w:rsidRPr="00A021B7" w14:paraId="6301D486" w14:textId="77777777" w:rsidTr="1A8E6423">
        <w:tc>
          <w:tcPr>
            <w:tcW w:w="2122" w:type="dxa"/>
            <w:vAlign w:val="center"/>
          </w:tcPr>
          <w:p w14:paraId="28678ABD" w14:textId="459DC0F9" w:rsidR="0001238F" w:rsidRPr="00A021B7" w:rsidRDefault="6F796844" w:rsidP="1A8E6423">
            <w:pPr>
              <w:pStyle w:val="basic-paragraph"/>
              <w:spacing w:before="0" w:beforeAutospacing="0" w:after="0" w:afterAutospacing="0"/>
              <w:rPr>
                <w:rFonts w:ascii="Arial" w:hAnsi="Arial" w:cs="Arial"/>
                <w:sz w:val="20"/>
                <w:szCs w:val="20"/>
                <w:lang w:val="sr-Cyrl-RS"/>
              </w:rPr>
            </w:pPr>
            <w:r w:rsidRPr="1A8E6423">
              <w:rPr>
                <w:rFonts w:ascii="Arial" w:hAnsi="Arial" w:cs="Arial"/>
                <w:i/>
                <w:iCs/>
                <w:color w:val="000000" w:themeColor="text1"/>
                <w:sz w:val="20"/>
                <w:szCs w:val="20"/>
                <w:lang w:val="sr-Cyrl-RS"/>
              </w:rPr>
              <w:t xml:space="preserve">Доступност и квалитет </w:t>
            </w:r>
            <w:r w:rsidR="00542921" w:rsidRPr="1A8E6423">
              <w:rPr>
                <w:rFonts w:ascii="Arial" w:hAnsi="Arial" w:cs="Arial"/>
                <w:i/>
                <w:iCs/>
                <w:color w:val="000000" w:themeColor="text1"/>
                <w:sz w:val="20"/>
                <w:szCs w:val="20"/>
                <w:lang w:val="sr-Cyrl-RS"/>
              </w:rPr>
              <w:t>пружања</w:t>
            </w:r>
            <w:r w:rsidRPr="1A8E6423">
              <w:rPr>
                <w:rFonts w:ascii="Arial" w:hAnsi="Arial" w:cs="Arial"/>
                <w:i/>
                <w:iCs/>
                <w:color w:val="000000" w:themeColor="text1"/>
                <w:sz w:val="20"/>
                <w:szCs w:val="20"/>
                <w:lang w:val="sr-Cyrl-RS"/>
              </w:rPr>
              <w:t xml:space="preserve"> приоритетних управних услуга локалне самоуправе</w:t>
            </w:r>
          </w:p>
        </w:tc>
        <w:tc>
          <w:tcPr>
            <w:tcW w:w="1559" w:type="dxa"/>
            <w:vAlign w:val="center"/>
          </w:tcPr>
          <w:p w14:paraId="27423061" w14:textId="52DB78CF" w:rsidR="0001238F" w:rsidRPr="00A021B7" w:rsidRDefault="0001238F" w:rsidP="0001238F">
            <w:pPr>
              <w:pStyle w:val="basic-paragraph"/>
              <w:spacing w:before="0" w:beforeAutospacing="0" w:after="0" w:afterAutospacing="0"/>
              <w:rPr>
                <w:rFonts w:ascii="Arial" w:hAnsi="Arial" w:cs="Arial"/>
                <w:sz w:val="20"/>
                <w:szCs w:val="20"/>
                <w:lang w:val="sr-Cyrl-RS"/>
              </w:rPr>
            </w:pPr>
            <w:r w:rsidRPr="00A021B7">
              <w:rPr>
                <w:rFonts w:ascii="Arial" w:hAnsi="Arial" w:cs="Arial"/>
                <w:color w:val="000000"/>
                <w:sz w:val="20"/>
                <w:szCs w:val="20"/>
                <w:lang w:val="sr-Cyrl-RS"/>
              </w:rPr>
              <w:t>Не постоји свеобухватни алат за мерење доступности и квалитета услуга ЈЛС у овој области</w:t>
            </w:r>
          </w:p>
        </w:tc>
        <w:tc>
          <w:tcPr>
            <w:tcW w:w="709" w:type="dxa"/>
          </w:tcPr>
          <w:p w14:paraId="3146CA29" w14:textId="77777777" w:rsidR="0001238F" w:rsidRPr="00A021B7" w:rsidRDefault="0001238F" w:rsidP="0001238F">
            <w:pPr>
              <w:pStyle w:val="basic-paragraph"/>
              <w:spacing w:before="0" w:beforeAutospacing="0" w:after="0" w:afterAutospacing="0"/>
              <w:rPr>
                <w:rFonts w:ascii="Arial" w:hAnsi="Arial" w:cs="Arial"/>
                <w:sz w:val="20"/>
                <w:szCs w:val="20"/>
                <w:lang w:val="sr-Cyrl-RS"/>
              </w:rPr>
            </w:pPr>
          </w:p>
        </w:tc>
        <w:tc>
          <w:tcPr>
            <w:tcW w:w="1559" w:type="dxa"/>
            <w:vAlign w:val="center"/>
          </w:tcPr>
          <w:p w14:paraId="03C66755" w14:textId="2CC55DD9" w:rsidR="0001238F" w:rsidRPr="00A021B7" w:rsidRDefault="0001238F" w:rsidP="0001238F">
            <w:pPr>
              <w:pStyle w:val="basic-paragraph"/>
              <w:spacing w:before="0" w:beforeAutospacing="0" w:after="0" w:afterAutospacing="0"/>
              <w:rPr>
                <w:rFonts w:ascii="Arial" w:hAnsi="Arial" w:cs="Arial"/>
                <w:sz w:val="20"/>
                <w:szCs w:val="20"/>
                <w:lang w:val="sr-Cyrl-RS"/>
              </w:rPr>
            </w:pPr>
            <w:r w:rsidRPr="00A021B7">
              <w:rPr>
                <w:rFonts w:ascii="Arial" w:hAnsi="Arial" w:cs="Arial"/>
                <w:color w:val="000000"/>
                <w:sz w:val="20"/>
                <w:szCs w:val="20"/>
                <w:lang w:val="sr-Cyrl-RS"/>
              </w:rPr>
              <w:t>Израђен индекс за мерење доступност</w:t>
            </w:r>
            <w:r w:rsidR="001827A8" w:rsidRPr="00A021B7">
              <w:rPr>
                <w:rFonts w:ascii="Arial" w:hAnsi="Arial" w:cs="Arial"/>
                <w:color w:val="000000"/>
                <w:sz w:val="20"/>
                <w:szCs w:val="20"/>
                <w:lang w:val="sr-Cyrl-RS"/>
              </w:rPr>
              <w:t xml:space="preserve">и </w:t>
            </w:r>
            <w:r w:rsidRPr="00A021B7">
              <w:rPr>
                <w:rFonts w:ascii="Arial" w:hAnsi="Arial" w:cs="Arial"/>
                <w:color w:val="000000"/>
                <w:sz w:val="20"/>
                <w:szCs w:val="20"/>
                <w:lang w:val="sr-Cyrl-RS"/>
              </w:rPr>
              <w:t>и квалитета услуга ЈЛС</w:t>
            </w:r>
          </w:p>
        </w:tc>
        <w:tc>
          <w:tcPr>
            <w:tcW w:w="1426" w:type="dxa"/>
            <w:vAlign w:val="center"/>
          </w:tcPr>
          <w:p w14:paraId="6D76D296" w14:textId="5AFCFC53" w:rsidR="0001238F" w:rsidRPr="00A021B7" w:rsidRDefault="6F796844" w:rsidP="1A8E6423">
            <w:pPr>
              <w:pStyle w:val="basic-paragraph"/>
              <w:spacing w:before="0" w:beforeAutospacing="0" w:after="0" w:afterAutospacing="0"/>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Извршено прво мерење стања</w:t>
            </w:r>
            <w:r w:rsidR="00542921" w:rsidRPr="1A8E6423">
              <w:rPr>
                <w:rFonts w:ascii="Arial" w:hAnsi="Arial" w:cs="Arial"/>
                <w:color w:val="000000" w:themeColor="text1"/>
                <w:sz w:val="20"/>
                <w:szCs w:val="20"/>
                <w:lang w:val="sr-Cyrl-RS"/>
              </w:rPr>
              <w:t xml:space="preserve"> помоћу</w:t>
            </w:r>
            <w:r w:rsidRPr="1A8E6423">
              <w:rPr>
                <w:rFonts w:ascii="Arial" w:hAnsi="Arial" w:cs="Arial"/>
                <w:color w:val="000000" w:themeColor="text1"/>
                <w:sz w:val="20"/>
                <w:szCs w:val="20"/>
                <w:lang w:val="sr-Cyrl-RS"/>
              </w:rPr>
              <w:t xml:space="preserve"> индекса</w:t>
            </w:r>
          </w:p>
        </w:tc>
        <w:tc>
          <w:tcPr>
            <w:tcW w:w="842" w:type="dxa"/>
          </w:tcPr>
          <w:p w14:paraId="0279B2DE" w14:textId="77777777" w:rsidR="0001238F" w:rsidRPr="00A021B7" w:rsidRDefault="0001238F" w:rsidP="0001238F">
            <w:pPr>
              <w:pStyle w:val="basic-paragraph"/>
              <w:spacing w:before="0" w:beforeAutospacing="0" w:after="0" w:afterAutospacing="0"/>
              <w:rPr>
                <w:rFonts w:ascii="Arial" w:hAnsi="Arial" w:cs="Arial"/>
                <w:sz w:val="20"/>
                <w:szCs w:val="20"/>
                <w:lang w:val="sr-Cyrl-RS"/>
              </w:rPr>
            </w:pPr>
          </w:p>
        </w:tc>
        <w:tc>
          <w:tcPr>
            <w:tcW w:w="703" w:type="dxa"/>
          </w:tcPr>
          <w:p w14:paraId="11CF9132" w14:textId="77777777" w:rsidR="0001238F" w:rsidRPr="00A021B7" w:rsidRDefault="0001238F" w:rsidP="0001238F">
            <w:pPr>
              <w:pStyle w:val="basic-paragraph"/>
              <w:spacing w:before="0" w:beforeAutospacing="0" w:after="0" w:afterAutospacing="0"/>
              <w:rPr>
                <w:rFonts w:ascii="Arial" w:hAnsi="Arial" w:cs="Arial"/>
                <w:sz w:val="20"/>
                <w:szCs w:val="20"/>
                <w:lang w:val="sr-Cyrl-RS"/>
              </w:rPr>
            </w:pPr>
          </w:p>
        </w:tc>
      </w:tr>
      <w:tr w:rsidR="0001238F" w:rsidRPr="00A021B7" w14:paraId="3731AA74" w14:textId="77777777" w:rsidTr="1A8E6423">
        <w:tc>
          <w:tcPr>
            <w:tcW w:w="2122" w:type="dxa"/>
            <w:vAlign w:val="center"/>
          </w:tcPr>
          <w:p w14:paraId="584313B6" w14:textId="2CF43B52" w:rsidR="0001238F" w:rsidRPr="00A021B7" w:rsidRDefault="6F796844" w:rsidP="1A8E6423">
            <w:pPr>
              <w:pStyle w:val="basic-paragraph"/>
              <w:spacing w:before="0" w:beforeAutospacing="0" w:after="0" w:afterAutospacing="0"/>
              <w:rPr>
                <w:rFonts w:ascii="Arial" w:hAnsi="Arial" w:cs="Arial"/>
                <w:sz w:val="20"/>
                <w:szCs w:val="20"/>
                <w:lang w:val="sr-Cyrl-RS"/>
              </w:rPr>
            </w:pPr>
            <w:r w:rsidRPr="1A8E6423">
              <w:rPr>
                <w:rFonts w:ascii="Arial" w:hAnsi="Arial" w:cs="Arial"/>
                <w:i/>
                <w:iCs/>
                <w:color w:val="000000" w:themeColor="text1"/>
                <w:sz w:val="20"/>
                <w:szCs w:val="20"/>
                <w:lang w:val="sr-Cyrl-RS"/>
              </w:rPr>
              <w:t xml:space="preserve">Доступност и квалитет </w:t>
            </w:r>
            <w:r w:rsidR="00542921" w:rsidRPr="1A8E6423">
              <w:rPr>
                <w:rFonts w:ascii="Arial" w:hAnsi="Arial" w:cs="Arial"/>
                <w:i/>
                <w:iCs/>
                <w:color w:val="000000" w:themeColor="text1"/>
                <w:sz w:val="20"/>
                <w:szCs w:val="20"/>
                <w:lang w:val="sr-Cyrl-RS"/>
              </w:rPr>
              <w:t>пружања</w:t>
            </w:r>
            <w:r w:rsidRPr="1A8E6423">
              <w:rPr>
                <w:rFonts w:ascii="Arial" w:hAnsi="Arial" w:cs="Arial"/>
                <w:i/>
                <w:iCs/>
                <w:color w:val="000000" w:themeColor="text1"/>
                <w:sz w:val="20"/>
                <w:szCs w:val="20"/>
                <w:lang w:val="sr-Cyrl-RS"/>
              </w:rPr>
              <w:t xml:space="preserve"> приоритетних услуга јавних установа локалне самоуправе</w:t>
            </w:r>
          </w:p>
        </w:tc>
        <w:tc>
          <w:tcPr>
            <w:tcW w:w="1559" w:type="dxa"/>
            <w:vAlign w:val="center"/>
          </w:tcPr>
          <w:p w14:paraId="205810B3" w14:textId="48B68F77" w:rsidR="0001238F" w:rsidRPr="00A021B7" w:rsidRDefault="0001238F" w:rsidP="0001238F">
            <w:pPr>
              <w:pStyle w:val="basic-paragraph"/>
              <w:spacing w:before="0" w:beforeAutospacing="0" w:after="0" w:afterAutospacing="0"/>
              <w:rPr>
                <w:rFonts w:ascii="Arial" w:hAnsi="Arial" w:cs="Arial"/>
                <w:sz w:val="20"/>
                <w:szCs w:val="20"/>
                <w:lang w:val="sr-Cyrl-RS"/>
              </w:rPr>
            </w:pPr>
            <w:r w:rsidRPr="00A021B7">
              <w:rPr>
                <w:rFonts w:ascii="Arial" w:hAnsi="Arial" w:cs="Arial"/>
                <w:color w:val="000000"/>
                <w:sz w:val="20"/>
                <w:szCs w:val="20"/>
                <w:lang w:val="sr-Cyrl-RS"/>
              </w:rPr>
              <w:t>Не постоји свеобухватни алат за мерење доступности и квалитета услуга ЈЛС у овој области</w:t>
            </w:r>
          </w:p>
        </w:tc>
        <w:tc>
          <w:tcPr>
            <w:tcW w:w="709" w:type="dxa"/>
          </w:tcPr>
          <w:p w14:paraId="6D8565DC" w14:textId="77777777" w:rsidR="0001238F" w:rsidRPr="00A021B7" w:rsidRDefault="0001238F" w:rsidP="0001238F">
            <w:pPr>
              <w:pStyle w:val="basic-paragraph"/>
              <w:spacing w:before="0" w:beforeAutospacing="0" w:after="0" w:afterAutospacing="0"/>
              <w:rPr>
                <w:rFonts w:ascii="Arial" w:hAnsi="Arial" w:cs="Arial"/>
                <w:sz w:val="20"/>
                <w:szCs w:val="20"/>
                <w:lang w:val="sr-Cyrl-RS"/>
              </w:rPr>
            </w:pPr>
          </w:p>
        </w:tc>
        <w:tc>
          <w:tcPr>
            <w:tcW w:w="1559" w:type="dxa"/>
            <w:vAlign w:val="center"/>
          </w:tcPr>
          <w:p w14:paraId="31A1AA06" w14:textId="450DA360" w:rsidR="0001238F" w:rsidRPr="00A021B7" w:rsidRDefault="001827A8" w:rsidP="0001238F">
            <w:pPr>
              <w:pStyle w:val="basic-paragraph"/>
              <w:spacing w:before="0" w:beforeAutospacing="0" w:after="0" w:afterAutospacing="0"/>
              <w:rPr>
                <w:rFonts w:ascii="Arial" w:hAnsi="Arial" w:cs="Arial"/>
                <w:sz w:val="20"/>
                <w:szCs w:val="20"/>
                <w:lang w:val="sr-Cyrl-RS"/>
              </w:rPr>
            </w:pPr>
            <w:r w:rsidRPr="00A021B7">
              <w:rPr>
                <w:rFonts w:ascii="Arial" w:hAnsi="Arial" w:cs="Arial"/>
                <w:color w:val="000000"/>
                <w:sz w:val="20"/>
                <w:szCs w:val="20"/>
                <w:lang w:val="sr-Cyrl-RS"/>
              </w:rPr>
              <w:t>Израђен индекс за мерење доступности и квалитета услуга ЈЛС</w:t>
            </w:r>
          </w:p>
        </w:tc>
        <w:tc>
          <w:tcPr>
            <w:tcW w:w="1426" w:type="dxa"/>
            <w:vAlign w:val="center"/>
          </w:tcPr>
          <w:p w14:paraId="220480D2" w14:textId="7CF6BD44" w:rsidR="0001238F" w:rsidRPr="00A021B7" w:rsidRDefault="5297C1F2" w:rsidP="1A8E6423">
            <w:pPr>
              <w:pStyle w:val="basic-paragraph"/>
              <w:spacing w:before="0" w:beforeAutospacing="0" w:after="0" w:afterAutospacing="0"/>
              <w:rPr>
                <w:rFonts w:ascii="Arial" w:hAnsi="Arial" w:cs="Arial"/>
                <w:sz w:val="20"/>
                <w:szCs w:val="20"/>
                <w:lang w:val="sr-Cyrl-RS"/>
              </w:rPr>
            </w:pPr>
            <w:r w:rsidRPr="1A8E6423">
              <w:rPr>
                <w:rFonts w:ascii="Arial" w:hAnsi="Arial" w:cs="Arial"/>
                <w:color w:val="000000" w:themeColor="text1"/>
                <w:sz w:val="20"/>
                <w:szCs w:val="20"/>
                <w:lang w:val="sr-Cyrl-RS"/>
              </w:rPr>
              <w:t xml:space="preserve">Извршено прво мерење стања </w:t>
            </w:r>
            <w:r w:rsidR="00542921" w:rsidRPr="1A8E6423">
              <w:rPr>
                <w:rFonts w:ascii="Arial" w:hAnsi="Arial" w:cs="Arial"/>
                <w:color w:val="000000" w:themeColor="text1"/>
                <w:sz w:val="20"/>
                <w:szCs w:val="20"/>
                <w:lang w:val="sr-Cyrl-RS"/>
              </w:rPr>
              <w:t xml:space="preserve">помоћу </w:t>
            </w:r>
            <w:r w:rsidRPr="1A8E6423">
              <w:rPr>
                <w:rFonts w:ascii="Arial" w:hAnsi="Arial" w:cs="Arial"/>
                <w:color w:val="000000" w:themeColor="text1"/>
                <w:sz w:val="20"/>
                <w:szCs w:val="20"/>
                <w:lang w:val="sr-Cyrl-RS"/>
              </w:rPr>
              <w:t>индекса</w:t>
            </w:r>
          </w:p>
        </w:tc>
        <w:tc>
          <w:tcPr>
            <w:tcW w:w="842" w:type="dxa"/>
          </w:tcPr>
          <w:p w14:paraId="21CECD8F" w14:textId="77777777" w:rsidR="0001238F" w:rsidRPr="00A021B7" w:rsidRDefault="0001238F" w:rsidP="0001238F">
            <w:pPr>
              <w:pStyle w:val="basic-paragraph"/>
              <w:spacing w:before="0" w:beforeAutospacing="0" w:after="0" w:afterAutospacing="0"/>
              <w:rPr>
                <w:rFonts w:ascii="Arial" w:hAnsi="Arial" w:cs="Arial"/>
                <w:sz w:val="20"/>
                <w:szCs w:val="20"/>
                <w:lang w:val="sr-Cyrl-RS"/>
              </w:rPr>
            </w:pPr>
          </w:p>
        </w:tc>
        <w:tc>
          <w:tcPr>
            <w:tcW w:w="703" w:type="dxa"/>
          </w:tcPr>
          <w:p w14:paraId="15B0B58D" w14:textId="77777777" w:rsidR="0001238F" w:rsidRPr="00A021B7" w:rsidRDefault="0001238F" w:rsidP="0001238F">
            <w:pPr>
              <w:pStyle w:val="basic-paragraph"/>
              <w:spacing w:before="0" w:beforeAutospacing="0" w:after="0" w:afterAutospacing="0"/>
              <w:rPr>
                <w:rFonts w:ascii="Arial" w:hAnsi="Arial" w:cs="Arial"/>
                <w:sz w:val="20"/>
                <w:szCs w:val="20"/>
                <w:lang w:val="sr-Cyrl-RS"/>
              </w:rPr>
            </w:pPr>
          </w:p>
        </w:tc>
      </w:tr>
      <w:tr w:rsidR="0001238F" w:rsidRPr="00A021B7" w14:paraId="0F489813" w14:textId="77777777" w:rsidTr="1A8E6423">
        <w:tc>
          <w:tcPr>
            <w:tcW w:w="2122" w:type="dxa"/>
            <w:vAlign w:val="center"/>
          </w:tcPr>
          <w:p w14:paraId="076501E1" w14:textId="5AEF3A55" w:rsidR="0001238F" w:rsidRPr="00A021B7" w:rsidRDefault="6F796844" w:rsidP="1A8E6423">
            <w:pPr>
              <w:pStyle w:val="basic-paragraph"/>
              <w:spacing w:before="0" w:beforeAutospacing="0" w:after="0" w:afterAutospacing="0"/>
              <w:rPr>
                <w:rFonts w:ascii="Arial" w:hAnsi="Arial" w:cs="Arial"/>
                <w:color w:val="000000" w:themeColor="text1"/>
                <w:sz w:val="20"/>
                <w:szCs w:val="20"/>
                <w:lang w:val="sr-Cyrl-RS"/>
              </w:rPr>
            </w:pPr>
            <w:r w:rsidRPr="1A8E6423">
              <w:rPr>
                <w:rFonts w:ascii="Arial" w:hAnsi="Arial" w:cs="Arial"/>
                <w:i/>
                <w:iCs/>
                <w:color w:val="000000" w:themeColor="text1"/>
                <w:sz w:val="20"/>
                <w:szCs w:val="20"/>
                <w:lang w:val="sr-Cyrl-RS"/>
              </w:rPr>
              <w:t xml:space="preserve">Доступност и квалитет </w:t>
            </w:r>
            <w:r w:rsidR="00542921" w:rsidRPr="1A8E6423">
              <w:rPr>
                <w:rFonts w:ascii="Arial" w:hAnsi="Arial" w:cs="Arial"/>
                <w:i/>
                <w:iCs/>
                <w:color w:val="000000" w:themeColor="text1"/>
                <w:sz w:val="20"/>
                <w:szCs w:val="20"/>
                <w:lang w:val="sr-Cyrl-RS"/>
              </w:rPr>
              <w:t>пружања</w:t>
            </w:r>
            <w:r w:rsidRPr="1A8E6423">
              <w:rPr>
                <w:rFonts w:ascii="Arial" w:hAnsi="Arial" w:cs="Arial"/>
                <w:i/>
                <w:iCs/>
                <w:color w:val="000000" w:themeColor="text1"/>
                <w:sz w:val="20"/>
                <w:szCs w:val="20"/>
                <w:lang w:val="sr-Cyrl-RS"/>
              </w:rPr>
              <w:t xml:space="preserve"> приоритетних комуналних услуга локалне самоуправе</w:t>
            </w:r>
          </w:p>
        </w:tc>
        <w:tc>
          <w:tcPr>
            <w:tcW w:w="1559" w:type="dxa"/>
            <w:vAlign w:val="center"/>
          </w:tcPr>
          <w:p w14:paraId="4905D121" w14:textId="1EAAA226" w:rsidR="0001238F" w:rsidRPr="00A021B7" w:rsidRDefault="0001238F" w:rsidP="0001238F">
            <w:pPr>
              <w:pStyle w:val="basic-paragraph"/>
              <w:spacing w:before="0" w:beforeAutospacing="0" w:after="0" w:afterAutospacing="0"/>
              <w:rPr>
                <w:rFonts w:ascii="Arial" w:hAnsi="Arial" w:cs="Arial"/>
                <w:iCs/>
                <w:sz w:val="20"/>
                <w:szCs w:val="20"/>
                <w:lang w:val="sr-Cyrl-RS"/>
              </w:rPr>
            </w:pPr>
            <w:r w:rsidRPr="00A021B7">
              <w:rPr>
                <w:rFonts w:ascii="Arial" w:hAnsi="Arial" w:cs="Arial"/>
                <w:color w:val="000000"/>
                <w:sz w:val="20"/>
                <w:szCs w:val="20"/>
                <w:lang w:val="sr-Cyrl-RS"/>
              </w:rPr>
              <w:t>Не постоји свеобухватни алат за мерење доступности и квалитета услуга ЈЛС у овој области</w:t>
            </w:r>
          </w:p>
        </w:tc>
        <w:tc>
          <w:tcPr>
            <w:tcW w:w="709" w:type="dxa"/>
          </w:tcPr>
          <w:p w14:paraId="7F34C842" w14:textId="77777777" w:rsidR="0001238F" w:rsidRPr="00A021B7" w:rsidRDefault="0001238F" w:rsidP="0001238F">
            <w:pPr>
              <w:pStyle w:val="basic-paragraph"/>
              <w:spacing w:before="0" w:beforeAutospacing="0" w:after="0" w:afterAutospacing="0"/>
              <w:rPr>
                <w:rFonts w:ascii="Arial" w:hAnsi="Arial" w:cs="Arial"/>
                <w:iCs/>
                <w:sz w:val="20"/>
                <w:szCs w:val="20"/>
                <w:lang w:val="sr-Cyrl-RS"/>
              </w:rPr>
            </w:pPr>
          </w:p>
        </w:tc>
        <w:tc>
          <w:tcPr>
            <w:tcW w:w="1559" w:type="dxa"/>
            <w:vAlign w:val="center"/>
          </w:tcPr>
          <w:p w14:paraId="26F3940C" w14:textId="677968B3" w:rsidR="0001238F" w:rsidRPr="00A021B7" w:rsidRDefault="001827A8" w:rsidP="0001238F">
            <w:pPr>
              <w:pStyle w:val="basic-paragraph"/>
              <w:spacing w:before="0" w:beforeAutospacing="0" w:after="0" w:afterAutospacing="0"/>
              <w:rPr>
                <w:rFonts w:ascii="Arial" w:hAnsi="Arial" w:cs="Arial"/>
                <w:iCs/>
                <w:sz w:val="20"/>
                <w:szCs w:val="20"/>
                <w:lang w:val="sr-Cyrl-RS"/>
              </w:rPr>
            </w:pPr>
            <w:r w:rsidRPr="00A021B7">
              <w:rPr>
                <w:rFonts w:ascii="Arial" w:hAnsi="Arial" w:cs="Arial"/>
                <w:color w:val="000000"/>
                <w:sz w:val="20"/>
                <w:szCs w:val="20"/>
                <w:lang w:val="sr-Cyrl-RS"/>
              </w:rPr>
              <w:t>Израђен индекс за мерење доступности и квалитета услуга ЈЛС</w:t>
            </w:r>
          </w:p>
        </w:tc>
        <w:tc>
          <w:tcPr>
            <w:tcW w:w="1426" w:type="dxa"/>
            <w:vAlign w:val="center"/>
          </w:tcPr>
          <w:p w14:paraId="698364CD" w14:textId="14CE1F2B" w:rsidR="0001238F" w:rsidRPr="00A021B7" w:rsidRDefault="5297C1F2" w:rsidP="1A8E6423">
            <w:pPr>
              <w:pStyle w:val="basic-paragraph"/>
              <w:spacing w:before="0" w:beforeAutospacing="0" w:after="0" w:afterAutospacing="0"/>
              <w:rPr>
                <w:rFonts w:ascii="Arial" w:hAnsi="Arial" w:cs="Arial"/>
                <w:sz w:val="20"/>
                <w:szCs w:val="20"/>
                <w:lang w:val="sr-Cyrl-RS"/>
              </w:rPr>
            </w:pPr>
            <w:r w:rsidRPr="1A8E6423">
              <w:rPr>
                <w:rFonts w:ascii="Arial" w:hAnsi="Arial" w:cs="Arial"/>
                <w:color w:val="000000" w:themeColor="text1"/>
                <w:sz w:val="20"/>
                <w:szCs w:val="20"/>
                <w:lang w:val="sr-Cyrl-RS"/>
              </w:rPr>
              <w:t xml:space="preserve">Извршено прво мерење стања </w:t>
            </w:r>
            <w:r w:rsidR="00542921" w:rsidRPr="1A8E6423">
              <w:rPr>
                <w:rFonts w:ascii="Arial" w:hAnsi="Arial" w:cs="Arial"/>
                <w:color w:val="000000" w:themeColor="text1"/>
                <w:sz w:val="20"/>
                <w:szCs w:val="20"/>
                <w:lang w:val="sr-Cyrl-RS"/>
              </w:rPr>
              <w:t xml:space="preserve">помоћу </w:t>
            </w:r>
            <w:r w:rsidRPr="1A8E6423">
              <w:rPr>
                <w:rFonts w:ascii="Arial" w:hAnsi="Arial" w:cs="Arial"/>
                <w:color w:val="000000" w:themeColor="text1"/>
                <w:sz w:val="20"/>
                <w:szCs w:val="20"/>
                <w:lang w:val="sr-Cyrl-RS"/>
              </w:rPr>
              <w:t>индекса</w:t>
            </w:r>
          </w:p>
        </w:tc>
        <w:tc>
          <w:tcPr>
            <w:tcW w:w="842" w:type="dxa"/>
          </w:tcPr>
          <w:p w14:paraId="70BF0182" w14:textId="77777777" w:rsidR="0001238F" w:rsidRPr="00A021B7" w:rsidRDefault="0001238F" w:rsidP="0001238F">
            <w:pPr>
              <w:pStyle w:val="basic-paragraph"/>
              <w:spacing w:before="0" w:beforeAutospacing="0" w:after="0" w:afterAutospacing="0"/>
              <w:rPr>
                <w:rFonts w:ascii="Arial" w:hAnsi="Arial" w:cs="Arial"/>
                <w:iCs/>
                <w:sz w:val="20"/>
                <w:szCs w:val="20"/>
                <w:lang w:val="sr-Cyrl-RS"/>
              </w:rPr>
            </w:pPr>
          </w:p>
        </w:tc>
        <w:tc>
          <w:tcPr>
            <w:tcW w:w="703" w:type="dxa"/>
          </w:tcPr>
          <w:p w14:paraId="6AA9CDC9" w14:textId="77777777" w:rsidR="0001238F" w:rsidRPr="00A021B7" w:rsidRDefault="0001238F" w:rsidP="0001238F">
            <w:pPr>
              <w:pStyle w:val="basic-paragraph"/>
              <w:spacing w:before="0" w:beforeAutospacing="0" w:after="0" w:afterAutospacing="0"/>
              <w:rPr>
                <w:rFonts w:ascii="Arial" w:hAnsi="Arial" w:cs="Arial"/>
                <w:iCs/>
                <w:sz w:val="20"/>
                <w:szCs w:val="20"/>
                <w:lang w:val="sr-Cyrl-RS"/>
              </w:rPr>
            </w:pPr>
          </w:p>
        </w:tc>
      </w:tr>
      <w:tr w:rsidR="0001238F" w:rsidRPr="00A021B7" w14:paraId="3C38AFFD" w14:textId="77777777" w:rsidTr="1A8E6423">
        <w:tc>
          <w:tcPr>
            <w:tcW w:w="2122" w:type="dxa"/>
            <w:vAlign w:val="center"/>
          </w:tcPr>
          <w:p w14:paraId="6EFED4A3" w14:textId="77777777" w:rsidR="0001238F" w:rsidRPr="00A021B7" w:rsidRDefault="0001238F" w:rsidP="0001238F">
            <w:pPr>
              <w:pStyle w:val="basic-paragraph"/>
              <w:spacing w:before="0" w:beforeAutospacing="0" w:after="0" w:afterAutospacing="0"/>
              <w:rPr>
                <w:rFonts w:ascii="Arial" w:hAnsi="Arial" w:cs="Arial"/>
                <w:color w:val="000000" w:themeColor="text1"/>
                <w:sz w:val="20"/>
                <w:szCs w:val="20"/>
                <w:lang w:val="sr-Cyrl-RS"/>
              </w:rPr>
            </w:pPr>
            <w:r w:rsidRPr="00A021B7">
              <w:rPr>
                <w:rFonts w:ascii="Arial" w:hAnsi="Arial" w:cs="Arial"/>
                <w:i/>
                <w:iCs/>
                <w:color w:val="000000"/>
                <w:sz w:val="20"/>
                <w:szCs w:val="20"/>
                <w:lang w:val="sr-Cyrl-RS"/>
              </w:rPr>
              <w:t>Степен задовољства корисника пруженим услугама локалне самоуправе</w:t>
            </w:r>
          </w:p>
        </w:tc>
        <w:tc>
          <w:tcPr>
            <w:tcW w:w="1559" w:type="dxa"/>
            <w:vAlign w:val="center"/>
          </w:tcPr>
          <w:p w14:paraId="413052D9" w14:textId="131B3E16" w:rsidR="0001238F" w:rsidRPr="00A021B7" w:rsidRDefault="0001238F" w:rsidP="0001238F">
            <w:pPr>
              <w:pStyle w:val="basic-paragraph"/>
              <w:spacing w:before="0" w:beforeAutospacing="0" w:after="0" w:afterAutospacing="0"/>
              <w:rPr>
                <w:rFonts w:ascii="Arial" w:hAnsi="Arial" w:cs="Arial"/>
                <w:iCs/>
                <w:sz w:val="20"/>
                <w:szCs w:val="20"/>
                <w:lang w:val="sr-Cyrl-RS"/>
              </w:rPr>
            </w:pPr>
            <w:r w:rsidRPr="00A021B7">
              <w:rPr>
                <w:rFonts w:ascii="Arial" w:hAnsi="Arial" w:cs="Arial"/>
                <w:color w:val="000000"/>
                <w:sz w:val="20"/>
                <w:szCs w:val="20"/>
                <w:lang w:val="sr-Cyrl-RS"/>
              </w:rPr>
              <w:t>Не постоји свеобухватни алат за мерење степена задовољства корисника пруженим услугама ЛС</w:t>
            </w:r>
          </w:p>
        </w:tc>
        <w:tc>
          <w:tcPr>
            <w:tcW w:w="709" w:type="dxa"/>
          </w:tcPr>
          <w:p w14:paraId="75E71C61" w14:textId="77777777" w:rsidR="0001238F" w:rsidRPr="00A021B7" w:rsidRDefault="0001238F" w:rsidP="0001238F">
            <w:pPr>
              <w:pStyle w:val="basic-paragraph"/>
              <w:spacing w:before="0" w:beforeAutospacing="0" w:after="0" w:afterAutospacing="0"/>
              <w:rPr>
                <w:rFonts w:ascii="Arial" w:hAnsi="Arial" w:cs="Arial"/>
                <w:iCs/>
                <w:sz w:val="20"/>
                <w:szCs w:val="20"/>
                <w:lang w:val="sr-Cyrl-RS"/>
              </w:rPr>
            </w:pPr>
          </w:p>
        </w:tc>
        <w:tc>
          <w:tcPr>
            <w:tcW w:w="1559" w:type="dxa"/>
            <w:vAlign w:val="center"/>
          </w:tcPr>
          <w:p w14:paraId="3E38B55E" w14:textId="52A7CB06" w:rsidR="0001238F" w:rsidRPr="00A021B7" w:rsidRDefault="0001238F" w:rsidP="0001238F">
            <w:pPr>
              <w:pStyle w:val="basic-paragraph"/>
              <w:spacing w:before="0" w:beforeAutospacing="0" w:after="0" w:afterAutospacing="0"/>
              <w:rPr>
                <w:rFonts w:ascii="Arial" w:hAnsi="Arial" w:cs="Arial"/>
                <w:iCs/>
                <w:sz w:val="20"/>
                <w:szCs w:val="20"/>
                <w:lang w:val="sr-Cyrl-RS"/>
              </w:rPr>
            </w:pPr>
            <w:r w:rsidRPr="00A021B7">
              <w:rPr>
                <w:rFonts w:ascii="Arial" w:hAnsi="Arial" w:cs="Arial"/>
                <w:color w:val="000000"/>
                <w:sz w:val="20"/>
                <w:szCs w:val="20"/>
                <w:lang w:val="sr-Cyrl-RS"/>
              </w:rPr>
              <w:t>Израђена методологија за периодично мерење степена задовљства корисника услуга ЈЛС</w:t>
            </w:r>
          </w:p>
        </w:tc>
        <w:tc>
          <w:tcPr>
            <w:tcW w:w="1426" w:type="dxa"/>
            <w:vAlign w:val="center"/>
          </w:tcPr>
          <w:p w14:paraId="133FB1AB" w14:textId="77777777" w:rsidR="0001238F" w:rsidRPr="00A021B7" w:rsidRDefault="0001238F" w:rsidP="0001238F">
            <w:pPr>
              <w:pStyle w:val="basic-paragraph"/>
              <w:spacing w:before="0" w:beforeAutospacing="0" w:after="0" w:afterAutospacing="0"/>
              <w:rPr>
                <w:rFonts w:ascii="Arial" w:hAnsi="Arial" w:cs="Arial"/>
                <w:color w:val="000000"/>
                <w:sz w:val="20"/>
                <w:szCs w:val="20"/>
                <w:lang w:val="sr-Cyrl-RS"/>
              </w:rPr>
            </w:pPr>
            <w:r w:rsidRPr="00A021B7">
              <w:rPr>
                <w:rFonts w:ascii="Arial" w:hAnsi="Arial" w:cs="Arial"/>
                <w:color w:val="000000"/>
                <w:sz w:val="20"/>
                <w:szCs w:val="20"/>
                <w:lang w:val="sr-Cyrl-RS"/>
              </w:rPr>
              <w:t>Извршено прво мерење степена задовољства корисника услугама ЈЛС</w:t>
            </w:r>
          </w:p>
          <w:p w14:paraId="2092A201" w14:textId="0ED4C2BE" w:rsidR="00F95C6A" w:rsidRPr="00A021B7" w:rsidRDefault="00F95C6A" w:rsidP="0001238F">
            <w:pPr>
              <w:pStyle w:val="basic-paragraph"/>
              <w:spacing w:before="0" w:beforeAutospacing="0" w:after="0" w:afterAutospacing="0"/>
              <w:rPr>
                <w:rFonts w:ascii="Arial" w:hAnsi="Arial" w:cs="Arial"/>
                <w:iCs/>
                <w:sz w:val="20"/>
                <w:szCs w:val="20"/>
                <w:lang w:val="sr-Cyrl-RS"/>
              </w:rPr>
            </w:pPr>
          </w:p>
        </w:tc>
        <w:tc>
          <w:tcPr>
            <w:tcW w:w="842" w:type="dxa"/>
          </w:tcPr>
          <w:p w14:paraId="345DC573" w14:textId="77777777" w:rsidR="0001238F" w:rsidRPr="00A021B7" w:rsidRDefault="0001238F" w:rsidP="0001238F">
            <w:pPr>
              <w:pStyle w:val="basic-paragraph"/>
              <w:spacing w:before="0" w:beforeAutospacing="0" w:after="0" w:afterAutospacing="0"/>
              <w:rPr>
                <w:rFonts w:ascii="Arial" w:hAnsi="Arial" w:cs="Arial"/>
                <w:iCs/>
                <w:sz w:val="20"/>
                <w:szCs w:val="20"/>
                <w:lang w:val="sr-Cyrl-RS"/>
              </w:rPr>
            </w:pPr>
          </w:p>
        </w:tc>
        <w:tc>
          <w:tcPr>
            <w:tcW w:w="703" w:type="dxa"/>
          </w:tcPr>
          <w:p w14:paraId="0C6C9264" w14:textId="77777777" w:rsidR="0001238F" w:rsidRPr="00A021B7" w:rsidRDefault="0001238F" w:rsidP="0001238F">
            <w:pPr>
              <w:pStyle w:val="basic-paragraph"/>
              <w:spacing w:before="0" w:beforeAutospacing="0" w:after="0" w:afterAutospacing="0"/>
              <w:rPr>
                <w:rFonts w:ascii="Arial" w:hAnsi="Arial" w:cs="Arial"/>
                <w:iCs/>
                <w:sz w:val="20"/>
                <w:szCs w:val="20"/>
                <w:lang w:val="sr-Cyrl-RS"/>
              </w:rPr>
            </w:pPr>
          </w:p>
        </w:tc>
      </w:tr>
    </w:tbl>
    <w:p w14:paraId="2D23796F" w14:textId="77777777" w:rsidR="00B207E1" w:rsidRPr="00A021B7" w:rsidRDefault="00B207E1" w:rsidP="003E7BC9">
      <w:pPr>
        <w:pStyle w:val="Naslov111"/>
        <w:ind w:left="0" w:firstLine="0"/>
        <w:jc w:val="both"/>
        <w:rPr>
          <w:rFonts w:ascii="Arial" w:hAnsi="Arial" w:cs="Arial"/>
          <w:b w:val="0"/>
          <w:noProof w:val="0"/>
          <w:color w:val="000000" w:themeColor="text1"/>
          <w:sz w:val="20"/>
          <w:szCs w:val="20"/>
          <w:lang w:val="sr-Cyrl-RS"/>
        </w:rPr>
      </w:pPr>
    </w:p>
    <w:p w14:paraId="383555F1" w14:textId="77777777" w:rsidR="005E6575" w:rsidRPr="00A021B7" w:rsidRDefault="005E6575" w:rsidP="003E7BC9">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 xml:space="preserve">Мера 4.1: Унапређење капацитета локалне самоуправе за спровођење управних услуга </w:t>
      </w:r>
    </w:p>
    <w:p w14:paraId="712EC20F" w14:textId="77777777" w:rsidR="005E6575" w:rsidRPr="00A021B7" w:rsidRDefault="005E6575" w:rsidP="003E7BC9">
      <w:pPr>
        <w:jc w:val="both"/>
        <w:rPr>
          <w:rFonts w:ascii="Arial" w:hAnsi="Arial" w:cs="Arial"/>
          <w:sz w:val="20"/>
          <w:szCs w:val="20"/>
          <w:lang w:val="sr-Cyrl-RS"/>
        </w:rPr>
      </w:pPr>
    </w:p>
    <w:p w14:paraId="5E3FDE42" w14:textId="29BBD657" w:rsidR="00141F16" w:rsidRPr="00A021B7" w:rsidRDefault="005E6575" w:rsidP="1A8E6423">
      <w:pPr>
        <w:ind w:firstLine="720"/>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У претходном периоду учињено је доста тога на оптимизацији, ефикасности и доступности управних услуга. Покренут је процес реформе административних поступака и трансформације начина организације управних услуга кроз развој јединствених управних места (услужних центара) и е-управе и дигитализације управних услуга. У вези са локалним управним услугама у наредном периоду потребно је наставити са подршком унапређивању ефикасности управних поступака. У том смислу</w:t>
      </w:r>
      <w:r w:rsidR="00AF7B9B"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у сарадњи МДУЛС И СКГО континуирано ће се унапређивати модели административних поступака за </w:t>
      </w:r>
      <w:r w:rsidR="35C52311" w:rsidRPr="1A8E6423">
        <w:rPr>
          <w:rFonts w:ascii="Arial" w:hAnsi="Arial" w:cs="Arial"/>
          <w:color w:val="000000" w:themeColor="text1"/>
          <w:sz w:val="20"/>
          <w:szCs w:val="20"/>
          <w:lang w:val="sr-Cyrl-RS"/>
        </w:rPr>
        <w:t>обављање</w:t>
      </w:r>
      <w:r w:rsidRPr="1A8E6423">
        <w:rPr>
          <w:rFonts w:ascii="Arial" w:hAnsi="Arial" w:cs="Arial"/>
          <w:color w:val="000000" w:themeColor="text1"/>
          <w:sz w:val="20"/>
          <w:szCs w:val="20"/>
          <w:lang w:val="sr-Cyrl-RS"/>
        </w:rPr>
        <w:t xml:space="preserve"> изворних послова ЈЛС. МДУЛС и СКГО ће координирати са ресорним министарствима унапређивање и усклађивање модела административних поступака за спровођење поверених послова ЈЛС. Наставиће се и интензивна подршка успостављању јединствених управних места за </w:t>
      </w:r>
      <w:r w:rsidR="00AF7B9B" w:rsidRPr="1A8E6423">
        <w:rPr>
          <w:rFonts w:ascii="Arial" w:hAnsi="Arial" w:cs="Arial"/>
          <w:color w:val="000000" w:themeColor="text1"/>
          <w:sz w:val="20"/>
          <w:szCs w:val="20"/>
          <w:lang w:val="sr-Cyrl-RS"/>
        </w:rPr>
        <w:t xml:space="preserve">пружање </w:t>
      </w:r>
      <w:r w:rsidRPr="1A8E6423">
        <w:rPr>
          <w:rFonts w:ascii="Arial" w:hAnsi="Arial" w:cs="Arial"/>
          <w:color w:val="000000" w:themeColor="text1"/>
          <w:sz w:val="20"/>
          <w:szCs w:val="20"/>
          <w:lang w:val="sr-Cyrl-RS"/>
        </w:rPr>
        <w:t xml:space="preserve">локалних управних услуга, која је започета у претходном периоду, како би се унапредио капацитет </w:t>
      </w:r>
      <w:r w:rsidR="006370FA" w:rsidRPr="1A8E6423">
        <w:rPr>
          <w:rFonts w:ascii="Arial" w:hAnsi="Arial" w:cs="Arial"/>
          <w:color w:val="000000" w:themeColor="text1"/>
          <w:sz w:val="20"/>
          <w:szCs w:val="20"/>
          <w:lang w:val="sr-Cyrl-RS"/>
        </w:rPr>
        <w:t>локалне самоуправе</w:t>
      </w:r>
      <w:r w:rsidRPr="1A8E6423">
        <w:rPr>
          <w:rFonts w:ascii="Arial" w:hAnsi="Arial" w:cs="Arial"/>
          <w:color w:val="000000" w:themeColor="text1"/>
          <w:sz w:val="20"/>
          <w:szCs w:val="20"/>
          <w:lang w:val="sr-Cyrl-RS"/>
        </w:rPr>
        <w:t xml:space="preserve"> за </w:t>
      </w:r>
      <w:r w:rsidR="00AF7B9B" w:rsidRPr="1A8E6423">
        <w:rPr>
          <w:rFonts w:ascii="Arial" w:hAnsi="Arial" w:cs="Arial"/>
          <w:color w:val="000000" w:themeColor="text1"/>
          <w:sz w:val="20"/>
          <w:szCs w:val="20"/>
          <w:lang w:val="sr-Cyrl-RS"/>
        </w:rPr>
        <w:t xml:space="preserve">пружање </w:t>
      </w:r>
      <w:r w:rsidRPr="1A8E6423">
        <w:rPr>
          <w:rFonts w:ascii="Arial" w:hAnsi="Arial" w:cs="Arial"/>
          <w:color w:val="000000" w:themeColor="text1"/>
          <w:sz w:val="20"/>
          <w:szCs w:val="20"/>
          <w:lang w:val="sr-Cyrl-RS"/>
        </w:rPr>
        <w:t xml:space="preserve">управних услуга и </w:t>
      </w:r>
      <w:r w:rsidR="009C0603" w:rsidRPr="1A8E6423">
        <w:rPr>
          <w:rFonts w:ascii="Arial" w:hAnsi="Arial" w:cs="Arial"/>
          <w:color w:val="000000" w:themeColor="text1"/>
          <w:sz w:val="20"/>
          <w:szCs w:val="20"/>
          <w:lang w:val="sr-Cyrl-RS"/>
        </w:rPr>
        <w:t xml:space="preserve">за </w:t>
      </w:r>
      <w:r w:rsidRPr="1A8E6423">
        <w:rPr>
          <w:rFonts w:ascii="Arial" w:hAnsi="Arial" w:cs="Arial"/>
          <w:color w:val="000000" w:themeColor="text1"/>
          <w:sz w:val="20"/>
          <w:szCs w:val="20"/>
          <w:lang w:val="sr-Cyrl-RS"/>
        </w:rPr>
        <w:t>доступност и ефикасност ових услуга према грађанима и привреди. Процес даље реформе управних услуга подразумева</w:t>
      </w:r>
      <w:r w:rsidR="00AF7B9B"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посебно</w:t>
      </w:r>
      <w:r w:rsidR="00AF7B9B"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наставак интензивног развоја електронске управе и дигитализације, јер су то кључни алати за знатно већу ефикасност јавне управе и за приближавање јавних услуга грађанима и привреди у локалној заједници. </w:t>
      </w:r>
      <w:r w:rsidR="00D651F6" w:rsidRPr="1A8E6423">
        <w:rPr>
          <w:rFonts w:ascii="Arial" w:hAnsi="Arial" w:cs="Arial"/>
          <w:color w:val="000000" w:themeColor="text1"/>
          <w:sz w:val="20"/>
          <w:szCs w:val="20"/>
          <w:lang w:val="sr-Cyrl-RS"/>
        </w:rPr>
        <w:t>У том смислу посебна пажња биће посвећена</w:t>
      </w:r>
      <w:r w:rsidR="00066FDA" w:rsidRPr="1A8E6423">
        <w:rPr>
          <w:rFonts w:ascii="Arial" w:hAnsi="Arial" w:cs="Arial"/>
          <w:color w:val="000000" w:themeColor="text1"/>
          <w:sz w:val="20"/>
          <w:szCs w:val="20"/>
          <w:lang w:val="sr-Cyrl-RS"/>
        </w:rPr>
        <w:t xml:space="preserve"> подршци за изградњу стручних и техничких капацитета </w:t>
      </w:r>
      <w:r w:rsidR="009C0603" w:rsidRPr="1A8E6423">
        <w:rPr>
          <w:rFonts w:ascii="Arial" w:hAnsi="Arial" w:cs="Arial"/>
          <w:color w:val="000000" w:themeColor="text1"/>
          <w:sz w:val="20"/>
          <w:szCs w:val="20"/>
          <w:lang w:val="sr-Cyrl-RS"/>
        </w:rPr>
        <w:t xml:space="preserve">локалне самоуправе </w:t>
      </w:r>
      <w:r w:rsidR="00066FDA" w:rsidRPr="1A8E6423">
        <w:rPr>
          <w:rFonts w:ascii="Arial" w:hAnsi="Arial" w:cs="Arial"/>
          <w:color w:val="000000" w:themeColor="text1"/>
          <w:sz w:val="20"/>
          <w:szCs w:val="20"/>
          <w:lang w:val="sr-Cyrl-RS"/>
        </w:rPr>
        <w:t xml:space="preserve">за </w:t>
      </w:r>
      <w:r w:rsidR="00251BD4" w:rsidRPr="1A8E6423">
        <w:rPr>
          <w:rFonts w:ascii="Arial" w:hAnsi="Arial" w:cs="Arial"/>
          <w:color w:val="000000" w:themeColor="text1"/>
          <w:sz w:val="20"/>
          <w:szCs w:val="20"/>
          <w:lang w:val="sr-Cyrl-RS"/>
        </w:rPr>
        <w:t xml:space="preserve">спровођење и </w:t>
      </w:r>
      <w:r w:rsidR="00066FDA" w:rsidRPr="1A8E6423">
        <w:rPr>
          <w:rFonts w:ascii="Arial" w:hAnsi="Arial" w:cs="Arial"/>
          <w:color w:val="000000" w:themeColor="text1"/>
          <w:sz w:val="20"/>
          <w:szCs w:val="20"/>
          <w:lang w:val="sr-Cyrl-RS"/>
        </w:rPr>
        <w:t>унапређење е-управе</w:t>
      </w:r>
      <w:r w:rsidR="003074EF" w:rsidRPr="1A8E6423">
        <w:rPr>
          <w:rFonts w:ascii="Arial" w:hAnsi="Arial" w:cs="Arial"/>
          <w:color w:val="000000" w:themeColor="text1"/>
          <w:sz w:val="20"/>
          <w:szCs w:val="20"/>
          <w:lang w:val="sr-Cyrl-RS"/>
        </w:rPr>
        <w:t xml:space="preserve">, </w:t>
      </w:r>
      <w:r w:rsidR="00D651F6" w:rsidRPr="1A8E6423">
        <w:rPr>
          <w:rFonts w:ascii="Arial" w:hAnsi="Arial" w:cs="Arial"/>
          <w:color w:val="000000" w:themeColor="text1"/>
          <w:sz w:val="20"/>
          <w:szCs w:val="20"/>
          <w:lang w:val="sr-Cyrl-RS"/>
        </w:rPr>
        <w:t>разматрању потенцијала за функционисање међуопштинских ИКТ центара</w:t>
      </w:r>
      <w:r w:rsidR="003074EF" w:rsidRPr="1A8E6423">
        <w:rPr>
          <w:rFonts w:ascii="Arial" w:hAnsi="Arial" w:cs="Arial"/>
          <w:color w:val="000000" w:themeColor="text1"/>
          <w:sz w:val="20"/>
          <w:szCs w:val="20"/>
          <w:lang w:val="sr-Cyrl-RS"/>
        </w:rPr>
        <w:t xml:space="preserve"> и </w:t>
      </w:r>
      <w:r w:rsidR="00F64C77" w:rsidRPr="1A8E6423">
        <w:rPr>
          <w:rFonts w:ascii="Arial" w:hAnsi="Arial" w:cs="Arial"/>
          <w:color w:val="000000" w:themeColor="text1"/>
          <w:sz w:val="20"/>
          <w:szCs w:val="20"/>
          <w:lang w:val="sr-Cyrl-RS"/>
        </w:rPr>
        <w:t xml:space="preserve">успостављању система за </w:t>
      </w:r>
      <w:r w:rsidR="00141F16" w:rsidRPr="1A8E6423">
        <w:rPr>
          <w:rFonts w:ascii="Arial" w:hAnsi="Arial" w:cs="Arial"/>
          <w:color w:val="000000" w:themeColor="text1"/>
          <w:sz w:val="20"/>
          <w:szCs w:val="20"/>
          <w:lang w:val="sr-Cyrl-RS"/>
        </w:rPr>
        <w:lastRenderedPageBreak/>
        <w:t xml:space="preserve">праћење напретка </w:t>
      </w:r>
      <w:r w:rsidR="00F64C77" w:rsidRPr="1A8E6423">
        <w:rPr>
          <w:rFonts w:ascii="Arial" w:hAnsi="Arial" w:cs="Arial"/>
          <w:color w:val="000000" w:themeColor="text1"/>
          <w:sz w:val="20"/>
          <w:szCs w:val="20"/>
          <w:lang w:val="sr-Cyrl-RS"/>
        </w:rPr>
        <w:t xml:space="preserve">и </w:t>
      </w:r>
      <w:r w:rsidR="00141F16" w:rsidRPr="1A8E6423">
        <w:rPr>
          <w:rFonts w:ascii="Arial" w:hAnsi="Arial" w:cs="Arial"/>
          <w:color w:val="000000" w:themeColor="text1"/>
          <w:sz w:val="20"/>
          <w:szCs w:val="20"/>
          <w:lang w:val="sr-Cyrl-RS"/>
        </w:rPr>
        <w:t>мерење степена развоја електронске управе у ЈЛС</w:t>
      </w:r>
      <w:r w:rsidR="00F64C77" w:rsidRPr="1A8E6423">
        <w:rPr>
          <w:rFonts w:ascii="Arial" w:hAnsi="Arial" w:cs="Arial"/>
          <w:color w:val="000000" w:themeColor="text1"/>
          <w:sz w:val="20"/>
          <w:szCs w:val="20"/>
          <w:lang w:val="sr-Cyrl-RS"/>
        </w:rPr>
        <w:t xml:space="preserve">, </w:t>
      </w:r>
      <w:r w:rsidR="00141F16" w:rsidRPr="1A8E6423">
        <w:rPr>
          <w:rFonts w:ascii="Arial" w:hAnsi="Arial" w:cs="Arial"/>
          <w:color w:val="000000" w:themeColor="text1"/>
          <w:sz w:val="20"/>
          <w:szCs w:val="20"/>
          <w:lang w:val="sr-Cyrl-RS"/>
        </w:rPr>
        <w:t xml:space="preserve">задовољства корисника и </w:t>
      </w:r>
      <w:r w:rsidR="00F64C77" w:rsidRPr="1A8E6423">
        <w:rPr>
          <w:rFonts w:ascii="Arial" w:hAnsi="Arial" w:cs="Arial"/>
          <w:color w:val="000000" w:themeColor="text1"/>
          <w:sz w:val="20"/>
          <w:szCs w:val="20"/>
          <w:lang w:val="sr-Cyrl-RS"/>
        </w:rPr>
        <w:t xml:space="preserve">размену </w:t>
      </w:r>
      <w:r w:rsidR="00141F16" w:rsidRPr="1A8E6423">
        <w:rPr>
          <w:rFonts w:ascii="Arial" w:hAnsi="Arial" w:cs="Arial"/>
          <w:color w:val="000000" w:themeColor="text1"/>
          <w:sz w:val="20"/>
          <w:szCs w:val="20"/>
          <w:lang w:val="sr-Cyrl-RS"/>
        </w:rPr>
        <w:t>најбоље праксе и иновативних решења ЈЛС</w:t>
      </w:r>
      <w:r w:rsidR="00251BD4" w:rsidRPr="1A8E6423">
        <w:rPr>
          <w:rFonts w:ascii="Arial" w:hAnsi="Arial" w:cs="Arial"/>
          <w:color w:val="000000" w:themeColor="text1"/>
          <w:sz w:val="20"/>
          <w:szCs w:val="20"/>
          <w:lang w:val="sr-Cyrl-RS"/>
        </w:rPr>
        <w:t>.</w:t>
      </w:r>
    </w:p>
    <w:p w14:paraId="650A09A5" w14:textId="77777777" w:rsidR="00141F16" w:rsidRPr="00A021B7" w:rsidRDefault="00141F16" w:rsidP="003E7BC9">
      <w:pPr>
        <w:jc w:val="both"/>
        <w:rPr>
          <w:rFonts w:ascii="Arial" w:hAnsi="Arial" w:cs="Arial"/>
          <w:sz w:val="20"/>
          <w:szCs w:val="20"/>
          <w:lang w:val="sr-Cyrl-RS"/>
        </w:rPr>
      </w:pPr>
    </w:p>
    <w:p w14:paraId="3D91D777" w14:textId="2823306C" w:rsidR="005E6575" w:rsidRPr="00A021B7" w:rsidRDefault="005E6575" w:rsidP="003E7BC9">
      <w:pPr>
        <w:jc w:val="both"/>
        <w:rPr>
          <w:rFonts w:ascii="Arial" w:hAnsi="Arial" w:cs="Arial"/>
          <w:b/>
          <w:color w:val="000000"/>
          <w:sz w:val="20"/>
          <w:szCs w:val="20"/>
          <w:lang w:val="sr-Cyrl-RS" w:eastAsia="sr-Latn-RS"/>
        </w:rPr>
      </w:pPr>
      <w:r w:rsidRPr="00A021B7">
        <w:rPr>
          <w:rFonts w:ascii="Arial" w:hAnsi="Arial" w:cs="Arial"/>
          <w:b/>
          <w:color w:val="000000" w:themeColor="text1"/>
          <w:sz w:val="20"/>
          <w:szCs w:val="20"/>
          <w:lang w:val="sr-Cyrl-RS" w:eastAsia="sr-Latn-RS"/>
        </w:rPr>
        <w:t>Мера 4.2: Покретање системских реформи комуналних делатности</w:t>
      </w:r>
      <w:r w:rsidR="00502C99" w:rsidRPr="00A021B7">
        <w:rPr>
          <w:rFonts w:ascii="Arial" w:hAnsi="Arial" w:cs="Arial"/>
          <w:b/>
          <w:color w:val="000000" w:themeColor="text1"/>
          <w:sz w:val="20"/>
          <w:szCs w:val="20"/>
          <w:lang w:val="sr-Cyrl-RS" w:eastAsia="sr-Latn-RS"/>
        </w:rPr>
        <w:t xml:space="preserve"> и услуга</w:t>
      </w:r>
    </w:p>
    <w:p w14:paraId="1F03BBFC" w14:textId="77777777" w:rsidR="005E6575" w:rsidRPr="00A021B7" w:rsidRDefault="005E6575" w:rsidP="003E7BC9">
      <w:pPr>
        <w:jc w:val="both"/>
        <w:rPr>
          <w:rFonts w:ascii="Arial" w:hAnsi="Arial" w:cs="Arial"/>
          <w:b/>
          <w:color w:val="000000"/>
          <w:sz w:val="20"/>
          <w:szCs w:val="20"/>
          <w:lang w:val="sr-Cyrl-RS" w:eastAsia="sr-Latn-RS"/>
        </w:rPr>
      </w:pPr>
    </w:p>
    <w:p w14:paraId="6D4F7E86" w14:textId="6BF2CCA2"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Реформе у области комуналних делатности су један од кључних приоритета даље реформе система локалне самоуправе. Постојећа ситуација у овој области захтева низ реформских мера које ће обухватити како организациону трансформацију самих локалних јавних предузећа</w:t>
      </w:r>
      <w:r w:rsidR="00C55F6B" w:rsidRPr="1A8E6423">
        <w:rPr>
          <w:rFonts w:ascii="Arial" w:hAnsi="Arial" w:cs="Arial"/>
          <w:sz w:val="20"/>
          <w:szCs w:val="20"/>
          <w:lang w:val="sr-Cyrl-RS"/>
        </w:rPr>
        <w:t>,</w:t>
      </w:r>
      <w:r w:rsidRPr="1A8E6423">
        <w:rPr>
          <w:rFonts w:ascii="Arial" w:hAnsi="Arial" w:cs="Arial"/>
          <w:sz w:val="20"/>
          <w:szCs w:val="20"/>
          <w:lang w:val="sr-Cyrl-RS"/>
        </w:rPr>
        <w:t xml:space="preserve"> управљања</w:t>
      </w:r>
      <w:r w:rsidR="00C55F6B" w:rsidRPr="1A8E6423">
        <w:rPr>
          <w:rFonts w:ascii="Arial" w:hAnsi="Arial" w:cs="Arial"/>
          <w:sz w:val="20"/>
          <w:szCs w:val="20"/>
          <w:lang w:val="sr-Cyrl-RS"/>
        </w:rPr>
        <w:t xml:space="preserve"> њима</w:t>
      </w:r>
      <w:r w:rsidRPr="1A8E6423">
        <w:rPr>
          <w:rFonts w:ascii="Arial" w:hAnsi="Arial" w:cs="Arial"/>
          <w:sz w:val="20"/>
          <w:szCs w:val="20"/>
          <w:lang w:val="sr-Cyrl-RS"/>
        </w:rPr>
        <w:t xml:space="preserve"> и финансирања делатности које спроводе (укључујући ту и систем наплате комуналних услуга), тако и интензиван развој доступности, обима и квалитета комуналних услуга у целини. Посебно питање у даљој реформи представља питање организације </w:t>
      </w:r>
      <w:r w:rsidR="00C55F6B" w:rsidRPr="1A8E6423">
        <w:rPr>
          <w:rFonts w:ascii="Arial" w:hAnsi="Arial" w:cs="Arial"/>
          <w:sz w:val="20"/>
          <w:szCs w:val="20"/>
          <w:lang w:val="sr-Cyrl-RS"/>
        </w:rPr>
        <w:t xml:space="preserve">пружања </w:t>
      </w:r>
      <w:r w:rsidRPr="1A8E6423">
        <w:rPr>
          <w:rFonts w:ascii="Arial" w:hAnsi="Arial" w:cs="Arial"/>
          <w:sz w:val="20"/>
          <w:szCs w:val="20"/>
          <w:lang w:val="sr-Cyrl-RS"/>
        </w:rPr>
        <w:t xml:space="preserve">ових услуга и даље трансформације у овој области (корпоративизација јавних предузећа, интеграција комуналних услуга, ЈПП, укључивање приватног сектора у управљање итд.) и интензивно јачање стручног, кадровског и техничког капацитета самих јавних комуналних предузећа. Даља реформа у овој области захтева и значајна улагања у комуналну инфраструктуру у предстојећем периоду, поготово у вези </w:t>
      </w:r>
      <w:r w:rsidR="00C55F6B" w:rsidRPr="1A8E6423">
        <w:rPr>
          <w:rFonts w:ascii="Arial" w:hAnsi="Arial" w:cs="Arial"/>
          <w:sz w:val="20"/>
          <w:szCs w:val="20"/>
          <w:lang w:val="sr-Cyrl-RS"/>
        </w:rPr>
        <w:t xml:space="preserve">са </w:t>
      </w:r>
      <w:r w:rsidRPr="1A8E6423">
        <w:rPr>
          <w:rFonts w:ascii="Arial" w:hAnsi="Arial" w:cs="Arial"/>
          <w:sz w:val="20"/>
          <w:szCs w:val="20"/>
          <w:lang w:val="sr-Cyrl-RS"/>
        </w:rPr>
        <w:t xml:space="preserve">усклађивањем комуналних делатности са потребама и приоритетима заштите животне средине. </w:t>
      </w:r>
      <w:r w:rsidR="00C55F6B" w:rsidRPr="1A8E6423">
        <w:rPr>
          <w:rFonts w:ascii="Arial" w:hAnsi="Arial" w:cs="Arial"/>
          <w:sz w:val="20"/>
          <w:szCs w:val="20"/>
          <w:lang w:val="sr-Cyrl-RS"/>
        </w:rPr>
        <w:t>С обзиром на све то</w:t>
      </w:r>
      <w:r w:rsidRPr="1A8E6423">
        <w:rPr>
          <w:rFonts w:ascii="Arial" w:hAnsi="Arial" w:cs="Arial"/>
          <w:sz w:val="20"/>
          <w:szCs w:val="20"/>
          <w:lang w:val="sr-Cyrl-RS"/>
        </w:rPr>
        <w:t xml:space="preserve">, овом мером се предвиђа израда посебног плана за реформу у области комуналних делатности. Први корак у том правцу биће образовање </w:t>
      </w:r>
      <w:r w:rsidR="00C55F6B" w:rsidRPr="1A8E6423">
        <w:rPr>
          <w:rFonts w:ascii="Arial" w:hAnsi="Arial" w:cs="Arial"/>
          <w:sz w:val="20"/>
          <w:szCs w:val="20"/>
          <w:lang w:val="sr-Cyrl-RS"/>
        </w:rPr>
        <w:t>к</w:t>
      </w:r>
      <w:r w:rsidRPr="1A8E6423">
        <w:rPr>
          <w:rFonts w:ascii="Arial" w:hAnsi="Arial" w:cs="Arial"/>
          <w:sz w:val="20"/>
          <w:szCs w:val="20"/>
          <w:lang w:val="sr-Cyrl-RS"/>
        </w:rPr>
        <w:t xml:space="preserve">омисије која ће припремити предлоге мера и план за реформе у овој области. У склопу тога припремиће се </w:t>
      </w:r>
      <w:r w:rsidRPr="1A8E6423">
        <w:rPr>
          <w:rFonts w:ascii="Arial" w:hAnsi="Arial" w:cs="Arial"/>
          <w:i/>
          <w:iCs/>
          <w:sz w:val="20"/>
          <w:szCs w:val="20"/>
          <w:lang w:val="sr-Cyrl-RS"/>
        </w:rPr>
        <w:t>еx</w:t>
      </w:r>
      <w:r w:rsidR="00C55F6B" w:rsidRPr="1A8E6423">
        <w:rPr>
          <w:rFonts w:ascii="Arial" w:hAnsi="Arial" w:cs="Arial"/>
          <w:i/>
          <w:iCs/>
          <w:sz w:val="20"/>
          <w:szCs w:val="20"/>
          <w:lang w:val="sr-Cyrl-RS"/>
        </w:rPr>
        <w:t xml:space="preserve"> </w:t>
      </w:r>
      <w:r w:rsidRPr="1A8E6423">
        <w:rPr>
          <w:rFonts w:ascii="Arial" w:hAnsi="Arial" w:cs="Arial"/>
          <w:i/>
          <w:iCs/>
          <w:sz w:val="20"/>
          <w:szCs w:val="20"/>
          <w:lang w:val="sr-Cyrl-RS"/>
        </w:rPr>
        <w:t>ante</w:t>
      </w:r>
      <w:r w:rsidRPr="1A8E6423">
        <w:rPr>
          <w:rFonts w:ascii="Arial" w:hAnsi="Arial" w:cs="Arial"/>
          <w:sz w:val="20"/>
          <w:szCs w:val="20"/>
          <w:lang w:val="sr-Cyrl-RS"/>
        </w:rPr>
        <w:t xml:space="preserve"> анализа која ће</w:t>
      </w:r>
      <w:r w:rsidR="00C55F6B" w:rsidRPr="1A8E6423">
        <w:rPr>
          <w:rFonts w:ascii="Arial" w:hAnsi="Arial" w:cs="Arial"/>
          <w:sz w:val="20"/>
          <w:szCs w:val="20"/>
          <w:lang w:val="sr-Cyrl-RS"/>
        </w:rPr>
        <w:t>,</w:t>
      </w:r>
      <w:r w:rsidRPr="1A8E6423">
        <w:rPr>
          <w:rFonts w:ascii="Arial" w:hAnsi="Arial" w:cs="Arial"/>
          <w:sz w:val="20"/>
          <w:szCs w:val="20"/>
          <w:lang w:val="sr-Cyrl-RS"/>
        </w:rPr>
        <w:t xml:space="preserve"> између осталог</w:t>
      </w:r>
      <w:r w:rsidR="00C55F6B" w:rsidRPr="1A8E6423">
        <w:rPr>
          <w:rFonts w:ascii="Arial" w:hAnsi="Arial" w:cs="Arial"/>
          <w:sz w:val="20"/>
          <w:szCs w:val="20"/>
          <w:lang w:val="sr-Cyrl-RS"/>
        </w:rPr>
        <w:t>,</w:t>
      </w:r>
      <w:r w:rsidRPr="1A8E6423">
        <w:rPr>
          <w:rFonts w:ascii="Arial" w:hAnsi="Arial" w:cs="Arial"/>
          <w:sz w:val="20"/>
          <w:szCs w:val="20"/>
          <w:lang w:val="sr-Cyrl-RS"/>
        </w:rPr>
        <w:t xml:space="preserve"> сагледати питања функционисања комуналних предузећа, њихових кадровских, техничких и финансијских капацитета</w:t>
      </w:r>
      <w:r w:rsidR="00C55F6B" w:rsidRPr="1A8E6423">
        <w:rPr>
          <w:rFonts w:ascii="Arial" w:hAnsi="Arial" w:cs="Arial"/>
          <w:sz w:val="20"/>
          <w:szCs w:val="20"/>
          <w:lang w:val="sr-Cyrl-RS"/>
        </w:rPr>
        <w:t>,</w:t>
      </w:r>
      <w:r w:rsidRPr="1A8E6423">
        <w:rPr>
          <w:rFonts w:ascii="Arial" w:hAnsi="Arial" w:cs="Arial"/>
          <w:sz w:val="20"/>
          <w:szCs w:val="20"/>
          <w:lang w:val="sr-Cyrl-RS"/>
        </w:rPr>
        <w:t xml:space="preserve"> као и доступност и квалитет комуналних услуга и потребан обим улагања у комуналну инфраструктуру. Након израде ове анализе, кроз рад </w:t>
      </w:r>
      <w:r w:rsidR="00C55F6B" w:rsidRPr="1A8E6423">
        <w:rPr>
          <w:rFonts w:ascii="Arial" w:hAnsi="Arial" w:cs="Arial"/>
          <w:sz w:val="20"/>
          <w:szCs w:val="20"/>
          <w:lang w:val="sr-Cyrl-RS"/>
        </w:rPr>
        <w:t>к</w:t>
      </w:r>
      <w:r w:rsidRPr="1A8E6423">
        <w:rPr>
          <w:rFonts w:ascii="Arial" w:hAnsi="Arial" w:cs="Arial"/>
          <w:sz w:val="20"/>
          <w:szCs w:val="20"/>
          <w:lang w:val="sr-Cyrl-RS"/>
        </w:rPr>
        <w:t xml:space="preserve">омисије, израдиће се </w:t>
      </w:r>
      <w:r w:rsidR="00C55F6B" w:rsidRPr="1A8E6423">
        <w:rPr>
          <w:rFonts w:ascii="Arial" w:hAnsi="Arial" w:cs="Arial"/>
          <w:sz w:val="20"/>
          <w:szCs w:val="20"/>
          <w:lang w:val="sr-Cyrl-RS"/>
        </w:rPr>
        <w:t>п</w:t>
      </w:r>
      <w:r w:rsidRPr="1A8E6423">
        <w:rPr>
          <w:rFonts w:ascii="Arial" w:hAnsi="Arial" w:cs="Arial"/>
          <w:sz w:val="20"/>
          <w:szCs w:val="20"/>
          <w:lang w:val="sr-Cyrl-RS"/>
        </w:rPr>
        <w:t xml:space="preserve">редлог плана за реформу у области </w:t>
      </w:r>
      <w:r w:rsidR="00C55F6B" w:rsidRPr="1A8E6423">
        <w:rPr>
          <w:rFonts w:ascii="Arial" w:hAnsi="Arial" w:cs="Arial"/>
          <w:sz w:val="20"/>
          <w:szCs w:val="20"/>
          <w:lang w:val="sr-Cyrl-RS"/>
        </w:rPr>
        <w:t xml:space="preserve">обављања </w:t>
      </w:r>
      <w:r w:rsidRPr="1A8E6423">
        <w:rPr>
          <w:rFonts w:ascii="Arial" w:hAnsi="Arial" w:cs="Arial"/>
          <w:sz w:val="20"/>
          <w:szCs w:val="20"/>
          <w:lang w:val="sr-Cyrl-RS"/>
        </w:rPr>
        <w:t xml:space="preserve">комуналних делатности и функционисања комуналних предузећа (укључујући и мере и смернице </w:t>
      </w:r>
      <w:r w:rsidR="00C55F6B" w:rsidRPr="1A8E6423">
        <w:rPr>
          <w:rFonts w:ascii="Arial" w:hAnsi="Arial" w:cs="Arial"/>
          <w:sz w:val="20"/>
          <w:szCs w:val="20"/>
          <w:lang w:val="sr-Cyrl-RS"/>
        </w:rPr>
        <w:t>за</w:t>
      </w:r>
      <w:r w:rsidRPr="1A8E6423">
        <w:rPr>
          <w:rFonts w:ascii="Arial" w:hAnsi="Arial" w:cs="Arial"/>
          <w:sz w:val="20"/>
          <w:szCs w:val="20"/>
          <w:lang w:val="sr-Cyrl-RS"/>
        </w:rPr>
        <w:t xml:space="preserve"> отклањањ</w:t>
      </w:r>
      <w:r w:rsidR="00C55F6B" w:rsidRPr="1A8E6423">
        <w:rPr>
          <w:rFonts w:ascii="Arial" w:hAnsi="Arial" w:cs="Arial"/>
          <w:sz w:val="20"/>
          <w:szCs w:val="20"/>
          <w:lang w:val="sr-Cyrl-RS"/>
        </w:rPr>
        <w:t>е</w:t>
      </w:r>
      <w:r w:rsidRPr="1A8E6423">
        <w:rPr>
          <w:rFonts w:ascii="Arial" w:hAnsi="Arial" w:cs="Arial"/>
          <w:sz w:val="20"/>
          <w:szCs w:val="20"/>
          <w:lang w:val="sr-Cyrl-RS"/>
        </w:rPr>
        <w:t xml:space="preserve"> препрека у развоју комуналних предузећа и подстицањ</w:t>
      </w:r>
      <w:r w:rsidR="00C55F6B" w:rsidRPr="1A8E6423">
        <w:rPr>
          <w:rFonts w:ascii="Arial" w:hAnsi="Arial" w:cs="Arial"/>
          <w:sz w:val="20"/>
          <w:szCs w:val="20"/>
          <w:lang w:val="sr-Cyrl-RS"/>
        </w:rPr>
        <w:t>е</w:t>
      </w:r>
      <w:r w:rsidRPr="1A8E6423">
        <w:rPr>
          <w:rFonts w:ascii="Arial" w:hAnsi="Arial" w:cs="Arial"/>
          <w:sz w:val="20"/>
          <w:szCs w:val="20"/>
          <w:lang w:val="sr-Cyrl-RS"/>
        </w:rPr>
        <w:t xml:space="preserve"> улагања у приоритетну комуналну инфраструктуру).</w:t>
      </w:r>
    </w:p>
    <w:p w14:paraId="1DB5BB90" w14:textId="4C1D4E2D" w:rsidR="005E6575" w:rsidRPr="00A021B7" w:rsidRDefault="005E6575" w:rsidP="003E7BC9">
      <w:pPr>
        <w:jc w:val="both"/>
        <w:rPr>
          <w:rFonts w:ascii="Arial" w:hAnsi="Arial" w:cs="Arial"/>
          <w:b/>
          <w:color w:val="000000"/>
          <w:sz w:val="20"/>
          <w:szCs w:val="20"/>
          <w:lang w:val="sr-Cyrl-RS" w:eastAsia="sr-Latn-RS"/>
        </w:rPr>
      </w:pPr>
    </w:p>
    <w:p w14:paraId="1B4CF84E" w14:textId="77777777" w:rsidR="00034EBC" w:rsidRPr="00A021B7" w:rsidRDefault="00034EBC" w:rsidP="003E7BC9">
      <w:pPr>
        <w:jc w:val="both"/>
        <w:rPr>
          <w:rFonts w:ascii="Arial" w:hAnsi="Arial" w:cs="Arial"/>
          <w:b/>
          <w:color w:val="000000"/>
          <w:sz w:val="20"/>
          <w:szCs w:val="20"/>
          <w:lang w:val="sr-Cyrl-RS" w:eastAsia="sr-Latn-RS"/>
        </w:rPr>
      </w:pPr>
    </w:p>
    <w:p w14:paraId="5FE957E8" w14:textId="3E93376A" w:rsidR="005E6575" w:rsidRPr="00A021B7" w:rsidRDefault="005E6575" w:rsidP="1A8E6423">
      <w:pPr>
        <w:jc w:val="both"/>
        <w:rPr>
          <w:rFonts w:ascii="Arial" w:hAnsi="Arial" w:cs="Arial"/>
          <w:b/>
          <w:bCs/>
          <w:color w:val="000000"/>
          <w:sz w:val="20"/>
          <w:szCs w:val="20"/>
          <w:lang w:val="sr-Cyrl-RS" w:eastAsia="sr-Latn-RS"/>
        </w:rPr>
      </w:pPr>
      <w:r w:rsidRPr="1A8E6423">
        <w:rPr>
          <w:rFonts w:ascii="Arial" w:hAnsi="Arial" w:cs="Arial"/>
          <w:b/>
          <w:bCs/>
          <w:color w:val="000000" w:themeColor="text1"/>
          <w:sz w:val="20"/>
          <w:szCs w:val="20"/>
          <w:lang w:val="sr-Cyrl-RS" w:eastAsia="sr-Latn-RS"/>
        </w:rPr>
        <w:t>Мера 4.3: Креирање планског оквира за реформу функционисања локалних јавних установа</w:t>
      </w:r>
      <w:r w:rsidR="00502C99" w:rsidRPr="1A8E6423">
        <w:rPr>
          <w:rFonts w:ascii="Arial" w:hAnsi="Arial" w:cs="Arial"/>
          <w:b/>
          <w:bCs/>
          <w:color w:val="000000" w:themeColor="text1"/>
          <w:sz w:val="20"/>
          <w:szCs w:val="20"/>
          <w:lang w:val="sr-Cyrl-RS" w:eastAsia="sr-Latn-RS"/>
        </w:rPr>
        <w:t xml:space="preserve"> и унапређење њихових јавних услуга</w:t>
      </w:r>
    </w:p>
    <w:p w14:paraId="15DE3BE5" w14:textId="77777777" w:rsidR="005E6575" w:rsidRPr="00A021B7" w:rsidRDefault="005E6575" w:rsidP="003E7BC9">
      <w:pPr>
        <w:jc w:val="both"/>
        <w:rPr>
          <w:rFonts w:ascii="Arial" w:hAnsi="Arial" w:cs="Arial"/>
          <w:b/>
          <w:color w:val="000000"/>
          <w:sz w:val="20"/>
          <w:szCs w:val="20"/>
          <w:lang w:val="sr-Cyrl-RS" w:eastAsia="sr-Latn-RS"/>
        </w:rPr>
      </w:pPr>
    </w:p>
    <w:p w14:paraId="09AC8727" w14:textId="4AB506C7"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Као и претходн</w:t>
      </w:r>
      <w:r w:rsidR="00406811" w:rsidRPr="1A8E6423">
        <w:rPr>
          <w:rFonts w:ascii="Arial" w:hAnsi="Arial" w:cs="Arial"/>
          <w:sz w:val="20"/>
          <w:szCs w:val="20"/>
          <w:lang w:val="sr-Cyrl-RS"/>
        </w:rPr>
        <w:t>а</w:t>
      </w:r>
      <w:r w:rsidRPr="1A8E6423">
        <w:rPr>
          <w:rFonts w:ascii="Arial" w:hAnsi="Arial" w:cs="Arial"/>
          <w:sz w:val="20"/>
          <w:szCs w:val="20"/>
          <w:lang w:val="sr-Cyrl-RS"/>
        </w:rPr>
        <w:t xml:space="preserve"> мери</w:t>
      </w:r>
      <w:r w:rsidR="00406811" w:rsidRPr="1A8E6423">
        <w:rPr>
          <w:rFonts w:ascii="Arial" w:hAnsi="Arial" w:cs="Arial"/>
          <w:sz w:val="20"/>
          <w:szCs w:val="20"/>
          <w:lang w:val="sr-Cyrl-RS"/>
        </w:rPr>
        <w:t>,</w:t>
      </w:r>
      <w:r w:rsidRPr="1A8E6423">
        <w:rPr>
          <w:rFonts w:ascii="Arial" w:hAnsi="Arial" w:cs="Arial"/>
          <w:sz w:val="20"/>
          <w:szCs w:val="20"/>
          <w:lang w:val="sr-Cyrl-RS"/>
        </w:rPr>
        <w:t xml:space="preserve"> и ова мера предвиђа стварање предуслова за реформу рада јавних установа чији су оснивачи ЈЛС. Даља реформа функционисања јавних установа чији су оснивачи ЈЛС</w:t>
      </w:r>
      <w:r w:rsidR="00406811" w:rsidRPr="1A8E6423">
        <w:rPr>
          <w:rFonts w:ascii="Arial" w:hAnsi="Arial" w:cs="Arial"/>
          <w:sz w:val="20"/>
          <w:szCs w:val="20"/>
          <w:lang w:val="sr-Cyrl-RS"/>
        </w:rPr>
        <w:t>,</w:t>
      </w:r>
      <w:r w:rsidRPr="1A8E6423">
        <w:rPr>
          <w:rFonts w:ascii="Arial" w:hAnsi="Arial" w:cs="Arial"/>
          <w:sz w:val="20"/>
          <w:szCs w:val="20"/>
          <w:lang w:val="sr-Cyrl-RS"/>
        </w:rPr>
        <w:t xml:space="preserve"> а тиме и дела услуга од јавног значаја у веома важним областима као што су социјална и дечија заштита, образовање, култура, спорт или положај младих, представља веома важан део укупне реформе система локалне самоуправе. Активности у овој области биће започет</w:t>
      </w:r>
      <w:r w:rsidR="00406811" w:rsidRPr="1A8E6423">
        <w:rPr>
          <w:rFonts w:ascii="Arial" w:hAnsi="Arial" w:cs="Arial"/>
          <w:sz w:val="20"/>
          <w:szCs w:val="20"/>
          <w:lang w:val="sr-Cyrl-RS"/>
        </w:rPr>
        <w:t>е</w:t>
      </w:r>
      <w:r w:rsidRPr="1A8E6423">
        <w:rPr>
          <w:rFonts w:ascii="Arial" w:hAnsi="Arial" w:cs="Arial"/>
          <w:sz w:val="20"/>
          <w:szCs w:val="20"/>
          <w:lang w:val="sr-Cyrl-RS"/>
        </w:rPr>
        <w:t xml:space="preserve"> формирање</w:t>
      </w:r>
      <w:r w:rsidR="00406811" w:rsidRPr="1A8E6423">
        <w:rPr>
          <w:rFonts w:ascii="Arial" w:hAnsi="Arial" w:cs="Arial"/>
          <w:sz w:val="20"/>
          <w:szCs w:val="20"/>
          <w:lang w:val="sr-Cyrl-RS"/>
        </w:rPr>
        <w:t>м</w:t>
      </w:r>
      <w:r w:rsidRPr="1A8E6423">
        <w:rPr>
          <w:rFonts w:ascii="Arial" w:hAnsi="Arial" w:cs="Arial"/>
          <w:sz w:val="20"/>
          <w:szCs w:val="20"/>
          <w:lang w:val="sr-Cyrl-RS"/>
        </w:rPr>
        <w:t xml:space="preserve"> посебне интерресорне комисије која ће обухватити различита министарства у чијем делокругу су области у оквиру којих ЈЛС формирају јавне установе и обезбеђују јавне услуге. Први корак у том правцу биће образовање </w:t>
      </w:r>
      <w:r w:rsidR="00406811" w:rsidRPr="1A8E6423">
        <w:rPr>
          <w:rFonts w:ascii="Arial" w:hAnsi="Arial" w:cs="Arial"/>
          <w:sz w:val="20"/>
          <w:szCs w:val="20"/>
          <w:lang w:val="sr-Cyrl-RS"/>
        </w:rPr>
        <w:t>к</w:t>
      </w:r>
      <w:r w:rsidRPr="1A8E6423">
        <w:rPr>
          <w:rFonts w:ascii="Arial" w:hAnsi="Arial" w:cs="Arial"/>
          <w:sz w:val="20"/>
          <w:szCs w:val="20"/>
          <w:lang w:val="sr-Cyrl-RS"/>
        </w:rPr>
        <w:t xml:space="preserve">омисије која ће припремити предлоге мера и план за реформе у овој области. Кроз рад ове Комисије припремиће се </w:t>
      </w:r>
      <w:r w:rsidRPr="1A8E6423">
        <w:rPr>
          <w:rFonts w:ascii="Arial" w:hAnsi="Arial" w:cs="Arial"/>
          <w:i/>
          <w:iCs/>
          <w:sz w:val="20"/>
          <w:szCs w:val="20"/>
          <w:lang w:val="sr-Cyrl-RS"/>
        </w:rPr>
        <w:t>еx</w:t>
      </w:r>
      <w:r w:rsidR="00406811" w:rsidRPr="1A8E6423">
        <w:rPr>
          <w:rFonts w:ascii="Arial" w:hAnsi="Arial" w:cs="Arial"/>
          <w:i/>
          <w:iCs/>
          <w:sz w:val="20"/>
          <w:szCs w:val="20"/>
          <w:lang w:val="sr-Cyrl-RS"/>
        </w:rPr>
        <w:t xml:space="preserve"> </w:t>
      </w:r>
      <w:r w:rsidRPr="1A8E6423">
        <w:rPr>
          <w:rFonts w:ascii="Arial" w:hAnsi="Arial" w:cs="Arial"/>
          <w:i/>
          <w:iCs/>
          <w:sz w:val="20"/>
          <w:szCs w:val="20"/>
          <w:lang w:val="sr-Cyrl-RS"/>
        </w:rPr>
        <w:t>ante</w:t>
      </w:r>
      <w:r w:rsidRPr="1A8E6423">
        <w:rPr>
          <w:rFonts w:ascii="Arial" w:hAnsi="Arial" w:cs="Arial"/>
          <w:sz w:val="20"/>
          <w:szCs w:val="20"/>
          <w:lang w:val="sr-Cyrl-RS"/>
        </w:rPr>
        <w:t xml:space="preserve"> анализа функционисања услуга од јавног интереса за које су</w:t>
      </w:r>
      <w:r w:rsidR="00406811" w:rsidRPr="1A8E6423">
        <w:rPr>
          <w:rFonts w:ascii="Arial" w:hAnsi="Arial" w:cs="Arial"/>
          <w:sz w:val="20"/>
          <w:szCs w:val="20"/>
          <w:lang w:val="sr-Cyrl-RS"/>
        </w:rPr>
        <w:t>,</w:t>
      </w:r>
      <w:r w:rsidRPr="1A8E6423">
        <w:rPr>
          <w:rFonts w:ascii="Arial" w:hAnsi="Arial" w:cs="Arial"/>
          <w:sz w:val="20"/>
          <w:szCs w:val="20"/>
          <w:lang w:val="sr-Cyrl-RS"/>
        </w:rPr>
        <w:t xml:space="preserve"> преко јавних установа које оснивају</w:t>
      </w:r>
      <w:r w:rsidR="00406811" w:rsidRPr="1A8E6423">
        <w:rPr>
          <w:rFonts w:ascii="Arial" w:hAnsi="Arial" w:cs="Arial"/>
          <w:sz w:val="20"/>
          <w:szCs w:val="20"/>
          <w:lang w:val="sr-Cyrl-RS"/>
        </w:rPr>
        <w:t>,</w:t>
      </w:r>
      <w:r w:rsidRPr="1A8E6423">
        <w:rPr>
          <w:rFonts w:ascii="Arial" w:hAnsi="Arial" w:cs="Arial"/>
          <w:sz w:val="20"/>
          <w:szCs w:val="20"/>
          <w:lang w:val="sr-Cyrl-RS"/>
        </w:rPr>
        <w:t xml:space="preserve"> задужене ЈЛС (засновано на посебним анализама у појединачним областима). Ова анализа ће сагледати питања функционисања ових јавних установа, њихових кадровских, техничких и финансијских капацитета</w:t>
      </w:r>
      <w:r w:rsidR="00406811" w:rsidRPr="1A8E6423">
        <w:rPr>
          <w:rFonts w:ascii="Arial" w:hAnsi="Arial" w:cs="Arial"/>
          <w:sz w:val="20"/>
          <w:szCs w:val="20"/>
          <w:lang w:val="sr-Cyrl-RS"/>
        </w:rPr>
        <w:t>,</w:t>
      </w:r>
      <w:r w:rsidRPr="1A8E6423">
        <w:rPr>
          <w:rFonts w:ascii="Arial" w:hAnsi="Arial" w:cs="Arial"/>
          <w:sz w:val="20"/>
          <w:szCs w:val="20"/>
          <w:lang w:val="sr-Cyrl-RS"/>
        </w:rPr>
        <w:t xml:space="preserve"> као и доступност и квалитет услуга за које су задужене (укључујући и питање потребе за инфраструктурним улагањем). Посебно важна питања које ће се сагледати јесу однос локалних јавних установа и оснивача, односно систем управљања, финансирања и надзора над радом локалних јавних установа и потенцијал и могућности </w:t>
      </w:r>
      <w:r w:rsidR="00406811" w:rsidRPr="1A8E6423">
        <w:rPr>
          <w:rFonts w:ascii="Arial" w:hAnsi="Arial" w:cs="Arial"/>
          <w:sz w:val="20"/>
          <w:szCs w:val="20"/>
          <w:lang w:val="sr-Cyrl-RS"/>
        </w:rPr>
        <w:t xml:space="preserve">за </w:t>
      </w:r>
      <w:r w:rsidRPr="1A8E6423">
        <w:rPr>
          <w:rFonts w:ascii="Arial" w:hAnsi="Arial" w:cs="Arial"/>
          <w:sz w:val="20"/>
          <w:szCs w:val="20"/>
          <w:lang w:val="sr-Cyrl-RS"/>
        </w:rPr>
        <w:t>међуопштинско пружањ</w:t>
      </w:r>
      <w:r w:rsidR="00406811" w:rsidRPr="1A8E6423">
        <w:rPr>
          <w:rFonts w:ascii="Arial" w:hAnsi="Arial" w:cs="Arial"/>
          <w:sz w:val="20"/>
          <w:szCs w:val="20"/>
          <w:lang w:val="sr-Cyrl-RS"/>
        </w:rPr>
        <w:t>е</w:t>
      </w:r>
      <w:r w:rsidRPr="1A8E6423">
        <w:rPr>
          <w:rFonts w:ascii="Arial" w:hAnsi="Arial" w:cs="Arial"/>
          <w:sz w:val="20"/>
          <w:szCs w:val="20"/>
          <w:lang w:val="sr-Cyrl-RS"/>
        </w:rPr>
        <w:t xml:space="preserve"> ових услуга од јавног значаја. Након израде ове анализе, кроз рад инте</w:t>
      </w:r>
      <w:r w:rsidR="00406811" w:rsidRPr="1A8E6423">
        <w:rPr>
          <w:rFonts w:ascii="Arial" w:hAnsi="Arial" w:cs="Arial"/>
          <w:sz w:val="20"/>
          <w:szCs w:val="20"/>
          <w:lang w:val="sr-Cyrl-RS"/>
        </w:rPr>
        <w:t>р</w:t>
      </w:r>
      <w:r w:rsidRPr="1A8E6423">
        <w:rPr>
          <w:rFonts w:ascii="Arial" w:hAnsi="Arial" w:cs="Arial"/>
          <w:sz w:val="20"/>
          <w:szCs w:val="20"/>
          <w:lang w:val="sr-Cyrl-RS"/>
        </w:rPr>
        <w:t xml:space="preserve">ресорне комисије, у зависности од налаза претходне анализе, израдиће се обједињени план или појединачни предлози планова за реформу функционисања локалних јавних установа и </w:t>
      </w:r>
      <w:r w:rsidR="00406811" w:rsidRPr="1A8E6423">
        <w:rPr>
          <w:rFonts w:ascii="Arial" w:hAnsi="Arial" w:cs="Arial"/>
          <w:sz w:val="20"/>
          <w:szCs w:val="20"/>
          <w:lang w:val="sr-Cyrl-RS"/>
        </w:rPr>
        <w:t xml:space="preserve">обезбеђивања </w:t>
      </w:r>
      <w:r w:rsidRPr="1A8E6423">
        <w:rPr>
          <w:rFonts w:ascii="Arial" w:hAnsi="Arial" w:cs="Arial"/>
          <w:sz w:val="20"/>
          <w:szCs w:val="20"/>
          <w:lang w:val="sr-Cyrl-RS"/>
        </w:rPr>
        <w:t>услуга од јавног интереса које оне пружају.</w:t>
      </w:r>
    </w:p>
    <w:p w14:paraId="3AC9972B" w14:textId="77777777" w:rsidR="005E6575" w:rsidRPr="00A021B7" w:rsidRDefault="005E6575" w:rsidP="003E7BC9">
      <w:pPr>
        <w:jc w:val="both"/>
        <w:rPr>
          <w:rFonts w:ascii="Arial" w:hAnsi="Arial" w:cs="Arial"/>
          <w:b/>
          <w:color w:val="000000"/>
          <w:sz w:val="20"/>
          <w:szCs w:val="20"/>
          <w:lang w:val="sr-Cyrl-RS" w:eastAsia="sr-Latn-RS"/>
        </w:rPr>
      </w:pPr>
    </w:p>
    <w:p w14:paraId="62B928B5" w14:textId="77777777" w:rsidR="005E6575" w:rsidRPr="00A021B7" w:rsidRDefault="005E6575" w:rsidP="003E7BC9">
      <w:pPr>
        <w:jc w:val="both"/>
        <w:rPr>
          <w:rFonts w:ascii="Arial" w:hAnsi="Arial" w:cs="Arial"/>
          <w:b/>
          <w:color w:val="000000"/>
          <w:sz w:val="20"/>
          <w:szCs w:val="20"/>
          <w:lang w:val="sr-Cyrl-RS" w:eastAsia="sr-Latn-RS"/>
        </w:rPr>
      </w:pPr>
      <w:r w:rsidRPr="00A021B7">
        <w:rPr>
          <w:rFonts w:ascii="Arial" w:hAnsi="Arial" w:cs="Arial"/>
          <w:b/>
          <w:color w:val="000000"/>
          <w:sz w:val="20"/>
          <w:szCs w:val="20"/>
          <w:lang w:val="sr-Cyrl-RS" w:eastAsia="sr-Latn-RS"/>
        </w:rPr>
        <w:t>Мера 4.4: Унапређење деловања локалне самоуправе на подстицању локалног економског развоја</w:t>
      </w:r>
    </w:p>
    <w:p w14:paraId="745B8AA8" w14:textId="77777777" w:rsidR="005E6575" w:rsidRPr="00A021B7" w:rsidRDefault="005E6575" w:rsidP="003E7BC9">
      <w:pPr>
        <w:jc w:val="both"/>
        <w:rPr>
          <w:rFonts w:ascii="Arial" w:hAnsi="Arial" w:cs="Arial"/>
          <w:b/>
          <w:color w:val="000000"/>
          <w:sz w:val="20"/>
          <w:szCs w:val="20"/>
          <w:lang w:val="sr-Cyrl-RS" w:eastAsia="sr-Latn-RS"/>
        </w:rPr>
      </w:pPr>
    </w:p>
    <w:p w14:paraId="76E3463D" w14:textId="5EB45BF3" w:rsidR="005E6575" w:rsidRPr="00A021B7" w:rsidRDefault="005E6575" w:rsidP="1A8E6423">
      <w:pPr>
        <w:ind w:firstLine="720"/>
        <w:jc w:val="both"/>
        <w:rPr>
          <w:rFonts w:ascii="Arial" w:hAnsi="Arial" w:cs="Arial"/>
          <w:sz w:val="20"/>
          <w:szCs w:val="20"/>
          <w:lang w:val="sr-Cyrl-RS"/>
        </w:rPr>
      </w:pPr>
      <w:r w:rsidRPr="1A8E6423">
        <w:rPr>
          <w:rFonts w:ascii="Arial" w:hAnsi="Arial" w:cs="Arial"/>
          <w:sz w:val="20"/>
          <w:szCs w:val="20"/>
          <w:lang w:val="sr-Cyrl-RS"/>
        </w:rPr>
        <w:t>Локални економски развој (ЛЕР) представља једну од изузетно важних надлежности локалне самоуправе. Од економског развоја у највећој мери зависи остварење квалитетних јавних услуга и у другим областима За даљи интензиван развој функционисања ЈЛС у овој области предуслов су нормативне реформе и наставак интензивног развоја локалних капацитета</w:t>
      </w:r>
      <w:r w:rsidR="00542F30" w:rsidRPr="1A8E6423">
        <w:rPr>
          <w:rFonts w:ascii="Arial" w:hAnsi="Arial" w:cs="Arial"/>
          <w:sz w:val="20"/>
          <w:szCs w:val="20"/>
          <w:lang w:val="sr-Cyrl-RS"/>
        </w:rPr>
        <w:t>,</w:t>
      </w:r>
      <w:r w:rsidRPr="1A8E6423">
        <w:rPr>
          <w:rFonts w:ascii="Arial" w:hAnsi="Arial" w:cs="Arial"/>
          <w:sz w:val="20"/>
          <w:szCs w:val="20"/>
          <w:lang w:val="sr-Cyrl-RS"/>
        </w:rPr>
        <w:t xml:space="preserve"> посебно у мањим и неразвијеним општинама. Нормативне реформе биће настављене кроз припрему предлога измена и допуна Закона о улагањима, којима ће </w:t>
      </w:r>
      <w:r w:rsidR="00502C99" w:rsidRPr="1A8E6423">
        <w:rPr>
          <w:rFonts w:ascii="Arial" w:hAnsi="Arial" w:cs="Arial"/>
          <w:sz w:val="20"/>
          <w:szCs w:val="20"/>
          <w:lang w:val="sr-Cyrl-RS"/>
        </w:rPr>
        <w:t xml:space="preserve">се </w:t>
      </w:r>
      <w:r w:rsidRPr="1A8E6423">
        <w:rPr>
          <w:rFonts w:ascii="Arial" w:hAnsi="Arial" w:cs="Arial"/>
          <w:sz w:val="20"/>
          <w:szCs w:val="20"/>
          <w:lang w:val="sr-Cyrl-RS"/>
        </w:rPr>
        <w:lastRenderedPageBreak/>
        <w:t>дефинисати обавез</w:t>
      </w:r>
      <w:r w:rsidR="00502C99" w:rsidRPr="1A8E6423">
        <w:rPr>
          <w:rFonts w:ascii="Arial" w:hAnsi="Arial" w:cs="Arial"/>
          <w:sz w:val="20"/>
          <w:szCs w:val="20"/>
          <w:lang w:val="sr-Cyrl-RS"/>
        </w:rPr>
        <w:t>а</w:t>
      </w:r>
      <w:r w:rsidRPr="1A8E6423">
        <w:rPr>
          <w:rFonts w:ascii="Arial" w:hAnsi="Arial" w:cs="Arial"/>
          <w:sz w:val="20"/>
          <w:szCs w:val="20"/>
          <w:lang w:val="sr-Cyrl-RS"/>
        </w:rPr>
        <w:t xml:space="preserve"> усвајања локалног програма за ЛЕР од стране ЈЛС и сет послова ЈЛС у области ЛЕР-а и услуга према привреди. Интензивираће се и развој капацитета запослених у организационим јединицама за ЛЕР</w:t>
      </w:r>
      <w:r w:rsidR="00542F30" w:rsidRPr="1A8E6423">
        <w:rPr>
          <w:rFonts w:ascii="Arial" w:hAnsi="Arial" w:cs="Arial"/>
          <w:sz w:val="20"/>
          <w:szCs w:val="20"/>
          <w:lang w:val="sr-Cyrl-RS"/>
        </w:rPr>
        <w:t>,</w:t>
      </w:r>
      <w:r w:rsidRPr="1A8E6423">
        <w:rPr>
          <w:rFonts w:ascii="Arial" w:hAnsi="Arial" w:cs="Arial"/>
          <w:sz w:val="20"/>
          <w:szCs w:val="20"/>
          <w:lang w:val="sr-Cyrl-RS"/>
        </w:rPr>
        <w:t xml:space="preserve"> али и у другим организационим јединицама локалне управе (кроз обуке и радионице које ће обухватити</w:t>
      </w:r>
      <w:r w:rsidR="00542F30" w:rsidRPr="1A8E6423">
        <w:rPr>
          <w:rFonts w:ascii="Arial" w:hAnsi="Arial" w:cs="Arial"/>
          <w:sz w:val="20"/>
          <w:szCs w:val="20"/>
          <w:lang w:val="sr-Cyrl-RS"/>
        </w:rPr>
        <w:t>,</w:t>
      </w:r>
      <w:r w:rsidRPr="1A8E6423">
        <w:rPr>
          <w:rFonts w:ascii="Arial" w:hAnsi="Arial" w:cs="Arial"/>
          <w:sz w:val="20"/>
          <w:szCs w:val="20"/>
          <w:lang w:val="sr-Cyrl-RS"/>
        </w:rPr>
        <w:t xml:space="preserve"> између осталог</w:t>
      </w:r>
      <w:r w:rsidR="00542F30" w:rsidRPr="1A8E6423">
        <w:rPr>
          <w:rFonts w:ascii="Arial" w:hAnsi="Arial" w:cs="Arial"/>
          <w:sz w:val="20"/>
          <w:szCs w:val="20"/>
          <w:lang w:val="sr-Cyrl-RS"/>
        </w:rPr>
        <w:t>,</w:t>
      </w:r>
      <w:r w:rsidRPr="1A8E6423">
        <w:rPr>
          <w:rFonts w:ascii="Arial" w:hAnsi="Arial" w:cs="Arial"/>
          <w:sz w:val="20"/>
          <w:szCs w:val="20"/>
          <w:lang w:val="sr-Cyrl-RS"/>
        </w:rPr>
        <w:t xml:space="preserve"> инструменте за подстицање привредног развоја и подршку привреди; стручна знања за праћење локалне привреде и израду програма за ЛЕР; деловање ЈЛС на привлачењу инвестиција; сарадњу ЈЛС са привредом; спровођење ЈПП; развој посебних сектора – туризам, пољопривреда итд.; припрему и спровођење пројеката за фондове ЕУ и др.). Посебна пажња биће посвећена малим и неразвијеним општинама којима је неопходна додатна подршка, како у спровођењу активности у области ЛЕР-а</w:t>
      </w:r>
      <w:r w:rsidR="00542F30" w:rsidRPr="1A8E6423">
        <w:rPr>
          <w:rFonts w:ascii="Arial" w:hAnsi="Arial" w:cs="Arial"/>
          <w:sz w:val="20"/>
          <w:szCs w:val="20"/>
          <w:lang w:val="sr-Cyrl-RS"/>
        </w:rPr>
        <w:t>,</w:t>
      </w:r>
      <w:r w:rsidRPr="1A8E6423">
        <w:rPr>
          <w:rFonts w:ascii="Arial" w:hAnsi="Arial" w:cs="Arial"/>
          <w:sz w:val="20"/>
          <w:szCs w:val="20"/>
          <w:lang w:val="sr-Cyrl-RS"/>
        </w:rPr>
        <w:t xml:space="preserve"> тако и у развоју капацитета у локалној управи и финансирању подршке локалној привреди.</w:t>
      </w:r>
    </w:p>
    <w:p w14:paraId="080A9211" w14:textId="77777777" w:rsidR="005E6575" w:rsidRPr="00A021B7" w:rsidRDefault="005E6575" w:rsidP="003E7BC9">
      <w:pPr>
        <w:jc w:val="both"/>
        <w:rPr>
          <w:rFonts w:ascii="Arial" w:hAnsi="Arial" w:cs="Arial"/>
          <w:b/>
          <w:color w:val="000000"/>
          <w:sz w:val="20"/>
          <w:szCs w:val="20"/>
          <w:lang w:val="sr-Cyrl-RS" w:eastAsia="sr-Latn-RS"/>
        </w:rPr>
      </w:pPr>
    </w:p>
    <w:p w14:paraId="18924C0D" w14:textId="2BB37E77" w:rsidR="005E6575" w:rsidRPr="00A021B7" w:rsidRDefault="005E6575" w:rsidP="1A8E6423">
      <w:pPr>
        <w:jc w:val="both"/>
        <w:rPr>
          <w:rFonts w:ascii="Arial" w:hAnsi="Arial" w:cs="Arial"/>
          <w:b/>
          <w:bCs/>
          <w:color w:val="000000"/>
          <w:sz w:val="20"/>
          <w:szCs w:val="20"/>
          <w:lang w:val="sr-Cyrl-RS" w:eastAsia="sr-Latn-RS"/>
        </w:rPr>
      </w:pPr>
      <w:r w:rsidRPr="1A8E6423">
        <w:rPr>
          <w:rFonts w:ascii="Arial" w:hAnsi="Arial" w:cs="Arial"/>
          <w:b/>
          <w:bCs/>
          <w:color w:val="000000" w:themeColor="text1"/>
          <w:sz w:val="20"/>
          <w:szCs w:val="20"/>
          <w:lang w:val="sr-Cyrl-RS" w:eastAsia="sr-Latn-RS"/>
        </w:rPr>
        <w:t>Мера 4.5.: Унапређење пружања јавних услуга ЈЛС кроз модел јавно</w:t>
      </w:r>
      <w:r w:rsidR="00542F30" w:rsidRPr="1A8E6423">
        <w:rPr>
          <w:rFonts w:ascii="Arial" w:hAnsi="Arial" w:cs="Arial"/>
          <w:b/>
          <w:bCs/>
          <w:color w:val="000000" w:themeColor="text1"/>
          <w:sz w:val="20"/>
          <w:szCs w:val="20"/>
          <w:lang w:val="sr-Cyrl-RS" w:eastAsia="sr-Latn-RS"/>
        </w:rPr>
        <w:t>-</w:t>
      </w:r>
      <w:r w:rsidRPr="1A8E6423">
        <w:rPr>
          <w:rFonts w:ascii="Arial" w:hAnsi="Arial" w:cs="Arial"/>
          <w:b/>
          <w:bCs/>
          <w:color w:val="000000" w:themeColor="text1"/>
          <w:sz w:val="20"/>
          <w:szCs w:val="20"/>
          <w:lang w:val="sr-Cyrl-RS" w:eastAsia="sr-Latn-RS"/>
        </w:rPr>
        <w:t>приватног партнерства</w:t>
      </w:r>
    </w:p>
    <w:p w14:paraId="2D57E14D" w14:textId="36482F8B" w:rsidR="00DC3E1F" w:rsidRPr="00A021B7" w:rsidRDefault="00DC3E1F" w:rsidP="1A8E6423">
      <w:pPr>
        <w:spacing w:before="100" w:beforeAutospacing="1" w:after="100" w:afterAutospacing="1"/>
        <w:ind w:firstLine="720"/>
        <w:jc w:val="both"/>
        <w:rPr>
          <w:rFonts w:ascii="Arial" w:hAnsi="Arial" w:cs="Arial"/>
          <w:color w:val="000000"/>
          <w:sz w:val="20"/>
          <w:szCs w:val="20"/>
          <w:lang w:val="sr-Cyrl-RS"/>
        </w:rPr>
      </w:pPr>
      <w:r w:rsidRPr="1A8E6423">
        <w:rPr>
          <w:rFonts w:ascii="Arial" w:hAnsi="Arial" w:cs="Arial"/>
          <w:color w:val="000000" w:themeColor="text1"/>
          <w:sz w:val="20"/>
          <w:szCs w:val="20"/>
          <w:lang w:val="sr-Cyrl-RS"/>
        </w:rPr>
        <w:t>Уплив приватног сектора у обављање тр</w:t>
      </w:r>
      <w:r w:rsidR="63A3E63E"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диционалних послова локалне самоуправе може значајно да допринесе унапређењу пружања јавних услуга кроз јавно-приватна партнерства (ЈПП), за шта је неопходно омогућити различите видове подршке ЈЛС за спровођење пројеката ЈПП, и промовисати</w:t>
      </w:r>
      <w:r w:rsidR="00542F30" w:rsidRPr="1A8E6423">
        <w:rPr>
          <w:rFonts w:ascii="Arial" w:hAnsi="Arial" w:cs="Arial"/>
          <w:color w:val="000000" w:themeColor="text1"/>
          <w:sz w:val="20"/>
          <w:szCs w:val="20"/>
          <w:lang w:val="sr-Cyrl-RS"/>
        </w:rPr>
        <w:t xml:space="preserve"> </w:t>
      </w:r>
      <w:r w:rsidRPr="1A8E6423">
        <w:rPr>
          <w:rFonts w:ascii="Arial" w:hAnsi="Arial" w:cs="Arial"/>
          <w:color w:val="000000" w:themeColor="text1"/>
          <w:sz w:val="20"/>
          <w:szCs w:val="20"/>
          <w:lang w:val="sr-Cyrl-RS"/>
        </w:rPr>
        <w:t>постојеће и потенцијалне пројекте. Без обзира на значајан пораст пројеката ЈПП у претходном периоду, евидентан је недостатак капацитета за планирање, припрему и реализацију пројеката ЈПП. Како би</w:t>
      </w:r>
      <w:r w:rsidR="0085037C" w:rsidRPr="1A8E6423">
        <w:rPr>
          <w:rFonts w:ascii="Arial" w:hAnsi="Arial" w:cs="Arial"/>
          <w:color w:val="000000" w:themeColor="text1"/>
          <w:sz w:val="20"/>
          <w:szCs w:val="20"/>
          <w:lang w:val="sr-Cyrl-RS"/>
        </w:rPr>
        <w:t xml:space="preserve"> се унапредил</w:t>
      </w:r>
      <w:r w:rsidR="00542F30" w:rsidRPr="1A8E6423">
        <w:rPr>
          <w:rFonts w:ascii="Arial" w:hAnsi="Arial" w:cs="Arial"/>
          <w:color w:val="000000" w:themeColor="text1"/>
          <w:sz w:val="20"/>
          <w:szCs w:val="20"/>
          <w:lang w:val="sr-Cyrl-RS"/>
        </w:rPr>
        <w:t>и</w:t>
      </w:r>
      <w:r w:rsidR="0085037C" w:rsidRPr="1A8E6423">
        <w:rPr>
          <w:rFonts w:ascii="Arial" w:hAnsi="Arial" w:cs="Arial"/>
          <w:color w:val="000000" w:themeColor="text1"/>
          <w:sz w:val="20"/>
          <w:szCs w:val="20"/>
          <w:lang w:val="sr-Cyrl-RS"/>
        </w:rPr>
        <w:t xml:space="preserve"> ситуација у вези са тим</w:t>
      </w:r>
      <w:r w:rsidRPr="1A8E6423">
        <w:rPr>
          <w:rFonts w:ascii="Arial" w:hAnsi="Arial" w:cs="Arial"/>
          <w:color w:val="000000" w:themeColor="text1"/>
          <w:sz w:val="20"/>
          <w:szCs w:val="20"/>
          <w:lang w:val="sr-Cyrl-RS"/>
        </w:rPr>
        <w:t xml:space="preserve"> </w:t>
      </w:r>
      <w:r w:rsidR="0085037C" w:rsidRPr="1A8E6423">
        <w:rPr>
          <w:rFonts w:ascii="Arial" w:hAnsi="Arial" w:cs="Arial"/>
          <w:color w:val="000000" w:themeColor="text1"/>
          <w:sz w:val="20"/>
          <w:szCs w:val="20"/>
          <w:lang w:val="sr-Cyrl-RS"/>
        </w:rPr>
        <w:t xml:space="preserve">и </w:t>
      </w:r>
      <w:r w:rsidRPr="1A8E6423">
        <w:rPr>
          <w:rFonts w:ascii="Arial" w:hAnsi="Arial" w:cs="Arial"/>
          <w:color w:val="000000" w:themeColor="text1"/>
          <w:sz w:val="20"/>
          <w:szCs w:val="20"/>
          <w:lang w:val="sr-Cyrl-RS"/>
        </w:rPr>
        <w:t>капацитет</w:t>
      </w:r>
      <w:r w:rsidR="0085037C" w:rsidRPr="1A8E6423">
        <w:rPr>
          <w:rFonts w:ascii="Arial" w:hAnsi="Arial" w:cs="Arial"/>
          <w:color w:val="000000" w:themeColor="text1"/>
          <w:sz w:val="20"/>
          <w:szCs w:val="20"/>
          <w:lang w:val="sr-Cyrl-RS"/>
        </w:rPr>
        <w:t>и</w:t>
      </w:r>
      <w:r w:rsidRPr="1A8E6423">
        <w:rPr>
          <w:rFonts w:ascii="Arial" w:hAnsi="Arial" w:cs="Arial"/>
          <w:color w:val="000000" w:themeColor="text1"/>
          <w:sz w:val="20"/>
          <w:szCs w:val="20"/>
          <w:lang w:val="sr-Cyrl-RS"/>
        </w:rPr>
        <w:t xml:space="preserve"> ЈЛС за увођење овог модела у пружање </w:t>
      </w:r>
      <w:r w:rsidR="00542F30" w:rsidRPr="1A8E6423">
        <w:rPr>
          <w:rFonts w:ascii="Arial" w:hAnsi="Arial" w:cs="Arial"/>
          <w:color w:val="000000" w:themeColor="text1"/>
          <w:sz w:val="20"/>
          <w:szCs w:val="20"/>
          <w:lang w:val="sr-Cyrl-RS"/>
        </w:rPr>
        <w:t xml:space="preserve">њихових </w:t>
      </w:r>
      <w:r w:rsidRPr="1A8E6423">
        <w:rPr>
          <w:rFonts w:ascii="Arial" w:hAnsi="Arial" w:cs="Arial"/>
          <w:color w:val="000000" w:themeColor="text1"/>
          <w:sz w:val="20"/>
          <w:szCs w:val="20"/>
          <w:lang w:val="sr-Cyrl-RS"/>
        </w:rPr>
        <w:t xml:space="preserve">услуга, </w:t>
      </w:r>
      <w:r w:rsidR="0085037C" w:rsidRPr="1A8E6423">
        <w:rPr>
          <w:rFonts w:ascii="Arial" w:hAnsi="Arial" w:cs="Arial"/>
          <w:color w:val="000000" w:themeColor="text1"/>
          <w:sz w:val="20"/>
          <w:szCs w:val="20"/>
          <w:lang w:val="sr-Cyrl-RS"/>
        </w:rPr>
        <w:t>планирана је реализација низа</w:t>
      </w:r>
      <w:r w:rsidRPr="1A8E6423">
        <w:rPr>
          <w:rFonts w:ascii="Arial" w:hAnsi="Arial" w:cs="Arial"/>
          <w:color w:val="000000" w:themeColor="text1"/>
          <w:sz w:val="20"/>
          <w:szCs w:val="20"/>
          <w:lang w:val="sr-Cyrl-RS"/>
        </w:rPr>
        <w:t xml:space="preserve"> активности које се огледају у директној подршци ЈЛС за управљање процесима везаним за ЈПП.</w:t>
      </w:r>
    </w:p>
    <w:p w14:paraId="5957AD25" w14:textId="2283B7C2" w:rsidR="36E1526F" w:rsidRDefault="00DC3E1F" w:rsidP="1A8E6423">
      <w:pPr>
        <w:spacing w:before="100" w:beforeAutospacing="1" w:after="100" w:afterAutospacing="1"/>
        <w:ind w:firstLine="720"/>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Израда свеобухватне и детаљне анализе стања у области ЈЛС ће бити први корак и неопход</w:t>
      </w:r>
      <w:r w:rsidR="00542F30"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н предуслов за адекватно креирање подршке за ЈЛС у овој области. Анализа треба да покаже опште стање у овој области, све недостатке и препреке са којима се ЈЛС сусрећу</w:t>
      </w:r>
      <w:r w:rsidR="00542F30"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као и добре примере из праксе који могу да се ко</w:t>
      </w:r>
      <w:r w:rsidR="2D1E1A4C" w:rsidRPr="1A8E6423">
        <w:rPr>
          <w:rFonts w:ascii="Arial" w:hAnsi="Arial" w:cs="Arial"/>
          <w:color w:val="000000" w:themeColor="text1"/>
          <w:sz w:val="20"/>
          <w:szCs w:val="20"/>
          <w:lang w:val="sr-Cyrl-RS"/>
        </w:rPr>
        <w:t>р</w:t>
      </w:r>
      <w:r w:rsidRPr="1A8E6423">
        <w:rPr>
          <w:rFonts w:ascii="Arial" w:hAnsi="Arial" w:cs="Arial"/>
          <w:color w:val="000000" w:themeColor="text1"/>
          <w:sz w:val="20"/>
          <w:szCs w:val="20"/>
          <w:lang w:val="sr-Cyrl-RS"/>
        </w:rPr>
        <w:t>исте као модели и у другим ЈЛС. Анализа ће</w:t>
      </w:r>
      <w:r w:rsidR="00D77C69"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поред потреба за подршком</w:t>
      </w:r>
      <w:r w:rsidR="00D77C69"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указати и </w:t>
      </w:r>
      <w:r w:rsidR="00D77C69" w:rsidRPr="1A8E6423">
        <w:rPr>
          <w:rFonts w:ascii="Arial" w:hAnsi="Arial" w:cs="Arial"/>
          <w:color w:val="000000" w:themeColor="text1"/>
          <w:sz w:val="20"/>
          <w:szCs w:val="20"/>
          <w:lang w:val="sr-Cyrl-RS"/>
        </w:rPr>
        <w:t xml:space="preserve">на </w:t>
      </w:r>
      <w:r w:rsidRPr="1A8E6423">
        <w:rPr>
          <w:rFonts w:ascii="Arial" w:hAnsi="Arial" w:cs="Arial"/>
          <w:color w:val="000000" w:themeColor="text1"/>
          <w:sz w:val="20"/>
          <w:szCs w:val="20"/>
          <w:lang w:val="sr-Cyrl-RS"/>
        </w:rPr>
        <w:t>недостатке у правном оквиру и на основу тога ће бити припремљене препоруке за унапређење. С обзиром на сложеност области ЈПП и велику лепезу делатности у којима је спровођење модела ЈПП могуће, подршка у овој области ће бити конципирана у два правца</w:t>
      </w:r>
      <w:r w:rsidR="00D77C69"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w:t>
      </w:r>
      <w:r w:rsidR="00D77C69" w:rsidRPr="1A8E6423">
        <w:rPr>
          <w:rFonts w:ascii="Arial" w:hAnsi="Arial" w:cs="Arial"/>
          <w:color w:val="000000" w:themeColor="text1"/>
          <w:sz w:val="20"/>
          <w:szCs w:val="20"/>
          <w:lang w:val="sr-Cyrl-RS"/>
        </w:rPr>
        <w:t>П</w:t>
      </w:r>
      <w:r w:rsidRPr="1A8E6423">
        <w:rPr>
          <w:rFonts w:ascii="Arial" w:hAnsi="Arial" w:cs="Arial"/>
          <w:color w:val="000000" w:themeColor="text1"/>
          <w:sz w:val="20"/>
          <w:szCs w:val="20"/>
          <w:lang w:val="sr-Cyrl-RS"/>
        </w:rPr>
        <w:t>рви ће подразумевати општ</w:t>
      </w:r>
      <w:r w:rsidR="007E234A" w:rsidRPr="1A8E6423">
        <w:rPr>
          <w:rFonts w:ascii="Arial" w:hAnsi="Arial" w:cs="Arial"/>
          <w:color w:val="000000" w:themeColor="text1"/>
          <w:sz w:val="20"/>
          <w:szCs w:val="20"/>
          <w:lang w:val="sr-Cyrl-RS"/>
        </w:rPr>
        <w:t>е</w:t>
      </w:r>
      <w:r w:rsidRPr="1A8E6423">
        <w:rPr>
          <w:rFonts w:ascii="Arial" w:hAnsi="Arial" w:cs="Arial"/>
          <w:color w:val="000000" w:themeColor="text1"/>
          <w:sz w:val="20"/>
          <w:szCs w:val="20"/>
          <w:lang w:val="sr-Cyrl-RS"/>
        </w:rPr>
        <w:t xml:space="preserve"> видове подршке намењене свим ЈЛС, док ће се други правац односити на специфичну директну подршку ЈЛС везану за превазилажење конкретних проблема и изазова. ЈЛС ће добити општу подршку која се односи на израду модела аката неопходних за реализацију пројеката ЈПП, приручника за реализацију ЈПП, различитих обука итд</w:t>
      </w:r>
      <w:r w:rsidR="007E234A" w:rsidRPr="1A8E6423">
        <w:rPr>
          <w:rFonts w:ascii="Arial" w:hAnsi="Arial" w:cs="Arial"/>
          <w:color w:val="000000" w:themeColor="text1"/>
          <w:sz w:val="20"/>
          <w:szCs w:val="20"/>
          <w:lang w:val="sr-Cyrl-RS"/>
        </w:rPr>
        <w:t>.</w:t>
      </w:r>
      <w:r w:rsidR="00D77C69"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што ће такође допринети и одређеној административној унификацији поступања у припреми и реализациј</w:t>
      </w:r>
      <w:r w:rsidR="00D77C69" w:rsidRPr="1A8E6423">
        <w:rPr>
          <w:rFonts w:ascii="Arial" w:hAnsi="Arial" w:cs="Arial"/>
          <w:color w:val="000000" w:themeColor="text1"/>
          <w:sz w:val="20"/>
          <w:szCs w:val="20"/>
          <w:lang w:val="sr-Cyrl-RS"/>
        </w:rPr>
        <w:t>и</w:t>
      </w:r>
      <w:r w:rsidRPr="1A8E6423">
        <w:rPr>
          <w:rFonts w:ascii="Arial" w:hAnsi="Arial" w:cs="Arial"/>
          <w:color w:val="000000" w:themeColor="text1"/>
          <w:sz w:val="20"/>
          <w:szCs w:val="20"/>
          <w:lang w:val="sr-Cyrl-RS"/>
        </w:rPr>
        <w:t xml:space="preserve"> пројеката ЈПП. Са друге стране</w:t>
      </w:r>
      <w:r w:rsidR="00D77C69"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биће обезбеђена и техничка подршка за појединачне ЈЛС која ће подразумевати додатну директну подршку за превазилажење конкретних ситуација које могу бити препреке како у процесу одабира и припреме пројеката тако и у процесу операционализације и пружања услуга кроз модел ЈПП. Овај вид подршке ће се посебно односити на процесе анализе оправданости реализације ЈПП у одре</w:t>
      </w:r>
      <w:r w:rsidR="000D3FC7" w:rsidRPr="1A8E6423">
        <w:rPr>
          <w:rFonts w:ascii="Arial" w:hAnsi="Arial" w:cs="Arial"/>
          <w:color w:val="000000" w:themeColor="text1"/>
          <w:sz w:val="20"/>
          <w:szCs w:val="20"/>
          <w:lang w:val="sr-Cyrl-RS"/>
        </w:rPr>
        <w:t>ђ</w:t>
      </w:r>
      <w:r w:rsidRPr="1A8E6423">
        <w:rPr>
          <w:rFonts w:ascii="Arial" w:hAnsi="Arial" w:cs="Arial"/>
          <w:color w:val="000000" w:themeColor="text1"/>
          <w:sz w:val="20"/>
          <w:szCs w:val="20"/>
          <w:lang w:val="sr-Cyrl-RS"/>
        </w:rPr>
        <w:t>еним областима, спровођења јавних набавки за одабир приватног партнера, контроле и мониторинга обављања делатности кроз ЈПП, заштите јавног интереса и</w:t>
      </w:r>
      <w:r w:rsidR="000D3FC7" w:rsidRPr="1A8E6423">
        <w:rPr>
          <w:rFonts w:ascii="Arial" w:hAnsi="Arial" w:cs="Arial"/>
          <w:color w:val="000000" w:themeColor="text1"/>
          <w:sz w:val="20"/>
          <w:szCs w:val="20"/>
          <w:lang w:val="sr-Cyrl-RS"/>
        </w:rPr>
        <w:t xml:space="preserve"> др. </w:t>
      </w:r>
      <w:r w:rsidRPr="1A8E6423">
        <w:rPr>
          <w:rFonts w:ascii="Arial" w:hAnsi="Arial" w:cs="Arial"/>
          <w:color w:val="000000" w:themeColor="text1"/>
          <w:sz w:val="20"/>
          <w:szCs w:val="20"/>
          <w:lang w:val="sr-Cyrl-RS"/>
        </w:rPr>
        <w:t>Посебан вид подршке ће бити подршка промоцији потенцијалних и постојећих пројек</w:t>
      </w:r>
      <w:r w:rsidR="00D77C69" w:rsidRPr="1A8E6423">
        <w:rPr>
          <w:rFonts w:ascii="Arial" w:hAnsi="Arial" w:cs="Arial"/>
          <w:color w:val="000000" w:themeColor="text1"/>
          <w:sz w:val="20"/>
          <w:szCs w:val="20"/>
          <w:lang w:val="sr-Cyrl-RS"/>
        </w:rPr>
        <w:t>а</w:t>
      </w:r>
      <w:r w:rsidRPr="1A8E6423">
        <w:rPr>
          <w:rFonts w:ascii="Arial" w:hAnsi="Arial" w:cs="Arial"/>
          <w:color w:val="000000" w:themeColor="text1"/>
          <w:sz w:val="20"/>
          <w:szCs w:val="20"/>
          <w:lang w:val="sr-Cyrl-RS"/>
        </w:rPr>
        <w:t xml:space="preserve">та ЈПП кроз електронску платформу која ће бити успостављена </w:t>
      </w:r>
      <w:r w:rsidR="007E5F43" w:rsidRPr="1A8E6423">
        <w:rPr>
          <w:rFonts w:ascii="Arial" w:hAnsi="Arial" w:cs="Arial"/>
          <w:color w:val="000000" w:themeColor="text1"/>
          <w:sz w:val="20"/>
          <w:szCs w:val="20"/>
          <w:lang w:val="sr-Cyrl-RS"/>
        </w:rPr>
        <w:t xml:space="preserve">и </w:t>
      </w:r>
      <w:r w:rsidRPr="1A8E6423">
        <w:rPr>
          <w:rFonts w:ascii="Arial" w:hAnsi="Arial" w:cs="Arial"/>
          <w:color w:val="000000" w:themeColor="text1"/>
          <w:sz w:val="20"/>
          <w:szCs w:val="20"/>
          <w:lang w:val="sr-Cyrl-RS"/>
        </w:rPr>
        <w:t>која ће допринети и транспарентности пројеката ЈПП на локалном нивоу.</w:t>
      </w:r>
    </w:p>
    <w:p w14:paraId="322D4FA4" w14:textId="77777777" w:rsidR="00BA35E3" w:rsidRPr="00A021B7" w:rsidRDefault="00BA35E3" w:rsidP="1A8E6423">
      <w:pPr>
        <w:spacing w:before="100" w:beforeAutospacing="1" w:after="100" w:afterAutospacing="1"/>
        <w:ind w:firstLine="720"/>
        <w:jc w:val="both"/>
        <w:rPr>
          <w:rFonts w:ascii="Arial" w:hAnsi="Arial" w:cs="Arial"/>
          <w:color w:val="000000"/>
          <w:sz w:val="20"/>
          <w:szCs w:val="20"/>
          <w:lang w:val="sr-Cyrl-RS"/>
        </w:rPr>
      </w:pPr>
    </w:p>
    <w:p w14:paraId="7CB700B9" w14:textId="5C242925" w:rsidR="00CA4EEB" w:rsidRPr="00A021B7" w:rsidRDefault="00CA4EEB" w:rsidP="004935B9">
      <w:pPr>
        <w:pStyle w:val="Heading1"/>
        <w:numPr>
          <w:ilvl w:val="0"/>
          <w:numId w:val="30"/>
        </w:numPr>
        <w:rPr>
          <w:lang w:val="sr-Cyrl-RS"/>
        </w:rPr>
      </w:pPr>
      <w:bookmarkStart w:id="177" w:name="_Toc60136118"/>
      <w:r w:rsidRPr="00A021B7">
        <w:rPr>
          <w:lang w:val="sr-Cyrl-RS"/>
        </w:rPr>
        <w:t>ИНСТИТУЦИОНАЛНИ ОКВИР ЗА УПРАВЉАЊЕ РЕФОРМОМ СИСТЕМА ЛОКАЛНЕ САМОУПРАВЕ</w:t>
      </w:r>
      <w:bookmarkEnd w:id="177"/>
    </w:p>
    <w:p w14:paraId="53E41624" w14:textId="70325438" w:rsidR="007E35DE" w:rsidRPr="00A021B7" w:rsidRDefault="007E35DE" w:rsidP="003E7BC9">
      <w:pPr>
        <w:jc w:val="both"/>
        <w:rPr>
          <w:rFonts w:ascii="Arial" w:hAnsi="Arial" w:cs="Arial"/>
          <w:b/>
          <w:bCs/>
          <w:sz w:val="20"/>
          <w:szCs w:val="20"/>
          <w:lang w:val="sr-Cyrl-RS"/>
        </w:rPr>
      </w:pPr>
    </w:p>
    <w:p w14:paraId="7BD03413" w14:textId="4E2A70F7" w:rsidR="00950704" w:rsidRPr="00A021B7" w:rsidRDefault="00950704" w:rsidP="1A8E6423">
      <w:pPr>
        <w:ind w:firstLine="720"/>
        <w:jc w:val="both"/>
        <w:rPr>
          <w:rFonts w:ascii="Arial" w:hAnsi="Arial" w:cs="Arial"/>
          <w:sz w:val="20"/>
          <w:szCs w:val="20"/>
          <w:lang w:val="sr-Cyrl-RS"/>
        </w:rPr>
      </w:pPr>
      <w:r w:rsidRPr="1A8E6423">
        <w:rPr>
          <w:rFonts w:ascii="Arial" w:hAnsi="Arial" w:cs="Arial"/>
          <w:sz w:val="20"/>
          <w:szCs w:val="20"/>
          <w:lang w:val="sr-Cyrl-RS"/>
        </w:rPr>
        <w:t>Институционални оквир за управљање реформом локалне самоуправе и спровођење Програма за реформу система локалне самоуправе (Програм) састоји се из два нивоа: 1) оперативног административног нивоа и 2) политичког нивоа управљања овим процесом.</w:t>
      </w:r>
    </w:p>
    <w:p w14:paraId="7D6AABDE" w14:textId="77777777" w:rsidR="00950704" w:rsidRPr="00A021B7" w:rsidRDefault="00950704" w:rsidP="1A8E6423">
      <w:pPr>
        <w:ind w:firstLine="720"/>
        <w:jc w:val="both"/>
        <w:rPr>
          <w:rFonts w:ascii="Arial" w:hAnsi="Arial" w:cs="Arial"/>
          <w:sz w:val="20"/>
          <w:szCs w:val="20"/>
          <w:lang w:val="sr-Cyrl-RS"/>
        </w:rPr>
      </w:pPr>
    </w:p>
    <w:p w14:paraId="0050644E" w14:textId="623CE6E4" w:rsidR="00950704" w:rsidRPr="00A021B7" w:rsidRDefault="00950704" w:rsidP="1A8E6423">
      <w:pPr>
        <w:ind w:firstLine="720"/>
        <w:jc w:val="both"/>
        <w:rPr>
          <w:rFonts w:ascii="Arial" w:hAnsi="Arial" w:cs="Arial"/>
          <w:sz w:val="20"/>
          <w:szCs w:val="20"/>
          <w:lang w:val="sr-Cyrl-RS"/>
        </w:rPr>
      </w:pPr>
      <w:r w:rsidRPr="1A8E6423">
        <w:rPr>
          <w:rFonts w:ascii="Arial" w:hAnsi="Arial" w:cs="Arial"/>
          <w:sz w:val="20"/>
          <w:szCs w:val="20"/>
          <w:lang w:val="sr-Cyrl-RS"/>
        </w:rPr>
        <w:lastRenderedPageBreak/>
        <w:t>Први ниво</w:t>
      </w:r>
      <w:r w:rsidR="00531FB6" w:rsidRPr="1A8E6423">
        <w:rPr>
          <w:rFonts w:ascii="Arial" w:hAnsi="Arial" w:cs="Arial"/>
          <w:sz w:val="20"/>
          <w:szCs w:val="20"/>
          <w:lang w:val="sr-Cyrl-RS"/>
        </w:rPr>
        <w:t>,</w:t>
      </w:r>
      <w:r w:rsidRPr="1A8E6423">
        <w:rPr>
          <w:rFonts w:ascii="Arial" w:hAnsi="Arial" w:cs="Arial"/>
          <w:sz w:val="20"/>
          <w:szCs w:val="20"/>
          <w:lang w:val="sr-Cyrl-RS"/>
        </w:rPr>
        <w:t xml:space="preserve"> односно оперативно административно управљање и координација спровођења Програма налази се у </w:t>
      </w:r>
      <w:r w:rsidRPr="1A8E6423">
        <w:rPr>
          <w:rFonts w:ascii="Arial" w:hAnsi="Arial" w:cs="Arial"/>
          <w:b/>
          <w:bCs/>
          <w:sz w:val="20"/>
          <w:szCs w:val="20"/>
          <w:lang w:val="sr-Cyrl-RS"/>
        </w:rPr>
        <w:t>Министарству државне управе и локалне самоуправе (МДУЛС)</w:t>
      </w:r>
      <w:r w:rsidR="00531FB6" w:rsidRPr="1A8E6423">
        <w:rPr>
          <w:rFonts w:ascii="Arial" w:hAnsi="Arial" w:cs="Arial"/>
          <w:sz w:val="20"/>
          <w:szCs w:val="20"/>
          <w:lang w:val="sr-Cyrl-RS"/>
        </w:rPr>
        <w:t>,</w:t>
      </w:r>
      <w:r w:rsidRPr="1A8E6423">
        <w:rPr>
          <w:rFonts w:ascii="Arial" w:hAnsi="Arial" w:cs="Arial"/>
          <w:sz w:val="20"/>
          <w:szCs w:val="20"/>
          <w:lang w:val="sr-Cyrl-RS"/>
        </w:rPr>
        <w:t xml:space="preserve"> које је у процесу спровођења Програма посебно задужено за:</w:t>
      </w:r>
    </w:p>
    <w:p w14:paraId="2724B32B" w14:textId="77777777" w:rsidR="00950704" w:rsidRPr="00A021B7" w:rsidRDefault="00950704" w:rsidP="00950704">
      <w:pPr>
        <w:jc w:val="both"/>
        <w:rPr>
          <w:rFonts w:ascii="Arial" w:hAnsi="Arial" w:cs="Arial"/>
          <w:bCs/>
          <w:sz w:val="20"/>
          <w:szCs w:val="20"/>
          <w:lang w:val="sr-Cyrl-RS"/>
        </w:rPr>
      </w:pPr>
    </w:p>
    <w:p w14:paraId="45FA4041" w14:textId="6382B9C1" w:rsidR="00950704" w:rsidRPr="00A021B7" w:rsidRDefault="00950704" w:rsidP="00A57E7E">
      <w:pPr>
        <w:pStyle w:val="ListParagraph"/>
        <w:numPr>
          <w:ilvl w:val="0"/>
          <w:numId w:val="21"/>
        </w:numPr>
        <w:contextualSpacing w:val="0"/>
        <w:jc w:val="both"/>
        <w:rPr>
          <w:rFonts w:ascii="Arial" w:hAnsi="Arial" w:cs="Arial"/>
          <w:sz w:val="20"/>
          <w:szCs w:val="20"/>
          <w:lang w:val="sr-Cyrl-RS"/>
        </w:rPr>
      </w:pPr>
      <w:r w:rsidRPr="1A8E6423">
        <w:rPr>
          <w:rFonts w:ascii="Arial" w:hAnsi="Arial" w:cs="Arial"/>
          <w:sz w:val="20"/>
          <w:szCs w:val="20"/>
          <w:lang w:val="sr-Cyrl-RS"/>
        </w:rPr>
        <w:t>стручно, оперативно и административно управљање и координацију спровођења свих планираних активности;</w:t>
      </w:r>
    </w:p>
    <w:p w14:paraId="2C7FD85A" w14:textId="2CCCC2DC" w:rsidR="00950704" w:rsidRPr="00A021B7" w:rsidRDefault="00950704" w:rsidP="00A57E7E">
      <w:pPr>
        <w:pStyle w:val="ListParagraph"/>
        <w:numPr>
          <w:ilvl w:val="0"/>
          <w:numId w:val="21"/>
        </w:numPr>
        <w:contextualSpacing w:val="0"/>
        <w:jc w:val="both"/>
        <w:rPr>
          <w:rFonts w:ascii="Arial" w:hAnsi="Arial" w:cs="Arial"/>
          <w:sz w:val="20"/>
          <w:szCs w:val="20"/>
          <w:lang w:val="sr-Cyrl-RS"/>
        </w:rPr>
      </w:pPr>
      <w:r w:rsidRPr="1A8E6423">
        <w:rPr>
          <w:rFonts w:ascii="Arial" w:hAnsi="Arial" w:cs="Arial"/>
          <w:sz w:val="20"/>
          <w:szCs w:val="20"/>
          <w:lang w:val="sr-Cyrl-RS"/>
        </w:rPr>
        <w:t>спровођење активности које су у делокругу министарства;</w:t>
      </w:r>
    </w:p>
    <w:p w14:paraId="3F9BCD43" w14:textId="77777777" w:rsidR="00950704" w:rsidRPr="00A021B7" w:rsidRDefault="00950704" w:rsidP="00A57E7E">
      <w:pPr>
        <w:pStyle w:val="ListParagraph"/>
        <w:numPr>
          <w:ilvl w:val="0"/>
          <w:numId w:val="21"/>
        </w:numPr>
        <w:contextualSpacing w:val="0"/>
        <w:jc w:val="both"/>
        <w:rPr>
          <w:rFonts w:ascii="Arial" w:hAnsi="Arial" w:cs="Arial"/>
          <w:sz w:val="20"/>
          <w:szCs w:val="20"/>
          <w:lang w:val="sr-Cyrl-RS"/>
        </w:rPr>
      </w:pPr>
      <w:r w:rsidRPr="00A021B7">
        <w:rPr>
          <w:rFonts w:ascii="Arial" w:hAnsi="Arial" w:cs="Arial"/>
          <w:sz w:val="20"/>
          <w:szCs w:val="20"/>
          <w:lang w:val="sr-Cyrl-RS"/>
        </w:rPr>
        <w:t>подршку другим ресорним министарствима, службама и организацијама Владе у спровођењу активности које су у њиховом делокругу;</w:t>
      </w:r>
    </w:p>
    <w:p w14:paraId="571E51A4" w14:textId="77777777" w:rsidR="00950704" w:rsidRPr="00A021B7" w:rsidRDefault="00950704" w:rsidP="00A57E7E">
      <w:pPr>
        <w:pStyle w:val="ListParagraph"/>
        <w:numPr>
          <w:ilvl w:val="0"/>
          <w:numId w:val="21"/>
        </w:numPr>
        <w:contextualSpacing w:val="0"/>
        <w:jc w:val="both"/>
        <w:rPr>
          <w:rFonts w:ascii="Arial" w:hAnsi="Arial" w:cs="Arial"/>
          <w:sz w:val="20"/>
          <w:szCs w:val="20"/>
          <w:lang w:val="sr-Cyrl-RS"/>
        </w:rPr>
      </w:pPr>
      <w:r w:rsidRPr="1A8E6423">
        <w:rPr>
          <w:rFonts w:ascii="Arial" w:hAnsi="Arial" w:cs="Arial"/>
          <w:sz w:val="20"/>
          <w:szCs w:val="20"/>
          <w:lang w:val="sr-Cyrl-RS"/>
        </w:rPr>
        <w:t>комуникацију са партнерима и јавношћу у вези са остваривањем активности предвиђених Програмом;</w:t>
      </w:r>
    </w:p>
    <w:p w14:paraId="412ED34D" w14:textId="77777777" w:rsidR="00950704" w:rsidRPr="00A021B7" w:rsidRDefault="00950704" w:rsidP="00A57E7E">
      <w:pPr>
        <w:pStyle w:val="ListParagraph"/>
        <w:numPr>
          <w:ilvl w:val="0"/>
          <w:numId w:val="21"/>
        </w:numPr>
        <w:contextualSpacing w:val="0"/>
        <w:jc w:val="both"/>
        <w:rPr>
          <w:rFonts w:ascii="Arial" w:hAnsi="Arial" w:cs="Arial"/>
          <w:sz w:val="20"/>
          <w:szCs w:val="20"/>
          <w:lang w:val="sr-Cyrl-RS"/>
        </w:rPr>
      </w:pPr>
      <w:r w:rsidRPr="00A021B7">
        <w:rPr>
          <w:rFonts w:ascii="Arial" w:hAnsi="Arial" w:cs="Arial"/>
          <w:sz w:val="20"/>
          <w:szCs w:val="20"/>
          <w:lang w:val="sr-Cyrl-RS"/>
        </w:rPr>
        <w:t>стручне послове за потребе Савета за реформу јавне управе у вези са праћењем остваривања Програма;</w:t>
      </w:r>
    </w:p>
    <w:p w14:paraId="3C6CF8D4" w14:textId="01F48718" w:rsidR="00950704" w:rsidRPr="00A021B7" w:rsidRDefault="00950704" w:rsidP="00A57E7E">
      <w:pPr>
        <w:pStyle w:val="ListParagraph"/>
        <w:numPr>
          <w:ilvl w:val="0"/>
          <w:numId w:val="21"/>
        </w:numPr>
        <w:contextualSpacing w:val="0"/>
        <w:jc w:val="both"/>
        <w:rPr>
          <w:rFonts w:ascii="Arial" w:hAnsi="Arial" w:cs="Arial"/>
          <w:sz w:val="20"/>
          <w:szCs w:val="20"/>
          <w:lang w:val="sr-Cyrl-RS"/>
        </w:rPr>
      </w:pPr>
      <w:r w:rsidRPr="1A8E6423">
        <w:rPr>
          <w:rFonts w:ascii="Arial" w:hAnsi="Arial" w:cs="Arial"/>
          <w:sz w:val="20"/>
          <w:szCs w:val="20"/>
          <w:lang w:val="sr-Cyrl-RS"/>
        </w:rPr>
        <w:t>припрему извештаја о спровођењу Програма, укључујући и извештаје за потребе процеса европских интеграција са аспекта спровођења докумената јавних политика у области реформе јавне управе и за потребе праћења примене Стратегије за реформу јавне управе</w:t>
      </w:r>
      <w:r w:rsidR="00993D97" w:rsidRPr="1A8E6423">
        <w:rPr>
          <w:rFonts w:ascii="Arial" w:hAnsi="Arial" w:cs="Arial"/>
          <w:sz w:val="20"/>
          <w:szCs w:val="20"/>
          <w:lang w:val="sr-Cyrl-RS"/>
        </w:rPr>
        <w:t>.</w:t>
      </w:r>
    </w:p>
    <w:p w14:paraId="3B92BE46" w14:textId="77777777" w:rsidR="00950704" w:rsidRPr="00A021B7" w:rsidRDefault="00950704" w:rsidP="00950704">
      <w:pPr>
        <w:pStyle w:val="ListParagraph"/>
        <w:contextualSpacing w:val="0"/>
        <w:jc w:val="both"/>
        <w:rPr>
          <w:rFonts w:ascii="Arial" w:hAnsi="Arial" w:cs="Arial"/>
          <w:sz w:val="20"/>
          <w:szCs w:val="20"/>
          <w:lang w:val="sr-Cyrl-RS"/>
        </w:rPr>
      </w:pPr>
    </w:p>
    <w:p w14:paraId="079A546E" w14:textId="7D2FB74D" w:rsidR="00950704" w:rsidRPr="00A021B7" w:rsidRDefault="00950704" w:rsidP="1A8E6423">
      <w:pPr>
        <w:ind w:firstLine="720"/>
        <w:jc w:val="both"/>
        <w:rPr>
          <w:rFonts w:ascii="Arial" w:hAnsi="Arial" w:cs="Arial"/>
          <w:sz w:val="20"/>
          <w:szCs w:val="20"/>
          <w:lang w:val="sr-Cyrl-RS"/>
        </w:rPr>
      </w:pPr>
      <w:r w:rsidRPr="1A8E6423">
        <w:rPr>
          <w:rFonts w:ascii="Arial" w:hAnsi="Arial" w:cs="Arial"/>
          <w:sz w:val="20"/>
          <w:szCs w:val="20"/>
          <w:lang w:val="sr-Cyrl-RS"/>
        </w:rPr>
        <w:t>У оквиру МДУЛС за оперативно спровођење и координацију задужен је Сектор за систем локалне самоуправе</w:t>
      </w:r>
      <w:r w:rsidR="00993D97" w:rsidRPr="1A8E6423">
        <w:rPr>
          <w:rFonts w:ascii="Arial" w:hAnsi="Arial" w:cs="Arial"/>
          <w:sz w:val="20"/>
          <w:szCs w:val="20"/>
          <w:lang w:val="sr-Cyrl-RS"/>
        </w:rPr>
        <w:t>,</w:t>
      </w:r>
      <w:r w:rsidRPr="1A8E6423">
        <w:rPr>
          <w:rFonts w:ascii="Arial" w:hAnsi="Arial" w:cs="Arial"/>
          <w:sz w:val="20"/>
          <w:szCs w:val="20"/>
          <w:lang w:val="sr-Cyrl-RS"/>
        </w:rPr>
        <w:t xml:space="preserve"> у сарадњи са другим организационим јединицама унутар МДУЛС у складу са њиховим делокругом. МДУЛС ће у процесу спровођења активности планираних Програмом за реформу система локалне самоуправе блиско сарађивати са Сталном конференцијом градова и општина – Савезом градова и општина Србије (СКГО), која је кључни партнер у спровођењу планираних активности. Зарад блиске координације и планирања заједничких активности, посебно </w:t>
      </w:r>
      <w:r w:rsidR="00993D97" w:rsidRPr="1A8E6423">
        <w:rPr>
          <w:rFonts w:ascii="Arial" w:hAnsi="Arial" w:cs="Arial"/>
          <w:sz w:val="20"/>
          <w:szCs w:val="20"/>
          <w:lang w:val="sr-Cyrl-RS"/>
        </w:rPr>
        <w:t>с обзиром на то</w:t>
      </w:r>
      <w:r w:rsidRPr="1A8E6423">
        <w:rPr>
          <w:rFonts w:ascii="Arial" w:hAnsi="Arial" w:cs="Arial"/>
          <w:sz w:val="20"/>
          <w:szCs w:val="20"/>
          <w:lang w:val="sr-Cyrl-RS"/>
        </w:rPr>
        <w:t xml:space="preserve"> да ће део активности бити и финансијски подржан</w:t>
      </w:r>
      <w:r w:rsidR="00861261">
        <w:rPr>
          <w:rFonts w:ascii="Arial" w:hAnsi="Arial" w:cs="Arial"/>
          <w:sz w:val="20"/>
          <w:szCs w:val="20"/>
          <w:lang w:val="sr-Cyrl-RS"/>
        </w:rPr>
        <w:t>е</w:t>
      </w:r>
      <w:r w:rsidRPr="1A8E6423">
        <w:rPr>
          <w:rFonts w:ascii="Arial" w:hAnsi="Arial" w:cs="Arial"/>
          <w:sz w:val="20"/>
          <w:szCs w:val="20"/>
          <w:lang w:val="sr-Cyrl-RS"/>
        </w:rPr>
        <w:t xml:space="preserve"> </w:t>
      </w:r>
      <w:r w:rsidR="00861261">
        <w:rPr>
          <w:rFonts w:ascii="Arial" w:hAnsi="Arial" w:cs="Arial"/>
          <w:sz w:val="20"/>
          <w:szCs w:val="20"/>
          <w:lang w:val="sr-Cyrl-RS"/>
        </w:rPr>
        <w:t xml:space="preserve">и </w:t>
      </w:r>
      <w:r w:rsidRPr="1A8E6423">
        <w:rPr>
          <w:rFonts w:ascii="Arial" w:hAnsi="Arial" w:cs="Arial"/>
          <w:sz w:val="20"/>
          <w:szCs w:val="20"/>
          <w:lang w:val="sr-Cyrl-RS"/>
        </w:rPr>
        <w:t>од стране СКГО (и пројеката које спроводи ова организација), биће формиран заједнички оперативни тим за спровођење Програма</w:t>
      </w:r>
      <w:r w:rsidR="00993D97" w:rsidRPr="1A8E6423">
        <w:rPr>
          <w:rFonts w:ascii="Arial" w:hAnsi="Arial" w:cs="Arial"/>
          <w:sz w:val="20"/>
          <w:szCs w:val="20"/>
          <w:lang w:val="sr-Cyrl-RS"/>
        </w:rPr>
        <w:t>,</w:t>
      </w:r>
      <w:r w:rsidRPr="1A8E6423">
        <w:rPr>
          <w:rFonts w:ascii="Arial" w:hAnsi="Arial" w:cs="Arial"/>
          <w:sz w:val="20"/>
          <w:szCs w:val="20"/>
          <w:lang w:val="sr-Cyrl-RS"/>
        </w:rPr>
        <w:t xml:space="preserve"> у којем ће учествовати МДУЛС, СКГО и други партнери у складу са потреб</w:t>
      </w:r>
      <w:r w:rsidR="00993D97" w:rsidRPr="1A8E6423">
        <w:rPr>
          <w:rFonts w:ascii="Arial" w:hAnsi="Arial" w:cs="Arial"/>
          <w:sz w:val="20"/>
          <w:szCs w:val="20"/>
          <w:lang w:val="sr-Cyrl-RS"/>
        </w:rPr>
        <w:t>а</w:t>
      </w:r>
      <w:r w:rsidRPr="1A8E6423">
        <w:rPr>
          <w:rFonts w:ascii="Arial" w:hAnsi="Arial" w:cs="Arial"/>
          <w:sz w:val="20"/>
          <w:szCs w:val="20"/>
          <w:lang w:val="sr-Cyrl-RS"/>
        </w:rPr>
        <w:t>м</w:t>
      </w:r>
      <w:r w:rsidR="00993D97" w:rsidRPr="1A8E6423">
        <w:rPr>
          <w:rFonts w:ascii="Arial" w:hAnsi="Arial" w:cs="Arial"/>
          <w:sz w:val="20"/>
          <w:szCs w:val="20"/>
          <w:lang w:val="sr-Cyrl-RS"/>
        </w:rPr>
        <w:t>а</w:t>
      </w:r>
      <w:r w:rsidRPr="1A8E6423">
        <w:rPr>
          <w:rFonts w:ascii="Arial" w:hAnsi="Arial" w:cs="Arial"/>
          <w:sz w:val="20"/>
          <w:szCs w:val="20"/>
          <w:lang w:val="sr-Cyrl-RS"/>
        </w:rPr>
        <w:t>.</w:t>
      </w:r>
    </w:p>
    <w:p w14:paraId="46A5C100" w14:textId="77777777" w:rsidR="00950704" w:rsidRPr="00A021B7" w:rsidRDefault="00950704" w:rsidP="1A8E6423">
      <w:pPr>
        <w:ind w:firstLine="720"/>
        <w:jc w:val="both"/>
        <w:rPr>
          <w:rFonts w:ascii="Arial" w:hAnsi="Arial" w:cs="Arial"/>
          <w:sz w:val="20"/>
          <w:szCs w:val="20"/>
          <w:lang w:val="sr-Cyrl-RS"/>
        </w:rPr>
      </w:pPr>
    </w:p>
    <w:p w14:paraId="5FE9E9F3" w14:textId="363EAE92" w:rsidR="00950704" w:rsidRPr="00A021B7" w:rsidRDefault="00950704" w:rsidP="1A8E6423">
      <w:pPr>
        <w:ind w:firstLine="720"/>
        <w:jc w:val="both"/>
        <w:rPr>
          <w:rFonts w:ascii="Arial" w:hAnsi="Arial" w:cs="Arial"/>
          <w:sz w:val="20"/>
          <w:szCs w:val="20"/>
          <w:shd w:val="clear" w:color="auto" w:fill="FFFFFF"/>
          <w:lang w:val="sr-Cyrl-RS"/>
        </w:rPr>
      </w:pPr>
      <w:r w:rsidRPr="1A8E6423">
        <w:rPr>
          <w:rFonts w:ascii="Arial" w:hAnsi="Arial" w:cs="Arial"/>
          <w:sz w:val="20"/>
          <w:szCs w:val="20"/>
          <w:lang w:val="sr-Cyrl-RS"/>
        </w:rPr>
        <w:t xml:space="preserve">Други, политички ниво управљања процесом спровођења Програма биће </w:t>
      </w:r>
      <w:r w:rsidRPr="00A021B7">
        <w:rPr>
          <w:rFonts w:ascii="Arial" w:hAnsi="Arial" w:cs="Arial"/>
          <w:sz w:val="20"/>
          <w:szCs w:val="20"/>
          <w:lang w:val="sr-Cyrl-RS"/>
        </w:rPr>
        <w:t>Савет за реформу јавне управе</w:t>
      </w:r>
      <w:r w:rsidRPr="00A021B7">
        <w:rPr>
          <w:rStyle w:val="FootnoteReference"/>
          <w:rFonts w:ascii="Arial" w:hAnsi="Arial" w:cs="Arial"/>
          <w:sz w:val="20"/>
          <w:szCs w:val="20"/>
          <w:lang w:val="sr-Cyrl-RS"/>
        </w:rPr>
        <w:footnoteReference w:id="185"/>
      </w:r>
      <w:r w:rsidR="00993D97">
        <w:rPr>
          <w:rFonts w:ascii="Arial" w:hAnsi="Arial" w:cs="Arial"/>
          <w:sz w:val="20"/>
          <w:szCs w:val="20"/>
          <w:lang w:val="sr-Cyrl-RS"/>
        </w:rPr>
        <w:t>,</w:t>
      </w:r>
      <w:r w:rsidRPr="00A021B7">
        <w:rPr>
          <w:rFonts w:ascii="Arial" w:hAnsi="Arial" w:cs="Arial"/>
          <w:sz w:val="20"/>
          <w:szCs w:val="20"/>
          <w:lang w:val="sr-Cyrl-RS"/>
        </w:rPr>
        <w:t xml:space="preserve"> као централно стратешко тело Владе за реформу јавне управе. Савет јесте заједнички политички ниво координације процеса реформе јавне управе и реформе јавних финансија за нову Стратегију РЈУ. </w:t>
      </w:r>
      <w:r w:rsidR="00993D97">
        <w:rPr>
          <w:rFonts w:ascii="Arial" w:hAnsi="Arial" w:cs="Arial"/>
          <w:sz w:val="20"/>
          <w:szCs w:val="20"/>
          <w:lang w:val="sr-Cyrl-RS"/>
        </w:rPr>
        <w:t>Будући</w:t>
      </w:r>
      <w:r w:rsidRPr="00A021B7">
        <w:rPr>
          <w:rFonts w:ascii="Arial" w:hAnsi="Arial" w:cs="Arial"/>
          <w:sz w:val="20"/>
          <w:szCs w:val="20"/>
          <w:lang w:val="sr-Cyrl-RS"/>
        </w:rPr>
        <w:t xml:space="preserve"> да је реформа локалне самоуправе део реформе јавне управе и саме Стратегије РЈУ, ово тело </w:t>
      </w:r>
      <w:r w:rsidR="00993D97">
        <w:rPr>
          <w:rFonts w:ascii="Arial" w:hAnsi="Arial" w:cs="Arial"/>
          <w:sz w:val="20"/>
          <w:szCs w:val="20"/>
          <w:lang w:val="sr-Cyrl-RS"/>
        </w:rPr>
        <w:t>представљаће</w:t>
      </w:r>
      <w:r w:rsidR="00993D97" w:rsidRPr="00A021B7">
        <w:rPr>
          <w:rFonts w:ascii="Arial" w:hAnsi="Arial" w:cs="Arial"/>
          <w:sz w:val="20"/>
          <w:szCs w:val="20"/>
          <w:lang w:val="sr-Cyrl-RS"/>
        </w:rPr>
        <w:t xml:space="preserve"> </w:t>
      </w:r>
      <w:r w:rsidRPr="00A021B7">
        <w:rPr>
          <w:rFonts w:ascii="Arial" w:hAnsi="Arial" w:cs="Arial"/>
          <w:sz w:val="20"/>
          <w:szCs w:val="20"/>
          <w:lang w:val="sr-Cyrl-RS"/>
        </w:rPr>
        <w:t xml:space="preserve">политички ниво праћења спровођења Програма. Пошто је 13 чланова Владе укључено у рад Савета, кроз ово тело обезбеђена је и пуна координација ресорних министарстава у процесу управљања спровођењем Програма за реформу локалне самоуправе. Додатни основ </w:t>
      </w:r>
      <w:r w:rsidR="00993D97">
        <w:rPr>
          <w:rFonts w:ascii="Arial" w:hAnsi="Arial" w:cs="Arial"/>
          <w:sz w:val="20"/>
          <w:szCs w:val="20"/>
          <w:lang w:val="sr-Cyrl-RS"/>
        </w:rPr>
        <w:t>з</w:t>
      </w:r>
      <w:r w:rsidRPr="00A021B7">
        <w:rPr>
          <w:rFonts w:ascii="Arial" w:hAnsi="Arial" w:cs="Arial"/>
          <w:sz w:val="20"/>
          <w:szCs w:val="20"/>
          <w:lang w:val="sr-Cyrl-RS"/>
        </w:rPr>
        <w:t>а политички ниво управљања процесом спровођења Програма налази</w:t>
      </w:r>
      <w:r w:rsidR="00993D97">
        <w:rPr>
          <w:rFonts w:ascii="Arial" w:hAnsi="Arial" w:cs="Arial"/>
          <w:sz w:val="20"/>
          <w:szCs w:val="20"/>
          <w:lang w:val="sr-Cyrl-RS"/>
        </w:rPr>
        <w:t xml:space="preserve"> се</w:t>
      </w:r>
      <w:r w:rsidRPr="00A021B7">
        <w:rPr>
          <w:rFonts w:ascii="Arial" w:hAnsi="Arial" w:cs="Arial"/>
          <w:sz w:val="20"/>
          <w:szCs w:val="20"/>
          <w:lang w:val="sr-Cyrl-RS"/>
        </w:rPr>
        <w:t xml:space="preserve"> у чињеници да је Савет за реформу јавне управе усвојио Полазне основе за израду Програма за реформу система локалне самоуправе</w:t>
      </w:r>
      <w:r w:rsidR="50ADDFC8" w:rsidRPr="00A021B7">
        <w:rPr>
          <w:rFonts w:ascii="Arial" w:hAnsi="Arial" w:cs="Arial"/>
          <w:sz w:val="20"/>
          <w:szCs w:val="20"/>
          <w:lang w:val="sr-Cyrl-RS"/>
        </w:rPr>
        <w:t>,</w:t>
      </w:r>
      <w:r w:rsidRPr="00A021B7">
        <w:rPr>
          <w:rFonts w:ascii="Arial" w:hAnsi="Arial" w:cs="Arial"/>
          <w:sz w:val="20"/>
          <w:szCs w:val="20"/>
          <w:lang w:val="sr-Cyrl-RS"/>
        </w:rPr>
        <w:t xml:space="preserve"> па наведена улога Савета представља континуитет у реализацији Програма. Са друге стране</w:t>
      </w:r>
      <w:r w:rsidR="00993D97">
        <w:rPr>
          <w:rFonts w:ascii="Arial" w:hAnsi="Arial" w:cs="Arial"/>
          <w:sz w:val="20"/>
          <w:szCs w:val="20"/>
          <w:lang w:val="sr-Cyrl-RS"/>
        </w:rPr>
        <w:t>,</w:t>
      </w:r>
      <w:r w:rsidRPr="00A021B7">
        <w:rPr>
          <w:rFonts w:ascii="Arial" w:hAnsi="Arial" w:cs="Arial"/>
          <w:sz w:val="20"/>
          <w:szCs w:val="20"/>
          <w:lang w:val="sr-Cyrl-RS"/>
        </w:rPr>
        <w:t xml:space="preserve"> да би се обезбедила пуна координација овог процеса у оквиру целе јавне управе, у рад Савета, када он буде разматрао питања спровођења Програма за реформу система локалне самоуправе, биће позивани и представници Владе Аутономне Покрајине и Сталне конференције градова и општина – Савеза градова и општина Србије (председник, генерални секретар и</w:t>
      </w:r>
      <w:r w:rsidR="00993D97">
        <w:rPr>
          <w:rFonts w:ascii="Arial" w:hAnsi="Arial" w:cs="Arial"/>
          <w:sz w:val="20"/>
          <w:szCs w:val="20"/>
          <w:lang w:val="sr-Cyrl-RS"/>
        </w:rPr>
        <w:t>,</w:t>
      </w:r>
      <w:r w:rsidRPr="00A021B7">
        <w:rPr>
          <w:rFonts w:ascii="Arial" w:hAnsi="Arial" w:cs="Arial"/>
          <w:sz w:val="20"/>
          <w:szCs w:val="20"/>
          <w:lang w:val="sr-Cyrl-RS"/>
        </w:rPr>
        <w:t xml:space="preserve"> по потреби</w:t>
      </w:r>
      <w:r w:rsidR="00993D97">
        <w:rPr>
          <w:rFonts w:ascii="Arial" w:hAnsi="Arial" w:cs="Arial"/>
          <w:sz w:val="20"/>
          <w:szCs w:val="20"/>
          <w:lang w:val="sr-Cyrl-RS"/>
        </w:rPr>
        <w:t>,</w:t>
      </w:r>
      <w:r w:rsidRPr="00A021B7">
        <w:rPr>
          <w:rFonts w:ascii="Arial" w:hAnsi="Arial" w:cs="Arial"/>
          <w:sz w:val="20"/>
          <w:szCs w:val="20"/>
          <w:lang w:val="sr-Cyrl-RS"/>
        </w:rPr>
        <w:t xml:space="preserve"> други чланови председништва СКГО). </w:t>
      </w:r>
      <w:r w:rsidRPr="00A021B7">
        <w:rPr>
          <w:rFonts w:ascii="Arial" w:hAnsi="Arial" w:cs="Arial"/>
          <w:sz w:val="20"/>
          <w:szCs w:val="20"/>
          <w:shd w:val="clear" w:color="auto" w:fill="FFFFFF"/>
          <w:lang w:val="sr-Cyrl-RS"/>
        </w:rPr>
        <w:t xml:space="preserve">Административно-техничке послове за потребе Савета обавља Генерални секретаријат Владе, а стручне МДУЛС. У складу са чланом 22. </w:t>
      </w:r>
      <w:r w:rsidRPr="00A021B7">
        <w:rPr>
          <w:rFonts w:ascii="Arial" w:hAnsi="Arial" w:cs="Arial"/>
          <w:sz w:val="20"/>
          <w:szCs w:val="20"/>
          <w:shd w:val="clear" w:color="auto" w:fill="FFFFFF"/>
          <w:lang w:val="sr-Cyrl-RS"/>
        </w:rPr>
        <w:lastRenderedPageBreak/>
        <w:t>Пословника Владе</w:t>
      </w:r>
      <w:r w:rsidRPr="00A021B7">
        <w:rPr>
          <w:rStyle w:val="FootnoteReference"/>
          <w:rFonts w:ascii="Arial" w:hAnsi="Arial" w:cs="Arial"/>
          <w:sz w:val="20"/>
          <w:szCs w:val="20"/>
          <w:shd w:val="clear" w:color="auto" w:fill="FFFFFF"/>
          <w:lang w:val="sr-Cyrl-RS"/>
        </w:rPr>
        <w:footnoteReference w:id="186"/>
      </w:r>
      <w:r w:rsidRPr="00A021B7">
        <w:rPr>
          <w:rFonts w:ascii="Arial" w:hAnsi="Arial" w:cs="Arial"/>
          <w:sz w:val="20"/>
          <w:szCs w:val="20"/>
          <w:shd w:val="clear" w:color="auto" w:fill="FFFFFF"/>
          <w:lang w:val="sr-Cyrl-RS"/>
        </w:rPr>
        <w:t>, Савет као повремено радно тело редовно извештава Владу (сваких 90 дана, односно квартално). На овај начин, Савет је у могућности да управља препознатим ризицима и да указује Влади на потребу</w:t>
      </w:r>
      <w:r w:rsidR="00993D97">
        <w:rPr>
          <w:rFonts w:ascii="Arial" w:hAnsi="Arial" w:cs="Arial"/>
          <w:sz w:val="20"/>
          <w:szCs w:val="20"/>
          <w:shd w:val="clear" w:color="auto" w:fill="FFFFFF"/>
          <w:lang w:val="sr-Cyrl-RS"/>
        </w:rPr>
        <w:t xml:space="preserve"> за</w:t>
      </w:r>
      <w:r w:rsidRPr="00A021B7">
        <w:rPr>
          <w:rFonts w:ascii="Arial" w:hAnsi="Arial" w:cs="Arial"/>
          <w:sz w:val="20"/>
          <w:szCs w:val="20"/>
          <w:shd w:val="clear" w:color="auto" w:fill="FFFFFF"/>
          <w:lang w:val="sr-Cyrl-RS"/>
        </w:rPr>
        <w:t xml:space="preserve"> измен</w:t>
      </w:r>
      <w:r w:rsidR="00993D97">
        <w:rPr>
          <w:rFonts w:ascii="Arial" w:hAnsi="Arial" w:cs="Arial"/>
          <w:sz w:val="20"/>
          <w:szCs w:val="20"/>
          <w:shd w:val="clear" w:color="auto" w:fill="FFFFFF"/>
          <w:lang w:val="sr-Cyrl-RS"/>
        </w:rPr>
        <w:t>ом постојећих</w:t>
      </w:r>
      <w:r w:rsidRPr="00A021B7">
        <w:rPr>
          <w:rFonts w:ascii="Arial" w:hAnsi="Arial" w:cs="Arial"/>
          <w:sz w:val="20"/>
          <w:szCs w:val="20"/>
          <w:shd w:val="clear" w:color="auto" w:fill="FFFFFF"/>
          <w:lang w:val="sr-Cyrl-RS"/>
        </w:rPr>
        <w:t xml:space="preserve"> или доношењ</w:t>
      </w:r>
      <w:r w:rsidR="00993D97">
        <w:rPr>
          <w:rFonts w:ascii="Arial" w:hAnsi="Arial" w:cs="Arial"/>
          <w:sz w:val="20"/>
          <w:szCs w:val="20"/>
          <w:shd w:val="clear" w:color="auto" w:fill="FFFFFF"/>
          <w:lang w:val="sr-Cyrl-RS"/>
        </w:rPr>
        <w:t>ем</w:t>
      </w:r>
      <w:r w:rsidRPr="00A021B7">
        <w:rPr>
          <w:rFonts w:ascii="Arial" w:hAnsi="Arial" w:cs="Arial"/>
          <w:sz w:val="20"/>
          <w:szCs w:val="20"/>
          <w:shd w:val="clear" w:color="auto" w:fill="FFFFFF"/>
          <w:lang w:val="sr-Cyrl-RS"/>
        </w:rPr>
        <w:t xml:space="preserve"> нови мера у процесу спровођења Програма за реформу система локалне самоуправе и уклањања појединих утврђених ризика.</w:t>
      </w:r>
    </w:p>
    <w:p w14:paraId="2BC0FE06" w14:textId="77777777" w:rsidR="00950704" w:rsidRPr="00A021B7" w:rsidRDefault="00950704" w:rsidP="00950704">
      <w:pPr>
        <w:jc w:val="both"/>
        <w:rPr>
          <w:rFonts w:ascii="Arial" w:hAnsi="Arial" w:cs="Arial"/>
          <w:sz w:val="20"/>
          <w:szCs w:val="20"/>
          <w:lang w:val="sr-Cyrl-RS"/>
        </w:rPr>
      </w:pPr>
    </w:p>
    <w:p w14:paraId="380197D3" w14:textId="1ED52E47" w:rsidR="007E35DE" w:rsidRPr="00A021B7" w:rsidRDefault="007E35DE" w:rsidP="003E7BC9">
      <w:pPr>
        <w:jc w:val="both"/>
        <w:rPr>
          <w:rFonts w:ascii="Arial" w:hAnsi="Arial" w:cs="Arial"/>
          <w:b/>
          <w:bCs/>
          <w:sz w:val="20"/>
          <w:szCs w:val="20"/>
          <w:lang w:val="sr-Cyrl-RS"/>
        </w:rPr>
      </w:pPr>
    </w:p>
    <w:p w14:paraId="601D199C" w14:textId="4758B521" w:rsidR="007E35DE" w:rsidRDefault="007E35DE" w:rsidP="003E7BC9">
      <w:pPr>
        <w:jc w:val="both"/>
        <w:rPr>
          <w:rFonts w:ascii="Arial" w:hAnsi="Arial" w:cs="Arial"/>
          <w:b/>
          <w:bCs/>
          <w:sz w:val="20"/>
          <w:szCs w:val="20"/>
          <w:lang w:val="sr-Cyrl-RS"/>
        </w:rPr>
      </w:pPr>
    </w:p>
    <w:p w14:paraId="31298C01" w14:textId="5921B8A4" w:rsidR="00385C66" w:rsidRDefault="00385C66" w:rsidP="003E7BC9">
      <w:pPr>
        <w:jc w:val="both"/>
        <w:rPr>
          <w:rFonts w:ascii="Arial" w:hAnsi="Arial" w:cs="Arial"/>
          <w:b/>
          <w:bCs/>
          <w:sz w:val="20"/>
          <w:szCs w:val="20"/>
          <w:lang w:val="sr-Cyrl-RS"/>
        </w:rPr>
      </w:pPr>
    </w:p>
    <w:p w14:paraId="7DB555F9" w14:textId="7D084B5E" w:rsidR="00385C66" w:rsidRDefault="00385C66" w:rsidP="003E7BC9">
      <w:pPr>
        <w:jc w:val="both"/>
        <w:rPr>
          <w:rFonts w:ascii="Arial" w:hAnsi="Arial" w:cs="Arial"/>
          <w:b/>
          <w:bCs/>
          <w:sz w:val="20"/>
          <w:szCs w:val="20"/>
          <w:lang w:val="sr-Cyrl-RS"/>
        </w:rPr>
      </w:pPr>
    </w:p>
    <w:p w14:paraId="42405EA4" w14:textId="113A7669" w:rsidR="00385C66" w:rsidRDefault="00385C66" w:rsidP="003E7BC9">
      <w:pPr>
        <w:jc w:val="both"/>
        <w:rPr>
          <w:rFonts w:ascii="Arial" w:hAnsi="Arial" w:cs="Arial"/>
          <w:b/>
          <w:bCs/>
          <w:sz w:val="20"/>
          <w:szCs w:val="20"/>
          <w:lang w:val="sr-Cyrl-RS"/>
        </w:rPr>
      </w:pPr>
    </w:p>
    <w:p w14:paraId="0ADD5DE2" w14:textId="4CCAF3DA" w:rsidR="00385C66" w:rsidRDefault="00385C66" w:rsidP="003E7BC9">
      <w:pPr>
        <w:jc w:val="both"/>
        <w:rPr>
          <w:rFonts w:ascii="Arial" w:hAnsi="Arial" w:cs="Arial"/>
          <w:b/>
          <w:bCs/>
          <w:sz w:val="20"/>
          <w:szCs w:val="20"/>
          <w:lang w:val="sr-Cyrl-RS"/>
        </w:rPr>
      </w:pPr>
    </w:p>
    <w:p w14:paraId="20F9DD45" w14:textId="09FA0D76" w:rsidR="00385C66" w:rsidRDefault="00385C66" w:rsidP="003E7BC9">
      <w:pPr>
        <w:jc w:val="both"/>
        <w:rPr>
          <w:rFonts w:ascii="Arial" w:hAnsi="Arial" w:cs="Arial"/>
          <w:b/>
          <w:bCs/>
          <w:sz w:val="20"/>
          <w:szCs w:val="20"/>
          <w:lang w:val="sr-Cyrl-RS"/>
        </w:rPr>
      </w:pPr>
    </w:p>
    <w:p w14:paraId="58E32395" w14:textId="144BFAA0" w:rsidR="00385C66" w:rsidRDefault="00385C66" w:rsidP="003E7BC9">
      <w:pPr>
        <w:jc w:val="both"/>
        <w:rPr>
          <w:rFonts w:ascii="Arial" w:hAnsi="Arial" w:cs="Arial"/>
          <w:b/>
          <w:bCs/>
          <w:sz w:val="20"/>
          <w:szCs w:val="20"/>
          <w:lang w:val="sr-Cyrl-RS"/>
        </w:rPr>
      </w:pPr>
    </w:p>
    <w:p w14:paraId="41DA9422" w14:textId="02A51758" w:rsidR="00385C66" w:rsidRDefault="00385C66" w:rsidP="003E7BC9">
      <w:pPr>
        <w:jc w:val="both"/>
        <w:rPr>
          <w:rFonts w:ascii="Arial" w:hAnsi="Arial" w:cs="Arial"/>
          <w:b/>
          <w:bCs/>
          <w:sz w:val="20"/>
          <w:szCs w:val="20"/>
          <w:lang w:val="sr-Cyrl-RS"/>
        </w:rPr>
      </w:pPr>
    </w:p>
    <w:p w14:paraId="127D2BCA" w14:textId="4FDE852E" w:rsidR="00385C66" w:rsidRDefault="00385C66" w:rsidP="003E7BC9">
      <w:pPr>
        <w:jc w:val="both"/>
        <w:rPr>
          <w:rFonts w:ascii="Arial" w:hAnsi="Arial" w:cs="Arial"/>
          <w:b/>
          <w:bCs/>
          <w:sz w:val="20"/>
          <w:szCs w:val="20"/>
          <w:lang w:val="sr-Cyrl-RS"/>
        </w:rPr>
      </w:pPr>
    </w:p>
    <w:p w14:paraId="26A825E1" w14:textId="27A80DC8" w:rsidR="00385C66" w:rsidRDefault="00385C66" w:rsidP="003E7BC9">
      <w:pPr>
        <w:jc w:val="both"/>
        <w:rPr>
          <w:rFonts w:ascii="Arial" w:hAnsi="Arial" w:cs="Arial"/>
          <w:b/>
          <w:bCs/>
          <w:sz w:val="20"/>
          <w:szCs w:val="20"/>
          <w:lang w:val="sr-Cyrl-RS"/>
        </w:rPr>
      </w:pPr>
    </w:p>
    <w:p w14:paraId="75256FEB" w14:textId="4CD4C1EF" w:rsidR="00385C66" w:rsidRDefault="00385C66" w:rsidP="003E7BC9">
      <w:pPr>
        <w:jc w:val="both"/>
        <w:rPr>
          <w:rFonts w:ascii="Arial" w:hAnsi="Arial" w:cs="Arial"/>
          <w:b/>
          <w:bCs/>
          <w:sz w:val="20"/>
          <w:szCs w:val="20"/>
          <w:lang w:val="sr-Cyrl-RS"/>
        </w:rPr>
      </w:pPr>
    </w:p>
    <w:p w14:paraId="1920D202" w14:textId="1349DC26" w:rsidR="00385C66" w:rsidRDefault="00385C66" w:rsidP="003E7BC9">
      <w:pPr>
        <w:jc w:val="both"/>
        <w:rPr>
          <w:rFonts w:ascii="Arial" w:hAnsi="Arial" w:cs="Arial"/>
          <w:b/>
          <w:bCs/>
          <w:sz w:val="20"/>
          <w:szCs w:val="20"/>
          <w:lang w:val="sr-Cyrl-RS"/>
        </w:rPr>
      </w:pPr>
    </w:p>
    <w:p w14:paraId="138F552E" w14:textId="23E357E3" w:rsidR="00385C66" w:rsidRDefault="00385C66" w:rsidP="003E7BC9">
      <w:pPr>
        <w:jc w:val="both"/>
        <w:rPr>
          <w:rFonts w:ascii="Arial" w:hAnsi="Arial" w:cs="Arial"/>
          <w:b/>
          <w:bCs/>
          <w:sz w:val="20"/>
          <w:szCs w:val="20"/>
          <w:lang w:val="sr-Cyrl-RS"/>
        </w:rPr>
      </w:pPr>
    </w:p>
    <w:p w14:paraId="63AF6A77" w14:textId="75A381F9" w:rsidR="00385C66" w:rsidRDefault="00385C66" w:rsidP="003E7BC9">
      <w:pPr>
        <w:jc w:val="both"/>
        <w:rPr>
          <w:rFonts w:ascii="Arial" w:hAnsi="Arial" w:cs="Arial"/>
          <w:b/>
          <w:bCs/>
          <w:sz w:val="20"/>
          <w:szCs w:val="20"/>
          <w:lang w:val="sr-Cyrl-RS"/>
        </w:rPr>
      </w:pPr>
    </w:p>
    <w:p w14:paraId="1CBE2652" w14:textId="0D87B0E8" w:rsidR="00385C66" w:rsidRDefault="00385C66" w:rsidP="003E7BC9">
      <w:pPr>
        <w:jc w:val="both"/>
        <w:rPr>
          <w:rFonts w:ascii="Arial" w:hAnsi="Arial" w:cs="Arial"/>
          <w:b/>
          <w:bCs/>
          <w:sz w:val="20"/>
          <w:szCs w:val="20"/>
          <w:lang w:val="sr-Cyrl-RS"/>
        </w:rPr>
      </w:pPr>
    </w:p>
    <w:p w14:paraId="299A73BF" w14:textId="34B20BE8" w:rsidR="00385C66" w:rsidRDefault="00385C66" w:rsidP="003E7BC9">
      <w:pPr>
        <w:jc w:val="both"/>
        <w:rPr>
          <w:rFonts w:ascii="Arial" w:hAnsi="Arial" w:cs="Arial"/>
          <w:b/>
          <w:bCs/>
          <w:sz w:val="20"/>
          <w:szCs w:val="20"/>
          <w:lang w:val="sr-Cyrl-RS"/>
        </w:rPr>
      </w:pPr>
    </w:p>
    <w:p w14:paraId="2D7FA54A" w14:textId="4876AB4F" w:rsidR="00385C66" w:rsidRDefault="00385C66" w:rsidP="003E7BC9">
      <w:pPr>
        <w:jc w:val="both"/>
        <w:rPr>
          <w:rFonts w:ascii="Arial" w:hAnsi="Arial" w:cs="Arial"/>
          <w:b/>
          <w:bCs/>
          <w:sz w:val="20"/>
          <w:szCs w:val="20"/>
          <w:lang w:val="sr-Cyrl-RS"/>
        </w:rPr>
      </w:pPr>
    </w:p>
    <w:p w14:paraId="14A76BA2" w14:textId="36EE77A8" w:rsidR="00385C66" w:rsidRDefault="00385C66" w:rsidP="003E7BC9">
      <w:pPr>
        <w:jc w:val="both"/>
        <w:rPr>
          <w:rFonts w:ascii="Arial" w:hAnsi="Arial" w:cs="Arial"/>
          <w:b/>
          <w:bCs/>
          <w:sz w:val="20"/>
          <w:szCs w:val="20"/>
          <w:lang w:val="sr-Cyrl-RS"/>
        </w:rPr>
      </w:pPr>
    </w:p>
    <w:p w14:paraId="757131E8" w14:textId="416CE7BA" w:rsidR="005E66A7" w:rsidRDefault="005E66A7" w:rsidP="003E7BC9">
      <w:pPr>
        <w:jc w:val="both"/>
        <w:rPr>
          <w:rFonts w:ascii="Arial" w:hAnsi="Arial" w:cs="Arial"/>
          <w:b/>
          <w:bCs/>
          <w:sz w:val="20"/>
          <w:szCs w:val="20"/>
          <w:lang w:val="sr-Cyrl-RS"/>
        </w:rPr>
      </w:pPr>
    </w:p>
    <w:p w14:paraId="0A029DD2" w14:textId="64FBE7CE" w:rsidR="005E66A7" w:rsidRDefault="005E66A7" w:rsidP="003E7BC9">
      <w:pPr>
        <w:jc w:val="both"/>
        <w:rPr>
          <w:rFonts w:ascii="Arial" w:hAnsi="Arial" w:cs="Arial"/>
          <w:b/>
          <w:bCs/>
          <w:sz w:val="20"/>
          <w:szCs w:val="20"/>
          <w:lang w:val="sr-Cyrl-RS"/>
        </w:rPr>
      </w:pPr>
    </w:p>
    <w:p w14:paraId="2EF8BEF3" w14:textId="34A79D59" w:rsidR="005E66A7" w:rsidRDefault="005E66A7" w:rsidP="003E7BC9">
      <w:pPr>
        <w:jc w:val="both"/>
        <w:rPr>
          <w:rFonts w:ascii="Arial" w:hAnsi="Arial" w:cs="Arial"/>
          <w:b/>
          <w:bCs/>
          <w:sz w:val="20"/>
          <w:szCs w:val="20"/>
          <w:lang w:val="sr-Cyrl-RS"/>
        </w:rPr>
      </w:pPr>
    </w:p>
    <w:p w14:paraId="1D4C3E6B" w14:textId="6F1EBAA1" w:rsidR="005E66A7" w:rsidRDefault="005E66A7" w:rsidP="003E7BC9">
      <w:pPr>
        <w:jc w:val="both"/>
        <w:rPr>
          <w:rFonts w:ascii="Arial" w:hAnsi="Arial" w:cs="Arial"/>
          <w:b/>
          <w:bCs/>
          <w:sz w:val="20"/>
          <w:szCs w:val="20"/>
          <w:lang w:val="sr-Cyrl-RS"/>
        </w:rPr>
      </w:pPr>
    </w:p>
    <w:p w14:paraId="08EAAEF3" w14:textId="05DA6EEE" w:rsidR="005E66A7" w:rsidRDefault="005E66A7" w:rsidP="003E7BC9">
      <w:pPr>
        <w:jc w:val="both"/>
        <w:rPr>
          <w:rFonts w:ascii="Arial" w:hAnsi="Arial" w:cs="Arial"/>
          <w:b/>
          <w:bCs/>
          <w:sz w:val="20"/>
          <w:szCs w:val="20"/>
          <w:lang w:val="sr-Cyrl-RS"/>
        </w:rPr>
      </w:pPr>
    </w:p>
    <w:p w14:paraId="27DE48C6" w14:textId="7DA0AE8C" w:rsidR="005E66A7" w:rsidRDefault="005E66A7" w:rsidP="003E7BC9">
      <w:pPr>
        <w:jc w:val="both"/>
        <w:rPr>
          <w:rFonts w:ascii="Arial" w:hAnsi="Arial" w:cs="Arial"/>
          <w:b/>
          <w:bCs/>
          <w:sz w:val="20"/>
          <w:szCs w:val="20"/>
          <w:lang w:val="sr-Cyrl-RS"/>
        </w:rPr>
      </w:pPr>
    </w:p>
    <w:p w14:paraId="18552141" w14:textId="5D287CD0" w:rsidR="005E66A7" w:rsidRDefault="005E66A7" w:rsidP="003E7BC9">
      <w:pPr>
        <w:jc w:val="both"/>
        <w:rPr>
          <w:rFonts w:ascii="Arial" w:hAnsi="Arial" w:cs="Arial"/>
          <w:b/>
          <w:bCs/>
          <w:sz w:val="20"/>
          <w:szCs w:val="20"/>
          <w:lang w:val="sr-Cyrl-RS"/>
        </w:rPr>
      </w:pPr>
    </w:p>
    <w:p w14:paraId="75492208" w14:textId="55FDF930" w:rsidR="005E66A7" w:rsidRDefault="005E66A7" w:rsidP="003E7BC9">
      <w:pPr>
        <w:jc w:val="both"/>
        <w:rPr>
          <w:rFonts w:ascii="Arial" w:hAnsi="Arial" w:cs="Arial"/>
          <w:b/>
          <w:bCs/>
          <w:sz w:val="20"/>
          <w:szCs w:val="20"/>
          <w:lang w:val="sr-Cyrl-RS"/>
        </w:rPr>
      </w:pPr>
    </w:p>
    <w:p w14:paraId="0B4D9410" w14:textId="101FEA85" w:rsidR="005E66A7" w:rsidRDefault="005E66A7" w:rsidP="003E7BC9">
      <w:pPr>
        <w:jc w:val="both"/>
        <w:rPr>
          <w:rFonts w:ascii="Arial" w:hAnsi="Arial" w:cs="Arial"/>
          <w:b/>
          <w:bCs/>
          <w:sz w:val="20"/>
          <w:szCs w:val="20"/>
          <w:lang w:val="sr-Cyrl-RS"/>
        </w:rPr>
      </w:pPr>
    </w:p>
    <w:p w14:paraId="3374B314" w14:textId="4A0B0E5F" w:rsidR="005E66A7" w:rsidRDefault="005E66A7" w:rsidP="003E7BC9">
      <w:pPr>
        <w:jc w:val="both"/>
        <w:rPr>
          <w:rFonts w:ascii="Arial" w:hAnsi="Arial" w:cs="Arial"/>
          <w:b/>
          <w:bCs/>
          <w:sz w:val="20"/>
          <w:szCs w:val="20"/>
          <w:lang w:val="sr-Cyrl-RS"/>
        </w:rPr>
      </w:pPr>
    </w:p>
    <w:p w14:paraId="25332DDA" w14:textId="3C0607A7" w:rsidR="005E66A7" w:rsidRDefault="005E66A7" w:rsidP="003E7BC9">
      <w:pPr>
        <w:jc w:val="both"/>
        <w:rPr>
          <w:rFonts w:ascii="Arial" w:hAnsi="Arial" w:cs="Arial"/>
          <w:b/>
          <w:bCs/>
          <w:sz w:val="20"/>
          <w:szCs w:val="20"/>
          <w:lang w:val="sr-Cyrl-RS"/>
        </w:rPr>
      </w:pPr>
    </w:p>
    <w:p w14:paraId="4E6077DF" w14:textId="35BB2396" w:rsidR="005E66A7" w:rsidRDefault="005E66A7" w:rsidP="003E7BC9">
      <w:pPr>
        <w:jc w:val="both"/>
        <w:rPr>
          <w:rFonts w:ascii="Arial" w:hAnsi="Arial" w:cs="Arial"/>
          <w:b/>
          <w:bCs/>
          <w:sz w:val="20"/>
          <w:szCs w:val="20"/>
          <w:lang w:val="sr-Cyrl-RS"/>
        </w:rPr>
      </w:pPr>
    </w:p>
    <w:p w14:paraId="6750F47A" w14:textId="6FF3B82D" w:rsidR="005E66A7" w:rsidRDefault="005E66A7" w:rsidP="003E7BC9">
      <w:pPr>
        <w:jc w:val="both"/>
        <w:rPr>
          <w:rFonts w:ascii="Arial" w:hAnsi="Arial" w:cs="Arial"/>
          <w:b/>
          <w:bCs/>
          <w:sz w:val="20"/>
          <w:szCs w:val="20"/>
          <w:lang w:val="sr-Cyrl-RS"/>
        </w:rPr>
      </w:pPr>
    </w:p>
    <w:p w14:paraId="73ED94E6" w14:textId="6AF14FF0" w:rsidR="005E66A7" w:rsidRDefault="005E66A7" w:rsidP="003E7BC9">
      <w:pPr>
        <w:jc w:val="both"/>
        <w:rPr>
          <w:rFonts w:ascii="Arial" w:hAnsi="Arial" w:cs="Arial"/>
          <w:b/>
          <w:bCs/>
          <w:sz w:val="20"/>
          <w:szCs w:val="20"/>
          <w:lang w:val="sr-Cyrl-RS"/>
        </w:rPr>
      </w:pPr>
    </w:p>
    <w:p w14:paraId="46949ABB" w14:textId="3574C3BD" w:rsidR="005E66A7" w:rsidRDefault="005E66A7" w:rsidP="003E7BC9">
      <w:pPr>
        <w:jc w:val="both"/>
        <w:rPr>
          <w:rFonts w:ascii="Arial" w:hAnsi="Arial" w:cs="Arial"/>
          <w:b/>
          <w:bCs/>
          <w:sz w:val="20"/>
          <w:szCs w:val="20"/>
          <w:lang w:val="sr-Cyrl-RS"/>
        </w:rPr>
      </w:pPr>
    </w:p>
    <w:p w14:paraId="5B860885" w14:textId="56C2B53C" w:rsidR="005E66A7" w:rsidRDefault="005E66A7" w:rsidP="003E7BC9">
      <w:pPr>
        <w:jc w:val="both"/>
        <w:rPr>
          <w:rFonts w:ascii="Arial" w:hAnsi="Arial" w:cs="Arial"/>
          <w:b/>
          <w:bCs/>
          <w:sz w:val="20"/>
          <w:szCs w:val="20"/>
          <w:lang w:val="sr-Cyrl-RS"/>
        </w:rPr>
      </w:pPr>
    </w:p>
    <w:p w14:paraId="06AFAA19" w14:textId="08E0DD1D" w:rsidR="005E66A7" w:rsidRDefault="005E66A7" w:rsidP="003E7BC9">
      <w:pPr>
        <w:jc w:val="both"/>
        <w:rPr>
          <w:rFonts w:ascii="Arial" w:hAnsi="Arial" w:cs="Arial"/>
          <w:b/>
          <w:bCs/>
          <w:sz w:val="20"/>
          <w:szCs w:val="20"/>
          <w:lang w:val="sr-Cyrl-RS"/>
        </w:rPr>
      </w:pPr>
    </w:p>
    <w:p w14:paraId="358F443A" w14:textId="23A2B4A7" w:rsidR="005E66A7" w:rsidRDefault="005E66A7" w:rsidP="003E7BC9">
      <w:pPr>
        <w:jc w:val="both"/>
        <w:rPr>
          <w:rFonts w:ascii="Arial" w:hAnsi="Arial" w:cs="Arial"/>
          <w:b/>
          <w:bCs/>
          <w:sz w:val="20"/>
          <w:szCs w:val="20"/>
          <w:lang w:val="sr-Cyrl-RS"/>
        </w:rPr>
      </w:pPr>
    </w:p>
    <w:p w14:paraId="33F920B1" w14:textId="5B2435EA" w:rsidR="005E66A7" w:rsidRDefault="005E66A7" w:rsidP="003E7BC9">
      <w:pPr>
        <w:jc w:val="both"/>
        <w:rPr>
          <w:rFonts w:ascii="Arial" w:hAnsi="Arial" w:cs="Arial"/>
          <w:b/>
          <w:bCs/>
          <w:sz w:val="20"/>
          <w:szCs w:val="20"/>
          <w:lang w:val="sr-Cyrl-RS"/>
        </w:rPr>
      </w:pPr>
    </w:p>
    <w:p w14:paraId="17352927" w14:textId="0C2BEA29" w:rsidR="005E66A7" w:rsidRDefault="005E66A7" w:rsidP="003E7BC9">
      <w:pPr>
        <w:jc w:val="both"/>
        <w:rPr>
          <w:rFonts w:ascii="Arial" w:hAnsi="Arial" w:cs="Arial"/>
          <w:b/>
          <w:bCs/>
          <w:sz w:val="20"/>
          <w:szCs w:val="20"/>
          <w:lang w:val="sr-Cyrl-RS"/>
        </w:rPr>
      </w:pPr>
    </w:p>
    <w:p w14:paraId="0BC2EB15" w14:textId="08972AF3" w:rsidR="005E66A7" w:rsidRDefault="005E66A7" w:rsidP="003E7BC9">
      <w:pPr>
        <w:jc w:val="both"/>
        <w:rPr>
          <w:rFonts w:ascii="Arial" w:hAnsi="Arial" w:cs="Arial"/>
          <w:b/>
          <w:bCs/>
          <w:sz w:val="20"/>
          <w:szCs w:val="20"/>
          <w:lang w:val="sr-Cyrl-RS"/>
        </w:rPr>
      </w:pPr>
    </w:p>
    <w:p w14:paraId="2A5751AB" w14:textId="4BAA54B6" w:rsidR="005E66A7" w:rsidRDefault="005E66A7" w:rsidP="003E7BC9">
      <w:pPr>
        <w:jc w:val="both"/>
        <w:rPr>
          <w:rFonts w:ascii="Arial" w:hAnsi="Arial" w:cs="Arial"/>
          <w:b/>
          <w:bCs/>
          <w:sz w:val="20"/>
          <w:szCs w:val="20"/>
          <w:lang w:val="sr-Cyrl-RS"/>
        </w:rPr>
      </w:pPr>
    </w:p>
    <w:p w14:paraId="60809EC9" w14:textId="6357D8C6" w:rsidR="005E66A7" w:rsidRDefault="005E66A7" w:rsidP="003E7BC9">
      <w:pPr>
        <w:jc w:val="both"/>
        <w:rPr>
          <w:rFonts w:ascii="Arial" w:hAnsi="Arial" w:cs="Arial"/>
          <w:b/>
          <w:bCs/>
          <w:sz w:val="20"/>
          <w:szCs w:val="20"/>
          <w:lang w:val="sr-Cyrl-RS"/>
        </w:rPr>
      </w:pPr>
    </w:p>
    <w:p w14:paraId="3C241EF6" w14:textId="0FF00C7A" w:rsidR="005E66A7" w:rsidRDefault="005E66A7" w:rsidP="003E7BC9">
      <w:pPr>
        <w:jc w:val="both"/>
        <w:rPr>
          <w:rFonts w:ascii="Arial" w:hAnsi="Arial" w:cs="Arial"/>
          <w:b/>
          <w:bCs/>
          <w:sz w:val="20"/>
          <w:szCs w:val="20"/>
          <w:lang w:val="sr-Cyrl-RS"/>
        </w:rPr>
      </w:pPr>
    </w:p>
    <w:p w14:paraId="071B655D" w14:textId="47C4E556" w:rsidR="005E66A7" w:rsidRDefault="005E66A7" w:rsidP="003E7BC9">
      <w:pPr>
        <w:jc w:val="both"/>
        <w:rPr>
          <w:rFonts w:ascii="Arial" w:hAnsi="Arial" w:cs="Arial"/>
          <w:b/>
          <w:bCs/>
          <w:sz w:val="20"/>
          <w:szCs w:val="20"/>
          <w:lang w:val="sr-Cyrl-RS"/>
        </w:rPr>
      </w:pPr>
    </w:p>
    <w:p w14:paraId="679EDFB1" w14:textId="77777777" w:rsidR="005E66A7" w:rsidRDefault="005E66A7" w:rsidP="003E7BC9">
      <w:pPr>
        <w:jc w:val="both"/>
        <w:rPr>
          <w:rFonts w:ascii="Arial" w:hAnsi="Arial" w:cs="Arial"/>
          <w:b/>
          <w:bCs/>
          <w:sz w:val="20"/>
          <w:szCs w:val="20"/>
          <w:lang w:val="sr-Cyrl-RS"/>
        </w:rPr>
      </w:pPr>
    </w:p>
    <w:p w14:paraId="714DB860" w14:textId="435C287F" w:rsidR="00385C66" w:rsidRDefault="00385C66" w:rsidP="003E7BC9">
      <w:pPr>
        <w:jc w:val="both"/>
        <w:rPr>
          <w:rFonts w:ascii="Arial" w:hAnsi="Arial" w:cs="Arial"/>
          <w:b/>
          <w:bCs/>
          <w:sz w:val="20"/>
          <w:szCs w:val="20"/>
          <w:lang w:val="sr-Cyrl-RS"/>
        </w:rPr>
      </w:pPr>
    </w:p>
    <w:p w14:paraId="418A5958" w14:textId="0099A11A" w:rsidR="00385C66" w:rsidRDefault="00385C66" w:rsidP="003E7BC9">
      <w:pPr>
        <w:jc w:val="both"/>
        <w:rPr>
          <w:rFonts w:ascii="Arial" w:hAnsi="Arial" w:cs="Arial"/>
          <w:b/>
          <w:bCs/>
          <w:sz w:val="20"/>
          <w:szCs w:val="20"/>
          <w:lang w:val="sr-Cyrl-RS"/>
        </w:rPr>
      </w:pPr>
    </w:p>
    <w:p w14:paraId="20C613C0" w14:textId="77777777" w:rsidR="00385C66" w:rsidRPr="00A021B7" w:rsidRDefault="00385C66" w:rsidP="003E7BC9">
      <w:pPr>
        <w:jc w:val="both"/>
        <w:rPr>
          <w:rFonts w:ascii="Arial" w:hAnsi="Arial" w:cs="Arial"/>
          <w:b/>
          <w:bCs/>
          <w:sz w:val="20"/>
          <w:szCs w:val="20"/>
          <w:lang w:val="sr-Cyrl-RS"/>
        </w:rPr>
      </w:pPr>
    </w:p>
    <w:p w14:paraId="6E6F0371" w14:textId="77777777" w:rsidR="007E35DE" w:rsidRPr="00A021B7" w:rsidRDefault="007E35DE" w:rsidP="003E7BC9">
      <w:pPr>
        <w:jc w:val="both"/>
        <w:rPr>
          <w:rFonts w:ascii="Arial" w:hAnsi="Arial" w:cs="Arial"/>
          <w:b/>
          <w:bCs/>
          <w:sz w:val="20"/>
          <w:szCs w:val="20"/>
          <w:lang w:val="sr-Cyrl-RS"/>
        </w:rPr>
      </w:pPr>
    </w:p>
    <w:p w14:paraId="18165673" w14:textId="3520B8E1" w:rsidR="00C57B59" w:rsidRPr="00A021B7" w:rsidRDefault="00C57B59" w:rsidP="004D4848">
      <w:pPr>
        <w:pStyle w:val="Heading2"/>
        <w:rPr>
          <w:lang w:val="sr-Cyrl-RS"/>
        </w:rPr>
      </w:pPr>
      <w:bookmarkStart w:id="178" w:name="_Toc60136119"/>
      <w:r w:rsidRPr="00A021B7">
        <w:rPr>
          <w:lang w:val="sr-Cyrl-RS"/>
        </w:rPr>
        <w:lastRenderedPageBreak/>
        <w:t>ПРИЛОЗИ</w:t>
      </w:r>
      <w:bookmarkEnd w:id="178"/>
    </w:p>
    <w:p w14:paraId="43615F76" w14:textId="099815E6" w:rsidR="00C57B59" w:rsidRPr="00A021B7" w:rsidRDefault="00C57B59" w:rsidP="003E7BC9">
      <w:pPr>
        <w:jc w:val="both"/>
        <w:rPr>
          <w:rFonts w:ascii="Arial" w:hAnsi="Arial" w:cs="Arial"/>
          <w:b/>
          <w:bCs/>
          <w:sz w:val="20"/>
          <w:szCs w:val="20"/>
          <w:lang w:val="sr-Cyrl-RS"/>
        </w:rPr>
      </w:pPr>
    </w:p>
    <w:p w14:paraId="2A8CDED7" w14:textId="70BE1AA6" w:rsidR="00C57B59" w:rsidRPr="00A021B7" w:rsidRDefault="00C57B59" w:rsidP="003E7BC9">
      <w:pPr>
        <w:jc w:val="both"/>
        <w:rPr>
          <w:rFonts w:ascii="Arial" w:hAnsi="Arial" w:cs="Arial"/>
          <w:b/>
          <w:bCs/>
          <w:sz w:val="20"/>
          <w:szCs w:val="20"/>
          <w:lang w:val="sr-Cyrl-RS"/>
        </w:rPr>
      </w:pPr>
    </w:p>
    <w:p w14:paraId="4984B5D8" w14:textId="34FEE78D" w:rsidR="007612F0" w:rsidRPr="00A021B7" w:rsidRDefault="00DD12B2" w:rsidP="00A57E7E">
      <w:pPr>
        <w:pStyle w:val="ListParagraph"/>
        <w:numPr>
          <w:ilvl w:val="0"/>
          <w:numId w:val="26"/>
        </w:numPr>
        <w:jc w:val="both"/>
        <w:rPr>
          <w:rFonts w:ascii="Arial" w:hAnsi="Arial" w:cs="Arial"/>
          <w:sz w:val="28"/>
          <w:szCs w:val="28"/>
          <w:lang w:val="sr-Cyrl-RS"/>
        </w:rPr>
      </w:pPr>
      <w:r w:rsidRPr="1A8E6423">
        <w:rPr>
          <w:rFonts w:ascii="Arial" w:hAnsi="Arial" w:cs="Arial"/>
          <w:sz w:val="28"/>
          <w:szCs w:val="28"/>
          <w:lang w:val="sr-Cyrl-RS"/>
        </w:rPr>
        <w:t>АКЦИОНИ ПЛАН ЗА ПЕРИОД 2021</w:t>
      </w:r>
      <w:r w:rsidR="00993D97" w:rsidRPr="1A8E6423">
        <w:rPr>
          <w:rFonts w:ascii="Arial" w:hAnsi="Arial" w:cs="Arial"/>
          <w:sz w:val="28"/>
          <w:szCs w:val="28"/>
          <w:lang w:val="sr-Cyrl-RS"/>
        </w:rPr>
        <w:t>–</w:t>
      </w:r>
      <w:r w:rsidRPr="1A8E6423">
        <w:rPr>
          <w:rFonts w:ascii="Arial" w:hAnsi="Arial" w:cs="Arial"/>
          <w:sz w:val="28"/>
          <w:szCs w:val="28"/>
          <w:lang w:val="sr-Cyrl-RS"/>
        </w:rPr>
        <w:t>2023</w:t>
      </w:r>
      <w:r w:rsidR="00993D97" w:rsidRPr="1A8E6423">
        <w:rPr>
          <w:rFonts w:ascii="Arial" w:hAnsi="Arial" w:cs="Arial"/>
          <w:sz w:val="28"/>
          <w:szCs w:val="28"/>
          <w:lang w:val="sr-Cyrl-RS"/>
        </w:rPr>
        <w:t>.</w:t>
      </w:r>
      <w:r w:rsidRPr="1A8E6423">
        <w:rPr>
          <w:rFonts w:ascii="Arial" w:hAnsi="Arial" w:cs="Arial"/>
          <w:sz w:val="28"/>
          <w:szCs w:val="28"/>
          <w:lang w:val="sr-Cyrl-RS"/>
        </w:rPr>
        <w:t xml:space="preserve"> ГОДИН</w:t>
      </w:r>
      <w:r w:rsidR="00993D97" w:rsidRPr="1A8E6423">
        <w:rPr>
          <w:rFonts w:ascii="Arial" w:hAnsi="Arial" w:cs="Arial"/>
          <w:sz w:val="28"/>
          <w:szCs w:val="28"/>
          <w:lang w:val="sr-Cyrl-RS"/>
        </w:rPr>
        <w:t>Е</w:t>
      </w:r>
    </w:p>
    <w:p w14:paraId="71FEBADB" w14:textId="1F1A04BC" w:rsidR="00E57787" w:rsidRPr="00A021B7" w:rsidRDefault="00437174" w:rsidP="00A57E7E">
      <w:pPr>
        <w:pStyle w:val="ListParagraph"/>
        <w:numPr>
          <w:ilvl w:val="0"/>
          <w:numId w:val="26"/>
        </w:numPr>
        <w:jc w:val="both"/>
        <w:rPr>
          <w:rFonts w:ascii="Arial" w:hAnsi="Arial" w:cs="Arial"/>
          <w:sz w:val="28"/>
          <w:szCs w:val="28"/>
          <w:lang w:val="sr-Cyrl-RS"/>
        </w:rPr>
      </w:pPr>
      <w:r w:rsidRPr="1A8E6423">
        <w:rPr>
          <w:rFonts w:ascii="Arial" w:hAnsi="Arial" w:cs="Arial"/>
          <w:sz w:val="28"/>
          <w:szCs w:val="28"/>
          <w:lang w:val="sr-Cyrl-RS"/>
        </w:rPr>
        <w:t>ПАСОШ</w:t>
      </w:r>
      <w:r w:rsidR="004A7468" w:rsidRPr="1A8E6423">
        <w:rPr>
          <w:rFonts w:ascii="Arial" w:hAnsi="Arial" w:cs="Arial"/>
          <w:sz w:val="28"/>
          <w:szCs w:val="28"/>
          <w:lang w:val="sr-Cyrl-RS"/>
        </w:rPr>
        <w:t>-</w:t>
      </w:r>
      <w:r w:rsidRPr="1A8E6423">
        <w:rPr>
          <w:rFonts w:ascii="Arial" w:hAnsi="Arial" w:cs="Arial"/>
          <w:sz w:val="28"/>
          <w:szCs w:val="28"/>
          <w:lang w:val="sr-Cyrl-RS"/>
        </w:rPr>
        <w:t>ПОКАЗАТЕЉИ</w:t>
      </w:r>
    </w:p>
    <w:p w14:paraId="3C4DD0B3" w14:textId="7DF1FE8C" w:rsidR="006B5347" w:rsidRPr="00A021B7" w:rsidRDefault="006B5347" w:rsidP="00A57E7E">
      <w:pPr>
        <w:pStyle w:val="ListParagraph"/>
        <w:numPr>
          <w:ilvl w:val="0"/>
          <w:numId w:val="26"/>
        </w:numPr>
        <w:jc w:val="both"/>
        <w:rPr>
          <w:rFonts w:ascii="Arial" w:hAnsi="Arial" w:cs="Arial"/>
          <w:sz w:val="28"/>
          <w:szCs w:val="28"/>
          <w:lang w:val="sr-Cyrl-RS"/>
        </w:rPr>
      </w:pPr>
      <w:r w:rsidRPr="00A021B7">
        <w:rPr>
          <w:rFonts w:ascii="Arial" w:hAnsi="Arial" w:cs="Arial"/>
          <w:sz w:val="28"/>
          <w:szCs w:val="28"/>
          <w:lang w:val="sr-Cyrl-RS"/>
        </w:rPr>
        <w:t>ЛИСТА ЗАКОНА КОЈЕ ТРЕБА ДОНЕТИ ИЛИ ИЗМЕНИТИ</w:t>
      </w:r>
    </w:p>
    <w:p w14:paraId="75976D75" w14:textId="6701BC73" w:rsidR="006B5347" w:rsidRPr="00A021B7" w:rsidRDefault="006B5347" w:rsidP="00A57E7E">
      <w:pPr>
        <w:pStyle w:val="ListParagraph"/>
        <w:numPr>
          <w:ilvl w:val="0"/>
          <w:numId w:val="26"/>
        </w:numPr>
        <w:jc w:val="both"/>
        <w:rPr>
          <w:rFonts w:ascii="Arial" w:hAnsi="Arial" w:cs="Arial"/>
          <w:sz w:val="28"/>
          <w:szCs w:val="28"/>
          <w:lang w:val="sr-Cyrl-RS"/>
        </w:rPr>
      </w:pPr>
      <w:r w:rsidRPr="1A8E6423">
        <w:rPr>
          <w:rFonts w:ascii="Arial" w:hAnsi="Arial" w:cs="Arial"/>
          <w:sz w:val="28"/>
          <w:szCs w:val="28"/>
          <w:lang w:val="sr-Cyrl-RS"/>
        </w:rPr>
        <w:t>КОМУНИКАЦИЈА</w:t>
      </w:r>
      <w:r w:rsidR="00993D97" w:rsidRPr="1A8E6423">
        <w:rPr>
          <w:rFonts w:ascii="Arial" w:hAnsi="Arial" w:cs="Arial"/>
          <w:sz w:val="28"/>
          <w:szCs w:val="28"/>
          <w:lang w:val="sr-Cyrl-RS"/>
        </w:rPr>
        <w:t xml:space="preserve"> У</w:t>
      </w:r>
      <w:r w:rsidRPr="1A8E6423">
        <w:rPr>
          <w:rFonts w:ascii="Arial" w:hAnsi="Arial" w:cs="Arial"/>
          <w:sz w:val="28"/>
          <w:szCs w:val="28"/>
          <w:lang w:val="sr-Cyrl-RS"/>
        </w:rPr>
        <w:t xml:space="preserve"> ПРОЦЕС</w:t>
      </w:r>
      <w:r w:rsidR="00993D97" w:rsidRPr="1A8E6423">
        <w:rPr>
          <w:rFonts w:ascii="Arial" w:hAnsi="Arial" w:cs="Arial"/>
          <w:sz w:val="28"/>
          <w:szCs w:val="28"/>
          <w:lang w:val="sr-Cyrl-RS"/>
        </w:rPr>
        <w:t>У</w:t>
      </w:r>
      <w:r w:rsidRPr="1A8E6423">
        <w:rPr>
          <w:rFonts w:ascii="Arial" w:hAnsi="Arial" w:cs="Arial"/>
          <w:sz w:val="28"/>
          <w:szCs w:val="28"/>
          <w:lang w:val="sr-Cyrl-RS"/>
        </w:rPr>
        <w:t xml:space="preserve"> СПРОВОЂЕЊА РЕФОРМЕ СИСТЕМА ЛС</w:t>
      </w:r>
    </w:p>
    <w:p w14:paraId="4D4F2228" w14:textId="1072F182" w:rsidR="006B5347" w:rsidRPr="00A021B7" w:rsidRDefault="006B5347" w:rsidP="00A57E7E">
      <w:pPr>
        <w:pStyle w:val="ListParagraph"/>
        <w:numPr>
          <w:ilvl w:val="0"/>
          <w:numId w:val="26"/>
        </w:numPr>
        <w:jc w:val="both"/>
        <w:rPr>
          <w:rFonts w:ascii="Arial" w:hAnsi="Arial" w:cs="Arial"/>
          <w:sz w:val="28"/>
          <w:szCs w:val="28"/>
          <w:lang w:val="sr-Cyrl-RS"/>
        </w:rPr>
      </w:pPr>
      <w:r w:rsidRPr="1A8E6423">
        <w:rPr>
          <w:rFonts w:ascii="Arial" w:hAnsi="Arial" w:cs="Arial"/>
          <w:sz w:val="28"/>
          <w:szCs w:val="28"/>
          <w:lang w:val="sr-Cyrl-RS"/>
        </w:rPr>
        <w:t>ОПИС ПРОЦЕСА И КЉУЧНИХ ИНСТИТУЦИЈА УКЉУЧЕНИХ У ИЗРАДУ ПРОГРАМА</w:t>
      </w:r>
      <w:r w:rsidR="00993D97" w:rsidRPr="1A8E6423">
        <w:rPr>
          <w:rFonts w:ascii="Arial" w:hAnsi="Arial" w:cs="Arial"/>
          <w:sz w:val="28"/>
          <w:szCs w:val="28"/>
          <w:lang w:val="sr-Cyrl-RS"/>
        </w:rPr>
        <w:t xml:space="preserve"> ЗА</w:t>
      </w:r>
      <w:r w:rsidRPr="1A8E6423">
        <w:rPr>
          <w:rFonts w:ascii="Arial" w:hAnsi="Arial" w:cs="Arial"/>
          <w:sz w:val="28"/>
          <w:szCs w:val="28"/>
          <w:lang w:val="sr-Cyrl-RS"/>
        </w:rPr>
        <w:t xml:space="preserve"> РЕФОРМ</w:t>
      </w:r>
      <w:r w:rsidR="00993D97" w:rsidRPr="1A8E6423">
        <w:rPr>
          <w:rFonts w:ascii="Arial" w:hAnsi="Arial" w:cs="Arial"/>
          <w:sz w:val="28"/>
          <w:szCs w:val="28"/>
          <w:lang w:val="sr-Cyrl-RS"/>
        </w:rPr>
        <w:t>У</w:t>
      </w:r>
      <w:r w:rsidRPr="1A8E6423">
        <w:rPr>
          <w:rFonts w:ascii="Arial" w:hAnsi="Arial" w:cs="Arial"/>
          <w:sz w:val="28"/>
          <w:szCs w:val="28"/>
          <w:lang w:val="sr-Cyrl-RS"/>
        </w:rPr>
        <w:t xml:space="preserve"> СИСТЕМА ЛС</w:t>
      </w:r>
    </w:p>
    <w:p w14:paraId="665CBAFC" w14:textId="0E7E48A4" w:rsidR="00FA58E1" w:rsidRPr="00A021B7" w:rsidRDefault="00FA58E1" w:rsidP="006B5347">
      <w:pPr>
        <w:jc w:val="both"/>
        <w:rPr>
          <w:rFonts w:ascii="Arial" w:hAnsi="Arial" w:cs="Arial"/>
          <w:sz w:val="28"/>
          <w:szCs w:val="28"/>
          <w:lang w:val="sr-Cyrl-RS"/>
        </w:rPr>
      </w:pPr>
    </w:p>
    <w:p w14:paraId="1DB56F0E" w14:textId="54723DC2" w:rsidR="00FA58E1" w:rsidRPr="00A021B7" w:rsidRDefault="00FA58E1" w:rsidP="006B5347">
      <w:pPr>
        <w:jc w:val="both"/>
        <w:rPr>
          <w:rFonts w:ascii="Arial" w:hAnsi="Arial" w:cs="Arial"/>
          <w:sz w:val="28"/>
          <w:szCs w:val="28"/>
          <w:lang w:val="sr-Cyrl-RS"/>
        </w:rPr>
      </w:pPr>
    </w:p>
    <w:p w14:paraId="3DB814DE" w14:textId="5A0556DF" w:rsidR="00FA58E1" w:rsidRPr="00A021B7" w:rsidRDefault="00FA58E1" w:rsidP="006B5347">
      <w:pPr>
        <w:jc w:val="both"/>
        <w:rPr>
          <w:rFonts w:ascii="Arial" w:hAnsi="Arial" w:cs="Arial"/>
          <w:sz w:val="28"/>
          <w:szCs w:val="28"/>
          <w:lang w:val="sr-Cyrl-RS"/>
        </w:rPr>
      </w:pPr>
    </w:p>
    <w:p w14:paraId="19E29B21" w14:textId="25660CF8" w:rsidR="00FA58E1" w:rsidRPr="00A021B7" w:rsidRDefault="00FA58E1" w:rsidP="006B5347">
      <w:pPr>
        <w:jc w:val="both"/>
        <w:rPr>
          <w:rFonts w:ascii="Arial" w:hAnsi="Arial" w:cs="Arial"/>
          <w:sz w:val="28"/>
          <w:szCs w:val="28"/>
          <w:lang w:val="sr-Cyrl-RS"/>
        </w:rPr>
      </w:pPr>
    </w:p>
    <w:p w14:paraId="570C409D" w14:textId="0C179B8F" w:rsidR="00FA58E1" w:rsidRPr="00A021B7" w:rsidRDefault="00FA58E1" w:rsidP="006B5347">
      <w:pPr>
        <w:jc w:val="both"/>
        <w:rPr>
          <w:rFonts w:ascii="Arial" w:hAnsi="Arial" w:cs="Arial"/>
          <w:sz w:val="28"/>
          <w:szCs w:val="28"/>
          <w:lang w:val="sr-Cyrl-RS"/>
        </w:rPr>
      </w:pPr>
    </w:p>
    <w:p w14:paraId="00B76C3C" w14:textId="17BFDE84" w:rsidR="00FA58E1" w:rsidRPr="00A021B7" w:rsidRDefault="00FA58E1" w:rsidP="006B5347">
      <w:pPr>
        <w:jc w:val="both"/>
        <w:rPr>
          <w:rFonts w:ascii="Arial" w:hAnsi="Arial" w:cs="Arial"/>
          <w:sz w:val="28"/>
          <w:szCs w:val="28"/>
          <w:lang w:val="sr-Cyrl-RS"/>
        </w:rPr>
      </w:pPr>
    </w:p>
    <w:p w14:paraId="36C82195" w14:textId="36BD15E0" w:rsidR="00FA58E1" w:rsidRPr="00A021B7" w:rsidRDefault="00FA58E1" w:rsidP="006B5347">
      <w:pPr>
        <w:jc w:val="both"/>
        <w:rPr>
          <w:rFonts w:ascii="Arial" w:hAnsi="Arial" w:cs="Arial"/>
          <w:sz w:val="28"/>
          <w:szCs w:val="28"/>
          <w:lang w:val="sr-Cyrl-RS"/>
        </w:rPr>
      </w:pPr>
    </w:p>
    <w:p w14:paraId="0EFD1223" w14:textId="1DAD8170" w:rsidR="00FA58E1" w:rsidRPr="00A021B7" w:rsidRDefault="00FA58E1" w:rsidP="006B5347">
      <w:pPr>
        <w:jc w:val="both"/>
        <w:rPr>
          <w:rFonts w:ascii="Arial" w:hAnsi="Arial" w:cs="Arial"/>
          <w:sz w:val="28"/>
          <w:szCs w:val="28"/>
          <w:lang w:val="sr-Cyrl-RS"/>
        </w:rPr>
      </w:pPr>
    </w:p>
    <w:p w14:paraId="244B6C6C" w14:textId="7C8B30B1" w:rsidR="00FA58E1" w:rsidRPr="00A021B7" w:rsidRDefault="00FA58E1" w:rsidP="006B5347">
      <w:pPr>
        <w:jc w:val="both"/>
        <w:rPr>
          <w:rFonts w:ascii="Arial" w:hAnsi="Arial" w:cs="Arial"/>
          <w:sz w:val="28"/>
          <w:szCs w:val="28"/>
          <w:lang w:val="sr-Cyrl-RS"/>
        </w:rPr>
      </w:pPr>
    </w:p>
    <w:p w14:paraId="02D7DEC1" w14:textId="2E894DAF" w:rsidR="00FA58E1" w:rsidRPr="00A021B7" w:rsidRDefault="00FA58E1" w:rsidP="006B5347">
      <w:pPr>
        <w:jc w:val="both"/>
        <w:rPr>
          <w:rFonts w:ascii="Arial" w:hAnsi="Arial" w:cs="Arial"/>
          <w:sz w:val="28"/>
          <w:szCs w:val="28"/>
          <w:lang w:val="sr-Cyrl-RS"/>
        </w:rPr>
      </w:pPr>
    </w:p>
    <w:p w14:paraId="6475F590" w14:textId="1C5A6EA1" w:rsidR="00FA58E1" w:rsidRPr="00A021B7" w:rsidRDefault="00FA58E1" w:rsidP="006B5347">
      <w:pPr>
        <w:jc w:val="both"/>
        <w:rPr>
          <w:rFonts w:ascii="Arial" w:hAnsi="Arial" w:cs="Arial"/>
          <w:sz w:val="28"/>
          <w:szCs w:val="28"/>
          <w:lang w:val="sr-Cyrl-RS"/>
        </w:rPr>
      </w:pPr>
    </w:p>
    <w:p w14:paraId="5452DDBF" w14:textId="0A11B844" w:rsidR="00FA58E1" w:rsidRPr="00A021B7" w:rsidRDefault="00FA58E1" w:rsidP="006B5347">
      <w:pPr>
        <w:jc w:val="both"/>
        <w:rPr>
          <w:rFonts w:ascii="Arial" w:hAnsi="Arial" w:cs="Arial"/>
          <w:sz w:val="28"/>
          <w:szCs w:val="28"/>
          <w:lang w:val="sr-Cyrl-RS"/>
        </w:rPr>
      </w:pPr>
    </w:p>
    <w:p w14:paraId="64D6ADF1" w14:textId="1ADBDAF5" w:rsidR="00FA58E1" w:rsidRPr="00A021B7" w:rsidRDefault="00FA58E1" w:rsidP="006B5347">
      <w:pPr>
        <w:jc w:val="both"/>
        <w:rPr>
          <w:rFonts w:ascii="Arial" w:hAnsi="Arial" w:cs="Arial"/>
          <w:sz w:val="28"/>
          <w:szCs w:val="28"/>
          <w:lang w:val="sr-Cyrl-RS"/>
        </w:rPr>
      </w:pPr>
    </w:p>
    <w:p w14:paraId="7F6BABC3" w14:textId="60A951F9" w:rsidR="00FA58E1" w:rsidRPr="00A021B7" w:rsidRDefault="00FA58E1" w:rsidP="006B5347">
      <w:pPr>
        <w:jc w:val="both"/>
        <w:rPr>
          <w:rFonts w:ascii="Arial" w:hAnsi="Arial" w:cs="Arial"/>
          <w:sz w:val="28"/>
          <w:szCs w:val="28"/>
          <w:lang w:val="sr-Cyrl-RS"/>
        </w:rPr>
      </w:pPr>
    </w:p>
    <w:p w14:paraId="5ABA9A4B" w14:textId="43BE0B1C" w:rsidR="00FA58E1" w:rsidRPr="00A021B7" w:rsidRDefault="00FA58E1" w:rsidP="006B5347">
      <w:pPr>
        <w:jc w:val="both"/>
        <w:rPr>
          <w:rFonts w:ascii="Arial" w:hAnsi="Arial" w:cs="Arial"/>
          <w:sz w:val="28"/>
          <w:szCs w:val="28"/>
          <w:lang w:val="sr-Cyrl-RS"/>
        </w:rPr>
      </w:pPr>
    </w:p>
    <w:p w14:paraId="6CBCFF2B" w14:textId="29961832" w:rsidR="00FA58E1" w:rsidRPr="00A021B7" w:rsidRDefault="00FA58E1" w:rsidP="006B5347">
      <w:pPr>
        <w:jc w:val="both"/>
        <w:rPr>
          <w:rFonts w:ascii="Arial" w:hAnsi="Arial" w:cs="Arial"/>
          <w:sz w:val="28"/>
          <w:szCs w:val="28"/>
          <w:lang w:val="sr-Cyrl-RS"/>
        </w:rPr>
      </w:pPr>
    </w:p>
    <w:p w14:paraId="7E2B0E80" w14:textId="54D84A9F" w:rsidR="00FA58E1" w:rsidRPr="00A021B7" w:rsidRDefault="00FA58E1" w:rsidP="006B5347">
      <w:pPr>
        <w:jc w:val="both"/>
        <w:rPr>
          <w:rFonts w:ascii="Arial" w:hAnsi="Arial" w:cs="Arial"/>
          <w:sz w:val="28"/>
          <w:szCs w:val="28"/>
          <w:lang w:val="sr-Cyrl-RS"/>
        </w:rPr>
      </w:pPr>
    </w:p>
    <w:p w14:paraId="08B39500" w14:textId="6C67CF4E" w:rsidR="00FA58E1" w:rsidRPr="00A021B7" w:rsidRDefault="00FA58E1" w:rsidP="006B5347">
      <w:pPr>
        <w:jc w:val="both"/>
        <w:rPr>
          <w:rFonts w:ascii="Arial" w:hAnsi="Arial" w:cs="Arial"/>
          <w:sz w:val="28"/>
          <w:szCs w:val="28"/>
          <w:lang w:val="sr-Cyrl-RS"/>
        </w:rPr>
      </w:pPr>
    </w:p>
    <w:p w14:paraId="6588C6EA" w14:textId="4B43E848" w:rsidR="00FA58E1" w:rsidRPr="00A021B7" w:rsidRDefault="00FA58E1" w:rsidP="006B5347">
      <w:pPr>
        <w:jc w:val="both"/>
        <w:rPr>
          <w:rFonts w:ascii="Arial" w:hAnsi="Arial" w:cs="Arial"/>
          <w:sz w:val="28"/>
          <w:szCs w:val="28"/>
          <w:lang w:val="sr-Cyrl-RS"/>
        </w:rPr>
      </w:pPr>
    </w:p>
    <w:p w14:paraId="0732F3DE" w14:textId="48C239BB" w:rsidR="00FA58E1" w:rsidRPr="00A021B7" w:rsidRDefault="00FA58E1" w:rsidP="006B5347">
      <w:pPr>
        <w:jc w:val="both"/>
        <w:rPr>
          <w:rFonts w:ascii="Arial" w:hAnsi="Arial" w:cs="Arial"/>
          <w:sz w:val="28"/>
          <w:szCs w:val="28"/>
          <w:lang w:val="sr-Cyrl-RS"/>
        </w:rPr>
      </w:pPr>
    </w:p>
    <w:p w14:paraId="5E2D899B" w14:textId="1404F4E0" w:rsidR="00FA58E1" w:rsidRPr="00A021B7" w:rsidRDefault="00FA58E1" w:rsidP="006B5347">
      <w:pPr>
        <w:jc w:val="both"/>
        <w:rPr>
          <w:rFonts w:ascii="Arial" w:hAnsi="Arial" w:cs="Arial"/>
          <w:sz w:val="28"/>
          <w:szCs w:val="28"/>
          <w:lang w:val="sr-Cyrl-RS"/>
        </w:rPr>
      </w:pPr>
    </w:p>
    <w:p w14:paraId="1D32E8A1" w14:textId="45132541" w:rsidR="00FA58E1" w:rsidRPr="00A021B7" w:rsidRDefault="00FA58E1" w:rsidP="006B5347">
      <w:pPr>
        <w:jc w:val="both"/>
        <w:rPr>
          <w:rFonts w:ascii="Arial" w:hAnsi="Arial" w:cs="Arial"/>
          <w:sz w:val="28"/>
          <w:szCs w:val="28"/>
          <w:lang w:val="sr-Cyrl-RS"/>
        </w:rPr>
      </w:pPr>
    </w:p>
    <w:p w14:paraId="0A89145F" w14:textId="47DF2740" w:rsidR="00FA58E1" w:rsidRPr="00A021B7" w:rsidRDefault="00FA58E1" w:rsidP="006B5347">
      <w:pPr>
        <w:jc w:val="both"/>
        <w:rPr>
          <w:rFonts w:ascii="Arial" w:hAnsi="Arial" w:cs="Arial"/>
          <w:sz w:val="28"/>
          <w:szCs w:val="28"/>
          <w:lang w:val="sr-Cyrl-RS"/>
        </w:rPr>
      </w:pPr>
    </w:p>
    <w:p w14:paraId="56F19891" w14:textId="0D76D61C" w:rsidR="00FA58E1" w:rsidRPr="00A021B7" w:rsidRDefault="00FA58E1" w:rsidP="006B5347">
      <w:pPr>
        <w:jc w:val="both"/>
        <w:rPr>
          <w:rFonts w:ascii="Arial" w:hAnsi="Arial" w:cs="Arial"/>
          <w:sz w:val="28"/>
          <w:szCs w:val="28"/>
          <w:lang w:val="sr-Cyrl-RS"/>
        </w:rPr>
      </w:pPr>
    </w:p>
    <w:p w14:paraId="2300A513" w14:textId="6AC98684" w:rsidR="00FA58E1" w:rsidRPr="00A021B7" w:rsidRDefault="00FA58E1" w:rsidP="006B5347">
      <w:pPr>
        <w:jc w:val="both"/>
        <w:rPr>
          <w:rFonts w:ascii="Arial" w:hAnsi="Arial" w:cs="Arial"/>
          <w:sz w:val="28"/>
          <w:szCs w:val="28"/>
          <w:lang w:val="sr-Cyrl-RS"/>
        </w:rPr>
      </w:pPr>
    </w:p>
    <w:p w14:paraId="503A7422" w14:textId="6D8611B1" w:rsidR="00FA58E1" w:rsidRPr="00A021B7" w:rsidRDefault="00FA58E1" w:rsidP="006B5347">
      <w:pPr>
        <w:jc w:val="both"/>
        <w:rPr>
          <w:rFonts w:ascii="Arial" w:hAnsi="Arial" w:cs="Arial"/>
          <w:sz w:val="28"/>
          <w:szCs w:val="28"/>
          <w:lang w:val="sr-Cyrl-RS"/>
        </w:rPr>
      </w:pPr>
    </w:p>
    <w:p w14:paraId="4B61AF3B" w14:textId="7D8C550E" w:rsidR="00FA58E1" w:rsidRPr="00A021B7" w:rsidRDefault="00FA58E1" w:rsidP="006B5347">
      <w:pPr>
        <w:jc w:val="both"/>
        <w:rPr>
          <w:rFonts w:ascii="Arial" w:hAnsi="Arial" w:cs="Arial"/>
          <w:sz w:val="28"/>
          <w:szCs w:val="28"/>
          <w:lang w:val="sr-Cyrl-RS"/>
        </w:rPr>
      </w:pPr>
    </w:p>
    <w:p w14:paraId="0BA7E623" w14:textId="43347D7E" w:rsidR="00FA58E1" w:rsidRPr="00A021B7" w:rsidRDefault="00FA58E1" w:rsidP="006B5347">
      <w:pPr>
        <w:jc w:val="both"/>
        <w:rPr>
          <w:rFonts w:ascii="Arial" w:hAnsi="Arial" w:cs="Arial"/>
          <w:sz w:val="28"/>
          <w:szCs w:val="28"/>
          <w:lang w:val="sr-Cyrl-RS"/>
        </w:rPr>
      </w:pPr>
    </w:p>
    <w:p w14:paraId="4FBF2E21" w14:textId="74597C48" w:rsidR="00FA58E1" w:rsidRPr="00A021B7" w:rsidRDefault="00FA58E1" w:rsidP="006B5347">
      <w:pPr>
        <w:jc w:val="both"/>
        <w:rPr>
          <w:rFonts w:ascii="Arial" w:hAnsi="Arial" w:cs="Arial"/>
          <w:sz w:val="28"/>
          <w:szCs w:val="28"/>
          <w:lang w:val="sr-Cyrl-RS"/>
        </w:rPr>
      </w:pPr>
    </w:p>
    <w:p w14:paraId="2801BD42" w14:textId="65C6646A" w:rsidR="00FA58E1" w:rsidRPr="00A021B7" w:rsidRDefault="00FA58E1" w:rsidP="006B5347">
      <w:pPr>
        <w:jc w:val="both"/>
        <w:rPr>
          <w:rFonts w:ascii="Arial" w:hAnsi="Arial" w:cs="Arial"/>
          <w:sz w:val="28"/>
          <w:szCs w:val="28"/>
          <w:lang w:val="sr-Cyrl-RS"/>
        </w:rPr>
      </w:pPr>
    </w:p>
    <w:p w14:paraId="070735BD" w14:textId="3AA55779" w:rsidR="00FA58E1" w:rsidRPr="00A021B7" w:rsidRDefault="00FA58E1" w:rsidP="006B5347">
      <w:pPr>
        <w:jc w:val="both"/>
        <w:rPr>
          <w:rFonts w:ascii="Arial" w:hAnsi="Arial" w:cs="Arial"/>
          <w:sz w:val="28"/>
          <w:szCs w:val="28"/>
          <w:lang w:val="sr-Cyrl-RS"/>
        </w:rPr>
      </w:pPr>
    </w:p>
    <w:p w14:paraId="74197F31" w14:textId="11316A86" w:rsidR="00FA58E1" w:rsidRPr="00A021B7" w:rsidRDefault="00FA58E1" w:rsidP="006B5347">
      <w:pPr>
        <w:jc w:val="both"/>
        <w:rPr>
          <w:rFonts w:ascii="Arial" w:hAnsi="Arial" w:cs="Arial"/>
          <w:sz w:val="28"/>
          <w:szCs w:val="28"/>
          <w:lang w:val="sr-Cyrl-RS"/>
        </w:rPr>
      </w:pPr>
    </w:p>
    <w:p w14:paraId="69BA9647" w14:textId="4133A6A9" w:rsidR="00FD3263" w:rsidRPr="00A021B7" w:rsidRDefault="00FD3263" w:rsidP="006B5347">
      <w:pPr>
        <w:jc w:val="both"/>
        <w:rPr>
          <w:rFonts w:ascii="Arial" w:hAnsi="Arial" w:cs="Arial"/>
          <w:sz w:val="28"/>
          <w:szCs w:val="28"/>
          <w:lang w:val="sr-Cyrl-RS"/>
        </w:rPr>
        <w:sectPr w:rsidR="00FD3263" w:rsidRPr="00A021B7" w:rsidSect="003B7C4D">
          <w:headerReference w:type="default" r:id="rId21"/>
          <w:footerReference w:type="even" r:id="rId22"/>
          <w:footerReference w:type="default" r:id="rId23"/>
          <w:pgSz w:w="11900" w:h="16840"/>
          <w:pgMar w:top="1260" w:right="1440" w:bottom="1440" w:left="1440" w:header="540" w:footer="708" w:gutter="0"/>
          <w:cols w:space="708"/>
          <w:docGrid w:linePitch="360"/>
        </w:sectPr>
      </w:pPr>
    </w:p>
    <w:p w14:paraId="7E94295E" w14:textId="5C2F8322" w:rsidR="00FA58E1" w:rsidRPr="00A021B7" w:rsidRDefault="00FD3263" w:rsidP="004D4848">
      <w:pPr>
        <w:pStyle w:val="Heading3"/>
        <w:rPr>
          <w:noProof w:val="0"/>
          <w:lang w:val="sr-Cyrl-RS"/>
        </w:rPr>
      </w:pPr>
      <w:bookmarkStart w:id="179" w:name="_Toc60136120"/>
      <w:r w:rsidRPr="1A8E6423">
        <w:rPr>
          <w:noProof w:val="0"/>
          <w:lang w:val="sr-Cyrl-RS"/>
        </w:rPr>
        <w:lastRenderedPageBreak/>
        <w:t>ПРИЛОГ 1: АКЦИОНИ ПЛАН ЗА ПЕРИОД 2021</w:t>
      </w:r>
      <w:r w:rsidR="00AA3A50" w:rsidRPr="1A8E6423">
        <w:rPr>
          <w:noProof w:val="0"/>
          <w:lang w:val="sr-Cyrl-RS"/>
        </w:rPr>
        <w:t>–</w:t>
      </w:r>
      <w:r w:rsidRPr="1A8E6423">
        <w:rPr>
          <w:noProof w:val="0"/>
          <w:lang w:val="sr-Cyrl-RS"/>
        </w:rPr>
        <w:t>2023</w:t>
      </w:r>
      <w:r w:rsidR="00AA3A50" w:rsidRPr="1A8E6423">
        <w:rPr>
          <w:noProof w:val="0"/>
          <w:lang w:val="sr-Cyrl-RS"/>
        </w:rPr>
        <w:t>.</w:t>
      </w:r>
      <w:r w:rsidRPr="1A8E6423">
        <w:rPr>
          <w:noProof w:val="0"/>
          <w:lang w:val="sr-Cyrl-RS"/>
        </w:rPr>
        <w:t xml:space="preserve"> ГОДИН</w:t>
      </w:r>
      <w:r w:rsidR="00AA3A50" w:rsidRPr="1A8E6423">
        <w:rPr>
          <w:noProof w:val="0"/>
          <w:lang w:val="sr-Cyrl-RS"/>
        </w:rPr>
        <w:t>Е</w:t>
      </w:r>
      <w:bookmarkEnd w:id="179"/>
    </w:p>
    <w:p w14:paraId="640452FF" w14:textId="77777777" w:rsidR="00FD3263" w:rsidRPr="00A021B7" w:rsidRDefault="00FD3263" w:rsidP="006B5347">
      <w:pPr>
        <w:jc w:val="both"/>
        <w:rPr>
          <w:rFonts w:ascii="Arial" w:hAnsi="Arial" w:cs="Arial"/>
          <w:sz w:val="28"/>
          <w:szCs w:val="28"/>
          <w:lang w:val="sr-Cyrl-RS"/>
        </w:rPr>
      </w:pPr>
    </w:p>
    <w:p w14:paraId="7C35CFB9" w14:textId="77777777" w:rsidR="00FD3263" w:rsidRPr="00A021B7" w:rsidRDefault="00FD3263" w:rsidP="006B5347">
      <w:pPr>
        <w:jc w:val="both"/>
        <w:rPr>
          <w:rFonts w:ascii="Arial" w:hAnsi="Arial" w:cs="Arial"/>
          <w:sz w:val="28"/>
          <w:szCs w:val="28"/>
          <w:lang w:val="sr-Cyrl-RS"/>
        </w:rPr>
      </w:pPr>
    </w:p>
    <w:p w14:paraId="3508CE8C" w14:textId="77777777" w:rsidR="00FD3263" w:rsidRPr="00A021B7" w:rsidRDefault="00FD3263" w:rsidP="006B5347">
      <w:pPr>
        <w:jc w:val="both"/>
        <w:rPr>
          <w:rFonts w:ascii="Arial" w:hAnsi="Arial" w:cs="Arial"/>
          <w:sz w:val="28"/>
          <w:szCs w:val="28"/>
          <w:lang w:val="sr-Cyrl-RS"/>
        </w:rPr>
      </w:pPr>
    </w:p>
    <w:p w14:paraId="5220043E" w14:textId="77777777" w:rsidR="00FD3263" w:rsidRPr="00A021B7" w:rsidRDefault="00FD3263" w:rsidP="006B5347">
      <w:pPr>
        <w:jc w:val="both"/>
        <w:rPr>
          <w:rFonts w:ascii="Arial" w:hAnsi="Arial" w:cs="Arial"/>
          <w:sz w:val="28"/>
          <w:szCs w:val="28"/>
          <w:lang w:val="sr-Cyrl-RS"/>
        </w:rPr>
      </w:pPr>
    </w:p>
    <w:p w14:paraId="55475CF3" w14:textId="77777777" w:rsidR="00FD3263" w:rsidRPr="00A021B7" w:rsidRDefault="00FD3263" w:rsidP="006B5347">
      <w:pPr>
        <w:jc w:val="both"/>
        <w:rPr>
          <w:rFonts w:ascii="Arial" w:hAnsi="Arial" w:cs="Arial"/>
          <w:sz w:val="28"/>
          <w:szCs w:val="28"/>
          <w:lang w:val="sr-Cyrl-RS"/>
        </w:rPr>
      </w:pPr>
    </w:p>
    <w:p w14:paraId="135E67F2" w14:textId="77777777" w:rsidR="00FD3263" w:rsidRPr="00A021B7" w:rsidRDefault="00FD3263" w:rsidP="006B5347">
      <w:pPr>
        <w:jc w:val="both"/>
        <w:rPr>
          <w:rFonts w:ascii="Arial" w:hAnsi="Arial" w:cs="Arial"/>
          <w:sz w:val="28"/>
          <w:szCs w:val="28"/>
          <w:lang w:val="sr-Cyrl-RS"/>
        </w:rPr>
      </w:pPr>
    </w:p>
    <w:p w14:paraId="015D40A2" w14:textId="77777777" w:rsidR="00FD3263" w:rsidRPr="00A021B7" w:rsidRDefault="00FD3263" w:rsidP="006B5347">
      <w:pPr>
        <w:jc w:val="both"/>
        <w:rPr>
          <w:rFonts w:ascii="Arial" w:hAnsi="Arial" w:cs="Arial"/>
          <w:sz w:val="28"/>
          <w:szCs w:val="28"/>
          <w:lang w:val="sr-Cyrl-RS"/>
        </w:rPr>
      </w:pPr>
    </w:p>
    <w:p w14:paraId="1E55231D" w14:textId="77777777" w:rsidR="00FD3263" w:rsidRPr="00A021B7" w:rsidRDefault="00FD3263" w:rsidP="006B5347">
      <w:pPr>
        <w:jc w:val="both"/>
        <w:rPr>
          <w:rFonts w:ascii="Arial" w:hAnsi="Arial" w:cs="Arial"/>
          <w:sz w:val="28"/>
          <w:szCs w:val="28"/>
          <w:lang w:val="sr-Cyrl-RS"/>
        </w:rPr>
      </w:pPr>
    </w:p>
    <w:p w14:paraId="44C0ED34" w14:textId="77777777" w:rsidR="00FD3263" w:rsidRPr="00A021B7" w:rsidRDefault="00FD3263" w:rsidP="006B5347">
      <w:pPr>
        <w:jc w:val="both"/>
        <w:rPr>
          <w:rFonts w:ascii="Arial" w:hAnsi="Arial" w:cs="Arial"/>
          <w:sz w:val="28"/>
          <w:szCs w:val="28"/>
          <w:lang w:val="sr-Cyrl-RS"/>
        </w:rPr>
      </w:pPr>
    </w:p>
    <w:p w14:paraId="41452BA8" w14:textId="77777777" w:rsidR="00FD3263" w:rsidRPr="00A021B7" w:rsidRDefault="00FD3263" w:rsidP="006B5347">
      <w:pPr>
        <w:jc w:val="both"/>
        <w:rPr>
          <w:rFonts w:ascii="Arial" w:hAnsi="Arial" w:cs="Arial"/>
          <w:sz w:val="28"/>
          <w:szCs w:val="28"/>
          <w:lang w:val="sr-Cyrl-RS"/>
        </w:rPr>
      </w:pPr>
    </w:p>
    <w:p w14:paraId="7F8EC919" w14:textId="77777777" w:rsidR="00FD3263" w:rsidRPr="00A021B7" w:rsidRDefault="00FD3263" w:rsidP="006B5347">
      <w:pPr>
        <w:jc w:val="both"/>
        <w:rPr>
          <w:rFonts w:ascii="Arial" w:hAnsi="Arial" w:cs="Arial"/>
          <w:sz w:val="28"/>
          <w:szCs w:val="28"/>
          <w:lang w:val="sr-Cyrl-RS"/>
        </w:rPr>
      </w:pPr>
    </w:p>
    <w:p w14:paraId="73A9460B" w14:textId="77777777" w:rsidR="00FD3263" w:rsidRPr="00A021B7" w:rsidRDefault="00FD3263" w:rsidP="006B5347">
      <w:pPr>
        <w:jc w:val="both"/>
        <w:rPr>
          <w:rFonts w:ascii="Arial" w:hAnsi="Arial" w:cs="Arial"/>
          <w:sz w:val="28"/>
          <w:szCs w:val="28"/>
          <w:lang w:val="sr-Cyrl-RS"/>
        </w:rPr>
      </w:pPr>
    </w:p>
    <w:p w14:paraId="1A764A2F" w14:textId="77777777" w:rsidR="00FD3263" w:rsidRPr="00A021B7" w:rsidRDefault="00FD3263" w:rsidP="006B5347">
      <w:pPr>
        <w:jc w:val="both"/>
        <w:rPr>
          <w:rFonts w:ascii="Arial" w:hAnsi="Arial" w:cs="Arial"/>
          <w:sz w:val="28"/>
          <w:szCs w:val="28"/>
          <w:lang w:val="sr-Cyrl-RS"/>
        </w:rPr>
      </w:pPr>
    </w:p>
    <w:p w14:paraId="301B3D5F" w14:textId="77777777" w:rsidR="00FD3263" w:rsidRPr="00A021B7" w:rsidRDefault="00FD3263" w:rsidP="006B5347">
      <w:pPr>
        <w:jc w:val="both"/>
        <w:rPr>
          <w:rFonts w:ascii="Arial" w:hAnsi="Arial" w:cs="Arial"/>
          <w:sz w:val="28"/>
          <w:szCs w:val="28"/>
          <w:lang w:val="sr-Cyrl-RS"/>
        </w:rPr>
      </w:pPr>
    </w:p>
    <w:p w14:paraId="5BD825EE" w14:textId="77777777" w:rsidR="00FD3263" w:rsidRPr="00A021B7" w:rsidRDefault="00FD3263" w:rsidP="006B5347">
      <w:pPr>
        <w:jc w:val="both"/>
        <w:rPr>
          <w:rFonts w:ascii="Arial" w:hAnsi="Arial" w:cs="Arial"/>
          <w:sz w:val="28"/>
          <w:szCs w:val="28"/>
          <w:lang w:val="sr-Cyrl-RS"/>
        </w:rPr>
      </w:pPr>
    </w:p>
    <w:p w14:paraId="7ABAF81D" w14:textId="77777777" w:rsidR="00FD3263" w:rsidRPr="00A021B7" w:rsidRDefault="00FD3263" w:rsidP="006B5347">
      <w:pPr>
        <w:jc w:val="both"/>
        <w:rPr>
          <w:rFonts w:ascii="Arial" w:hAnsi="Arial" w:cs="Arial"/>
          <w:sz w:val="28"/>
          <w:szCs w:val="28"/>
          <w:lang w:val="sr-Cyrl-RS"/>
        </w:rPr>
      </w:pPr>
    </w:p>
    <w:p w14:paraId="72BB2533" w14:textId="77777777" w:rsidR="00FD3263" w:rsidRPr="00A021B7" w:rsidRDefault="00FD3263" w:rsidP="006B5347">
      <w:pPr>
        <w:jc w:val="both"/>
        <w:rPr>
          <w:rFonts w:ascii="Arial" w:hAnsi="Arial" w:cs="Arial"/>
          <w:sz w:val="28"/>
          <w:szCs w:val="28"/>
          <w:lang w:val="sr-Cyrl-RS"/>
        </w:rPr>
      </w:pPr>
    </w:p>
    <w:p w14:paraId="58EE9EF6" w14:textId="77777777" w:rsidR="00FD3263" w:rsidRPr="00A021B7" w:rsidRDefault="00FD3263" w:rsidP="006B5347">
      <w:pPr>
        <w:jc w:val="both"/>
        <w:rPr>
          <w:rFonts w:ascii="Arial" w:hAnsi="Arial" w:cs="Arial"/>
          <w:sz w:val="28"/>
          <w:szCs w:val="28"/>
          <w:lang w:val="sr-Cyrl-RS"/>
        </w:rPr>
      </w:pPr>
    </w:p>
    <w:p w14:paraId="3D1D6E20" w14:textId="77777777" w:rsidR="00FD3263" w:rsidRPr="00A021B7" w:rsidRDefault="00FD3263" w:rsidP="006B5347">
      <w:pPr>
        <w:jc w:val="both"/>
        <w:rPr>
          <w:rFonts w:ascii="Arial" w:hAnsi="Arial" w:cs="Arial"/>
          <w:sz w:val="28"/>
          <w:szCs w:val="28"/>
          <w:lang w:val="sr-Cyrl-RS"/>
        </w:rPr>
      </w:pPr>
    </w:p>
    <w:p w14:paraId="5645E230" w14:textId="77777777" w:rsidR="00FD3263" w:rsidRPr="00A021B7" w:rsidRDefault="00FD3263" w:rsidP="006B5347">
      <w:pPr>
        <w:jc w:val="both"/>
        <w:rPr>
          <w:rFonts w:ascii="Arial" w:hAnsi="Arial" w:cs="Arial"/>
          <w:sz w:val="28"/>
          <w:szCs w:val="28"/>
          <w:lang w:val="sr-Cyrl-RS"/>
        </w:rPr>
      </w:pPr>
    </w:p>
    <w:p w14:paraId="5ED679A9" w14:textId="77777777" w:rsidR="00FD3263" w:rsidRPr="00A021B7" w:rsidRDefault="00FD3263" w:rsidP="006B5347">
      <w:pPr>
        <w:jc w:val="both"/>
        <w:rPr>
          <w:rFonts w:ascii="Arial" w:hAnsi="Arial" w:cs="Arial"/>
          <w:sz w:val="28"/>
          <w:szCs w:val="28"/>
          <w:lang w:val="sr-Cyrl-RS"/>
        </w:rPr>
      </w:pPr>
    </w:p>
    <w:p w14:paraId="39647210" w14:textId="77777777" w:rsidR="00FD3263" w:rsidRPr="00A021B7" w:rsidRDefault="00FD3263" w:rsidP="006B5347">
      <w:pPr>
        <w:jc w:val="both"/>
        <w:rPr>
          <w:rFonts w:ascii="Arial" w:hAnsi="Arial" w:cs="Arial"/>
          <w:sz w:val="28"/>
          <w:szCs w:val="28"/>
          <w:lang w:val="sr-Cyrl-RS"/>
        </w:rPr>
      </w:pPr>
    </w:p>
    <w:p w14:paraId="76737B78" w14:textId="77777777" w:rsidR="00FD3263" w:rsidRPr="00A021B7" w:rsidRDefault="00FD3263" w:rsidP="006B5347">
      <w:pPr>
        <w:jc w:val="both"/>
        <w:rPr>
          <w:rFonts w:ascii="Arial" w:hAnsi="Arial" w:cs="Arial"/>
          <w:sz w:val="28"/>
          <w:szCs w:val="28"/>
          <w:lang w:val="sr-Cyrl-RS"/>
        </w:rPr>
      </w:pPr>
    </w:p>
    <w:p w14:paraId="1643049F" w14:textId="77777777" w:rsidR="00FD3263" w:rsidRPr="00A021B7" w:rsidRDefault="00FD3263" w:rsidP="006B5347">
      <w:pPr>
        <w:jc w:val="both"/>
        <w:rPr>
          <w:rFonts w:ascii="Arial" w:hAnsi="Arial" w:cs="Arial"/>
          <w:sz w:val="28"/>
          <w:szCs w:val="28"/>
          <w:lang w:val="sr-Cyrl-RS"/>
        </w:rPr>
      </w:pPr>
    </w:p>
    <w:p w14:paraId="5416C369" w14:textId="77777777" w:rsidR="00FD3263" w:rsidRPr="00A021B7" w:rsidRDefault="00FD3263" w:rsidP="006B5347">
      <w:pPr>
        <w:jc w:val="both"/>
        <w:rPr>
          <w:rFonts w:ascii="Arial" w:hAnsi="Arial" w:cs="Arial"/>
          <w:sz w:val="28"/>
          <w:szCs w:val="28"/>
          <w:lang w:val="sr-Cyrl-RS"/>
        </w:rPr>
      </w:pPr>
    </w:p>
    <w:p w14:paraId="0A243874" w14:textId="63F3817B" w:rsidR="00FD3263" w:rsidRPr="00A021B7" w:rsidRDefault="00FD3263" w:rsidP="006B5347">
      <w:pPr>
        <w:jc w:val="both"/>
        <w:rPr>
          <w:rFonts w:ascii="Arial" w:hAnsi="Arial" w:cs="Arial"/>
          <w:sz w:val="28"/>
          <w:szCs w:val="28"/>
          <w:lang w:val="sr-Cyrl-RS"/>
        </w:rPr>
      </w:pPr>
    </w:p>
    <w:p w14:paraId="528DA62D" w14:textId="7FD47E19" w:rsidR="00FD3263" w:rsidRPr="00A021B7" w:rsidRDefault="00FD3263" w:rsidP="004D4848">
      <w:pPr>
        <w:pStyle w:val="Heading3"/>
        <w:rPr>
          <w:noProof w:val="0"/>
          <w:lang w:val="sr-Cyrl-RS"/>
        </w:rPr>
      </w:pPr>
      <w:bookmarkStart w:id="180" w:name="_Toc60136121"/>
      <w:r w:rsidRPr="00A021B7">
        <w:rPr>
          <w:noProof w:val="0"/>
          <w:lang w:val="sr-Cyrl-RS"/>
        </w:rPr>
        <w:lastRenderedPageBreak/>
        <w:t>ПРИЛОГ 2: ПАСОШ</w:t>
      </w:r>
      <w:r w:rsidR="004A7468">
        <w:rPr>
          <w:noProof w:val="0"/>
          <w:lang w:val="sr-Cyrl-RS"/>
        </w:rPr>
        <w:t>-</w:t>
      </w:r>
      <w:r w:rsidRPr="00A021B7">
        <w:rPr>
          <w:noProof w:val="0"/>
          <w:lang w:val="sr-Cyrl-RS"/>
        </w:rPr>
        <w:t>ПОКАЗАТЕЉИ</w:t>
      </w:r>
      <w:bookmarkEnd w:id="180"/>
    </w:p>
    <w:p w14:paraId="21E6842B" w14:textId="77777777" w:rsidR="00DE77AF" w:rsidRPr="00A021B7" w:rsidRDefault="00DE77AF" w:rsidP="006B5347">
      <w:pPr>
        <w:jc w:val="both"/>
        <w:rPr>
          <w:rFonts w:ascii="Arial" w:hAnsi="Arial" w:cs="Arial"/>
          <w:sz w:val="28"/>
          <w:szCs w:val="28"/>
          <w:lang w:val="sr-Cyrl-RS"/>
        </w:rPr>
      </w:pPr>
    </w:p>
    <w:p w14:paraId="7E130E32" w14:textId="2D169926" w:rsidR="00DE77AF" w:rsidRPr="00A021B7" w:rsidRDefault="00DE77AF" w:rsidP="004D4848">
      <w:pPr>
        <w:pStyle w:val="Heading4"/>
        <w:rPr>
          <w:lang w:val="sr-Cyrl-RS"/>
        </w:rPr>
      </w:pPr>
      <w:r w:rsidRPr="00A021B7">
        <w:rPr>
          <w:lang w:val="sr-Cyrl-RS"/>
        </w:rPr>
        <w:t xml:space="preserve">ОПШТИ ЦИЉ: СИСТЕМ ЛОКАЛНЕ САМОУПРАВЕ КОЈИ ОМОГУЋАВА </w:t>
      </w:r>
      <w:r w:rsidR="009D0E0D">
        <w:rPr>
          <w:lang w:val="sr-Cyrl-RS"/>
        </w:rPr>
        <w:t>ЕФИКАСНО</w:t>
      </w:r>
      <w:r w:rsidR="009D0E0D" w:rsidRPr="00A021B7">
        <w:rPr>
          <w:lang w:val="sr-Cyrl-RS"/>
        </w:rPr>
        <w:t xml:space="preserve"> </w:t>
      </w:r>
      <w:r w:rsidRPr="00A021B7">
        <w:rPr>
          <w:lang w:val="sr-Cyrl-RS"/>
        </w:rPr>
        <w:t>И ОДРЖИВО ОСТВАРИВАЊЕ ПРАВА ГРАЂАНА НА ЛОКАЛНУ САМОУПРАВУ</w:t>
      </w:r>
    </w:p>
    <w:p w14:paraId="3A8A6B5C" w14:textId="77777777" w:rsidR="00DE77AF" w:rsidRPr="00A021B7" w:rsidRDefault="00DE77AF" w:rsidP="00DE77AF">
      <w:pPr>
        <w:tabs>
          <w:tab w:val="left" w:pos="1047"/>
        </w:tabs>
        <w:rPr>
          <w:rFonts w:ascii="Arial" w:hAnsi="Arial" w:cs="Arial"/>
          <w:sz w:val="20"/>
          <w:szCs w:val="20"/>
          <w:lang w:val="sr-Cyrl-RS"/>
        </w:rPr>
      </w:pP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1604"/>
        <w:gridCol w:w="1107"/>
        <w:gridCol w:w="1079"/>
        <w:gridCol w:w="1125"/>
        <w:gridCol w:w="419"/>
        <w:gridCol w:w="982"/>
        <w:gridCol w:w="1263"/>
        <w:gridCol w:w="1540"/>
        <w:gridCol w:w="1095"/>
        <w:gridCol w:w="717"/>
        <w:gridCol w:w="717"/>
      </w:tblGrid>
      <w:tr w:rsidR="00DE77AF" w:rsidRPr="00A021B7" w14:paraId="3CB715F4" w14:textId="77777777" w:rsidTr="1A8E6423">
        <w:trPr>
          <w:jc w:val="center"/>
        </w:trPr>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57260"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Назив показатеља</w:t>
            </w:r>
          </w:p>
        </w:tc>
        <w:tc>
          <w:tcPr>
            <w:tcW w:w="1164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1B16D" w14:textId="77777777" w:rsidR="00DE77AF" w:rsidRPr="00A021B7" w:rsidRDefault="00DE77AF" w:rsidP="00CB0C2B">
            <w:pPr>
              <w:rPr>
                <w:rFonts w:ascii="Arial" w:eastAsiaTheme="minorHAnsi" w:hAnsi="Arial" w:cs="Arial"/>
                <w:b/>
                <w:iCs/>
                <w:color w:val="000000" w:themeColor="text1"/>
                <w:sz w:val="20"/>
                <w:szCs w:val="20"/>
                <w:lang w:val="sr-Cyrl-RS"/>
              </w:rPr>
            </w:pPr>
          </w:p>
          <w:p w14:paraId="0D4099D0" w14:textId="4F63BE12" w:rsidR="00DE77AF" w:rsidRPr="00A021B7" w:rsidRDefault="00DE77AF" w:rsidP="1A8E6423">
            <w:pPr>
              <w:rPr>
                <w:rFonts w:ascii="Arial" w:eastAsiaTheme="minorEastAsia" w:hAnsi="Arial" w:cs="Arial"/>
                <w:b/>
                <w:bCs/>
                <w:color w:val="000000" w:themeColor="text1"/>
                <w:sz w:val="20"/>
                <w:szCs w:val="20"/>
                <w:lang w:val="sr-Cyrl-RS"/>
              </w:rPr>
            </w:pPr>
            <w:r w:rsidRPr="1A8E6423">
              <w:rPr>
                <w:rFonts w:ascii="Arial" w:eastAsiaTheme="minorEastAsia" w:hAnsi="Arial" w:cs="Arial"/>
                <w:b/>
                <w:bCs/>
                <w:color w:val="000000" w:themeColor="text1"/>
                <w:sz w:val="20"/>
                <w:szCs w:val="20"/>
                <w:lang w:val="sr-Cyrl-RS"/>
              </w:rPr>
              <w:t>Усаглашеност система локалне самоуправе са кључним принципима Европске повеље о локалној самоуправи</w:t>
            </w:r>
          </w:p>
          <w:p w14:paraId="025973AB" w14:textId="77777777" w:rsidR="00DE77AF" w:rsidRPr="00A021B7" w:rsidRDefault="00DE77AF" w:rsidP="00CB0C2B">
            <w:pPr>
              <w:rPr>
                <w:rFonts w:ascii="Arial" w:eastAsiaTheme="minorHAnsi" w:hAnsi="Arial" w:cs="Arial"/>
                <w:b/>
                <w:iCs/>
                <w:color w:val="000000" w:themeColor="text1"/>
                <w:sz w:val="20"/>
                <w:szCs w:val="20"/>
                <w:lang w:val="sr-Cyrl-RS"/>
              </w:rPr>
            </w:pPr>
          </w:p>
        </w:tc>
      </w:tr>
      <w:tr w:rsidR="00DE77AF" w:rsidRPr="00A021B7" w14:paraId="619A5450" w14:textId="77777777" w:rsidTr="1A8E6423">
        <w:trPr>
          <w:jc w:val="center"/>
        </w:trPr>
        <w:tc>
          <w:tcPr>
            <w:tcW w:w="2688"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6D1F946"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Одговарајући општи, посебни циљ или мера</w:t>
            </w:r>
          </w:p>
        </w:tc>
        <w:tc>
          <w:tcPr>
            <w:tcW w:w="1164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4D5C9" w14:textId="77777777" w:rsidR="00DE77AF" w:rsidRPr="00A021B7" w:rsidRDefault="00DE77AF" w:rsidP="00CB0C2B">
            <w:pPr>
              <w:rPr>
                <w:rFonts w:ascii="Arial" w:eastAsiaTheme="minorHAnsi" w:hAnsi="Arial" w:cs="Arial"/>
                <w:b/>
                <w:iCs/>
                <w:color w:val="000000" w:themeColor="text1"/>
                <w:sz w:val="20"/>
                <w:szCs w:val="20"/>
                <w:lang w:val="sr-Cyrl-RS"/>
              </w:rPr>
            </w:pPr>
            <w:r w:rsidRPr="00A021B7">
              <w:rPr>
                <w:rFonts w:ascii="Arial" w:hAnsi="Arial" w:cs="Arial"/>
                <w:bCs/>
                <w:iCs/>
                <w:color w:val="000000" w:themeColor="text1"/>
                <w:kern w:val="24"/>
                <w:sz w:val="20"/>
                <w:szCs w:val="20"/>
                <w:lang w:val="sr-Cyrl-RS"/>
              </w:rPr>
              <w:t>Успостављање система локалне самоуправе који омогућава ефикасно и одрживо остваривање права грађана на локалну самоуправу</w:t>
            </w:r>
          </w:p>
        </w:tc>
      </w:tr>
      <w:tr w:rsidR="00DE77AF" w:rsidRPr="00A021B7" w14:paraId="4883CDDF" w14:textId="77777777" w:rsidTr="1A8E6423">
        <w:trPr>
          <w:jc w:val="center"/>
        </w:trPr>
        <w:tc>
          <w:tcPr>
            <w:tcW w:w="2688" w:type="dxa"/>
            <w:shd w:val="clear" w:color="auto" w:fill="FFC000" w:themeFill="accent4"/>
            <w:vAlign w:val="center"/>
          </w:tcPr>
          <w:p w14:paraId="78A16829"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color w:val="000000" w:themeColor="text1"/>
                <w:kern w:val="24"/>
                <w:sz w:val="20"/>
                <w:szCs w:val="20"/>
                <w:lang w:val="sr-Cyrl-RS"/>
              </w:rPr>
              <w:t>Тип и ниво показатеља</w:t>
            </w:r>
          </w:p>
        </w:tc>
        <w:tc>
          <w:tcPr>
            <w:tcW w:w="5384" w:type="dxa"/>
            <w:gridSpan w:val="5"/>
            <w:shd w:val="clear" w:color="auto" w:fill="FFFFFF" w:themeFill="background1"/>
            <w:vAlign w:val="center"/>
          </w:tcPr>
          <w:p w14:paraId="6325EAB3" w14:textId="77777777" w:rsidR="00DE77AF" w:rsidRPr="00A021B7" w:rsidRDefault="00DE77AF" w:rsidP="00CB0C2B">
            <w:pPr>
              <w:rPr>
                <w:rFonts w:ascii="Arial" w:eastAsiaTheme="minorHAnsi" w:hAnsi="Arial" w:cs="Arial"/>
                <w:bCs/>
                <w:iCs/>
                <w:color w:val="000000" w:themeColor="text1"/>
                <w:kern w:val="24"/>
                <w:sz w:val="20"/>
                <w:szCs w:val="20"/>
                <w:lang w:val="sr-Cyrl-RS"/>
              </w:rPr>
            </w:pPr>
            <w:r w:rsidRPr="00A021B7">
              <w:rPr>
                <w:rFonts w:ascii="Arial" w:eastAsiaTheme="minorHAnsi" w:hAnsi="Arial" w:cs="Arial"/>
                <w:bCs/>
                <w:iCs/>
                <w:color w:val="000000" w:themeColor="text1"/>
                <w:kern w:val="24"/>
                <w:sz w:val="20"/>
                <w:szCs w:val="20"/>
                <w:lang w:val="sr-Cyrl-RS"/>
              </w:rPr>
              <w:t>Квалитативни</w:t>
            </w:r>
          </w:p>
        </w:tc>
        <w:tc>
          <w:tcPr>
            <w:tcW w:w="6256" w:type="dxa"/>
            <w:gridSpan w:val="6"/>
            <w:shd w:val="clear" w:color="auto" w:fill="FFFFFF" w:themeFill="background1"/>
            <w:vAlign w:val="center"/>
          </w:tcPr>
          <w:p w14:paraId="40A9ADF8" w14:textId="77777777" w:rsidR="00DE77AF" w:rsidRPr="00A021B7" w:rsidRDefault="00DE77AF" w:rsidP="00CB0C2B">
            <w:pPr>
              <w:rPr>
                <w:rFonts w:ascii="Arial" w:eastAsiaTheme="minorHAnsi" w:hAnsi="Arial" w:cs="Arial"/>
                <w:bCs/>
                <w:iCs/>
                <w:color w:val="000000" w:themeColor="text1"/>
                <w:kern w:val="24"/>
                <w:sz w:val="20"/>
                <w:szCs w:val="20"/>
                <w:lang w:val="sr-Cyrl-RS"/>
              </w:rPr>
            </w:pPr>
            <w:r w:rsidRPr="00A021B7">
              <w:rPr>
                <w:rFonts w:ascii="Arial" w:eastAsiaTheme="minorHAnsi" w:hAnsi="Arial" w:cs="Arial"/>
                <w:bCs/>
                <w:iCs/>
                <w:color w:val="000000" w:themeColor="text1"/>
                <w:kern w:val="24"/>
                <w:sz w:val="20"/>
                <w:szCs w:val="20"/>
                <w:lang w:val="sr-Cyrl-RS"/>
              </w:rPr>
              <w:t>Показатељ исхода</w:t>
            </w:r>
          </w:p>
        </w:tc>
      </w:tr>
      <w:tr w:rsidR="00DE77AF" w:rsidRPr="00A021B7" w14:paraId="2AF6BDA7" w14:textId="77777777" w:rsidTr="1A8E6423">
        <w:trPr>
          <w:trHeight w:val="373"/>
          <w:jc w:val="center"/>
        </w:trPr>
        <w:tc>
          <w:tcPr>
            <w:tcW w:w="2688" w:type="dxa"/>
            <w:shd w:val="clear" w:color="auto" w:fill="FFC000" w:themeFill="accent4"/>
            <w:vAlign w:val="center"/>
          </w:tcPr>
          <w:p w14:paraId="037DC87F" w14:textId="77777777" w:rsidR="00DE77AF" w:rsidRPr="00A021B7" w:rsidRDefault="00DE77AF" w:rsidP="00CB0C2B">
            <w:pPr>
              <w:rPr>
                <w:rFonts w:ascii="Arial" w:eastAsiaTheme="minorHAnsi" w:hAnsi="Arial" w:cs="Arial"/>
                <w:b/>
                <w:color w:val="000000" w:themeColor="text1"/>
                <w:kern w:val="24"/>
                <w:sz w:val="20"/>
                <w:szCs w:val="20"/>
                <w:lang w:val="sr-Cyrl-RS"/>
              </w:rPr>
            </w:pPr>
            <w:r w:rsidRPr="00A021B7">
              <w:rPr>
                <w:rFonts w:ascii="Arial" w:eastAsiaTheme="minorHAnsi" w:hAnsi="Arial" w:cs="Arial"/>
                <w:b/>
                <w:color w:val="000000" w:themeColor="text1"/>
                <w:kern w:val="24"/>
                <w:sz w:val="20"/>
                <w:szCs w:val="20"/>
                <w:lang w:val="sr-Cyrl-RS"/>
              </w:rPr>
              <w:t>Јединица мере и природа</w:t>
            </w:r>
          </w:p>
        </w:tc>
        <w:tc>
          <w:tcPr>
            <w:tcW w:w="5384" w:type="dxa"/>
            <w:gridSpan w:val="5"/>
            <w:shd w:val="clear" w:color="auto" w:fill="FFFFFF" w:themeFill="background1"/>
            <w:vAlign w:val="center"/>
          </w:tcPr>
          <w:p w14:paraId="0B815382" w14:textId="77777777" w:rsidR="00DE77AF" w:rsidRPr="00A021B7" w:rsidRDefault="00DE77AF" w:rsidP="00CB0C2B">
            <w:pPr>
              <w:tabs>
                <w:tab w:val="left" w:pos="152"/>
              </w:tabs>
              <w:rPr>
                <w:rFonts w:ascii="Arial" w:eastAsiaTheme="minorHAnsi" w:hAnsi="Arial" w:cs="Arial"/>
                <w:iCs/>
                <w:color w:val="000000" w:themeColor="text1"/>
                <w:sz w:val="20"/>
                <w:szCs w:val="20"/>
                <w:lang w:val="sr-Cyrl-RS"/>
              </w:rPr>
            </w:pPr>
            <w:r w:rsidRPr="00A021B7">
              <w:rPr>
                <w:rFonts w:ascii="Arial" w:eastAsiaTheme="minorHAnsi" w:hAnsi="Arial" w:cs="Arial"/>
                <w:bCs/>
                <w:iCs/>
                <w:color w:val="000000" w:themeColor="text1"/>
                <w:kern w:val="24"/>
                <w:sz w:val="20"/>
                <w:szCs w:val="20"/>
                <w:lang w:val="sr-Cyrl-RS"/>
              </w:rPr>
              <w:t>Композитна скала</w:t>
            </w:r>
          </w:p>
        </w:tc>
        <w:tc>
          <w:tcPr>
            <w:tcW w:w="6256" w:type="dxa"/>
            <w:gridSpan w:val="6"/>
            <w:shd w:val="clear" w:color="auto" w:fill="FFFFFF" w:themeFill="background1"/>
            <w:vAlign w:val="center"/>
          </w:tcPr>
          <w:p w14:paraId="7B6D4B82" w14:textId="77777777" w:rsidR="00DE77AF" w:rsidRPr="00A021B7" w:rsidRDefault="00DE77AF" w:rsidP="00CB0C2B">
            <w:pPr>
              <w:rPr>
                <w:rFonts w:ascii="Arial" w:eastAsia="Arial" w:hAnsi="Arial" w:cs="Arial"/>
                <w:iCs/>
                <w:color w:val="000000" w:themeColor="text1"/>
                <w:spacing w:val="-1"/>
                <w:kern w:val="24"/>
                <w:sz w:val="20"/>
                <w:szCs w:val="20"/>
                <w:lang w:val="sr-Cyrl-RS"/>
              </w:rPr>
            </w:pPr>
            <w:r w:rsidRPr="00A021B7">
              <w:rPr>
                <w:rFonts w:ascii="Arial" w:eastAsia="Arial" w:hAnsi="Arial" w:cs="Arial"/>
                <w:iCs/>
                <w:color w:val="000000" w:themeColor="text1"/>
                <w:spacing w:val="-1"/>
                <w:kern w:val="24"/>
                <w:sz w:val="20"/>
                <w:szCs w:val="20"/>
                <w:lang w:val="sr-Cyrl-RS"/>
              </w:rPr>
              <w:t>Пожељна је већа вредност</w:t>
            </w:r>
          </w:p>
        </w:tc>
      </w:tr>
      <w:tr w:rsidR="00DE77AF" w:rsidRPr="00A021B7" w14:paraId="29AD1C40" w14:textId="77777777" w:rsidTr="1A8E6423">
        <w:trPr>
          <w:jc w:val="center"/>
        </w:trPr>
        <w:tc>
          <w:tcPr>
            <w:tcW w:w="2688" w:type="dxa"/>
            <w:shd w:val="clear" w:color="auto" w:fill="FFC000" w:themeFill="accent4"/>
            <w:vAlign w:val="center"/>
          </w:tcPr>
          <w:p w14:paraId="56D67A38"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Извор података за праћење показатеља учинка</w:t>
            </w:r>
          </w:p>
        </w:tc>
        <w:tc>
          <w:tcPr>
            <w:tcW w:w="11640" w:type="dxa"/>
            <w:gridSpan w:val="11"/>
            <w:shd w:val="clear" w:color="auto" w:fill="FFFFFF" w:themeFill="background1"/>
            <w:vAlign w:val="center"/>
          </w:tcPr>
          <w:p w14:paraId="7D1BAC47" w14:textId="77777777" w:rsidR="00DE77AF" w:rsidRPr="00A021B7" w:rsidRDefault="00DE77AF" w:rsidP="00CB0C2B">
            <w:pP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Подаци МДУЛС</w:t>
            </w:r>
          </w:p>
        </w:tc>
      </w:tr>
      <w:tr w:rsidR="00DE77AF" w:rsidRPr="00A021B7" w14:paraId="771B9E1F" w14:textId="77777777" w:rsidTr="1A8E6423">
        <w:trPr>
          <w:jc w:val="center"/>
        </w:trPr>
        <w:tc>
          <w:tcPr>
            <w:tcW w:w="2688" w:type="dxa"/>
            <w:shd w:val="clear" w:color="auto" w:fill="FFC000" w:themeFill="accent4"/>
            <w:vAlign w:val="center"/>
          </w:tcPr>
          <w:p w14:paraId="712191D9"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Назив носиоца прикупљања података</w:t>
            </w:r>
          </w:p>
        </w:tc>
        <w:tc>
          <w:tcPr>
            <w:tcW w:w="11640" w:type="dxa"/>
            <w:gridSpan w:val="11"/>
            <w:shd w:val="clear" w:color="auto" w:fill="FFFFFF" w:themeFill="background1"/>
            <w:vAlign w:val="center"/>
          </w:tcPr>
          <w:p w14:paraId="2FE5206D" w14:textId="77777777" w:rsidR="00DE77AF" w:rsidRPr="00A021B7" w:rsidRDefault="00DE77AF" w:rsidP="00CB0C2B">
            <w:pPr>
              <w:rPr>
                <w:rFonts w:ascii="Arial" w:eastAsiaTheme="minorHAnsi" w:hAnsi="Arial" w:cs="Arial"/>
                <w:sz w:val="20"/>
                <w:szCs w:val="20"/>
                <w:lang w:val="sr-Cyrl-RS"/>
              </w:rPr>
            </w:pPr>
          </w:p>
          <w:p w14:paraId="0419D356" w14:textId="136321D0"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МДУЛС, Сектор за систем локалне самоуправе, Душанка Јовановић</w:t>
            </w:r>
            <w:r w:rsidR="43071259"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w:t>
            </w:r>
            <w:hyperlink r:id="rId24">
              <w:r w:rsidRPr="1A8E6423">
                <w:rPr>
                  <w:rStyle w:val="Hyperlink"/>
                  <w:rFonts w:ascii="Arial" w:eastAsiaTheme="minorEastAsia" w:hAnsi="Arial" w:cs="Arial"/>
                  <w:sz w:val="20"/>
                  <w:szCs w:val="20"/>
                  <w:lang w:val="sr-Cyrl-RS"/>
                </w:rPr>
                <w:t>dusanka.jovanovic@mduls.gov.rs</w:t>
              </w:r>
            </w:hyperlink>
          </w:p>
          <w:p w14:paraId="6DCD46A2" w14:textId="77777777" w:rsidR="00DE77AF" w:rsidRPr="00A021B7" w:rsidRDefault="00DE77AF" w:rsidP="00CB0C2B">
            <w:pPr>
              <w:rPr>
                <w:rFonts w:ascii="Arial" w:eastAsiaTheme="minorHAnsi" w:hAnsi="Arial" w:cs="Arial"/>
                <w:sz w:val="20"/>
                <w:szCs w:val="20"/>
                <w:lang w:val="sr-Cyrl-RS"/>
              </w:rPr>
            </w:pPr>
          </w:p>
        </w:tc>
      </w:tr>
      <w:tr w:rsidR="00DE77AF" w:rsidRPr="00A021B7" w14:paraId="2EC620AA" w14:textId="77777777" w:rsidTr="1A8E6423">
        <w:trPr>
          <w:jc w:val="center"/>
        </w:trPr>
        <w:tc>
          <w:tcPr>
            <w:tcW w:w="2688" w:type="dxa"/>
            <w:shd w:val="clear" w:color="auto" w:fill="FFC000" w:themeFill="accent4"/>
            <w:vAlign w:val="center"/>
          </w:tcPr>
          <w:p w14:paraId="798E1367"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Учесталост прикупљања података</w:t>
            </w:r>
          </w:p>
        </w:tc>
        <w:tc>
          <w:tcPr>
            <w:tcW w:w="11640" w:type="dxa"/>
            <w:gridSpan w:val="11"/>
            <w:shd w:val="clear" w:color="auto" w:fill="FFFFFF" w:themeFill="background1"/>
            <w:vAlign w:val="center"/>
          </w:tcPr>
          <w:p w14:paraId="5A8B5844" w14:textId="77777777" w:rsidR="00DE77AF" w:rsidRPr="00A021B7" w:rsidRDefault="00DE77AF" w:rsidP="00CB0C2B">
            <w:pPr>
              <w:rPr>
                <w:rFonts w:ascii="Arial" w:eastAsiaTheme="minorHAnsi" w:hAnsi="Arial" w:cs="Arial"/>
                <w:sz w:val="20"/>
                <w:szCs w:val="20"/>
                <w:lang w:val="sr-Cyrl-RS"/>
              </w:rPr>
            </w:pPr>
            <w:r w:rsidRPr="00A021B7">
              <w:rPr>
                <w:rFonts w:ascii="Arial" w:eastAsiaTheme="minorHAnsi" w:hAnsi="Arial" w:cs="Arial"/>
                <w:sz w:val="20"/>
                <w:szCs w:val="20"/>
                <w:lang w:val="sr-Cyrl-RS"/>
              </w:rPr>
              <w:t>Подати се прикупљају на трогодишњем нивоу.</w:t>
            </w:r>
          </w:p>
        </w:tc>
      </w:tr>
      <w:tr w:rsidR="00DE77AF" w:rsidRPr="00A021B7" w14:paraId="324BB7E0" w14:textId="77777777" w:rsidTr="1A8E6423">
        <w:trPr>
          <w:trHeight w:val="274"/>
          <w:jc w:val="center"/>
        </w:trPr>
        <w:tc>
          <w:tcPr>
            <w:tcW w:w="2688" w:type="dxa"/>
            <w:shd w:val="clear" w:color="auto" w:fill="FFC000" w:themeFill="accent4"/>
            <w:vAlign w:val="center"/>
          </w:tcPr>
          <w:p w14:paraId="01DFEC2F" w14:textId="77777777" w:rsidR="00DE77AF" w:rsidRPr="00A021B7" w:rsidRDefault="00DE77AF" w:rsidP="00CB0C2B">
            <w:pPr>
              <w:rPr>
                <w:rFonts w:ascii="Arial" w:eastAsiaTheme="minorHAnsi" w:hAnsi="Arial" w:cs="Arial"/>
                <w:b/>
                <w:sz w:val="20"/>
                <w:szCs w:val="20"/>
                <w:lang w:val="sr-Cyrl-RS"/>
              </w:rPr>
            </w:pPr>
            <w:r w:rsidRPr="00A021B7">
              <w:rPr>
                <w:rFonts w:ascii="Arial" w:eastAsiaTheme="minorHAnsi" w:hAnsi="Arial" w:cs="Arial"/>
                <w:b/>
                <w:sz w:val="20"/>
                <w:szCs w:val="20"/>
                <w:lang w:val="sr-Cyrl-RS"/>
              </w:rPr>
              <w:t>Кратак опис показатеља и методологије израчунавања</w:t>
            </w:r>
          </w:p>
          <w:p w14:paraId="06747310" w14:textId="684ABA5B"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sz w:val="20"/>
                <w:szCs w:val="20"/>
                <w:lang w:val="sr-Cyrl-RS"/>
              </w:rPr>
              <w:t>(формуле/једначине)</w:t>
            </w:r>
          </w:p>
        </w:tc>
        <w:tc>
          <w:tcPr>
            <w:tcW w:w="11640" w:type="dxa"/>
            <w:gridSpan w:val="11"/>
            <w:shd w:val="clear" w:color="auto" w:fill="FFFFFF" w:themeFill="background1"/>
            <w:vAlign w:val="center"/>
          </w:tcPr>
          <w:p w14:paraId="3C6ED1D4" w14:textId="22FA23D7"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Овај показатељ мери колико је Република Србија ускладила свој систем локалне самоуправе са Европском повељом о локалној самоуправи (ЕПЛС). Степен усклађености са ЕПЛС указује на развој квалитета система локалне самоуправе и јачање положаја и значаја локалних власти у систему јавне власти. У складу са ЕПЛС</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 xml:space="preserve"> свака држава је у обавези да прихвати најмање 20 одредби ЕПЛС. Такође, ситуација у свим чланицама Савета Европе и земљама које су прихватиле ЕПЛС предмет је периодичног мониторинга Конгреса регионалних и локалних власти Савета Европе (КЛРАЕ), који о томе објављује извештаје. </w:t>
            </w:r>
            <w:r w:rsidR="004A7468" w:rsidRPr="1A8E6423">
              <w:rPr>
                <w:rFonts w:ascii="Arial" w:eastAsiaTheme="minorEastAsia" w:hAnsi="Arial" w:cs="Arial"/>
                <w:color w:val="000000" w:themeColor="text1"/>
                <w:sz w:val="20"/>
                <w:szCs w:val="20"/>
                <w:lang w:val="sr-Cyrl-RS"/>
              </w:rPr>
              <w:t xml:space="preserve">С обзиром на то </w:t>
            </w:r>
            <w:r w:rsidRPr="1A8E6423">
              <w:rPr>
                <w:rFonts w:ascii="Arial" w:eastAsiaTheme="minorEastAsia" w:hAnsi="Arial" w:cs="Arial"/>
                <w:color w:val="000000" w:themeColor="text1"/>
                <w:sz w:val="20"/>
                <w:szCs w:val="20"/>
                <w:lang w:val="sr-Cyrl-RS"/>
              </w:rPr>
              <w:t>да је уобичајена трогодишња динамика мониторинга од стране КЛРАЕ, извештавање је на трогодишњем нивоу.</w:t>
            </w:r>
          </w:p>
          <w:p w14:paraId="02749883" w14:textId="644BA24F"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Вредност показатеља се израчунава тако што се комбинацијом два показатеља (степен прихватања ЕПЛС и анализа мониторинг</w:t>
            </w:r>
            <w:r w:rsidR="004A7468" w:rsidRPr="1A8E6423">
              <w:rPr>
                <w:rFonts w:ascii="Arial" w:eastAsiaTheme="minorEastAsia" w:hAnsi="Arial" w:cs="Arial"/>
                <w:color w:val="000000" w:themeColor="text1"/>
                <w:sz w:val="20"/>
                <w:szCs w:val="20"/>
                <w:lang w:val="sr-Cyrl-RS"/>
              </w:rPr>
              <w:t>а</w:t>
            </w:r>
            <w:r w:rsidRPr="1A8E6423">
              <w:rPr>
                <w:rFonts w:ascii="Arial" w:eastAsiaTheme="minorEastAsia" w:hAnsi="Arial" w:cs="Arial"/>
                <w:color w:val="000000" w:themeColor="text1"/>
                <w:sz w:val="20"/>
                <w:szCs w:val="20"/>
                <w:lang w:val="sr-Cyrl-RS"/>
              </w:rPr>
              <w:t xml:space="preserve"> КЛРАЕ) одређује резултат у складу са дефинисаном скалом од 1</w:t>
            </w:r>
            <w:r w:rsidR="004A7468" w:rsidRPr="1A8E6423">
              <w:rPr>
                <w:rFonts w:ascii="Arial" w:eastAsiaTheme="minorEastAsia" w:hAnsi="Arial" w:cs="Arial"/>
                <w:color w:val="000000" w:themeColor="text1"/>
                <w:sz w:val="20"/>
                <w:szCs w:val="20"/>
                <w:lang w:val="sr-Cyrl-RS"/>
              </w:rPr>
              <w:t xml:space="preserve"> до </w:t>
            </w:r>
            <w:r w:rsidRPr="1A8E6423">
              <w:rPr>
                <w:rFonts w:ascii="Arial" w:eastAsiaTheme="minorEastAsia" w:hAnsi="Arial" w:cs="Arial"/>
                <w:color w:val="000000" w:themeColor="text1"/>
                <w:sz w:val="20"/>
                <w:szCs w:val="20"/>
                <w:lang w:val="sr-Cyrl-RS"/>
              </w:rPr>
              <w:t>5:</w:t>
            </w:r>
          </w:p>
          <w:p w14:paraId="4E0B905D" w14:textId="77777777" w:rsidR="00DE77AF" w:rsidRPr="00A021B7" w:rsidRDefault="00DE77AF" w:rsidP="00A57E7E">
            <w:pPr>
              <w:numPr>
                <w:ilvl w:val="0"/>
                <w:numId w:val="28"/>
              </w:numPr>
              <w:ind w:left="423" w:hanging="302"/>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Република Србија је прихватила 20 одредаба ЕПЛС и постоје примедбе мониторинга КЛРАЕ у вези са применом више од 50% прихваћених одредаба ЕПЛС у пракси</w:t>
            </w:r>
          </w:p>
          <w:p w14:paraId="2CAE1129" w14:textId="77777777" w:rsidR="00DE77AF" w:rsidRPr="00A021B7" w:rsidRDefault="00DE77AF" w:rsidP="00A57E7E">
            <w:pPr>
              <w:numPr>
                <w:ilvl w:val="0"/>
                <w:numId w:val="28"/>
              </w:numPr>
              <w:ind w:left="423" w:hanging="302"/>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Република Србија је прихватила најмање 22 одредбе ЕПЛС и постоје примедбе мониторинга КЛРАЕ у вези са применом више од 40% прихваћених одредаба ЕПЛС у пракси</w:t>
            </w:r>
          </w:p>
          <w:p w14:paraId="2CD5266A" w14:textId="77777777" w:rsidR="00DE77AF" w:rsidRPr="00A021B7" w:rsidRDefault="00DE77AF" w:rsidP="00A57E7E">
            <w:pPr>
              <w:numPr>
                <w:ilvl w:val="0"/>
                <w:numId w:val="28"/>
              </w:numPr>
              <w:ind w:left="423" w:hanging="302"/>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Република Србија је прихватила најмање 24 одредбе ЕПЛС и постоје примедбе мониторинга КЛРАЕ у вези са применом више од 30% прихваћених одредаба ЕПЛС у пракси</w:t>
            </w:r>
          </w:p>
          <w:p w14:paraId="082F8628" w14:textId="3B916F32" w:rsidR="00DE77AF" w:rsidRPr="00A021B7" w:rsidRDefault="00DE77AF" w:rsidP="00A57E7E">
            <w:pPr>
              <w:numPr>
                <w:ilvl w:val="0"/>
                <w:numId w:val="28"/>
              </w:numPr>
              <w:ind w:left="423" w:hanging="302"/>
              <w:rPr>
                <w:rFonts w:ascii="Arial" w:eastAsiaTheme="minorEastAsia" w:hAnsi="Arial" w:cs="Arial"/>
                <w:color w:val="000000" w:themeColor="text1"/>
                <w:sz w:val="20"/>
                <w:szCs w:val="20"/>
                <w:lang w:val="sr-Cyrl-RS"/>
              </w:rPr>
            </w:pPr>
            <w:r w:rsidRPr="00A021B7">
              <w:rPr>
                <w:rFonts w:ascii="Arial" w:eastAsiaTheme="minorEastAsia" w:hAnsi="Arial" w:cs="Arial"/>
                <w:color w:val="000000" w:themeColor="text1"/>
                <w:sz w:val="20"/>
                <w:szCs w:val="20"/>
                <w:lang w:val="sr-Cyrl-RS"/>
              </w:rPr>
              <w:lastRenderedPageBreak/>
              <w:t>Република Србија је прихватила најмање 2</w:t>
            </w:r>
            <w:r w:rsidR="15C706B2" w:rsidRPr="00A021B7">
              <w:rPr>
                <w:rFonts w:ascii="Arial" w:eastAsiaTheme="minorEastAsia" w:hAnsi="Arial" w:cs="Arial"/>
                <w:color w:val="000000" w:themeColor="text1"/>
                <w:sz w:val="20"/>
                <w:szCs w:val="20"/>
                <w:lang w:val="sr-Cyrl-RS"/>
              </w:rPr>
              <w:t>8</w:t>
            </w:r>
            <w:r w:rsidRPr="00A021B7">
              <w:rPr>
                <w:rFonts w:ascii="Arial" w:eastAsiaTheme="minorEastAsia" w:hAnsi="Arial" w:cs="Arial"/>
                <w:color w:val="000000" w:themeColor="text1"/>
                <w:sz w:val="20"/>
                <w:szCs w:val="20"/>
                <w:lang w:val="sr-Cyrl-RS"/>
              </w:rPr>
              <w:t xml:space="preserve"> одредби ЕПЛС и постоје примедбе мониторинга КЛРАЕ у вези са применом више од 20% прихваћених одредби ЕПЛС у пракси</w:t>
            </w:r>
          </w:p>
          <w:p w14:paraId="223A5140" w14:textId="515EE2F8" w:rsidR="00DE77AF" w:rsidRPr="00A021B7" w:rsidRDefault="00DE77AF" w:rsidP="1A8E6423">
            <w:pPr>
              <w:numPr>
                <w:ilvl w:val="0"/>
                <w:numId w:val="28"/>
              </w:numPr>
              <w:ind w:left="423" w:hanging="302"/>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 xml:space="preserve">Република Србија је прихватила </w:t>
            </w:r>
            <w:r w:rsidR="3FE72D75" w:rsidRPr="1A8E6423">
              <w:rPr>
                <w:rFonts w:ascii="Arial" w:eastAsiaTheme="minorEastAsia" w:hAnsi="Arial" w:cs="Arial"/>
                <w:color w:val="000000" w:themeColor="text1"/>
                <w:sz w:val="20"/>
                <w:szCs w:val="20"/>
                <w:lang w:val="sr-Cyrl-RS"/>
              </w:rPr>
              <w:t xml:space="preserve">све </w:t>
            </w:r>
            <w:r w:rsidRPr="1A8E6423">
              <w:rPr>
                <w:rFonts w:ascii="Arial" w:eastAsiaTheme="minorEastAsia" w:hAnsi="Arial" w:cs="Arial"/>
                <w:color w:val="000000" w:themeColor="text1"/>
                <w:sz w:val="20"/>
                <w:szCs w:val="20"/>
                <w:lang w:val="sr-Cyrl-RS"/>
              </w:rPr>
              <w:t>одредб</w:t>
            </w:r>
            <w:r w:rsidR="4109DC50" w:rsidRPr="1A8E6423">
              <w:rPr>
                <w:rFonts w:ascii="Arial" w:eastAsiaTheme="minorEastAsia" w:hAnsi="Arial" w:cs="Arial"/>
                <w:color w:val="000000" w:themeColor="text1"/>
                <w:sz w:val="20"/>
                <w:szCs w:val="20"/>
                <w:lang w:val="sr-Cyrl-RS"/>
              </w:rPr>
              <w:t>е</w:t>
            </w:r>
            <w:r w:rsidRPr="1A8E6423">
              <w:rPr>
                <w:rFonts w:ascii="Arial" w:eastAsiaTheme="minorEastAsia" w:hAnsi="Arial" w:cs="Arial"/>
                <w:color w:val="000000" w:themeColor="text1"/>
                <w:sz w:val="20"/>
                <w:szCs w:val="20"/>
                <w:lang w:val="sr-Cyrl-RS"/>
              </w:rPr>
              <w:t xml:space="preserve"> ЕПЛС и постоје примедбе мониторинга КЛРАЕ у вези </w:t>
            </w:r>
            <w:r w:rsidR="004A7468" w:rsidRPr="1A8E6423">
              <w:rPr>
                <w:rFonts w:ascii="Arial" w:eastAsiaTheme="minorEastAsia" w:hAnsi="Arial" w:cs="Arial"/>
                <w:color w:val="000000" w:themeColor="text1"/>
                <w:sz w:val="20"/>
                <w:szCs w:val="20"/>
                <w:lang w:val="sr-Cyrl-RS"/>
              </w:rPr>
              <w:t xml:space="preserve">са </w:t>
            </w:r>
            <w:r w:rsidRPr="1A8E6423">
              <w:rPr>
                <w:rFonts w:ascii="Arial" w:eastAsiaTheme="minorEastAsia" w:hAnsi="Arial" w:cs="Arial"/>
                <w:color w:val="000000" w:themeColor="text1"/>
                <w:sz w:val="20"/>
                <w:szCs w:val="20"/>
                <w:lang w:val="sr-Cyrl-RS"/>
              </w:rPr>
              <w:t>применом до 10% прихваћених одредби ЕПЛС у пракси</w:t>
            </w:r>
            <w:r w:rsidR="004A7468" w:rsidRPr="1A8E6423">
              <w:rPr>
                <w:rFonts w:ascii="Arial" w:eastAsiaTheme="minorEastAsia" w:hAnsi="Arial" w:cs="Arial"/>
                <w:color w:val="000000" w:themeColor="text1"/>
                <w:sz w:val="20"/>
                <w:szCs w:val="20"/>
                <w:lang w:val="sr-Cyrl-RS"/>
              </w:rPr>
              <w:t>.</w:t>
            </w:r>
          </w:p>
        </w:tc>
      </w:tr>
      <w:tr w:rsidR="00DE77AF" w:rsidRPr="00A021B7" w14:paraId="7892D249" w14:textId="77777777" w:rsidTr="1A8E6423">
        <w:trPr>
          <w:trHeight w:val="265"/>
          <w:jc w:val="center"/>
        </w:trPr>
        <w:tc>
          <w:tcPr>
            <w:tcW w:w="2688" w:type="dxa"/>
            <w:vMerge w:val="restart"/>
            <w:shd w:val="clear" w:color="auto" w:fill="FFC000" w:themeFill="accent4"/>
            <w:vAlign w:val="center"/>
          </w:tcPr>
          <w:p w14:paraId="1DD9EBFC" w14:textId="60DAC7FC" w:rsidR="00DE77AF" w:rsidRPr="00A021B7" w:rsidRDefault="00DE77AF" w:rsidP="1A8E6423">
            <w:pPr>
              <w:rPr>
                <w:rFonts w:ascii="Arial" w:eastAsiaTheme="minorEastAsia" w:hAnsi="Arial" w:cs="Arial"/>
                <w:b/>
                <w:bCs/>
                <w:sz w:val="20"/>
                <w:szCs w:val="20"/>
                <w:lang w:val="sr-Cyrl-RS"/>
              </w:rPr>
            </w:pPr>
            <w:r w:rsidRPr="1A8E6423">
              <w:rPr>
                <w:rFonts w:ascii="Arial" w:eastAsiaTheme="minorEastAsia" w:hAnsi="Arial" w:cs="Arial"/>
                <w:b/>
                <w:bCs/>
                <w:sz w:val="20"/>
                <w:szCs w:val="20"/>
                <w:lang w:val="sr-Cyrl-RS"/>
              </w:rPr>
              <w:lastRenderedPageBreak/>
              <w:t xml:space="preserve">Подаци о полазној вредности и години кад је измерена, као и </w:t>
            </w:r>
            <w:r w:rsidR="004A7468" w:rsidRPr="1A8E6423">
              <w:rPr>
                <w:rFonts w:ascii="Arial" w:eastAsiaTheme="minorEastAsia" w:hAnsi="Arial" w:cs="Arial"/>
                <w:b/>
                <w:bCs/>
                <w:sz w:val="20"/>
                <w:szCs w:val="20"/>
                <w:lang w:val="sr-Cyrl-RS"/>
              </w:rPr>
              <w:t xml:space="preserve"> </w:t>
            </w:r>
            <w:r w:rsidRPr="1A8E6423">
              <w:rPr>
                <w:rFonts w:ascii="Arial" w:eastAsiaTheme="minorEastAsia" w:hAnsi="Arial" w:cs="Arial"/>
                <w:b/>
                <w:bCs/>
                <w:sz w:val="20"/>
                <w:szCs w:val="20"/>
                <w:lang w:val="sr-Cyrl-RS"/>
              </w:rPr>
              <w:t>тренду у прошлости</w:t>
            </w:r>
          </w:p>
        </w:tc>
        <w:tc>
          <w:tcPr>
            <w:tcW w:w="9214" w:type="dxa"/>
            <w:gridSpan w:val="8"/>
            <w:tcBorders>
              <w:bottom w:val="single" w:sz="4" w:space="0" w:color="auto"/>
            </w:tcBorders>
            <w:shd w:val="clear" w:color="auto" w:fill="FFFFFF" w:themeFill="background1"/>
            <w:vAlign w:val="center"/>
          </w:tcPr>
          <w:p w14:paraId="4C3EF3B2"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Тренд у прошлости</w:t>
            </w:r>
          </w:p>
        </w:tc>
        <w:tc>
          <w:tcPr>
            <w:tcW w:w="2426" w:type="dxa"/>
            <w:gridSpan w:val="3"/>
            <w:shd w:val="clear" w:color="auto" w:fill="FFFFFF" w:themeFill="background1"/>
            <w:vAlign w:val="center"/>
          </w:tcPr>
          <w:p w14:paraId="2617C2A4"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Полазна вредност</w:t>
            </w:r>
          </w:p>
        </w:tc>
      </w:tr>
      <w:tr w:rsidR="00EB61C0" w:rsidRPr="00A021B7" w14:paraId="37EDE624" w14:textId="77777777" w:rsidTr="1A8E6423">
        <w:trPr>
          <w:trHeight w:val="137"/>
          <w:jc w:val="center"/>
        </w:trPr>
        <w:tc>
          <w:tcPr>
            <w:tcW w:w="2688" w:type="dxa"/>
            <w:vMerge/>
            <w:vAlign w:val="center"/>
          </w:tcPr>
          <w:p w14:paraId="339A2A04" w14:textId="77777777" w:rsidR="00DE77AF" w:rsidRPr="00A021B7" w:rsidRDefault="00DE77AF" w:rsidP="00034EBC">
            <w:pPr>
              <w:rPr>
                <w:rFonts w:ascii="Arial" w:eastAsiaTheme="minorHAnsi" w:hAnsi="Arial" w:cs="Arial"/>
                <w:b/>
                <w:bCs/>
                <w:sz w:val="20"/>
                <w:szCs w:val="20"/>
                <w:lang w:val="sr-Cyrl-RS"/>
              </w:rPr>
            </w:pPr>
          </w:p>
        </w:tc>
        <w:tc>
          <w:tcPr>
            <w:tcW w:w="27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A99B8" w14:textId="71277BC9"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2016</w:t>
            </w:r>
            <w:r w:rsidR="004A7468" w:rsidRPr="1A8E6423">
              <w:rPr>
                <w:rFonts w:ascii="Arial" w:eastAsiaTheme="minorEastAsia" w:hAnsi="Arial" w:cs="Arial"/>
                <w:sz w:val="20"/>
                <w:szCs w:val="20"/>
                <w:lang w:val="sr-Cyrl-RS"/>
              </w:rPr>
              <w:t>.</w:t>
            </w:r>
          </w:p>
        </w:tc>
        <w:tc>
          <w:tcPr>
            <w:tcW w:w="363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7FF83" w14:textId="12C4CD7A"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2017</w:t>
            </w:r>
            <w:r w:rsidR="004A7468" w:rsidRPr="1A8E6423">
              <w:rPr>
                <w:rFonts w:ascii="Arial" w:eastAsiaTheme="minorEastAsia" w:hAnsi="Arial" w:cs="Arial"/>
                <w:sz w:val="20"/>
                <w:szCs w:val="20"/>
                <w:lang w:val="sr-Cyrl-RS"/>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0C00" w14:textId="230B73C0"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2018</w:t>
            </w:r>
            <w:r w:rsidR="004A7468" w:rsidRPr="1A8E6423">
              <w:rPr>
                <w:rFonts w:ascii="Arial" w:eastAsiaTheme="minorEastAsia" w:hAnsi="Arial" w:cs="Arial"/>
                <w:sz w:val="20"/>
                <w:szCs w:val="20"/>
                <w:lang w:val="sr-Cyrl-RS"/>
              </w:rPr>
              <w:t>.</w:t>
            </w:r>
          </w:p>
        </w:tc>
        <w:tc>
          <w:tcPr>
            <w:tcW w:w="2426" w:type="dxa"/>
            <w:gridSpan w:val="3"/>
            <w:tcBorders>
              <w:left w:val="single" w:sz="4" w:space="0" w:color="auto"/>
            </w:tcBorders>
            <w:shd w:val="clear" w:color="auto" w:fill="FFFFFF" w:themeFill="background1"/>
            <w:vAlign w:val="center"/>
          </w:tcPr>
          <w:p w14:paraId="14631373" w14:textId="09644998"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2020</w:t>
            </w:r>
            <w:r w:rsidR="004A7468" w:rsidRPr="1A8E6423">
              <w:rPr>
                <w:rFonts w:ascii="Arial" w:eastAsiaTheme="minorEastAsia" w:hAnsi="Arial" w:cs="Arial"/>
                <w:sz w:val="20"/>
                <w:szCs w:val="20"/>
                <w:lang w:val="sr-Cyrl-RS"/>
              </w:rPr>
              <w:t>.</w:t>
            </w:r>
          </w:p>
        </w:tc>
      </w:tr>
      <w:tr w:rsidR="00EB61C0" w:rsidRPr="00A021B7" w14:paraId="6915E57C" w14:textId="77777777" w:rsidTr="1A8E6423">
        <w:trPr>
          <w:trHeight w:val="323"/>
          <w:jc w:val="center"/>
        </w:trPr>
        <w:tc>
          <w:tcPr>
            <w:tcW w:w="2688" w:type="dxa"/>
            <w:vMerge/>
            <w:vAlign w:val="center"/>
          </w:tcPr>
          <w:p w14:paraId="3CA2B1DE" w14:textId="77777777" w:rsidR="00DE77AF" w:rsidRPr="00A021B7" w:rsidRDefault="00DE77AF" w:rsidP="00034EBC">
            <w:pPr>
              <w:rPr>
                <w:rFonts w:ascii="Arial" w:eastAsiaTheme="minorHAnsi" w:hAnsi="Arial" w:cs="Arial"/>
                <w:b/>
                <w:bCs/>
                <w:sz w:val="20"/>
                <w:szCs w:val="20"/>
                <w:lang w:val="sr-Cyrl-RS"/>
              </w:rPr>
            </w:pPr>
          </w:p>
        </w:tc>
        <w:tc>
          <w:tcPr>
            <w:tcW w:w="2741" w:type="dxa"/>
            <w:gridSpan w:val="2"/>
            <w:tcBorders>
              <w:top w:val="single" w:sz="4" w:space="0" w:color="auto"/>
            </w:tcBorders>
            <w:shd w:val="clear" w:color="auto" w:fill="FFFFFF" w:themeFill="background1"/>
            <w:vAlign w:val="center"/>
          </w:tcPr>
          <w:p w14:paraId="488E73BB"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0</w:t>
            </w:r>
          </w:p>
        </w:tc>
        <w:tc>
          <w:tcPr>
            <w:tcW w:w="3638" w:type="dxa"/>
            <w:gridSpan w:val="4"/>
            <w:tcBorders>
              <w:top w:val="single" w:sz="4" w:space="0" w:color="auto"/>
            </w:tcBorders>
            <w:shd w:val="clear" w:color="auto" w:fill="FFFFFF" w:themeFill="background1"/>
            <w:vAlign w:val="center"/>
          </w:tcPr>
          <w:p w14:paraId="1BFA9DDC"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3</w:t>
            </w:r>
          </w:p>
        </w:tc>
        <w:tc>
          <w:tcPr>
            <w:tcW w:w="2835" w:type="dxa"/>
            <w:gridSpan w:val="2"/>
            <w:tcBorders>
              <w:top w:val="single" w:sz="4" w:space="0" w:color="auto"/>
            </w:tcBorders>
            <w:shd w:val="clear" w:color="auto" w:fill="FFFFFF" w:themeFill="background1"/>
            <w:vAlign w:val="center"/>
          </w:tcPr>
          <w:p w14:paraId="7886BAFD"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3</w:t>
            </w:r>
          </w:p>
        </w:tc>
        <w:tc>
          <w:tcPr>
            <w:tcW w:w="2426" w:type="dxa"/>
            <w:gridSpan w:val="3"/>
            <w:shd w:val="clear" w:color="auto" w:fill="FFFFFF" w:themeFill="background1"/>
            <w:vAlign w:val="center"/>
          </w:tcPr>
          <w:p w14:paraId="63C07358"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3</w:t>
            </w:r>
          </w:p>
        </w:tc>
      </w:tr>
      <w:tr w:rsidR="00EB61C0" w:rsidRPr="00A021B7" w14:paraId="5862F497" w14:textId="77777777" w:rsidTr="1A8E6423">
        <w:trPr>
          <w:trHeight w:val="274"/>
          <w:jc w:val="center"/>
        </w:trPr>
        <w:tc>
          <w:tcPr>
            <w:tcW w:w="2688" w:type="dxa"/>
            <w:vMerge w:val="restart"/>
            <w:shd w:val="clear" w:color="auto" w:fill="FFC000" w:themeFill="accent4"/>
            <w:vAlign w:val="center"/>
          </w:tcPr>
          <w:p w14:paraId="0811C32E" w14:textId="77777777" w:rsidR="00DE77AF" w:rsidRPr="00A021B7" w:rsidRDefault="00DE77AF" w:rsidP="00034EBC">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Подаци о циљним вредностима</w:t>
            </w:r>
          </w:p>
        </w:tc>
        <w:tc>
          <w:tcPr>
            <w:tcW w:w="1625" w:type="dxa"/>
            <w:shd w:val="clear" w:color="auto" w:fill="FFFFFF" w:themeFill="background1"/>
            <w:vAlign w:val="center"/>
          </w:tcPr>
          <w:p w14:paraId="2C797C3A" w14:textId="67681293"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2021</w:t>
            </w:r>
            <w:r w:rsidR="004A7468" w:rsidRPr="1A8E6423">
              <w:rPr>
                <w:rFonts w:ascii="Arial" w:eastAsiaTheme="minorEastAsia" w:hAnsi="Arial" w:cs="Arial"/>
                <w:sz w:val="20"/>
                <w:szCs w:val="20"/>
                <w:lang w:val="sr-Cyrl-RS"/>
              </w:rPr>
              <w:t>.</w:t>
            </w:r>
          </w:p>
        </w:tc>
        <w:tc>
          <w:tcPr>
            <w:tcW w:w="1116" w:type="dxa"/>
            <w:shd w:val="clear" w:color="auto" w:fill="FFFFFF" w:themeFill="background1"/>
            <w:vAlign w:val="center"/>
          </w:tcPr>
          <w:p w14:paraId="4B9F7F9B" w14:textId="1E9D80C0"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2022</w:t>
            </w:r>
            <w:r w:rsidR="004A7468" w:rsidRPr="1A8E6423">
              <w:rPr>
                <w:rFonts w:ascii="Arial" w:eastAsiaTheme="minorEastAsia" w:hAnsi="Arial" w:cs="Arial"/>
                <w:sz w:val="20"/>
                <w:szCs w:val="20"/>
                <w:lang w:val="sr-Cyrl-RS"/>
              </w:rPr>
              <w:t>.</w:t>
            </w:r>
          </w:p>
        </w:tc>
        <w:tc>
          <w:tcPr>
            <w:tcW w:w="1087" w:type="dxa"/>
            <w:shd w:val="clear" w:color="auto" w:fill="FFFFFF" w:themeFill="background1"/>
            <w:vAlign w:val="center"/>
          </w:tcPr>
          <w:p w14:paraId="40EF4289" w14:textId="1B60F615"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2023</w:t>
            </w:r>
            <w:r w:rsidR="004A7468" w:rsidRPr="1A8E6423">
              <w:rPr>
                <w:rFonts w:ascii="Arial" w:eastAsiaTheme="minorEastAsia" w:hAnsi="Arial" w:cs="Arial"/>
                <w:sz w:val="20"/>
                <w:szCs w:val="20"/>
                <w:lang w:val="sr-Cyrl-RS"/>
              </w:rPr>
              <w:t>.</w:t>
            </w:r>
          </w:p>
        </w:tc>
        <w:tc>
          <w:tcPr>
            <w:tcW w:w="1134" w:type="dxa"/>
            <w:shd w:val="clear" w:color="auto" w:fill="FFFFFF" w:themeFill="background1"/>
            <w:vAlign w:val="center"/>
          </w:tcPr>
          <w:p w14:paraId="35D86AD2" w14:textId="71CD3D2C"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2024</w:t>
            </w:r>
            <w:r w:rsidR="004A7468" w:rsidRPr="1A8E6423">
              <w:rPr>
                <w:rFonts w:ascii="Arial" w:eastAsiaTheme="minorEastAsia" w:hAnsi="Arial" w:cs="Arial"/>
                <w:sz w:val="20"/>
                <w:szCs w:val="20"/>
                <w:lang w:val="sr-Cyrl-RS"/>
              </w:rPr>
              <w:t>.</w:t>
            </w:r>
          </w:p>
        </w:tc>
        <w:tc>
          <w:tcPr>
            <w:tcW w:w="1417" w:type="dxa"/>
            <w:gridSpan w:val="2"/>
            <w:shd w:val="clear" w:color="auto" w:fill="FFFFFF" w:themeFill="background1"/>
            <w:vAlign w:val="center"/>
          </w:tcPr>
          <w:p w14:paraId="4A86C717" w14:textId="69B0AE01"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2025</w:t>
            </w:r>
            <w:r w:rsidR="004A7468" w:rsidRPr="1A8E6423">
              <w:rPr>
                <w:rFonts w:ascii="Arial" w:eastAsiaTheme="minorEastAsia" w:hAnsi="Arial" w:cs="Arial"/>
                <w:sz w:val="20"/>
                <w:szCs w:val="20"/>
                <w:lang w:val="sr-Cyrl-RS"/>
              </w:rPr>
              <w:t>.</w:t>
            </w:r>
          </w:p>
        </w:tc>
        <w:tc>
          <w:tcPr>
            <w:tcW w:w="1276" w:type="dxa"/>
            <w:shd w:val="clear" w:color="auto" w:fill="FFFFFF" w:themeFill="background1"/>
            <w:vAlign w:val="center"/>
          </w:tcPr>
          <w:p w14:paraId="2F909E2A" w14:textId="3A10414B"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2026</w:t>
            </w:r>
            <w:r w:rsidR="004A7468" w:rsidRPr="1A8E6423">
              <w:rPr>
                <w:rFonts w:ascii="Arial" w:eastAsiaTheme="minorEastAsia" w:hAnsi="Arial" w:cs="Arial"/>
                <w:sz w:val="20"/>
                <w:szCs w:val="20"/>
                <w:lang w:val="sr-Cyrl-RS"/>
              </w:rPr>
              <w:t>.</w:t>
            </w:r>
          </w:p>
        </w:tc>
        <w:tc>
          <w:tcPr>
            <w:tcW w:w="1559" w:type="dxa"/>
            <w:shd w:val="clear" w:color="auto" w:fill="FFFFFF" w:themeFill="background1"/>
            <w:vAlign w:val="center"/>
          </w:tcPr>
          <w:p w14:paraId="5A107ECF" w14:textId="1CA5A76D"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2027</w:t>
            </w:r>
            <w:r w:rsidR="004A7468" w:rsidRPr="1A8E6423">
              <w:rPr>
                <w:rFonts w:ascii="Arial" w:eastAsiaTheme="minorEastAsia" w:hAnsi="Arial" w:cs="Arial"/>
                <w:sz w:val="20"/>
                <w:szCs w:val="20"/>
                <w:lang w:val="sr-Cyrl-RS"/>
              </w:rPr>
              <w:t>.</w:t>
            </w:r>
          </w:p>
        </w:tc>
        <w:tc>
          <w:tcPr>
            <w:tcW w:w="1104" w:type="dxa"/>
            <w:shd w:val="clear" w:color="auto" w:fill="FFFFFF" w:themeFill="background1"/>
            <w:vAlign w:val="center"/>
          </w:tcPr>
          <w:p w14:paraId="45DDA4F7" w14:textId="1A14B786"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2028</w:t>
            </w:r>
            <w:r w:rsidR="004A7468" w:rsidRPr="1A8E6423">
              <w:rPr>
                <w:rFonts w:ascii="Arial" w:eastAsiaTheme="minorEastAsia" w:hAnsi="Arial" w:cs="Arial"/>
                <w:sz w:val="20"/>
                <w:szCs w:val="20"/>
                <w:lang w:val="sr-Cyrl-RS"/>
              </w:rPr>
              <w:t>.</w:t>
            </w:r>
          </w:p>
        </w:tc>
        <w:tc>
          <w:tcPr>
            <w:tcW w:w="661" w:type="dxa"/>
            <w:shd w:val="clear" w:color="auto" w:fill="FFFFFF" w:themeFill="background1"/>
            <w:vAlign w:val="center"/>
          </w:tcPr>
          <w:p w14:paraId="630E626F" w14:textId="27D148A1"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2029</w:t>
            </w:r>
            <w:r w:rsidR="004A7468" w:rsidRPr="1A8E6423">
              <w:rPr>
                <w:rFonts w:ascii="Arial" w:eastAsiaTheme="minorEastAsia" w:hAnsi="Arial" w:cs="Arial"/>
                <w:sz w:val="20"/>
                <w:szCs w:val="20"/>
                <w:lang w:val="sr-Cyrl-RS"/>
              </w:rPr>
              <w:t>.</w:t>
            </w:r>
          </w:p>
        </w:tc>
        <w:tc>
          <w:tcPr>
            <w:tcW w:w="661" w:type="dxa"/>
            <w:shd w:val="clear" w:color="auto" w:fill="FFFFFF" w:themeFill="background1"/>
            <w:vAlign w:val="center"/>
          </w:tcPr>
          <w:p w14:paraId="39E319D6" w14:textId="22DBFDC4"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2030</w:t>
            </w:r>
            <w:r w:rsidR="004A7468" w:rsidRPr="1A8E6423">
              <w:rPr>
                <w:rFonts w:ascii="Arial" w:eastAsiaTheme="minorEastAsia" w:hAnsi="Arial" w:cs="Arial"/>
                <w:sz w:val="20"/>
                <w:szCs w:val="20"/>
                <w:lang w:val="sr-Cyrl-RS"/>
              </w:rPr>
              <w:t>.</w:t>
            </w:r>
          </w:p>
        </w:tc>
      </w:tr>
      <w:tr w:rsidR="00EB61C0" w:rsidRPr="00A021B7" w14:paraId="30FEF1C9" w14:textId="77777777" w:rsidTr="1A8E6423">
        <w:trPr>
          <w:trHeight w:val="160"/>
          <w:jc w:val="center"/>
        </w:trPr>
        <w:tc>
          <w:tcPr>
            <w:tcW w:w="2688" w:type="dxa"/>
            <w:vMerge/>
            <w:vAlign w:val="center"/>
          </w:tcPr>
          <w:p w14:paraId="674E3A7E" w14:textId="77777777" w:rsidR="00DE77AF" w:rsidRPr="00A021B7" w:rsidRDefault="00DE77AF" w:rsidP="00034EBC">
            <w:pPr>
              <w:rPr>
                <w:rFonts w:ascii="Arial" w:eastAsiaTheme="minorHAnsi" w:hAnsi="Arial" w:cs="Arial"/>
                <w:b/>
                <w:bCs/>
                <w:sz w:val="20"/>
                <w:szCs w:val="20"/>
                <w:lang w:val="sr-Cyrl-RS"/>
              </w:rPr>
            </w:pPr>
          </w:p>
        </w:tc>
        <w:tc>
          <w:tcPr>
            <w:tcW w:w="1625" w:type="dxa"/>
            <w:shd w:val="clear" w:color="auto" w:fill="FFFFFF" w:themeFill="background1"/>
            <w:vAlign w:val="center"/>
          </w:tcPr>
          <w:p w14:paraId="3F26D45B"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3</w:t>
            </w:r>
          </w:p>
        </w:tc>
        <w:tc>
          <w:tcPr>
            <w:tcW w:w="1116" w:type="dxa"/>
            <w:shd w:val="clear" w:color="auto" w:fill="FFFFFF" w:themeFill="background1"/>
            <w:vAlign w:val="center"/>
          </w:tcPr>
          <w:p w14:paraId="4FAD8611"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1087" w:type="dxa"/>
            <w:shd w:val="clear" w:color="auto" w:fill="FFFFFF" w:themeFill="background1"/>
            <w:vAlign w:val="center"/>
          </w:tcPr>
          <w:p w14:paraId="4EFD204D"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3</w:t>
            </w:r>
          </w:p>
        </w:tc>
        <w:tc>
          <w:tcPr>
            <w:tcW w:w="1134" w:type="dxa"/>
            <w:shd w:val="clear" w:color="auto" w:fill="FFFFFF" w:themeFill="background1"/>
            <w:vAlign w:val="center"/>
          </w:tcPr>
          <w:p w14:paraId="5FCD19EA"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4</w:t>
            </w:r>
          </w:p>
        </w:tc>
        <w:tc>
          <w:tcPr>
            <w:tcW w:w="1417" w:type="dxa"/>
            <w:gridSpan w:val="2"/>
            <w:shd w:val="clear" w:color="auto" w:fill="FFFFFF" w:themeFill="background1"/>
            <w:vAlign w:val="center"/>
          </w:tcPr>
          <w:p w14:paraId="5A680E15"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4</w:t>
            </w:r>
          </w:p>
        </w:tc>
        <w:tc>
          <w:tcPr>
            <w:tcW w:w="1276" w:type="dxa"/>
            <w:shd w:val="clear" w:color="auto" w:fill="FFFFFF" w:themeFill="background1"/>
            <w:vAlign w:val="center"/>
          </w:tcPr>
          <w:p w14:paraId="64F120EE"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1559" w:type="dxa"/>
            <w:shd w:val="clear" w:color="auto" w:fill="FFFFFF" w:themeFill="background1"/>
            <w:vAlign w:val="center"/>
          </w:tcPr>
          <w:p w14:paraId="11893A7B"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5</w:t>
            </w:r>
          </w:p>
        </w:tc>
        <w:tc>
          <w:tcPr>
            <w:tcW w:w="1104" w:type="dxa"/>
            <w:shd w:val="clear" w:color="auto" w:fill="FFFFFF" w:themeFill="background1"/>
            <w:vAlign w:val="center"/>
          </w:tcPr>
          <w:p w14:paraId="5895495D"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661" w:type="dxa"/>
            <w:shd w:val="clear" w:color="auto" w:fill="FFFFFF" w:themeFill="background1"/>
            <w:vAlign w:val="center"/>
          </w:tcPr>
          <w:p w14:paraId="722C55F7"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661" w:type="dxa"/>
            <w:shd w:val="clear" w:color="auto" w:fill="FFFFFF" w:themeFill="background1"/>
            <w:vAlign w:val="center"/>
          </w:tcPr>
          <w:p w14:paraId="29EAD520" w14:textId="77777777" w:rsidR="00DE77AF" w:rsidRPr="00A021B7" w:rsidRDefault="00DE77AF" w:rsidP="00034EBC">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5</w:t>
            </w:r>
          </w:p>
        </w:tc>
      </w:tr>
      <w:tr w:rsidR="00DE77AF" w:rsidRPr="00A021B7" w14:paraId="6203DBF6" w14:textId="77777777" w:rsidTr="1A8E6423">
        <w:trPr>
          <w:trHeight w:val="160"/>
          <w:jc w:val="center"/>
        </w:trPr>
        <w:tc>
          <w:tcPr>
            <w:tcW w:w="2688" w:type="dxa"/>
            <w:shd w:val="clear" w:color="auto" w:fill="FFC000" w:themeFill="accent4"/>
            <w:vAlign w:val="center"/>
          </w:tcPr>
          <w:p w14:paraId="3F8E7899" w14:textId="77777777" w:rsidR="00DE77AF" w:rsidRPr="00A021B7" w:rsidRDefault="00DE77AF" w:rsidP="00034EBC">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Процена успешности</w:t>
            </w:r>
          </w:p>
        </w:tc>
        <w:tc>
          <w:tcPr>
            <w:tcW w:w="11640" w:type="dxa"/>
            <w:gridSpan w:val="11"/>
            <w:shd w:val="clear" w:color="auto" w:fill="FFFFFF" w:themeFill="background1"/>
            <w:vAlign w:val="center"/>
          </w:tcPr>
          <w:p w14:paraId="57B5517C" w14:textId="77777777"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Прихватљиво је одступање од једне оцене на планираној скали.</w:t>
            </w:r>
          </w:p>
        </w:tc>
      </w:tr>
    </w:tbl>
    <w:p w14:paraId="491A4502" w14:textId="77777777" w:rsidR="00DE77AF" w:rsidRPr="00A021B7" w:rsidRDefault="00DE77AF" w:rsidP="00034EBC">
      <w:pPr>
        <w:jc w:val="center"/>
        <w:rPr>
          <w:rFonts w:ascii="Arial" w:hAnsi="Arial" w:cs="Arial"/>
          <w:b/>
          <w:bCs/>
          <w:color w:val="2F5496" w:themeColor="accent1" w:themeShade="BF"/>
          <w:sz w:val="20"/>
          <w:szCs w:val="20"/>
          <w:lang w:val="sr-Cyrl-RS"/>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278"/>
        <w:gridCol w:w="1277"/>
        <w:gridCol w:w="1108"/>
        <w:gridCol w:w="578"/>
        <w:gridCol w:w="507"/>
        <w:gridCol w:w="1088"/>
        <w:gridCol w:w="1085"/>
        <w:gridCol w:w="1019"/>
        <w:gridCol w:w="1148"/>
        <w:gridCol w:w="1082"/>
        <w:gridCol w:w="1317"/>
      </w:tblGrid>
      <w:tr w:rsidR="00DE77AF" w:rsidRPr="00A021B7" w14:paraId="7CDFB1A4" w14:textId="77777777" w:rsidTr="1A8E6423">
        <w:trPr>
          <w:jc w:val="center"/>
        </w:trPr>
        <w:tc>
          <w:tcPr>
            <w:tcW w:w="988" w:type="pct"/>
            <w:shd w:val="clear" w:color="auto" w:fill="D9D9D9" w:themeFill="background1" w:themeFillShade="D9"/>
            <w:vAlign w:val="center"/>
          </w:tcPr>
          <w:p w14:paraId="0FD63300"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Назив показатеља</w:t>
            </w:r>
          </w:p>
        </w:tc>
        <w:tc>
          <w:tcPr>
            <w:tcW w:w="4012" w:type="pct"/>
            <w:gridSpan w:val="11"/>
            <w:shd w:val="clear" w:color="auto" w:fill="D9D9D9" w:themeFill="background1" w:themeFillShade="D9"/>
            <w:vAlign w:val="center"/>
          </w:tcPr>
          <w:p w14:paraId="276F2F3D" w14:textId="77777777" w:rsidR="00DE77AF" w:rsidRPr="00A021B7" w:rsidRDefault="00DE77AF" w:rsidP="00CB0C2B">
            <w:pPr>
              <w:rPr>
                <w:rFonts w:ascii="Arial" w:eastAsiaTheme="minorHAnsi" w:hAnsi="Arial" w:cs="Arial"/>
                <w:b/>
                <w:color w:val="000000" w:themeColor="text1"/>
                <w:sz w:val="20"/>
                <w:szCs w:val="20"/>
                <w:lang w:val="sr-Cyrl-RS"/>
              </w:rPr>
            </w:pPr>
          </w:p>
          <w:p w14:paraId="6F73FF63" w14:textId="27E58BDC" w:rsidR="00DE77AF" w:rsidRPr="00A021B7" w:rsidRDefault="00DE77AF" w:rsidP="1A8E6423">
            <w:pPr>
              <w:rPr>
                <w:rFonts w:ascii="Arial" w:eastAsiaTheme="minorEastAsia" w:hAnsi="Arial" w:cs="Arial"/>
                <w:b/>
                <w:bCs/>
                <w:color w:val="000000" w:themeColor="text1"/>
                <w:sz w:val="20"/>
                <w:szCs w:val="20"/>
                <w:lang w:val="sr-Cyrl-RS"/>
              </w:rPr>
            </w:pPr>
            <w:r w:rsidRPr="1A8E6423">
              <w:rPr>
                <w:rFonts w:ascii="Arial" w:eastAsiaTheme="minorEastAsia" w:hAnsi="Arial" w:cs="Arial"/>
                <w:b/>
                <w:bCs/>
                <w:color w:val="000000" w:themeColor="text1"/>
                <w:sz w:val="20"/>
                <w:szCs w:val="20"/>
                <w:lang w:val="sr-Cyrl-RS"/>
              </w:rPr>
              <w:t>Удео расхода ЛС у консолидованим јавним расходима у Републици Србији</w:t>
            </w:r>
          </w:p>
          <w:p w14:paraId="50197D10" w14:textId="77777777" w:rsidR="00DE77AF" w:rsidRPr="00A021B7" w:rsidRDefault="00DE77AF" w:rsidP="00CB0C2B">
            <w:pPr>
              <w:rPr>
                <w:rFonts w:ascii="Arial" w:eastAsiaTheme="minorHAnsi" w:hAnsi="Arial" w:cs="Arial"/>
                <w:b/>
                <w:color w:val="000000" w:themeColor="text1"/>
                <w:sz w:val="20"/>
                <w:szCs w:val="20"/>
                <w:lang w:val="sr-Cyrl-RS"/>
              </w:rPr>
            </w:pPr>
          </w:p>
        </w:tc>
      </w:tr>
      <w:tr w:rsidR="00DE77AF" w:rsidRPr="00A021B7" w14:paraId="63BE56EF" w14:textId="77777777" w:rsidTr="1A8E6423">
        <w:trPr>
          <w:jc w:val="center"/>
        </w:trPr>
        <w:tc>
          <w:tcPr>
            <w:tcW w:w="988" w:type="pct"/>
            <w:shd w:val="clear" w:color="auto" w:fill="FFC000" w:themeFill="accent4"/>
            <w:vAlign w:val="center"/>
          </w:tcPr>
          <w:p w14:paraId="2CAED0D2" w14:textId="77777777" w:rsidR="00DE77AF" w:rsidRPr="00A021B7" w:rsidRDefault="00DE77AF" w:rsidP="00CB0C2B">
            <w:pPr>
              <w:rPr>
                <w:rFonts w:ascii="Arial" w:eastAsiaTheme="minorHAnsi" w:hAnsi="Arial" w:cs="Arial"/>
                <w:b/>
                <w:bCs/>
                <w:color w:val="000000" w:themeColor="text1"/>
                <w:sz w:val="20"/>
                <w:szCs w:val="20"/>
                <w:lang w:val="sr-Cyrl-RS"/>
              </w:rPr>
            </w:pPr>
            <w:bookmarkStart w:id="181" w:name="_Hlk57115024"/>
            <w:r w:rsidRPr="00A021B7">
              <w:rPr>
                <w:rFonts w:ascii="Arial" w:eastAsiaTheme="minorHAnsi" w:hAnsi="Arial" w:cs="Arial"/>
                <w:b/>
                <w:bCs/>
                <w:color w:val="000000" w:themeColor="text1"/>
                <w:sz w:val="20"/>
                <w:szCs w:val="20"/>
                <w:lang w:val="sr-Cyrl-RS"/>
              </w:rPr>
              <w:t>Одговарајући општи, посебни циљ или мера</w:t>
            </w:r>
          </w:p>
        </w:tc>
        <w:tc>
          <w:tcPr>
            <w:tcW w:w="4012" w:type="pct"/>
            <w:gridSpan w:val="11"/>
            <w:shd w:val="clear" w:color="auto" w:fill="auto"/>
            <w:vAlign w:val="center"/>
          </w:tcPr>
          <w:p w14:paraId="498DE606" w14:textId="77777777" w:rsidR="00DE77AF" w:rsidRPr="00A021B7" w:rsidRDefault="00DE77AF" w:rsidP="00CB0C2B">
            <w:pPr>
              <w:tabs>
                <w:tab w:val="left" w:pos="152"/>
              </w:tabs>
              <w:rPr>
                <w:rFonts w:ascii="Arial" w:eastAsiaTheme="minorHAnsi" w:hAnsi="Arial" w:cs="Arial"/>
                <w:bCs/>
                <w:color w:val="000000" w:themeColor="text1"/>
                <w:kern w:val="24"/>
                <w:sz w:val="20"/>
                <w:szCs w:val="20"/>
                <w:lang w:val="sr-Cyrl-RS"/>
              </w:rPr>
            </w:pPr>
            <w:r w:rsidRPr="00A021B7">
              <w:rPr>
                <w:rFonts w:ascii="Arial" w:hAnsi="Arial" w:cs="Arial"/>
                <w:bCs/>
                <w:iCs/>
                <w:color w:val="000000" w:themeColor="text1"/>
                <w:kern w:val="24"/>
                <w:sz w:val="20"/>
                <w:szCs w:val="20"/>
                <w:lang w:val="sr-Cyrl-RS"/>
              </w:rPr>
              <w:t>Успостављање система локалне самоуправе који омогућава ефикасно и одрживо остваривање права грађана на локалну самоуправу</w:t>
            </w:r>
          </w:p>
        </w:tc>
      </w:tr>
      <w:tr w:rsidR="00DE77AF" w:rsidRPr="00A021B7" w14:paraId="6FFA20B0" w14:textId="77777777" w:rsidTr="1A8E6423">
        <w:trPr>
          <w:jc w:val="center"/>
        </w:trPr>
        <w:tc>
          <w:tcPr>
            <w:tcW w:w="988" w:type="pct"/>
            <w:shd w:val="clear" w:color="auto" w:fill="FFC000" w:themeFill="accent4"/>
            <w:vAlign w:val="center"/>
          </w:tcPr>
          <w:p w14:paraId="1819F81A"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color w:val="000000" w:themeColor="text1"/>
                <w:kern w:val="24"/>
                <w:sz w:val="20"/>
                <w:szCs w:val="20"/>
                <w:lang w:val="sr-Cyrl-RS"/>
              </w:rPr>
              <w:t>Тип и ниво показатеља</w:t>
            </w:r>
          </w:p>
        </w:tc>
        <w:tc>
          <w:tcPr>
            <w:tcW w:w="1481" w:type="pct"/>
            <w:gridSpan w:val="4"/>
            <w:shd w:val="clear" w:color="auto" w:fill="auto"/>
            <w:vAlign w:val="center"/>
          </w:tcPr>
          <w:p w14:paraId="374FB8CA" w14:textId="77777777" w:rsidR="00DE77AF" w:rsidRPr="00A021B7" w:rsidRDefault="00DE77AF" w:rsidP="00CB0C2B">
            <w:pPr>
              <w:tabs>
                <w:tab w:val="left" w:pos="152"/>
              </w:tabs>
              <w:rPr>
                <w:rFonts w:ascii="Arial" w:eastAsiaTheme="minorHAnsi" w:hAnsi="Arial" w:cs="Arial"/>
                <w:bCs/>
                <w:color w:val="000000" w:themeColor="text1"/>
                <w:kern w:val="24"/>
                <w:sz w:val="20"/>
                <w:szCs w:val="20"/>
                <w:lang w:val="sr-Cyrl-RS"/>
              </w:rPr>
            </w:pPr>
            <w:r w:rsidRPr="00A021B7">
              <w:rPr>
                <w:rFonts w:ascii="Arial" w:eastAsiaTheme="minorHAnsi" w:hAnsi="Arial" w:cs="Arial"/>
                <w:bCs/>
                <w:color w:val="000000" w:themeColor="text1"/>
                <w:kern w:val="24"/>
                <w:sz w:val="20"/>
                <w:szCs w:val="20"/>
                <w:lang w:val="sr-Cyrl-RS"/>
              </w:rPr>
              <w:t>Квалитативни и квантитативни</w:t>
            </w:r>
          </w:p>
        </w:tc>
        <w:tc>
          <w:tcPr>
            <w:tcW w:w="2531" w:type="pct"/>
            <w:gridSpan w:val="7"/>
            <w:shd w:val="clear" w:color="auto" w:fill="auto"/>
            <w:vAlign w:val="center"/>
          </w:tcPr>
          <w:p w14:paraId="0870F1D5" w14:textId="77777777" w:rsidR="00DE77AF" w:rsidRPr="00A021B7" w:rsidRDefault="00DE77AF" w:rsidP="00CB0C2B">
            <w:pPr>
              <w:rPr>
                <w:rFonts w:ascii="Arial" w:eastAsiaTheme="minorHAnsi" w:hAnsi="Arial" w:cs="Arial"/>
                <w:bCs/>
                <w:color w:val="000000" w:themeColor="text1"/>
                <w:kern w:val="24"/>
                <w:sz w:val="20"/>
                <w:szCs w:val="20"/>
                <w:lang w:val="sr-Cyrl-RS"/>
              </w:rPr>
            </w:pPr>
            <w:r w:rsidRPr="00A021B7">
              <w:rPr>
                <w:rFonts w:ascii="Arial" w:eastAsiaTheme="minorHAnsi" w:hAnsi="Arial" w:cs="Arial"/>
                <w:bCs/>
                <w:color w:val="000000" w:themeColor="text1"/>
                <w:kern w:val="24"/>
                <w:sz w:val="20"/>
                <w:szCs w:val="20"/>
                <w:lang w:val="sr-Cyrl-RS"/>
              </w:rPr>
              <w:t>Показатељ на нивоу општег циља</w:t>
            </w:r>
          </w:p>
        </w:tc>
      </w:tr>
      <w:tr w:rsidR="00DE77AF" w:rsidRPr="00A021B7" w14:paraId="36C04967" w14:textId="77777777" w:rsidTr="1A8E6423">
        <w:trPr>
          <w:trHeight w:val="373"/>
          <w:jc w:val="center"/>
        </w:trPr>
        <w:tc>
          <w:tcPr>
            <w:tcW w:w="988" w:type="pct"/>
            <w:shd w:val="clear" w:color="auto" w:fill="FFC000" w:themeFill="accent4"/>
            <w:vAlign w:val="center"/>
          </w:tcPr>
          <w:p w14:paraId="69C4F57F" w14:textId="77777777" w:rsidR="00DE77AF" w:rsidRPr="00A021B7" w:rsidRDefault="00DE77AF" w:rsidP="00CB0C2B">
            <w:pPr>
              <w:rPr>
                <w:rFonts w:ascii="Arial" w:eastAsiaTheme="minorHAnsi" w:hAnsi="Arial" w:cs="Arial"/>
                <w:b/>
                <w:color w:val="000000" w:themeColor="text1"/>
                <w:kern w:val="24"/>
                <w:sz w:val="20"/>
                <w:szCs w:val="20"/>
                <w:lang w:val="sr-Cyrl-RS"/>
              </w:rPr>
            </w:pPr>
            <w:r w:rsidRPr="00A021B7">
              <w:rPr>
                <w:rFonts w:ascii="Arial" w:eastAsiaTheme="minorHAnsi" w:hAnsi="Arial" w:cs="Arial"/>
                <w:b/>
                <w:color w:val="000000" w:themeColor="text1"/>
                <w:kern w:val="24"/>
                <w:sz w:val="20"/>
                <w:szCs w:val="20"/>
                <w:lang w:val="sr-Cyrl-RS"/>
              </w:rPr>
              <w:t>Јединица мере и природа</w:t>
            </w:r>
          </w:p>
        </w:tc>
        <w:tc>
          <w:tcPr>
            <w:tcW w:w="1481" w:type="pct"/>
            <w:gridSpan w:val="4"/>
            <w:shd w:val="clear" w:color="auto" w:fill="auto"/>
            <w:vAlign w:val="center"/>
          </w:tcPr>
          <w:p w14:paraId="440B0930" w14:textId="59C47513" w:rsidR="00DE77AF" w:rsidRPr="00A021B7" w:rsidRDefault="607A3801" w:rsidP="1A8E6423">
            <w:pPr>
              <w:tabs>
                <w:tab w:val="left" w:pos="152"/>
              </w:tabs>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kern w:val="24"/>
                <w:sz w:val="20"/>
                <w:szCs w:val="20"/>
                <w:lang w:val="sr-Cyrl-RS"/>
              </w:rPr>
              <w:t xml:space="preserve">% </w:t>
            </w:r>
            <w:r w:rsidR="004A7468" w:rsidRPr="1A8E6423">
              <w:rPr>
                <w:rFonts w:ascii="Arial" w:eastAsiaTheme="minorEastAsia" w:hAnsi="Arial" w:cs="Arial"/>
                <w:color w:val="000000" w:themeColor="text1"/>
                <w:kern w:val="24"/>
                <w:sz w:val="20"/>
                <w:szCs w:val="20"/>
                <w:lang w:val="sr-Cyrl-RS"/>
              </w:rPr>
              <w:t>у</w:t>
            </w:r>
            <w:r w:rsidR="00DE77AF" w:rsidRPr="1A8E6423">
              <w:rPr>
                <w:rFonts w:ascii="Arial" w:eastAsiaTheme="minorEastAsia" w:hAnsi="Arial" w:cs="Arial"/>
                <w:color w:val="000000" w:themeColor="text1"/>
                <w:kern w:val="24"/>
                <w:sz w:val="20"/>
                <w:szCs w:val="20"/>
                <w:lang w:val="sr-Cyrl-RS"/>
              </w:rPr>
              <w:t>чешћ</w:t>
            </w:r>
            <w:r w:rsidR="004A7468" w:rsidRPr="1A8E6423">
              <w:rPr>
                <w:rFonts w:ascii="Arial" w:eastAsiaTheme="minorEastAsia" w:hAnsi="Arial" w:cs="Arial"/>
                <w:color w:val="000000" w:themeColor="text1"/>
                <w:kern w:val="24"/>
                <w:sz w:val="20"/>
                <w:szCs w:val="20"/>
                <w:lang w:val="sr-Cyrl-RS"/>
              </w:rPr>
              <w:t>а</w:t>
            </w:r>
            <w:r w:rsidR="00DE77AF" w:rsidRPr="1A8E6423">
              <w:rPr>
                <w:rFonts w:ascii="Arial" w:eastAsiaTheme="minorEastAsia" w:hAnsi="Arial" w:cs="Arial"/>
                <w:color w:val="000000" w:themeColor="text1"/>
                <w:kern w:val="24"/>
                <w:sz w:val="20"/>
                <w:szCs w:val="20"/>
                <w:lang w:val="sr-Cyrl-RS"/>
              </w:rPr>
              <w:t xml:space="preserve"> локалних расхода у консолидованим јавним расходима</w:t>
            </w:r>
          </w:p>
        </w:tc>
        <w:tc>
          <w:tcPr>
            <w:tcW w:w="2531" w:type="pct"/>
            <w:gridSpan w:val="7"/>
            <w:shd w:val="clear" w:color="auto" w:fill="auto"/>
            <w:vAlign w:val="center"/>
          </w:tcPr>
          <w:p w14:paraId="766C6088" w14:textId="77777777" w:rsidR="00DE77AF" w:rsidRPr="00A021B7" w:rsidRDefault="00DE77AF" w:rsidP="00CB0C2B">
            <w:pPr>
              <w:rPr>
                <w:rFonts w:ascii="Arial" w:eastAsia="Arial" w:hAnsi="Arial" w:cs="Arial"/>
                <w:color w:val="000000" w:themeColor="text1"/>
                <w:spacing w:val="-1"/>
                <w:kern w:val="24"/>
                <w:sz w:val="20"/>
                <w:szCs w:val="20"/>
                <w:lang w:val="sr-Cyrl-RS"/>
              </w:rPr>
            </w:pPr>
            <w:r w:rsidRPr="00A021B7">
              <w:rPr>
                <w:rFonts w:ascii="Arial" w:eastAsia="Arial" w:hAnsi="Arial" w:cs="Arial"/>
                <w:color w:val="000000" w:themeColor="text1"/>
                <w:spacing w:val="-1"/>
                <w:kern w:val="24"/>
                <w:sz w:val="20"/>
                <w:szCs w:val="20"/>
                <w:lang w:val="sr-Cyrl-RS"/>
              </w:rPr>
              <w:t>Пожељна је већа вредност</w:t>
            </w:r>
          </w:p>
        </w:tc>
      </w:tr>
      <w:bookmarkEnd w:id="181"/>
      <w:tr w:rsidR="00DE77AF" w:rsidRPr="00A021B7" w14:paraId="61BB4810" w14:textId="77777777" w:rsidTr="1A8E6423">
        <w:trPr>
          <w:jc w:val="center"/>
        </w:trPr>
        <w:tc>
          <w:tcPr>
            <w:tcW w:w="988" w:type="pct"/>
            <w:shd w:val="clear" w:color="auto" w:fill="FFC000" w:themeFill="accent4"/>
            <w:vAlign w:val="center"/>
          </w:tcPr>
          <w:p w14:paraId="09CCC1F9"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Извор података за праћење показатеља учинка</w:t>
            </w:r>
          </w:p>
        </w:tc>
        <w:tc>
          <w:tcPr>
            <w:tcW w:w="4012" w:type="pct"/>
            <w:gridSpan w:val="11"/>
            <w:shd w:val="clear" w:color="auto" w:fill="auto"/>
            <w:vAlign w:val="center"/>
          </w:tcPr>
          <w:p w14:paraId="056694C5" w14:textId="1B907691" w:rsidR="005B2EC6" w:rsidRDefault="005B2EC6" w:rsidP="1A8E6423">
            <w:pPr>
              <w:rPr>
                <w:rFonts w:ascii="Arial" w:eastAsiaTheme="minorEastAsia" w:hAnsi="Arial" w:cs="Arial"/>
                <w:color w:val="000000" w:themeColor="text1"/>
                <w:sz w:val="20"/>
                <w:szCs w:val="20"/>
                <w:lang w:val="sr-Cyrl-RS"/>
              </w:rPr>
            </w:pPr>
            <w:r w:rsidRPr="004363E7">
              <w:rPr>
                <w:rFonts w:ascii="Arial" w:eastAsiaTheme="minorEastAsia" w:hAnsi="Arial" w:cs="Arial"/>
                <w:color w:val="000000" w:themeColor="text1"/>
                <w:sz w:val="20"/>
                <w:szCs w:val="20"/>
                <w:lang w:val="sr-Cyrl-RS"/>
              </w:rPr>
              <w:t>Подаци ИСИБ АП и ЈЛС</w:t>
            </w:r>
            <w:r>
              <w:rPr>
                <w:rFonts w:ascii="Arial" w:eastAsiaTheme="minorEastAsia" w:hAnsi="Arial" w:cs="Arial"/>
                <w:color w:val="000000" w:themeColor="text1"/>
                <w:sz w:val="20"/>
                <w:szCs w:val="20"/>
              </w:rPr>
              <w:t>.</w:t>
            </w:r>
            <w:r w:rsidRPr="1A8E6423">
              <w:rPr>
                <w:rFonts w:ascii="Arial" w:eastAsiaTheme="minorEastAsia" w:hAnsi="Arial" w:cs="Arial"/>
                <w:color w:val="000000" w:themeColor="text1"/>
                <w:sz w:val="20"/>
                <w:szCs w:val="20"/>
                <w:lang w:val="sr-Cyrl-RS"/>
              </w:rPr>
              <w:t xml:space="preserve"> </w:t>
            </w:r>
          </w:p>
          <w:p w14:paraId="0F3A20DC" w14:textId="22CBF444"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 xml:space="preserve">Подаци из </w:t>
            </w:r>
            <w:r w:rsidRPr="1A8E6423">
              <w:rPr>
                <w:rFonts w:ascii="Arial" w:eastAsiaTheme="minorEastAsia" w:hAnsi="Arial" w:cs="Arial"/>
                <w:i/>
                <w:iCs/>
                <w:color w:val="000000" w:themeColor="text1"/>
                <w:sz w:val="20"/>
                <w:szCs w:val="20"/>
                <w:lang w:val="sr-Cyrl-RS"/>
              </w:rPr>
              <w:t>Месечног билтена јавних финансија</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 xml:space="preserve"> </w:t>
            </w:r>
            <w:hyperlink r:id="rId25">
              <w:r w:rsidRPr="1A8E6423">
                <w:rPr>
                  <w:rStyle w:val="Hyperlink"/>
                  <w:rFonts w:ascii="Arial" w:eastAsiaTheme="minorEastAsia" w:hAnsi="Arial" w:cs="Arial"/>
                  <w:color w:val="000000" w:themeColor="text1"/>
                  <w:sz w:val="20"/>
                  <w:szCs w:val="20"/>
                  <w:lang w:val="sr-Cyrl-RS"/>
                </w:rPr>
                <w:t>https://www.mfin.gov.rs/vrsta-aktivnosti/bilten-javnih-finansija/</w:t>
              </w:r>
            </w:hyperlink>
          </w:p>
          <w:p w14:paraId="440B62A0" w14:textId="4198FA97"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 xml:space="preserve">Подаци Управе за трезор Министарства финансија, </w:t>
            </w:r>
            <w:hyperlink r:id="rId26">
              <w:r w:rsidRPr="1A8E6423">
                <w:rPr>
                  <w:rStyle w:val="Hyperlink"/>
                  <w:rFonts w:ascii="Arial" w:eastAsiaTheme="minorEastAsia" w:hAnsi="Arial" w:cs="Arial"/>
                  <w:color w:val="000000" w:themeColor="text1"/>
                  <w:sz w:val="20"/>
                  <w:szCs w:val="20"/>
                  <w:lang w:val="sr-Cyrl-RS"/>
                </w:rPr>
                <w:t>https://www.trezor.gov.rs/src/services/</w:t>
              </w:r>
            </w:hyperlink>
          </w:p>
          <w:p w14:paraId="03D371A4" w14:textId="0373AB5E" w:rsidR="00DE77AF" w:rsidRPr="00A021B7" w:rsidRDefault="00DE77AF" w:rsidP="1A8E6423">
            <w:pPr>
              <w:rPr>
                <w:rStyle w:val="Hyperlink"/>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Подаци из аналитичког сервиса ЈЛС, МДУЛС и РСЈП</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 xml:space="preserve"> </w:t>
            </w:r>
            <w:hyperlink r:id="rId27">
              <w:r w:rsidRPr="1A8E6423">
                <w:rPr>
                  <w:rStyle w:val="Hyperlink"/>
                  <w:rFonts w:ascii="Arial" w:eastAsiaTheme="minorEastAsia" w:hAnsi="Arial" w:cs="Arial"/>
                  <w:color w:val="000000" w:themeColor="text1"/>
                  <w:sz w:val="20"/>
                  <w:szCs w:val="20"/>
                  <w:lang w:val="sr-Cyrl-RS"/>
                </w:rPr>
                <w:t>https://rsjp.gov.rs/jls-baza/</w:t>
              </w:r>
            </w:hyperlink>
          </w:p>
        </w:tc>
      </w:tr>
      <w:tr w:rsidR="00DE77AF" w:rsidRPr="00A021B7" w14:paraId="591D3D02" w14:textId="77777777" w:rsidTr="1A8E6423">
        <w:trPr>
          <w:jc w:val="center"/>
        </w:trPr>
        <w:tc>
          <w:tcPr>
            <w:tcW w:w="988" w:type="pct"/>
            <w:shd w:val="clear" w:color="auto" w:fill="FFC000" w:themeFill="accent4"/>
            <w:vAlign w:val="center"/>
          </w:tcPr>
          <w:p w14:paraId="68C88373"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Назив носиоца прикупљања података</w:t>
            </w:r>
          </w:p>
        </w:tc>
        <w:tc>
          <w:tcPr>
            <w:tcW w:w="4012" w:type="pct"/>
            <w:gridSpan w:val="11"/>
            <w:shd w:val="clear" w:color="auto" w:fill="auto"/>
            <w:vAlign w:val="center"/>
          </w:tcPr>
          <w:p w14:paraId="19952CFC" w14:textId="77777777" w:rsidR="000311D2" w:rsidRPr="0065691F" w:rsidRDefault="000311D2" w:rsidP="000311D2">
            <w:pPr>
              <w:rPr>
                <w:rFonts w:ascii="Arial" w:hAnsi="Arial" w:cs="Arial"/>
                <w:sz w:val="20"/>
                <w:szCs w:val="20"/>
                <w:lang w:val="sr-Cyrl-RS"/>
              </w:rPr>
            </w:pPr>
            <w:r w:rsidRPr="0065691F">
              <w:rPr>
                <w:rFonts w:ascii="Arial" w:hAnsi="Arial" w:cs="Arial"/>
                <w:sz w:val="20"/>
                <w:szCs w:val="20"/>
                <w:lang w:val="sr-Cyrl-RS"/>
              </w:rPr>
              <w:t>Министарство финансија, име и презиме, контакт</w:t>
            </w:r>
          </w:p>
          <w:p w14:paraId="6F67B35B" w14:textId="77777777" w:rsidR="00DE77AF" w:rsidRPr="0065691F" w:rsidRDefault="00DE77AF" w:rsidP="00CB0C2B">
            <w:pPr>
              <w:rPr>
                <w:rFonts w:ascii="Arial" w:eastAsiaTheme="minorHAnsi" w:hAnsi="Arial" w:cs="Arial"/>
                <w:sz w:val="20"/>
                <w:szCs w:val="20"/>
                <w:lang w:val="sr-Cyrl-RS"/>
              </w:rPr>
            </w:pPr>
          </w:p>
          <w:p w14:paraId="7858AF6E" w14:textId="7D2D55F6"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СКГО, Милена Радомировић</w:t>
            </w:r>
            <w:r w:rsidR="43071259"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 xml:space="preserve"> </w:t>
            </w:r>
            <w:hyperlink r:id="rId28">
              <w:r w:rsidRPr="1A8E6423">
                <w:rPr>
                  <w:rStyle w:val="Hyperlink"/>
                  <w:rFonts w:ascii="Arial" w:eastAsiaTheme="minorEastAsia" w:hAnsi="Arial" w:cs="Arial"/>
                  <w:sz w:val="20"/>
                  <w:szCs w:val="20"/>
                  <w:lang w:val="sr-Cyrl-RS"/>
                </w:rPr>
                <w:t>milena.radomirovic@skgo.org</w:t>
              </w:r>
            </w:hyperlink>
          </w:p>
          <w:p w14:paraId="7D4EF516" w14:textId="77777777" w:rsidR="00DE77AF" w:rsidRPr="00A021B7" w:rsidRDefault="00DE77AF" w:rsidP="00CB0C2B">
            <w:pPr>
              <w:rPr>
                <w:rFonts w:ascii="Arial" w:eastAsiaTheme="minorHAnsi" w:hAnsi="Arial" w:cs="Arial"/>
                <w:color w:val="000000" w:themeColor="text1"/>
                <w:sz w:val="20"/>
                <w:szCs w:val="20"/>
                <w:lang w:val="sr-Cyrl-RS"/>
              </w:rPr>
            </w:pPr>
          </w:p>
        </w:tc>
      </w:tr>
      <w:tr w:rsidR="00DE77AF" w:rsidRPr="00A021B7" w14:paraId="16278BAC" w14:textId="77777777" w:rsidTr="1A8E6423">
        <w:trPr>
          <w:jc w:val="center"/>
        </w:trPr>
        <w:tc>
          <w:tcPr>
            <w:tcW w:w="988" w:type="pct"/>
            <w:shd w:val="clear" w:color="auto" w:fill="FFC000" w:themeFill="accent4"/>
            <w:vAlign w:val="center"/>
          </w:tcPr>
          <w:p w14:paraId="51BA64D8"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Учесталост прикупљања података</w:t>
            </w:r>
          </w:p>
        </w:tc>
        <w:tc>
          <w:tcPr>
            <w:tcW w:w="4012" w:type="pct"/>
            <w:gridSpan w:val="11"/>
            <w:shd w:val="clear" w:color="auto" w:fill="FFFFFF" w:themeFill="background1"/>
            <w:vAlign w:val="center"/>
          </w:tcPr>
          <w:p w14:paraId="76BB9A9E" w14:textId="4A3484F0"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Подаци се прикупљају до 30. септембра текуће године за претходну.</w:t>
            </w:r>
          </w:p>
        </w:tc>
      </w:tr>
      <w:tr w:rsidR="00DE77AF" w:rsidRPr="00A021B7" w14:paraId="0E157278" w14:textId="77777777" w:rsidTr="1A8E6423">
        <w:trPr>
          <w:jc w:val="center"/>
        </w:trPr>
        <w:tc>
          <w:tcPr>
            <w:tcW w:w="988" w:type="pct"/>
            <w:shd w:val="clear" w:color="auto" w:fill="FFC000" w:themeFill="accent4"/>
            <w:vAlign w:val="center"/>
          </w:tcPr>
          <w:p w14:paraId="06260B19" w14:textId="77777777" w:rsidR="00DE77AF" w:rsidRPr="00A021B7" w:rsidRDefault="00DE77AF" w:rsidP="00CB0C2B">
            <w:pPr>
              <w:rPr>
                <w:rFonts w:ascii="Arial" w:eastAsiaTheme="minorHAnsi" w:hAnsi="Arial" w:cs="Arial"/>
                <w:b/>
                <w:color w:val="000000" w:themeColor="text1"/>
                <w:sz w:val="20"/>
                <w:szCs w:val="20"/>
                <w:lang w:val="sr-Cyrl-RS"/>
              </w:rPr>
            </w:pPr>
            <w:r w:rsidRPr="00A021B7">
              <w:rPr>
                <w:rFonts w:ascii="Arial" w:eastAsiaTheme="minorHAnsi" w:hAnsi="Arial" w:cs="Arial"/>
                <w:b/>
                <w:color w:val="000000" w:themeColor="text1"/>
                <w:sz w:val="20"/>
                <w:szCs w:val="20"/>
                <w:lang w:val="sr-Cyrl-RS"/>
              </w:rPr>
              <w:t>Кратак опис показатеља и методологије израчунавања</w:t>
            </w:r>
          </w:p>
          <w:p w14:paraId="7C8467BD" w14:textId="5918DD11" w:rsidR="00DE77AF" w:rsidRPr="00A021B7" w:rsidRDefault="00DE77AF" w:rsidP="1A8E6423">
            <w:pPr>
              <w:rPr>
                <w:rFonts w:ascii="Arial" w:eastAsiaTheme="minorEastAsia" w:hAnsi="Arial" w:cs="Arial"/>
                <w:b/>
                <w:bCs/>
                <w:color w:val="000000" w:themeColor="text1"/>
                <w:sz w:val="20"/>
                <w:szCs w:val="20"/>
                <w:lang w:val="sr-Cyrl-RS"/>
              </w:rPr>
            </w:pPr>
            <w:r w:rsidRPr="1A8E6423">
              <w:rPr>
                <w:rFonts w:ascii="Arial" w:eastAsiaTheme="minorEastAsia" w:hAnsi="Arial" w:cs="Arial"/>
                <w:b/>
                <w:bCs/>
                <w:color w:val="000000" w:themeColor="text1"/>
                <w:sz w:val="20"/>
                <w:szCs w:val="20"/>
                <w:lang w:val="sr-Cyrl-RS"/>
              </w:rPr>
              <w:t>(формуле/једначине)</w:t>
            </w:r>
          </w:p>
          <w:p w14:paraId="7E8CBD8F" w14:textId="77777777" w:rsidR="00DE77AF" w:rsidRPr="00A021B7" w:rsidRDefault="00DE77AF" w:rsidP="00CB0C2B">
            <w:pPr>
              <w:rPr>
                <w:rFonts w:ascii="Arial" w:eastAsiaTheme="minorHAnsi" w:hAnsi="Arial" w:cs="Arial"/>
                <w:b/>
                <w:bCs/>
                <w:color w:val="000000" w:themeColor="text1"/>
                <w:sz w:val="20"/>
                <w:szCs w:val="20"/>
                <w:lang w:val="sr-Cyrl-RS"/>
              </w:rPr>
            </w:pPr>
          </w:p>
          <w:p w14:paraId="7851198C" w14:textId="77777777" w:rsidR="00DE77AF" w:rsidRPr="00A021B7" w:rsidRDefault="00DE77AF" w:rsidP="00CB0C2B">
            <w:pPr>
              <w:rPr>
                <w:rFonts w:ascii="Arial" w:eastAsiaTheme="minorHAnsi" w:hAnsi="Arial" w:cs="Arial"/>
                <w:b/>
                <w:bCs/>
                <w:color w:val="000000" w:themeColor="text1"/>
                <w:sz w:val="20"/>
                <w:szCs w:val="20"/>
                <w:lang w:val="sr-Cyrl-RS"/>
              </w:rPr>
            </w:pPr>
          </w:p>
          <w:p w14:paraId="5A4E00C6" w14:textId="77777777" w:rsidR="00DE77AF" w:rsidRPr="00A021B7" w:rsidRDefault="00DE77AF" w:rsidP="00CB0C2B">
            <w:pPr>
              <w:rPr>
                <w:rFonts w:ascii="Arial" w:eastAsiaTheme="minorHAnsi" w:hAnsi="Arial" w:cs="Arial"/>
                <w:b/>
                <w:bCs/>
                <w:color w:val="000000" w:themeColor="text1"/>
                <w:sz w:val="20"/>
                <w:szCs w:val="20"/>
                <w:lang w:val="sr-Cyrl-RS"/>
              </w:rPr>
            </w:pPr>
          </w:p>
          <w:p w14:paraId="7D80A1F0" w14:textId="77777777" w:rsidR="00DE77AF" w:rsidRPr="00A021B7" w:rsidRDefault="00DE77AF" w:rsidP="00CB0C2B">
            <w:pPr>
              <w:rPr>
                <w:rFonts w:ascii="Arial" w:eastAsiaTheme="minorHAnsi" w:hAnsi="Arial" w:cs="Arial"/>
                <w:b/>
                <w:bCs/>
                <w:color w:val="000000" w:themeColor="text1"/>
                <w:sz w:val="20"/>
                <w:szCs w:val="20"/>
                <w:lang w:val="sr-Cyrl-RS"/>
              </w:rPr>
            </w:pPr>
          </w:p>
        </w:tc>
        <w:tc>
          <w:tcPr>
            <w:tcW w:w="4012" w:type="pct"/>
            <w:gridSpan w:val="11"/>
            <w:shd w:val="clear" w:color="auto" w:fill="FFFFFF" w:themeFill="background1"/>
            <w:vAlign w:val="center"/>
          </w:tcPr>
          <w:p w14:paraId="60E68C96" w14:textId="359ED082" w:rsidR="00DE77AF" w:rsidRPr="00A021B7" w:rsidRDefault="00DE77AF" w:rsidP="004363E7">
            <w:pPr>
              <w:jc w:val="both"/>
              <w:rPr>
                <w:rFonts w:ascii="Arial" w:eastAsiaTheme="minorHAnsi"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Овај показатељ показује степен учешћа расхода ЛС у консолидованим јавним расходима. Раст процента учешћа локалних расхода указује на већу децентрализацију јавних послова</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 xml:space="preserve"> коју треба да прати и већи удео у јавним расходима; повећање одговорности/надлежности и самосталности ЛС. Овај индикатор се израчунава тако што се укупни расходи локалне самоуправе (УРЛС) поделе са консолидованим јавним расходима</w:t>
            </w:r>
          </w:p>
          <w:p w14:paraId="07AC4C6F" w14:textId="47C3465F" w:rsidR="00DE77AF" w:rsidRPr="00A021B7" w:rsidRDefault="00DE77AF" w:rsidP="00CB0C2B">
            <w:pPr>
              <w:rPr>
                <w:rFonts w:ascii="Arial" w:eastAsiaTheme="minorHAnsi" w:hAnsi="Arial" w:cs="Arial"/>
                <w:b/>
                <w:color w:val="000000" w:themeColor="text1"/>
                <w:sz w:val="20"/>
                <w:szCs w:val="20"/>
                <w:lang w:val="sr-Cyrl-RS"/>
              </w:rPr>
            </w:pPr>
            <w:r w:rsidRPr="00A021B7">
              <w:rPr>
                <w:rFonts w:ascii="Arial" w:eastAsiaTheme="minorHAnsi" w:hAnsi="Arial" w:cs="Arial"/>
                <w:b/>
                <w:color w:val="000000" w:themeColor="text1"/>
                <w:sz w:val="20"/>
                <w:szCs w:val="20"/>
                <w:lang w:val="sr-Cyrl-RS"/>
              </w:rPr>
              <w:t xml:space="preserve">                                                                          ФОРМУЛА/ЈЕДНАЧИНА</w:t>
            </w:r>
          </w:p>
          <w:p w14:paraId="77FCEE0D" w14:textId="296F9849" w:rsidR="00DE77AF" w:rsidRPr="00A021B7" w:rsidRDefault="00C75BBE" w:rsidP="00CB0C2B">
            <w:pPr>
              <w:rPr>
                <w:rFonts w:ascii="Arial" w:eastAsiaTheme="minorHAnsi" w:hAnsi="Arial" w:cs="Arial"/>
                <w:b/>
                <w:color w:val="000000" w:themeColor="text1"/>
                <w:sz w:val="20"/>
                <w:szCs w:val="20"/>
                <w:lang w:val="sr-Cyrl-RS"/>
              </w:rPr>
            </w:pPr>
            <w:r w:rsidRPr="00A021B7">
              <w:rPr>
                <w:rFonts w:ascii="Arial" w:eastAsiaTheme="minorHAnsi" w:hAnsi="Arial" w:cs="Arial"/>
                <w:noProof/>
                <w:color w:val="000000" w:themeColor="text1"/>
                <w:sz w:val="20"/>
                <w:szCs w:val="20"/>
                <w:lang w:eastAsia="en-US"/>
              </w:rPr>
              <mc:AlternateContent>
                <mc:Choice Requires="wps">
                  <w:drawing>
                    <wp:anchor distT="0" distB="0" distL="114300" distR="114300" simplePos="0" relativeHeight="251658245" behindDoc="0" locked="0" layoutInCell="1" allowOverlap="1" wp14:anchorId="706143E3" wp14:editId="68292480">
                      <wp:simplePos x="0" y="0"/>
                      <wp:positionH relativeFrom="column">
                        <wp:posOffset>2286000</wp:posOffset>
                      </wp:positionH>
                      <wp:positionV relativeFrom="paragraph">
                        <wp:posOffset>13970</wp:posOffset>
                      </wp:positionV>
                      <wp:extent cx="2567305" cy="381000"/>
                      <wp:effectExtent l="0" t="0" r="10795" b="0"/>
                      <wp:wrapNone/>
                      <wp:docPr id="376" name="TextBox 1"/>
                      <wp:cNvGraphicFramePr/>
                      <a:graphic xmlns:a="http://schemas.openxmlformats.org/drawingml/2006/main">
                        <a:graphicData uri="http://schemas.microsoft.com/office/word/2010/wordprocessingShape">
                          <wps:wsp>
                            <wps:cNvSpPr txBox="1"/>
                            <wps:spPr>
                              <a:xfrm>
                                <a:off x="0" y="0"/>
                                <a:ext cx="2567305" cy="381000"/>
                              </a:xfrm>
                              <a:prstGeom prst="rect">
                                <a:avLst/>
                              </a:prstGeom>
                              <a:noFill/>
                              <a:ln>
                                <a:noFill/>
                              </a:ln>
                              <a:effectLst/>
                            </wps:spPr>
                            <wps:txbx>
                              <w:txbxContent>
                                <w:p w14:paraId="15DA18E1" w14:textId="77777777" w:rsidR="007324B5" w:rsidRDefault="00FB2452" w:rsidP="00DE77AF">
                                  <w:pPr>
                                    <w:spacing w:after="99"/>
                                    <w:jc w:val="center"/>
                                  </w:pPr>
                                  <m:oMath>
                                    <m:f>
                                      <m:fPr>
                                        <m:ctrlPr>
                                          <w:rPr>
                                            <w:rFonts w:ascii="Cambria Math" w:eastAsiaTheme="minorEastAsia" w:hAnsi="Cambria Math"/>
                                            <w:i/>
                                            <w:iCs/>
                                            <w:color w:val="000000" w:themeColor="text1"/>
                                            <w:sz w:val="28"/>
                                            <w:szCs w:val="28"/>
                                          </w:rPr>
                                        </m:ctrlPr>
                                      </m:fPr>
                                      <m:num>
                                        <m:r>
                                          <w:rPr>
                                            <w:rFonts w:ascii="Cambria Math" w:hAnsi="Cambria Math"/>
                                            <w:color w:val="000000" w:themeColor="text1"/>
                                            <w:sz w:val="28"/>
                                            <w:szCs w:val="28"/>
                                          </w:rPr>
                                          <m:t>Укупни локални расходи</m:t>
                                        </m:r>
                                      </m:num>
                                      <m:den>
                                        <m:r>
                                          <w:rPr>
                                            <w:rFonts w:ascii="Cambria Math" w:hAnsi="Cambria Math"/>
                                            <w:color w:val="000000" w:themeColor="text1"/>
                                            <w:sz w:val="28"/>
                                            <w:szCs w:val="28"/>
                                          </w:rPr>
                                          <m:t>Консолидовани јавни расходи</m:t>
                                        </m:r>
                                      </m:den>
                                    </m:f>
                                  </m:oMath>
                                  <w:r w:rsidR="007324B5">
                                    <w:rPr>
                                      <w:color w:val="000000" w:themeColor="text1"/>
                                    </w:rPr>
                                    <w:t xml:space="preserve"> </w:t>
                                  </w:r>
                                  <m:oMath>
                                    <m:r>
                                      <w:rPr>
                                        <w:rFonts w:ascii="Cambria Math" w:eastAsia="Cambria Math" w:hAnsi="Cambria Math"/>
                                        <w:color w:val="000000" w:themeColor="text1"/>
                                      </w:rPr>
                                      <m:t>×100</m:t>
                                    </m:r>
                                  </m:oMath>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06143E3" id="_x0000_t202" coordsize="21600,21600" o:spt="202" path="m,l,21600r21600,l21600,xe">
                      <v:stroke joinstyle="miter"/>
                      <v:path gradientshapeok="t" o:connecttype="rect"/>
                    </v:shapetype>
                    <v:shape id="TextBox 1" o:spid="_x0000_s1026" type="#_x0000_t202" style="position:absolute;margin-left:180pt;margin-top:1.1pt;width:202.15pt;height:3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" filled="f" stroked="f">
                      <v:textbox inset="0,0,0,0">
                        <w:txbxContent>
                          <w:p w14:paraId="15DA18E1" w14:textId="77777777" w:rsidR="007324B5" w:rsidRDefault="007324B5" w:rsidP="00DE77AF">
                            <w:pPr>
                              <w:spacing w:after="99"/>
                              <w:jc w:val="center"/>
                            </w:pPr>
                            <m:oMath>
                              <m:f>
                                <m:fPr>
                                  <m:ctrlPr>
                                    <w:rPr>
                                      <w:rFonts w:ascii="Cambria Math" w:eastAsiaTheme="minorEastAsia" w:hAnsi="Cambria Math"/>
                                      <w:i/>
                                      <w:iCs/>
                                      <w:color w:val="000000" w:themeColor="text1"/>
                                      <w:sz w:val="28"/>
                                      <w:szCs w:val="28"/>
                                    </w:rPr>
                                  </m:ctrlPr>
                                </m:fPr>
                                <m:num>
                                  <m:r>
                                    <w:rPr>
                                      <w:rFonts w:ascii="Cambria Math" w:hAnsi="Cambria Math"/>
                                      <w:color w:val="000000" w:themeColor="text1"/>
                                      <w:sz w:val="28"/>
                                      <w:szCs w:val="28"/>
                                    </w:rPr>
                                    <m:t>Укупни локални расходи</m:t>
                                  </m:r>
                                </m:num>
                                <m:den>
                                  <m:r>
                                    <w:rPr>
                                      <w:rFonts w:ascii="Cambria Math" w:hAnsi="Cambria Math"/>
                                      <w:color w:val="000000" w:themeColor="text1"/>
                                      <w:sz w:val="28"/>
                                      <w:szCs w:val="28"/>
                                    </w:rPr>
                                    <m:t>Консолидовани јавни расходи</m:t>
                                  </m:r>
                                </m:den>
                              </m:f>
                            </m:oMath>
                            <w:r>
                              <w:rPr>
                                <w:color w:val="000000" w:themeColor="text1"/>
                              </w:rPr>
                              <w:t xml:space="preserve"> </w:t>
                            </w:r>
                            <m:oMath>
                              <m:r>
                                <w:rPr>
                                  <w:rFonts w:ascii="Cambria Math" w:eastAsia="Cambria Math" w:hAnsi="Cambria Math"/>
                                  <w:color w:val="000000" w:themeColor="text1"/>
                                </w:rPr>
                                <m:t>×100</m:t>
                              </m:r>
                            </m:oMath>
                          </w:p>
                        </w:txbxContent>
                      </v:textbox>
                    </v:shape>
                  </w:pict>
                </mc:Fallback>
              </mc:AlternateContent>
            </w:r>
          </w:p>
          <w:p w14:paraId="3D455D9C" w14:textId="77777777" w:rsidR="00DE77AF" w:rsidRPr="00A021B7" w:rsidRDefault="00DE77AF" w:rsidP="00CB0C2B">
            <w:pPr>
              <w:rPr>
                <w:rFonts w:ascii="Arial" w:eastAsiaTheme="minorHAnsi" w:hAnsi="Arial" w:cs="Arial"/>
                <w:b/>
                <w:color w:val="000000" w:themeColor="text1"/>
                <w:sz w:val="20"/>
                <w:szCs w:val="20"/>
                <w:lang w:val="sr-Cyrl-RS"/>
              </w:rPr>
            </w:pPr>
          </w:p>
          <w:p w14:paraId="2925114D" w14:textId="77777777" w:rsidR="00DE77AF" w:rsidRPr="00A021B7" w:rsidRDefault="00DE77AF" w:rsidP="00CB0C2B">
            <w:pPr>
              <w:rPr>
                <w:rFonts w:ascii="Arial" w:eastAsiaTheme="minorHAnsi" w:hAnsi="Arial" w:cs="Arial"/>
                <w:color w:val="000000" w:themeColor="text1"/>
                <w:sz w:val="20"/>
                <w:szCs w:val="20"/>
                <w:lang w:val="sr-Cyrl-RS"/>
              </w:rPr>
            </w:pPr>
          </w:p>
        </w:tc>
      </w:tr>
      <w:tr w:rsidR="00DE77AF" w:rsidRPr="00A021B7" w14:paraId="52BE8024" w14:textId="77777777" w:rsidTr="1A8E6423">
        <w:trPr>
          <w:trHeight w:val="274"/>
          <w:jc w:val="center"/>
        </w:trPr>
        <w:tc>
          <w:tcPr>
            <w:tcW w:w="988" w:type="pct"/>
            <w:vMerge w:val="restart"/>
            <w:shd w:val="clear" w:color="auto" w:fill="FFC000" w:themeFill="accent4"/>
            <w:vAlign w:val="center"/>
          </w:tcPr>
          <w:p w14:paraId="67D5219C" w14:textId="35C43472" w:rsidR="00DE77AF" w:rsidRPr="00A021B7" w:rsidRDefault="00DE77AF" w:rsidP="1A8E6423">
            <w:pPr>
              <w:rPr>
                <w:rFonts w:ascii="Arial" w:eastAsiaTheme="minorEastAsia" w:hAnsi="Arial" w:cs="Arial"/>
                <w:b/>
                <w:bCs/>
                <w:color w:val="000000" w:themeColor="text1"/>
                <w:sz w:val="20"/>
                <w:szCs w:val="20"/>
                <w:lang w:val="sr-Cyrl-RS"/>
              </w:rPr>
            </w:pPr>
            <w:r w:rsidRPr="1A8E6423">
              <w:rPr>
                <w:rFonts w:ascii="Arial" w:eastAsiaTheme="minorEastAsia" w:hAnsi="Arial" w:cs="Arial"/>
                <w:b/>
                <w:bCs/>
                <w:color w:val="000000" w:themeColor="text1"/>
                <w:sz w:val="20"/>
                <w:szCs w:val="20"/>
                <w:lang w:val="sr-Cyrl-RS"/>
              </w:rPr>
              <w:lastRenderedPageBreak/>
              <w:t>Подаци о полазној вредности и години кад је измерена, као и тренду у прошлости</w:t>
            </w:r>
          </w:p>
        </w:tc>
        <w:tc>
          <w:tcPr>
            <w:tcW w:w="2772" w:type="pct"/>
            <w:gridSpan w:val="8"/>
            <w:tcBorders>
              <w:bottom w:val="single" w:sz="4" w:space="0" w:color="auto"/>
            </w:tcBorders>
            <w:shd w:val="clear" w:color="auto" w:fill="FFFFFF" w:themeFill="background1"/>
            <w:vAlign w:val="center"/>
          </w:tcPr>
          <w:p w14:paraId="76774A77" w14:textId="77777777" w:rsidR="00DE77AF" w:rsidRPr="00A021B7" w:rsidRDefault="00DE77AF" w:rsidP="00EB61C0">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Тренд у прошлости</w:t>
            </w:r>
          </w:p>
        </w:tc>
        <w:tc>
          <w:tcPr>
            <w:tcW w:w="1240" w:type="pct"/>
            <w:gridSpan w:val="3"/>
            <w:shd w:val="clear" w:color="auto" w:fill="FFFFFF" w:themeFill="background1"/>
            <w:vAlign w:val="center"/>
          </w:tcPr>
          <w:p w14:paraId="5970AD8B" w14:textId="77777777" w:rsidR="00DE77AF" w:rsidRPr="00A021B7" w:rsidRDefault="00DE77AF" w:rsidP="00EB61C0">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Полазна вредност</w:t>
            </w:r>
          </w:p>
        </w:tc>
      </w:tr>
      <w:tr w:rsidR="00DE77AF" w:rsidRPr="00A021B7" w14:paraId="41966118" w14:textId="77777777" w:rsidTr="1A8E6423">
        <w:trPr>
          <w:trHeight w:val="137"/>
          <w:jc w:val="center"/>
        </w:trPr>
        <w:tc>
          <w:tcPr>
            <w:tcW w:w="988" w:type="pct"/>
            <w:vMerge/>
            <w:vAlign w:val="center"/>
          </w:tcPr>
          <w:p w14:paraId="7146CC54" w14:textId="77777777" w:rsidR="00DE77AF" w:rsidRPr="00A021B7" w:rsidRDefault="00DE77AF" w:rsidP="00CB0C2B">
            <w:pPr>
              <w:rPr>
                <w:rFonts w:ascii="Arial" w:eastAsiaTheme="minorHAnsi" w:hAnsi="Arial" w:cs="Arial"/>
                <w:b/>
                <w:bCs/>
                <w:color w:val="000000" w:themeColor="text1"/>
                <w:sz w:val="20"/>
                <w:szCs w:val="20"/>
                <w:lang w:val="sr-Cyrl-RS"/>
              </w:rPr>
            </w:pPr>
          </w:p>
        </w:tc>
        <w:tc>
          <w:tcPr>
            <w:tcW w:w="8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997E5" w14:textId="47C35C83"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2016</w:t>
            </w:r>
            <w:r w:rsidR="004A7468" w:rsidRPr="1A8E6423">
              <w:rPr>
                <w:rFonts w:ascii="Arial" w:eastAsiaTheme="minorEastAsia" w:hAnsi="Arial" w:cs="Arial"/>
                <w:color w:val="000000" w:themeColor="text1"/>
                <w:sz w:val="20"/>
                <w:szCs w:val="20"/>
                <w:lang w:val="sr-Cyrl-RS"/>
              </w:rPr>
              <w:t>.</w:t>
            </w:r>
          </w:p>
        </w:tc>
        <w:tc>
          <w:tcPr>
            <w:tcW w:w="114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4FCE4" w14:textId="2CC0E063"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2017</w:t>
            </w:r>
            <w:r w:rsidR="004A7468" w:rsidRPr="1A8E6423">
              <w:rPr>
                <w:rFonts w:ascii="Arial" w:eastAsiaTheme="minorEastAsia" w:hAnsi="Arial" w:cs="Arial"/>
                <w:color w:val="000000" w:themeColor="text1"/>
                <w:sz w:val="20"/>
                <w:szCs w:val="20"/>
                <w:lang w:val="sr-Cyrl-RS"/>
              </w:rPr>
              <w:t>.</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6825A" w14:textId="7E6D04C9"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2018</w:t>
            </w:r>
            <w:r w:rsidR="004A7468" w:rsidRPr="1A8E6423">
              <w:rPr>
                <w:rFonts w:ascii="Arial" w:eastAsiaTheme="minorEastAsia" w:hAnsi="Arial" w:cs="Arial"/>
                <w:color w:val="000000" w:themeColor="text1"/>
                <w:sz w:val="20"/>
                <w:szCs w:val="20"/>
                <w:lang w:val="sr-Cyrl-RS"/>
              </w:rPr>
              <w:t>.</w:t>
            </w:r>
          </w:p>
        </w:tc>
        <w:tc>
          <w:tcPr>
            <w:tcW w:w="1240" w:type="pct"/>
            <w:gridSpan w:val="3"/>
            <w:tcBorders>
              <w:left w:val="single" w:sz="4" w:space="0" w:color="auto"/>
            </w:tcBorders>
            <w:shd w:val="clear" w:color="auto" w:fill="FFFFFF" w:themeFill="background1"/>
            <w:vAlign w:val="center"/>
          </w:tcPr>
          <w:p w14:paraId="7D83BA7E" w14:textId="375D9685"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2019</w:t>
            </w:r>
            <w:r w:rsidR="004A7468" w:rsidRPr="1A8E6423">
              <w:rPr>
                <w:rFonts w:ascii="Arial" w:eastAsiaTheme="minorEastAsia" w:hAnsi="Arial" w:cs="Arial"/>
                <w:color w:val="000000" w:themeColor="text1"/>
                <w:sz w:val="20"/>
                <w:szCs w:val="20"/>
                <w:lang w:val="sr-Cyrl-RS"/>
              </w:rPr>
              <w:t>.</w:t>
            </w:r>
          </w:p>
        </w:tc>
      </w:tr>
      <w:tr w:rsidR="00DE77AF" w:rsidRPr="00A021B7" w14:paraId="6A9A97A4" w14:textId="77777777" w:rsidTr="1A8E6423">
        <w:trPr>
          <w:trHeight w:val="323"/>
          <w:jc w:val="center"/>
        </w:trPr>
        <w:tc>
          <w:tcPr>
            <w:tcW w:w="988" w:type="pct"/>
            <w:vMerge/>
            <w:vAlign w:val="center"/>
          </w:tcPr>
          <w:p w14:paraId="4117B028" w14:textId="77777777" w:rsidR="00DE77AF" w:rsidRPr="00A021B7" w:rsidRDefault="00DE77AF" w:rsidP="00CB0C2B">
            <w:pPr>
              <w:rPr>
                <w:rFonts w:ascii="Arial" w:eastAsiaTheme="minorHAnsi" w:hAnsi="Arial" w:cs="Arial"/>
                <w:b/>
                <w:bCs/>
                <w:color w:val="000000" w:themeColor="text1"/>
                <w:sz w:val="20"/>
                <w:szCs w:val="20"/>
                <w:lang w:val="sr-Cyrl-RS"/>
              </w:rPr>
            </w:pPr>
          </w:p>
        </w:tc>
        <w:tc>
          <w:tcPr>
            <w:tcW w:w="891" w:type="pct"/>
            <w:gridSpan w:val="2"/>
            <w:tcBorders>
              <w:top w:val="single" w:sz="4" w:space="0" w:color="auto"/>
            </w:tcBorders>
            <w:shd w:val="clear" w:color="auto" w:fill="FFFFFF" w:themeFill="background1"/>
            <w:vAlign w:val="center"/>
          </w:tcPr>
          <w:p w14:paraId="44CDD196" w14:textId="1AD0159C"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14</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31%</w:t>
            </w:r>
          </w:p>
        </w:tc>
        <w:tc>
          <w:tcPr>
            <w:tcW w:w="1146" w:type="pct"/>
            <w:gridSpan w:val="4"/>
            <w:tcBorders>
              <w:top w:val="single" w:sz="4" w:space="0" w:color="auto"/>
            </w:tcBorders>
            <w:shd w:val="clear" w:color="auto" w:fill="FFFFFF" w:themeFill="background1"/>
            <w:vAlign w:val="center"/>
          </w:tcPr>
          <w:p w14:paraId="26EE4647" w14:textId="2966B953"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14</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57%</w:t>
            </w:r>
          </w:p>
        </w:tc>
        <w:tc>
          <w:tcPr>
            <w:tcW w:w="735" w:type="pct"/>
            <w:gridSpan w:val="2"/>
            <w:tcBorders>
              <w:top w:val="single" w:sz="4" w:space="0" w:color="auto"/>
            </w:tcBorders>
            <w:shd w:val="clear" w:color="auto" w:fill="FFFFFF" w:themeFill="background1"/>
            <w:vAlign w:val="center"/>
          </w:tcPr>
          <w:p w14:paraId="1E0AE305" w14:textId="1E794CFB"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14</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87%</w:t>
            </w:r>
          </w:p>
        </w:tc>
        <w:tc>
          <w:tcPr>
            <w:tcW w:w="1240" w:type="pct"/>
            <w:gridSpan w:val="3"/>
            <w:shd w:val="clear" w:color="auto" w:fill="FFFFFF" w:themeFill="background1"/>
            <w:vAlign w:val="center"/>
          </w:tcPr>
          <w:p w14:paraId="22B3E666" w14:textId="255D14E6"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14</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75%</w:t>
            </w:r>
          </w:p>
        </w:tc>
      </w:tr>
      <w:tr w:rsidR="00EB61C0" w:rsidRPr="00A021B7" w14:paraId="5E294727" w14:textId="77777777" w:rsidTr="1A8E6423">
        <w:trPr>
          <w:trHeight w:val="350"/>
          <w:jc w:val="center"/>
        </w:trPr>
        <w:tc>
          <w:tcPr>
            <w:tcW w:w="988" w:type="pct"/>
            <w:vMerge w:val="restart"/>
            <w:shd w:val="clear" w:color="auto" w:fill="FFC000" w:themeFill="accent4"/>
            <w:vAlign w:val="center"/>
          </w:tcPr>
          <w:p w14:paraId="47B85E72"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Подаци о циљним вредностима</w:t>
            </w:r>
          </w:p>
        </w:tc>
        <w:tc>
          <w:tcPr>
            <w:tcW w:w="446" w:type="pct"/>
            <w:shd w:val="clear" w:color="auto" w:fill="FFFFFF" w:themeFill="background1"/>
            <w:vAlign w:val="center"/>
          </w:tcPr>
          <w:p w14:paraId="070C1C86" w14:textId="590D7406"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2021</w:t>
            </w:r>
            <w:r w:rsidR="004A7468" w:rsidRPr="1A8E6423">
              <w:rPr>
                <w:rFonts w:ascii="Arial" w:eastAsiaTheme="minorEastAsia" w:hAnsi="Arial" w:cs="Arial"/>
                <w:color w:val="000000" w:themeColor="text1"/>
                <w:sz w:val="20"/>
                <w:szCs w:val="20"/>
                <w:lang w:val="sr-Cyrl-RS"/>
              </w:rPr>
              <w:t>.</w:t>
            </w:r>
          </w:p>
        </w:tc>
        <w:tc>
          <w:tcPr>
            <w:tcW w:w="446" w:type="pct"/>
            <w:shd w:val="clear" w:color="auto" w:fill="FFFFFF" w:themeFill="background1"/>
            <w:vAlign w:val="center"/>
          </w:tcPr>
          <w:p w14:paraId="76AF03BD" w14:textId="74290296"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2022</w:t>
            </w:r>
            <w:r w:rsidR="004A7468" w:rsidRPr="1A8E6423">
              <w:rPr>
                <w:rFonts w:ascii="Arial" w:eastAsiaTheme="minorEastAsia" w:hAnsi="Arial" w:cs="Arial"/>
                <w:color w:val="000000" w:themeColor="text1"/>
                <w:sz w:val="20"/>
                <w:szCs w:val="20"/>
                <w:lang w:val="sr-Cyrl-RS"/>
              </w:rPr>
              <w:t>.</w:t>
            </w:r>
          </w:p>
        </w:tc>
        <w:tc>
          <w:tcPr>
            <w:tcW w:w="387" w:type="pct"/>
            <w:shd w:val="clear" w:color="auto" w:fill="FFFFFF" w:themeFill="background1"/>
            <w:vAlign w:val="center"/>
          </w:tcPr>
          <w:p w14:paraId="332F594E" w14:textId="645530B9"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2023</w:t>
            </w:r>
            <w:r w:rsidR="004A7468" w:rsidRPr="1A8E6423">
              <w:rPr>
                <w:rFonts w:ascii="Arial" w:eastAsiaTheme="minorEastAsia" w:hAnsi="Arial" w:cs="Arial"/>
                <w:color w:val="000000" w:themeColor="text1"/>
                <w:sz w:val="20"/>
                <w:szCs w:val="20"/>
                <w:lang w:val="sr-Cyrl-RS"/>
              </w:rPr>
              <w:t>.</w:t>
            </w:r>
          </w:p>
        </w:tc>
        <w:tc>
          <w:tcPr>
            <w:tcW w:w="379" w:type="pct"/>
            <w:gridSpan w:val="2"/>
            <w:shd w:val="clear" w:color="auto" w:fill="FFFFFF" w:themeFill="background1"/>
            <w:vAlign w:val="center"/>
          </w:tcPr>
          <w:p w14:paraId="3A81D1B0" w14:textId="333B0957"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2024</w:t>
            </w:r>
            <w:r w:rsidR="004A7468" w:rsidRPr="1A8E6423">
              <w:rPr>
                <w:rFonts w:ascii="Arial" w:eastAsiaTheme="minorEastAsia" w:hAnsi="Arial" w:cs="Arial"/>
                <w:color w:val="000000" w:themeColor="text1"/>
                <w:sz w:val="20"/>
                <w:szCs w:val="20"/>
                <w:lang w:val="sr-Cyrl-RS"/>
              </w:rPr>
              <w:t>.</w:t>
            </w:r>
          </w:p>
        </w:tc>
        <w:tc>
          <w:tcPr>
            <w:tcW w:w="380" w:type="pct"/>
            <w:shd w:val="clear" w:color="auto" w:fill="FFFFFF" w:themeFill="background1"/>
            <w:vAlign w:val="center"/>
          </w:tcPr>
          <w:p w14:paraId="21562A4D" w14:textId="7AE22A2A"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2025</w:t>
            </w:r>
            <w:r w:rsidR="004A7468" w:rsidRPr="1A8E6423">
              <w:rPr>
                <w:rFonts w:ascii="Arial" w:eastAsiaTheme="minorEastAsia" w:hAnsi="Arial" w:cs="Arial"/>
                <w:color w:val="000000" w:themeColor="text1"/>
                <w:sz w:val="20"/>
                <w:szCs w:val="20"/>
                <w:lang w:val="sr-Cyrl-RS"/>
              </w:rPr>
              <w:t>.</w:t>
            </w:r>
          </w:p>
        </w:tc>
        <w:tc>
          <w:tcPr>
            <w:tcW w:w="379" w:type="pct"/>
            <w:shd w:val="clear" w:color="auto" w:fill="FFFFFF" w:themeFill="background1"/>
            <w:vAlign w:val="center"/>
          </w:tcPr>
          <w:p w14:paraId="01A18BE4" w14:textId="51788C1C"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2026</w:t>
            </w:r>
            <w:r w:rsidR="004A7468" w:rsidRPr="1A8E6423">
              <w:rPr>
                <w:rFonts w:ascii="Arial" w:eastAsiaTheme="minorEastAsia" w:hAnsi="Arial" w:cs="Arial"/>
                <w:color w:val="000000" w:themeColor="text1"/>
                <w:sz w:val="20"/>
                <w:szCs w:val="20"/>
                <w:lang w:val="sr-Cyrl-RS"/>
              </w:rPr>
              <w:t>.</w:t>
            </w:r>
          </w:p>
        </w:tc>
        <w:tc>
          <w:tcPr>
            <w:tcW w:w="356" w:type="pct"/>
            <w:shd w:val="clear" w:color="auto" w:fill="FFFFFF" w:themeFill="background1"/>
            <w:vAlign w:val="center"/>
          </w:tcPr>
          <w:p w14:paraId="2D805AFC" w14:textId="18A3FBF2"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2027</w:t>
            </w:r>
            <w:r w:rsidR="004A7468" w:rsidRPr="1A8E6423">
              <w:rPr>
                <w:rFonts w:ascii="Arial" w:eastAsiaTheme="minorEastAsia" w:hAnsi="Arial" w:cs="Arial"/>
                <w:color w:val="000000" w:themeColor="text1"/>
                <w:sz w:val="20"/>
                <w:szCs w:val="20"/>
                <w:lang w:val="sr-Cyrl-RS"/>
              </w:rPr>
              <w:t>.</w:t>
            </w:r>
          </w:p>
        </w:tc>
        <w:tc>
          <w:tcPr>
            <w:tcW w:w="401" w:type="pct"/>
            <w:shd w:val="clear" w:color="auto" w:fill="FFFFFF" w:themeFill="background1"/>
            <w:vAlign w:val="center"/>
          </w:tcPr>
          <w:p w14:paraId="302F2F05" w14:textId="66052A5C"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2028</w:t>
            </w:r>
            <w:r w:rsidR="004A7468" w:rsidRPr="1A8E6423">
              <w:rPr>
                <w:rFonts w:ascii="Arial" w:eastAsiaTheme="minorEastAsia" w:hAnsi="Arial" w:cs="Arial"/>
                <w:color w:val="000000" w:themeColor="text1"/>
                <w:sz w:val="20"/>
                <w:szCs w:val="20"/>
                <w:lang w:val="sr-Cyrl-RS"/>
              </w:rPr>
              <w:t>.</w:t>
            </w:r>
          </w:p>
        </w:tc>
        <w:tc>
          <w:tcPr>
            <w:tcW w:w="378" w:type="pct"/>
            <w:shd w:val="clear" w:color="auto" w:fill="FFFFFF" w:themeFill="background1"/>
            <w:vAlign w:val="center"/>
          </w:tcPr>
          <w:p w14:paraId="1D2B9E02" w14:textId="6F36F525"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2029</w:t>
            </w:r>
            <w:r w:rsidR="004A7468" w:rsidRPr="1A8E6423">
              <w:rPr>
                <w:rFonts w:ascii="Arial" w:eastAsiaTheme="minorEastAsia" w:hAnsi="Arial" w:cs="Arial"/>
                <w:color w:val="000000" w:themeColor="text1"/>
                <w:sz w:val="20"/>
                <w:szCs w:val="20"/>
                <w:lang w:val="sr-Cyrl-RS"/>
              </w:rPr>
              <w:t>.</w:t>
            </w:r>
          </w:p>
        </w:tc>
        <w:tc>
          <w:tcPr>
            <w:tcW w:w="461" w:type="pct"/>
            <w:shd w:val="clear" w:color="auto" w:fill="FFFFFF" w:themeFill="background1"/>
            <w:vAlign w:val="center"/>
          </w:tcPr>
          <w:p w14:paraId="2D5983FD" w14:textId="2A677199"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2030</w:t>
            </w:r>
            <w:r w:rsidR="004A7468" w:rsidRPr="1A8E6423">
              <w:rPr>
                <w:rFonts w:ascii="Arial" w:eastAsiaTheme="minorEastAsia" w:hAnsi="Arial" w:cs="Arial"/>
                <w:color w:val="000000" w:themeColor="text1"/>
                <w:sz w:val="20"/>
                <w:szCs w:val="20"/>
                <w:lang w:val="sr-Cyrl-RS"/>
              </w:rPr>
              <w:t>.</w:t>
            </w:r>
          </w:p>
        </w:tc>
      </w:tr>
      <w:tr w:rsidR="00EB61C0" w:rsidRPr="00A021B7" w14:paraId="02A322AA" w14:textId="77777777" w:rsidTr="1A8E6423">
        <w:trPr>
          <w:trHeight w:val="160"/>
          <w:jc w:val="center"/>
        </w:trPr>
        <w:tc>
          <w:tcPr>
            <w:tcW w:w="988" w:type="pct"/>
            <w:vMerge/>
            <w:vAlign w:val="center"/>
          </w:tcPr>
          <w:p w14:paraId="709B9B3D" w14:textId="77777777" w:rsidR="00DE77AF" w:rsidRPr="00A021B7" w:rsidRDefault="00DE77AF" w:rsidP="00CB0C2B">
            <w:pPr>
              <w:rPr>
                <w:rFonts w:ascii="Arial" w:eastAsiaTheme="minorHAnsi" w:hAnsi="Arial" w:cs="Arial"/>
                <w:b/>
                <w:bCs/>
                <w:color w:val="000000" w:themeColor="text1"/>
                <w:sz w:val="20"/>
                <w:szCs w:val="20"/>
                <w:lang w:val="sr-Cyrl-RS"/>
              </w:rPr>
            </w:pPr>
          </w:p>
        </w:tc>
        <w:tc>
          <w:tcPr>
            <w:tcW w:w="446" w:type="pct"/>
            <w:shd w:val="clear" w:color="auto" w:fill="FFFFFF" w:themeFill="background1"/>
            <w:vAlign w:val="center"/>
          </w:tcPr>
          <w:p w14:paraId="1C9F6341" w14:textId="37EFB92A"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w:t>
            </w:r>
            <w:r w:rsidR="4109DC50" w:rsidRPr="1A8E6423">
              <w:rPr>
                <w:rFonts w:ascii="Arial" w:eastAsiaTheme="minorEastAsia" w:hAnsi="Arial" w:cs="Arial"/>
                <w:color w:val="000000" w:themeColor="text1"/>
                <w:sz w:val="20"/>
                <w:szCs w:val="20"/>
                <w:lang w:val="sr-Cyrl-RS"/>
              </w:rPr>
              <w:t>5</w:t>
            </w:r>
            <w:r w:rsidR="004A7468" w:rsidRPr="1A8E6423">
              <w:rPr>
                <w:rFonts w:ascii="Arial" w:eastAsiaTheme="minorEastAsia" w:hAnsi="Arial" w:cs="Arial"/>
                <w:color w:val="000000" w:themeColor="text1"/>
                <w:sz w:val="20"/>
                <w:szCs w:val="20"/>
                <w:lang w:val="sr-Cyrl-RS"/>
              </w:rPr>
              <w:t>,</w:t>
            </w:r>
            <w:r w:rsidR="4109DC50" w:rsidRPr="1A8E6423">
              <w:rPr>
                <w:rFonts w:ascii="Arial" w:eastAsiaTheme="minorEastAsia" w:hAnsi="Arial" w:cs="Arial"/>
                <w:color w:val="000000" w:themeColor="text1"/>
                <w:sz w:val="20"/>
                <w:szCs w:val="20"/>
                <w:lang w:val="sr-Cyrl-RS"/>
              </w:rPr>
              <w:t>0</w:t>
            </w:r>
            <w:r w:rsidRPr="1A8E6423">
              <w:rPr>
                <w:rFonts w:ascii="Arial" w:eastAsiaTheme="minorEastAsia" w:hAnsi="Arial" w:cs="Arial"/>
                <w:color w:val="000000" w:themeColor="text1"/>
                <w:sz w:val="20"/>
                <w:szCs w:val="20"/>
                <w:lang w:val="sr-Cyrl-RS"/>
              </w:rPr>
              <w:t>0%</w:t>
            </w:r>
          </w:p>
        </w:tc>
        <w:tc>
          <w:tcPr>
            <w:tcW w:w="446" w:type="pct"/>
            <w:shd w:val="clear" w:color="auto" w:fill="FFFFFF" w:themeFill="background1"/>
            <w:vAlign w:val="center"/>
          </w:tcPr>
          <w:p w14:paraId="29AF8444" w14:textId="54FFFA20"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w:t>
            </w:r>
            <w:r w:rsidR="1C7720B0" w:rsidRPr="1A8E6423">
              <w:rPr>
                <w:rFonts w:ascii="Arial" w:eastAsiaTheme="minorEastAsia" w:hAnsi="Arial" w:cs="Arial"/>
                <w:color w:val="000000" w:themeColor="text1"/>
                <w:sz w:val="20"/>
                <w:szCs w:val="20"/>
                <w:lang w:val="sr-Cyrl-RS"/>
              </w:rPr>
              <w:t>5</w:t>
            </w:r>
            <w:r w:rsidR="004A7468" w:rsidRPr="1A8E6423">
              <w:rPr>
                <w:rFonts w:ascii="Arial" w:eastAsiaTheme="minorEastAsia" w:hAnsi="Arial" w:cs="Arial"/>
                <w:color w:val="000000" w:themeColor="text1"/>
                <w:sz w:val="20"/>
                <w:szCs w:val="20"/>
                <w:lang w:val="sr-Cyrl-RS"/>
              </w:rPr>
              <w:t>,</w:t>
            </w:r>
            <w:r w:rsidR="1C7720B0" w:rsidRPr="1A8E6423">
              <w:rPr>
                <w:rFonts w:ascii="Arial" w:eastAsiaTheme="minorEastAsia" w:hAnsi="Arial" w:cs="Arial"/>
                <w:color w:val="000000" w:themeColor="text1"/>
                <w:sz w:val="20"/>
                <w:szCs w:val="20"/>
                <w:lang w:val="sr-Cyrl-RS"/>
              </w:rPr>
              <w:t>5</w:t>
            </w:r>
            <w:r w:rsidRPr="1A8E6423">
              <w:rPr>
                <w:rFonts w:ascii="Arial" w:eastAsiaTheme="minorEastAsia" w:hAnsi="Arial" w:cs="Arial"/>
                <w:color w:val="000000" w:themeColor="text1"/>
                <w:sz w:val="20"/>
                <w:szCs w:val="20"/>
                <w:lang w:val="sr-Cyrl-RS"/>
              </w:rPr>
              <w:t>%</w:t>
            </w:r>
          </w:p>
        </w:tc>
        <w:tc>
          <w:tcPr>
            <w:tcW w:w="387" w:type="pct"/>
            <w:shd w:val="clear" w:color="auto" w:fill="FFFFFF" w:themeFill="background1"/>
            <w:vAlign w:val="center"/>
          </w:tcPr>
          <w:p w14:paraId="4D71DB66" w14:textId="38C6662A"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w:t>
            </w:r>
            <w:r w:rsidR="1C7720B0" w:rsidRPr="1A8E6423">
              <w:rPr>
                <w:rFonts w:ascii="Arial" w:eastAsiaTheme="minorEastAsia" w:hAnsi="Arial" w:cs="Arial"/>
                <w:color w:val="000000" w:themeColor="text1"/>
                <w:sz w:val="20"/>
                <w:szCs w:val="20"/>
                <w:lang w:val="sr-Cyrl-RS"/>
              </w:rPr>
              <w:t>6</w:t>
            </w:r>
            <w:r w:rsidR="004A7468" w:rsidRPr="1A8E6423">
              <w:rPr>
                <w:rFonts w:ascii="Arial" w:eastAsiaTheme="minorEastAsia" w:hAnsi="Arial" w:cs="Arial"/>
                <w:color w:val="000000" w:themeColor="text1"/>
                <w:sz w:val="20"/>
                <w:szCs w:val="20"/>
                <w:lang w:val="sr-Cyrl-RS"/>
              </w:rPr>
              <w:t>,</w:t>
            </w:r>
            <w:r w:rsidR="1C7720B0" w:rsidRPr="1A8E6423">
              <w:rPr>
                <w:rFonts w:ascii="Arial" w:eastAsiaTheme="minorEastAsia" w:hAnsi="Arial" w:cs="Arial"/>
                <w:color w:val="000000" w:themeColor="text1"/>
                <w:sz w:val="20"/>
                <w:szCs w:val="20"/>
                <w:lang w:val="sr-Cyrl-RS"/>
              </w:rPr>
              <w:t>3</w:t>
            </w:r>
            <w:r w:rsidRPr="1A8E6423">
              <w:rPr>
                <w:rFonts w:ascii="Arial" w:eastAsiaTheme="minorEastAsia" w:hAnsi="Arial" w:cs="Arial"/>
                <w:color w:val="000000" w:themeColor="text1"/>
                <w:sz w:val="20"/>
                <w:szCs w:val="20"/>
                <w:lang w:val="sr-Cyrl-RS"/>
              </w:rPr>
              <w:t>%</w:t>
            </w:r>
          </w:p>
        </w:tc>
        <w:tc>
          <w:tcPr>
            <w:tcW w:w="379" w:type="pct"/>
            <w:gridSpan w:val="2"/>
            <w:shd w:val="clear" w:color="auto" w:fill="FFFFFF" w:themeFill="background1"/>
            <w:vAlign w:val="center"/>
          </w:tcPr>
          <w:p w14:paraId="23FAC8D3" w14:textId="567A7395" w:rsidR="00DE77AF" w:rsidRPr="00A021B7" w:rsidRDefault="00DE77AF" w:rsidP="00EB61C0">
            <w:pPr>
              <w:jc w:val="center"/>
              <w:rPr>
                <w:rFonts w:ascii="Arial" w:eastAsiaTheme="minorEastAsia" w:hAnsi="Arial" w:cs="Arial"/>
                <w:color w:val="000000" w:themeColor="text1"/>
                <w:sz w:val="20"/>
                <w:szCs w:val="20"/>
                <w:lang w:val="sr-Cyrl-RS"/>
              </w:rPr>
            </w:pPr>
            <w:r w:rsidRPr="00A021B7">
              <w:rPr>
                <w:rFonts w:ascii="Arial" w:eastAsiaTheme="minorEastAsia" w:hAnsi="Arial" w:cs="Arial"/>
                <w:color w:val="000000" w:themeColor="text1"/>
                <w:sz w:val="20"/>
                <w:szCs w:val="20"/>
                <w:lang w:val="sr-Cyrl-RS"/>
              </w:rPr>
              <w:t>1</w:t>
            </w:r>
            <w:r w:rsidR="2A2B9973" w:rsidRPr="00A021B7">
              <w:rPr>
                <w:rFonts w:ascii="Arial" w:eastAsiaTheme="minorEastAsia" w:hAnsi="Arial" w:cs="Arial"/>
                <w:color w:val="000000" w:themeColor="text1"/>
                <w:sz w:val="20"/>
                <w:szCs w:val="20"/>
                <w:lang w:val="sr-Cyrl-RS"/>
              </w:rPr>
              <w:t>7</w:t>
            </w:r>
            <w:r w:rsidRPr="00A021B7">
              <w:rPr>
                <w:rFonts w:ascii="Arial" w:eastAsiaTheme="minorEastAsia" w:hAnsi="Arial" w:cs="Arial"/>
                <w:color w:val="000000" w:themeColor="text1"/>
                <w:sz w:val="20"/>
                <w:szCs w:val="20"/>
                <w:lang w:val="sr-Cyrl-RS"/>
              </w:rPr>
              <w:t>%</w:t>
            </w:r>
          </w:p>
        </w:tc>
        <w:tc>
          <w:tcPr>
            <w:tcW w:w="380" w:type="pct"/>
            <w:shd w:val="clear" w:color="auto" w:fill="FFFFFF" w:themeFill="background1"/>
            <w:vAlign w:val="center"/>
          </w:tcPr>
          <w:p w14:paraId="66F7084A" w14:textId="04874608" w:rsidR="00DE77AF" w:rsidRPr="00A021B7" w:rsidRDefault="00DE77AF" w:rsidP="00EB61C0">
            <w:pPr>
              <w:jc w:val="center"/>
              <w:rPr>
                <w:rFonts w:ascii="Arial" w:eastAsiaTheme="minorEastAsia" w:hAnsi="Arial" w:cs="Arial"/>
                <w:color w:val="000000" w:themeColor="text1"/>
                <w:sz w:val="20"/>
                <w:szCs w:val="20"/>
                <w:lang w:val="sr-Cyrl-RS"/>
              </w:rPr>
            </w:pPr>
            <w:r w:rsidRPr="00A021B7">
              <w:rPr>
                <w:rFonts w:ascii="Arial" w:eastAsiaTheme="minorEastAsia" w:hAnsi="Arial" w:cs="Arial"/>
                <w:color w:val="000000" w:themeColor="text1"/>
                <w:sz w:val="20"/>
                <w:szCs w:val="20"/>
                <w:lang w:val="sr-Cyrl-RS"/>
              </w:rPr>
              <w:t>1</w:t>
            </w:r>
            <w:r w:rsidR="15C706B2" w:rsidRPr="00A021B7">
              <w:rPr>
                <w:rFonts w:ascii="Arial" w:eastAsiaTheme="minorEastAsia" w:hAnsi="Arial" w:cs="Arial"/>
                <w:color w:val="000000" w:themeColor="text1"/>
                <w:sz w:val="20"/>
                <w:szCs w:val="20"/>
                <w:lang w:val="sr-Cyrl-RS"/>
              </w:rPr>
              <w:t>8</w:t>
            </w:r>
            <w:r w:rsidRPr="00A021B7">
              <w:rPr>
                <w:rFonts w:ascii="Arial" w:eastAsiaTheme="minorEastAsia" w:hAnsi="Arial" w:cs="Arial"/>
                <w:color w:val="000000" w:themeColor="text1"/>
                <w:sz w:val="20"/>
                <w:szCs w:val="20"/>
                <w:lang w:val="sr-Cyrl-RS"/>
              </w:rPr>
              <w:t>%</w:t>
            </w:r>
          </w:p>
        </w:tc>
        <w:tc>
          <w:tcPr>
            <w:tcW w:w="379" w:type="pct"/>
            <w:shd w:val="clear" w:color="auto" w:fill="FFFFFF" w:themeFill="background1"/>
            <w:vAlign w:val="center"/>
          </w:tcPr>
          <w:p w14:paraId="2E05DD38" w14:textId="23D5EB40"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1</w:t>
            </w:r>
            <w:r w:rsidR="1C7720B0" w:rsidRPr="1A8E6423">
              <w:rPr>
                <w:rFonts w:ascii="Arial" w:eastAsiaTheme="minorEastAsia" w:hAnsi="Arial" w:cs="Arial"/>
                <w:color w:val="000000" w:themeColor="text1"/>
                <w:sz w:val="20"/>
                <w:szCs w:val="20"/>
                <w:lang w:val="sr-Cyrl-RS"/>
              </w:rPr>
              <w:t>8</w:t>
            </w:r>
            <w:r w:rsidR="004A7468" w:rsidRPr="1A8E6423">
              <w:rPr>
                <w:rFonts w:ascii="Arial" w:eastAsiaTheme="minorEastAsia" w:hAnsi="Arial" w:cs="Arial"/>
                <w:color w:val="000000" w:themeColor="text1"/>
                <w:sz w:val="20"/>
                <w:szCs w:val="20"/>
                <w:lang w:val="sr-Cyrl-RS"/>
              </w:rPr>
              <w:t>,</w:t>
            </w:r>
            <w:r w:rsidRPr="1A8E6423">
              <w:rPr>
                <w:rFonts w:ascii="Arial" w:eastAsiaTheme="minorEastAsia" w:hAnsi="Arial" w:cs="Arial"/>
                <w:color w:val="000000" w:themeColor="text1"/>
                <w:sz w:val="20"/>
                <w:szCs w:val="20"/>
                <w:lang w:val="sr-Cyrl-RS"/>
              </w:rPr>
              <w:t>5%</w:t>
            </w:r>
          </w:p>
        </w:tc>
        <w:tc>
          <w:tcPr>
            <w:tcW w:w="356" w:type="pct"/>
            <w:shd w:val="clear" w:color="auto" w:fill="FFFFFF" w:themeFill="background1"/>
            <w:vAlign w:val="center"/>
          </w:tcPr>
          <w:p w14:paraId="32047B1F" w14:textId="26E0C30D" w:rsidR="00DE77AF" w:rsidRPr="00A021B7" w:rsidRDefault="00DE77AF" w:rsidP="00EB61C0">
            <w:pPr>
              <w:jc w:val="center"/>
              <w:rPr>
                <w:rFonts w:ascii="Arial" w:eastAsiaTheme="minorEastAsia" w:hAnsi="Arial" w:cs="Arial"/>
                <w:color w:val="000000" w:themeColor="text1"/>
                <w:sz w:val="20"/>
                <w:szCs w:val="20"/>
                <w:lang w:val="sr-Cyrl-RS"/>
              </w:rPr>
            </w:pPr>
            <w:r w:rsidRPr="00A021B7">
              <w:rPr>
                <w:rFonts w:ascii="Arial" w:eastAsiaTheme="minorEastAsia" w:hAnsi="Arial" w:cs="Arial"/>
                <w:color w:val="000000" w:themeColor="text1"/>
                <w:sz w:val="20"/>
                <w:szCs w:val="20"/>
                <w:lang w:val="sr-Cyrl-RS"/>
              </w:rPr>
              <w:t>1</w:t>
            </w:r>
            <w:r w:rsidR="2A2B9973" w:rsidRPr="00A021B7">
              <w:rPr>
                <w:rFonts w:ascii="Arial" w:eastAsiaTheme="minorEastAsia" w:hAnsi="Arial" w:cs="Arial"/>
                <w:color w:val="000000" w:themeColor="text1"/>
                <w:sz w:val="20"/>
                <w:szCs w:val="20"/>
                <w:lang w:val="sr-Cyrl-RS"/>
              </w:rPr>
              <w:t>9</w:t>
            </w:r>
            <w:r w:rsidRPr="00A021B7">
              <w:rPr>
                <w:rFonts w:ascii="Arial" w:eastAsiaTheme="minorEastAsia" w:hAnsi="Arial" w:cs="Arial"/>
                <w:color w:val="000000" w:themeColor="text1"/>
                <w:sz w:val="20"/>
                <w:szCs w:val="20"/>
                <w:lang w:val="sr-Cyrl-RS"/>
              </w:rPr>
              <w:t>%</w:t>
            </w:r>
          </w:p>
        </w:tc>
        <w:tc>
          <w:tcPr>
            <w:tcW w:w="401" w:type="pct"/>
            <w:shd w:val="clear" w:color="auto" w:fill="FFFFFF" w:themeFill="background1"/>
            <w:vAlign w:val="center"/>
          </w:tcPr>
          <w:p w14:paraId="70F41C91" w14:textId="4F81572C" w:rsidR="00DE77AF" w:rsidRPr="00A021B7" w:rsidRDefault="2A2B9973" w:rsidP="00EB61C0">
            <w:pPr>
              <w:jc w:val="center"/>
              <w:rPr>
                <w:rFonts w:ascii="Arial" w:eastAsiaTheme="minorEastAsia" w:hAnsi="Arial" w:cs="Arial"/>
                <w:color w:val="000000" w:themeColor="text1"/>
                <w:sz w:val="20"/>
                <w:szCs w:val="20"/>
                <w:lang w:val="sr-Cyrl-RS"/>
              </w:rPr>
            </w:pPr>
            <w:r w:rsidRPr="00A021B7">
              <w:rPr>
                <w:rFonts w:ascii="Arial" w:eastAsiaTheme="minorEastAsia" w:hAnsi="Arial" w:cs="Arial"/>
                <w:color w:val="000000" w:themeColor="text1"/>
                <w:sz w:val="20"/>
                <w:szCs w:val="20"/>
                <w:lang w:val="sr-Cyrl-RS"/>
              </w:rPr>
              <w:t>20</w:t>
            </w:r>
            <w:r w:rsidR="00DE77AF" w:rsidRPr="00A021B7">
              <w:rPr>
                <w:rFonts w:ascii="Arial" w:eastAsiaTheme="minorEastAsia" w:hAnsi="Arial" w:cs="Arial"/>
                <w:color w:val="000000" w:themeColor="text1"/>
                <w:sz w:val="20"/>
                <w:szCs w:val="20"/>
                <w:lang w:val="sr-Cyrl-RS"/>
              </w:rPr>
              <w:t>%</w:t>
            </w:r>
          </w:p>
        </w:tc>
        <w:tc>
          <w:tcPr>
            <w:tcW w:w="378" w:type="pct"/>
            <w:shd w:val="clear" w:color="auto" w:fill="FFFFFF" w:themeFill="background1"/>
            <w:vAlign w:val="center"/>
          </w:tcPr>
          <w:p w14:paraId="5FF8CB61" w14:textId="447F9186" w:rsidR="00DE77AF" w:rsidRPr="00A021B7" w:rsidRDefault="2A2B9973" w:rsidP="00EB61C0">
            <w:pPr>
              <w:jc w:val="center"/>
              <w:rPr>
                <w:rFonts w:ascii="Arial" w:eastAsiaTheme="minorEastAsia" w:hAnsi="Arial" w:cs="Arial"/>
                <w:color w:val="000000" w:themeColor="text1"/>
                <w:sz w:val="20"/>
                <w:szCs w:val="20"/>
                <w:lang w:val="sr-Cyrl-RS"/>
              </w:rPr>
            </w:pPr>
            <w:r w:rsidRPr="00A021B7">
              <w:rPr>
                <w:rFonts w:ascii="Arial" w:eastAsiaTheme="minorEastAsia" w:hAnsi="Arial" w:cs="Arial"/>
                <w:color w:val="000000" w:themeColor="text1"/>
                <w:sz w:val="20"/>
                <w:szCs w:val="20"/>
                <w:lang w:val="sr-Cyrl-RS"/>
              </w:rPr>
              <w:t>21</w:t>
            </w:r>
            <w:r w:rsidR="00DE77AF" w:rsidRPr="00A021B7">
              <w:rPr>
                <w:rFonts w:ascii="Arial" w:eastAsiaTheme="minorEastAsia" w:hAnsi="Arial" w:cs="Arial"/>
                <w:color w:val="000000" w:themeColor="text1"/>
                <w:sz w:val="20"/>
                <w:szCs w:val="20"/>
                <w:lang w:val="sr-Cyrl-RS"/>
              </w:rPr>
              <w:t>%</w:t>
            </w:r>
          </w:p>
        </w:tc>
        <w:tc>
          <w:tcPr>
            <w:tcW w:w="461" w:type="pct"/>
            <w:shd w:val="clear" w:color="auto" w:fill="FFFFFF" w:themeFill="background1"/>
            <w:vAlign w:val="center"/>
          </w:tcPr>
          <w:p w14:paraId="669F26DF" w14:textId="47B28150" w:rsidR="00DE77AF" w:rsidRPr="00A021B7" w:rsidRDefault="2A2B9973" w:rsidP="00EB61C0">
            <w:pPr>
              <w:jc w:val="center"/>
              <w:rPr>
                <w:rFonts w:ascii="Arial" w:eastAsiaTheme="minorEastAsia" w:hAnsi="Arial" w:cs="Arial"/>
                <w:color w:val="000000" w:themeColor="text1"/>
                <w:sz w:val="20"/>
                <w:szCs w:val="20"/>
                <w:lang w:val="sr-Cyrl-RS"/>
              </w:rPr>
            </w:pPr>
            <w:r w:rsidRPr="00A021B7">
              <w:rPr>
                <w:rFonts w:ascii="Arial" w:eastAsiaTheme="minorEastAsia" w:hAnsi="Arial" w:cs="Arial"/>
                <w:color w:val="000000" w:themeColor="text1"/>
                <w:sz w:val="20"/>
                <w:szCs w:val="20"/>
                <w:lang w:val="sr-Cyrl-RS"/>
              </w:rPr>
              <w:t>22</w:t>
            </w:r>
            <w:r w:rsidR="00DE77AF" w:rsidRPr="00A021B7">
              <w:rPr>
                <w:rFonts w:ascii="Arial" w:eastAsiaTheme="minorEastAsia" w:hAnsi="Arial" w:cs="Arial"/>
                <w:color w:val="000000" w:themeColor="text1"/>
                <w:sz w:val="20"/>
                <w:szCs w:val="20"/>
                <w:lang w:val="sr-Cyrl-RS"/>
              </w:rPr>
              <w:t>%</w:t>
            </w:r>
          </w:p>
        </w:tc>
      </w:tr>
      <w:tr w:rsidR="00DE77AF" w:rsidRPr="00A021B7" w14:paraId="43AB1BA5" w14:textId="77777777" w:rsidTr="1A8E6423">
        <w:trPr>
          <w:trHeight w:val="160"/>
          <w:jc w:val="center"/>
        </w:trPr>
        <w:tc>
          <w:tcPr>
            <w:tcW w:w="988" w:type="pct"/>
            <w:shd w:val="clear" w:color="auto" w:fill="FFC000" w:themeFill="accent4"/>
            <w:vAlign w:val="center"/>
          </w:tcPr>
          <w:p w14:paraId="47758B94"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Процена успешности</w:t>
            </w:r>
          </w:p>
        </w:tc>
        <w:tc>
          <w:tcPr>
            <w:tcW w:w="4012" w:type="pct"/>
            <w:gridSpan w:val="11"/>
            <w:shd w:val="clear" w:color="auto" w:fill="FFFFFF" w:themeFill="background1"/>
            <w:vAlign w:val="center"/>
          </w:tcPr>
          <w:p w14:paraId="037892F9" w14:textId="5479E242"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Прихватљиво је одступање до 1</w:t>
            </w:r>
            <w:r w:rsidR="004A7468" w:rsidRPr="1A8E6423">
              <w:rPr>
                <w:rFonts w:ascii="Arial" w:eastAsiaTheme="minorEastAsia" w:hAnsi="Arial" w:cs="Arial"/>
                <w:color w:val="000000" w:themeColor="text1"/>
                <w:sz w:val="20"/>
                <w:szCs w:val="20"/>
                <w:lang w:val="sr-Cyrl-RS"/>
              </w:rPr>
              <w:t>,</w:t>
            </w:r>
            <w:r w:rsidR="57D053B2" w:rsidRPr="1A8E6423">
              <w:rPr>
                <w:rFonts w:ascii="Arial" w:eastAsiaTheme="minorEastAsia" w:hAnsi="Arial" w:cs="Arial"/>
                <w:color w:val="000000" w:themeColor="text1"/>
                <w:sz w:val="20"/>
                <w:szCs w:val="20"/>
                <w:lang w:val="sr-Cyrl-RS"/>
              </w:rPr>
              <w:t>5</w:t>
            </w:r>
            <w:r w:rsidRPr="1A8E6423">
              <w:rPr>
                <w:rFonts w:ascii="Arial" w:eastAsiaTheme="minorEastAsia" w:hAnsi="Arial" w:cs="Arial"/>
                <w:color w:val="000000" w:themeColor="text1"/>
                <w:sz w:val="20"/>
                <w:szCs w:val="20"/>
                <w:lang w:val="sr-Cyrl-RS"/>
              </w:rPr>
              <w:t>% мање у односу на циљане вредности</w:t>
            </w:r>
            <w:r w:rsidR="004A7468" w:rsidRPr="1A8E6423">
              <w:rPr>
                <w:rFonts w:ascii="Arial" w:eastAsiaTheme="minorEastAsia" w:hAnsi="Arial" w:cs="Arial"/>
                <w:color w:val="000000" w:themeColor="text1"/>
                <w:sz w:val="20"/>
                <w:szCs w:val="20"/>
                <w:lang w:val="sr-Cyrl-RS"/>
              </w:rPr>
              <w:t>.</w:t>
            </w:r>
          </w:p>
        </w:tc>
      </w:tr>
    </w:tbl>
    <w:p w14:paraId="165063D5" w14:textId="77777777" w:rsidR="00DE77AF" w:rsidRPr="00A021B7" w:rsidRDefault="00DE77AF" w:rsidP="00DE77AF">
      <w:pPr>
        <w:rPr>
          <w:rFonts w:ascii="Arial" w:hAnsi="Arial" w:cs="Arial"/>
          <w:b/>
          <w:bCs/>
          <w:color w:val="2F5496" w:themeColor="accent1" w:themeShade="BF"/>
          <w:sz w:val="20"/>
          <w:szCs w:val="20"/>
          <w:lang w:val="sr-Cyrl-RS"/>
        </w:rPr>
      </w:pPr>
    </w:p>
    <w:tbl>
      <w:tblPr>
        <w:tblW w:w="14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1410"/>
        <w:gridCol w:w="1269"/>
        <w:gridCol w:w="1829"/>
        <w:gridCol w:w="284"/>
        <w:gridCol w:w="845"/>
        <w:gridCol w:w="1269"/>
        <w:gridCol w:w="1129"/>
        <w:gridCol w:w="1129"/>
        <w:gridCol w:w="917"/>
        <w:gridCol w:w="717"/>
        <w:gridCol w:w="717"/>
      </w:tblGrid>
      <w:tr w:rsidR="00DE77AF" w:rsidRPr="00A021B7" w14:paraId="6FD9F0D9" w14:textId="77777777" w:rsidTr="1A8E6423">
        <w:trPr>
          <w:jc w:val="center"/>
        </w:trPr>
        <w:tc>
          <w:tcPr>
            <w:tcW w:w="2830" w:type="dxa"/>
            <w:shd w:val="clear" w:color="auto" w:fill="D9D9D9" w:themeFill="background1" w:themeFillShade="D9"/>
            <w:vAlign w:val="center"/>
          </w:tcPr>
          <w:p w14:paraId="2512A285" w14:textId="77777777" w:rsidR="00DE77AF" w:rsidRPr="00A021B7" w:rsidRDefault="00DE77AF" w:rsidP="00CB0C2B">
            <w:pPr>
              <w:rPr>
                <w:rFonts w:ascii="Arial" w:eastAsiaTheme="minorHAnsi" w:hAnsi="Arial" w:cs="Arial"/>
                <w:b/>
                <w:bCs/>
                <w:color w:val="000000" w:themeColor="text1"/>
                <w:sz w:val="20"/>
                <w:szCs w:val="20"/>
                <w:lang w:val="sr-Cyrl-RS"/>
              </w:rPr>
            </w:pPr>
          </w:p>
          <w:p w14:paraId="56F18E60"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Назив показатеља</w:t>
            </w:r>
          </w:p>
          <w:p w14:paraId="0BEFCC59" w14:textId="77777777" w:rsidR="00DE77AF" w:rsidRPr="00A021B7" w:rsidRDefault="00DE77AF" w:rsidP="00CB0C2B">
            <w:pPr>
              <w:rPr>
                <w:rFonts w:ascii="Arial" w:eastAsiaTheme="minorHAnsi" w:hAnsi="Arial" w:cs="Arial"/>
                <w:b/>
                <w:bCs/>
                <w:color w:val="000000" w:themeColor="text1"/>
                <w:sz w:val="20"/>
                <w:szCs w:val="20"/>
                <w:lang w:val="sr-Cyrl-RS"/>
              </w:rPr>
            </w:pPr>
          </w:p>
        </w:tc>
        <w:tc>
          <w:tcPr>
            <w:tcW w:w="11509" w:type="dxa"/>
            <w:gridSpan w:val="11"/>
            <w:shd w:val="clear" w:color="auto" w:fill="D9D9D9" w:themeFill="background1" w:themeFillShade="D9"/>
            <w:vAlign w:val="center"/>
          </w:tcPr>
          <w:p w14:paraId="097F3326" w14:textId="0AEB7559" w:rsidR="00DE77AF" w:rsidRPr="00A021B7" w:rsidRDefault="00DE77AF" w:rsidP="00CB0C2B">
            <w:pPr>
              <w:rPr>
                <w:rFonts w:ascii="Arial" w:eastAsiaTheme="minorHAnsi" w:hAnsi="Arial" w:cs="Arial"/>
                <w:b/>
                <w:iCs/>
                <w:color w:val="000000" w:themeColor="text1"/>
                <w:sz w:val="20"/>
                <w:szCs w:val="20"/>
                <w:lang w:val="sr-Cyrl-RS"/>
              </w:rPr>
            </w:pPr>
            <w:r w:rsidRPr="00A021B7">
              <w:rPr>
                <w:rFonts w:ascii="Arial" w:eastAsiaTheme="minorHAnsi" w:hAnsi="Arial" w:cs="Arial"/>
                <w:b/>
                <w:iCs/>
                <w:color w:val="000000" w:themeColor="text1"/>
                <w:sz w:val="20"/>
                <w:szCs w:val="20"/>
                <w:lang w:val="sr-Cyrl-RS"/>
              </w:rPr>
              <w:t xml:space="preserve">Капацитет ЈЛС за </w:t>
            </w:r>
            <w:r w:rsidR="00CE7F83">
              <w:rPr>
                <w:rFonts w:ascii="Arial" w:eastAsiaTheme="minorHAnsi" w:hAnsi="Arial" w:cs="Arial"/>
                <w:b/>
                <w:iCs/>
                <w:color w:val="000000" w:themeColor="text1"/>
                <w:sz w:val="20"/>
                <w:szCs w:val="20"/>
                <w:lang w:val="sr-Cyrl-RS"/>
              </w:rPr>
              <w:t xml:space="preserve">примену </w:t>
            </w:r>
            <w:r w:rsidRPr="00A021B7">
              <w:rPr>
                <w:rFonts w:ascii="Arial" w:eastAsiaTheme="minorHAnsi" w:hAnsi="Arial" w:cs="Arial"/>
                <w:b/>
                <w:iCs/>
                <w:color w:val="000000" w:themeColor="text1"/>
                <w:sz w:val="20"/>
                <w:szCs w:val="20"/>
                <w:lang w:val="sr-Cyrl-RS"/>
              </w:rPr>
              <w:t xml:space="preserve">начела доброг управљања </w:t>
            </w:r>
          </w:p>
        </w:tc>
      </w:tr>
      <w:tr w:rsidR="00DE77AF" w:rsidRPr="00A021B7" w14:paraId="2E91153F" w14:textId="77777777" w:rsidTr="1A8E6423">
        <w:trPr>
          <w:jc w:val="center"/>
        </w:trPr>
        <w:tc>
          <w:tcPr>
            <w:tcW w:w="2830" w:type="dxa"/>
            <w:shd w:val="clear" w:color="auto" w:fill="FFC000" w:themeFill="accent4"/>
            <w:vAlign w:val="center"/>
          </w:tcPr>
          <w:p w14:paraId="16F9AFF1"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Одговарајући општи, посебни циљ или мера</w:t>
            </w:r>
          </w:p>
        </w:tc>
        <w:tc>
          <w:tcPr>
            <w:tcW w:w="11509" w:type="dxa"/>
            <w:gridSpan w:val="11"/>
            <w:shd w:val="clear" w:color="auto" w:fill="auto"/>
            <w:vAlign w:val="center"/>
          </w:tcPr>
          <w:p w14:paraId="03DF74D1" w14:textId="77777777" w:rsidR="00DE77AF" w:rsidRPr="00A021B7" w:rsidRDefault="00DE77AF" w:rsidP="00CB0C2B">
            <w:pPr>
              <w:rPr>
                <w:rFonts w:ascii="Arial" w:eastAsiaTheme="minorHAnsi" w:hAnsi="Arial" w:cs="Arial"/>
                <w:color w:val="000000" w:themeColor="text1"/>
                <w:sz w:val="20"/>
                <w:szCs w:val="20"/>
                <w:lang w:val="sr-Cyrl-RS"/>
              </w:rPr>
            </w:pPr>
            <w:r w:rsidRPr="00A021B7">
              <w:rPr>
                <w:rFonts w:ascii="Arial" w:hAnsi="Arial" w:cs="Arial"/>
                <w:bCs/>
                <w:iCs/>
                <w:color w:val="000000" w:themeColor="text1"/>
                <w:kern w:val="24"/>
                <w:sz w:val="20"/>
                <w:szCs w:val="20"/>
                <w:lang w:val="sr-Cyrl-RS"/>
              </w:rPr>
              <w:t>Успостављање система локалне самоуправе који омогућава ефикасно и одрживо остваривање права грађана на локалну самоуправу</w:t>
            </w:r>
          </w:p>
        </w:tc>
      </w:tr>
      <w:tr w:rsidR="00DE77AF" w:rsidRPr="00A021B7" w14:paraId="1DDD3E88" w14:textId="77777777" w:rsidTr="1A8E6423">
        <w:trPr>
          <w:jc w:val="center"/>
        </w:trPr>
        <w:tc>
          <w:tcPr>
            <w:tcW w:w="2830" w:type="dxa"/>
            <w:shd w:val="clear" w:color="auto" w:fill="FFC000" w:themeFill="accent4"/>
            <w:vAlign w:val="center"/>
          </w:tcPr>
          <w:p w14:paraId="0EE8E8E2"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color w:val="000000" w:themeColor="text1"/>
                <w:kern w:val="24"/>
                <w:sz w:val="20"/>
                <w:szCs w:val="20"/>
                <w:lang w:val="sr-Cyrl-RS"/>
              </w:rPr>
              <w:t>Тип и ниво показатеља</w:t>
            </w:r>
          </w:p>
        </w:tc>
        <w:tc>
          <w:tcPr>
            <w:tcW w:w="4820" w:type="dxa"/>
            <w:gridSpan w:val="4"/>
            <w:shd w:val="clear" w:color="auto" w:fill="auto"/>
            <w:vAlign w:val="center"/>
          </w:tcPr>
          <w:p w14:paraId="183AD529" w14:textId="77777777" w:rsidR="00DE77AF" w:rsidRPr="00A021B7" w:rsidRDefault="00DE77AF" w:rsidP="00CB0C2B">
            <w:pPr>
              <w:rPr>
                <w:rFonts w:ascii="Arial" w:eastAsiaTheme="minorHAnsi" w:hAnsi="Arial" w:cs="Arial"/>
                <w:bCs/>
                <w:color w:val="000000" w:themeColor="text1"/>
                <w:kern w:val="24"/>
                <w:sz w:val="20"/>
                <w:szCs w:val="20"/>
                <w:lang w:val="sr-Cyrl-RS"/>
              </w:rPr>
            </w:pPr>
            <w:r w:rsidRPr="00A021B7">
              <w:rPr>
                <w:rFonts w:ascii="Arial" w:eastAsiaTheme="minorHAnsi" w:hAnsi="Arial" w:cs="Arial"/>
                <w:bCs/>
                <w:color w:val="000000" w:themeColor="text1"/>
                <w:kern w:val="24"/>
                <w:sz w:val="20"/>
                <w:szCs w:val="20"/>
                <w:lang w:val="sr-Cyrl-RS"/>
              </w:rPr>
              <w:t>Квалитативни</w:t>
            </w:r>
          </w:p>
        </w:tc>
        <w:tc>
          <w:tcPr>
            <w:tcW w:w="6689" w:type="dxa"/>
            <w:gridSpan w:val="7"/>
            <w:shd w:val="clear" w:color="auto" w:fill="auto"/>
            <w:vAlign w:val="center"/>
          </w:tcPr>
          <w:p w14:paraId="24103C12" w14:textId="77777777" w:rsidR="00DE77AF" w:rsidRPr="00A021B7" w:rsidRDefault="00DE77AF" w:rsidP="00CB0C2B">
            <w:pPr>
              <w:rPr>
                <w:rFonts w:ascii="Arial" w:eastAsiaTheme="minorHAnsi" w:hAnsi="Arial" w:cs="Arial"/>
                <w:bCs/>
                <w:color w:val="000000" w:themeColor="text1"/>
                <w:kern w:val="24"/>
                <w:sz w:val="20"/>
                <w:szCs w:val="20"/>
                <w:lang w:val="sr-Cyrl-RS"/>
              </w:rPr>
            </w:pPr>
            <w:r w:rsidRPr="00A021B7">
              <w:rPr>
                <w:rFonts w:ascii="Arial" w:eastAsiaTheme="minorHAnsi" w:hAnsi="Arial" w:cs="Arial"/>
                <w:bCs/>
                <w:color w:val="000000" w:themeColor="text1"/>
                <w:kern w:val="24"/>
                <w:sz w:val="20"/>
                <w:szCs w:val="20"/>
                <w:lang w:val="sr-Cyrl-RS"/>
              </w:rPr>
              <w:t>Показатељ исхода</w:t>
            </w:r>
          </w:p>
        </w:tc>
      </w:tr>
      <w:tr w:rsidR="00DE77AF" w:rsidRPr="00A021B7" w14:paraId="76763EA8" w14:textId="77777777" w:rsidTr="1A8E6423">
        <w:trPr>
          <w:trHeight w:val="373"/>
          <w:jc w:val="center"/>
        </w:trPr>
        <w:tc>
          <w:tcPr>
            <w:tcW w:w="2830" w:type="dxa"/>
            <w:shd w:val="clear" w:color="auto" w:fill="FFC000" w:themeFill="accent4"/>
            <w:vAlign w:val="center"/>
          </w:tcPr>
          <w:p w14:paraId="4BB49F87" w14:textId="77777777" w:rsidR="00DE77AF" w:rsidRPr="00A021B7" w:rsidRDefault="00DE77AF" w:rsidP="00CB0C2B">
            <w:pPr>
              <w:rPr>
                <w:rFonts w:ascii="Arial" w:eastAsiaTheme="minorHAnsi" w:hAnsi="Arial" w:cs="Arial"/>
                <w:b/>
                <w:color w:val="000000" w:themeColor="text1"/>
                <w:kern w:val="24"/>
                <w:sz w:val="20"/>
                <w:szCs w:val="20"/>
                <w:lang w:val="sr-Cyrl-RS"/>
              </w:rPr>
            </w:pPr>
            <w:r w:rsidRPr="00A021B7">
              <w:rPr>
                <w:rFonts w:ascii="Arial" w:eastAsiaTheme="minorHAnsi" w:hAnsi="Arial" w:cs="Arial"/>
                <w:b/>
                <w:color w:val="000000" w:themeColor="text1"/>
                <w:kern w:val="24"/>
                <w:sz w:val="20"/>
                <w:szCs w:val="20"/>
                <w:lang w:val="sr-Cyrl-RS"/>
              </w:rPr>
              <w:t>Јединица мере и природа</w:t>
            </w:r>
          </w:p>
        </w:tc>
        <w:tc>
          <w:tcPr>
            <w:tcW w:w="4820" w:type="dxa"/>
            <w:gridSpan w:val="4"/>
            <w:shd w:val="clear" w:color="auto" w:fill="auto"/>
            <w:vAlign w:val="center"/>
          </w:tcPr>
          <w:p w14:paraId="6B58D9C1" w14:textId="669A707E" w:rsidR="00DE77AF" w:rsidRPr="00A021B7" w:rsidRDefault="00DE77AF" w:rsidP="1A8E6423">
            <w:pPr>
              <w:tabs>
                <w:tab w:val="left" w:pos="152"/>
              </w:tabs>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kern w:val="24"/>
                <w:sz w:val="20"/>
                <w:szCs w:val="20"/>
                <w:lang w:val="sr-Cyrl-RS"/>
              </w:rPr>
              <w:t xml:space="preserve">Индекс </w:t>
            </w:r>
            <w:r w:rsidR="749335FC" w:rsidRPr="1A8E6423">
              <w:rPr>
                <w:rFonts w:ascii="Arial" w:eastAsiaTheme="minorEastAsia" w:hAnsi="Arial" w:cs="Arial"/>
                <w:color w:val="000000" w:themeColor="text1"/>
                <w:kern w:val="24"/>
                <w:sz w:val="20"/>
                <w:szCs w:val="20"/>
                <w:lang w:val="sr-Cyrl-RS"/>
              </w:rPr>
              <w:t>–</w:t>
            </w:r>
            <w:r w:rsidRPr="1A8E6423">
              <w:rPr>
                <w:rFonts w:ascii="Arial" w:eastAsiaTheme="minorEastAsia" w:hAnsi="Arial" w:cs="Arial"/>
                <w:color w:val="000000" w:themeColor="text1"/>
                <w:kern w:val="24"/>
                <w:sz w:val="20"/>
                <w:szCs w:val="20"/>
                <w:lang w:val="sr-Cyrl-RS"/>
              </w:rPr>
              <w:t xml:space="preserve"> композитни показатељи (сет различитих показатеља у посебној методологији прављеној за потребе СКГО)</w:t>
            </w:r>
          </w:p>
        </w:tc>
        <w:tc>
          <w:tcPr>
            <w:tcW w:w="6689" w:type="dxa"/>
            <w:gridSpan w:val="7"/>
            <w:shd w:val="clear" w:color="auto" w:fill="auto"/>
            <w:vAlign w:val="center"/>
          </w:tcPr>
          <w:p w14:paraId="4AA6A78A" w14:textId="77777777" w:rsidR="00DE77AF" w:rsidRPr="00A021B7" w:rsidRDefault="00DE77AF" w:rsidP="00CB0C2B">
            <w:pPr>
              <w:rPr>
                <w:rFonts w:ascii="Arial" w:eastAsia="Arial" w:hAnsi="Arial" w:cs="Arial"/>
                <w:color w:val="000000" w:themeColor="text1"/>
                <w:spacing w:val="-1"/>
                <w:kern w:val="24"/>
                <w:sz w:val="20"/>
                <w:szCs w:val="20"/>
                <w:lang w:val="sr-Cyrl-RS"/>
              </w:rPr>
            </w:pPr>
            <w:r w:rsidRPr="00A021B7">
              <w:rPr>
                <w:rFonts w:ascii="Arial" w:eastAsia="Arial" w:hAnsi="Arial" w:cs="Arial"/>
                <w:color w:val="000000" w:themeColor="text1"/>
                <w:spacing w:val="-1"/>
                <w:kern w:val="24"/>
                <w:sz w:val="20"/>
                <w:szCs w:val="20"/>
                <w:lang w:val="sr-Cyrl-RS"/>
              </w:rPr>
              <w:t>Пожељна је већа вредност</w:t>
            </w:r>
          </w:p>
        </w:tc>
      </w:tr>
      <w:tr w:rsidR="00DE77AF" w:rsidRPr="00A021B7" w14:paraId="301061D6" w14:textId="77777777" w:rsidTr="1A8E6423">
        <w:trPr>
          <w:jc w:val="center"/>
        </w:trPr>
        <w:tc>
          <w:tcPr>
            <w:tcW w:w="2830" w:type="dxa"/>
            <w:shd w:val="clear" w:color="auto" w:fill="FFC000" w:themeFill="accent4"/>
            <w:vAlign w:val="center"/>
          </w:tcPr>
          <w:p w14:paraId="314EB7F5"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Извор података за праћење показатеља учинка</w:t>
            </w:r>
          </w:p>
        </w:tc>
        <w:tc>
          <w:tcPr>
            <w:tcW w:w="11509" w:type="dxa"/>
            <w:gridSpan w:val="11"/>
            <w:shd w:val="clear" w:color="auto" w:fill="auto"/>
            <w:vAlign w:val="center"/>
          </w:tcPr>
          <w:p w14:paraId="33F3EE79" w14:textId="77777777" w:rsidR="00DE77AF" w:rsidRPr="00A021B7" w:rsidRDefault="00DE77AF" w:rsidP="00CB0C2B">
            <w:pP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Подаци из индекса добре управе СКГО</w:t>
            </w:r>
          </w:p>
        </w:tc>
      </w:tr>
      <w:tr w:rsidR="00DE77AF" w:rsidRPr="00A021B7" w14:paraId="57B973CA" w14:textId="77777777" w:rsidTr="1A8E6423">
        <w:trPr>
          <w:jc w:val="center"/>
        </w:trPr>
        <w:tc>
          <w:tcPr>
            <w:tcW w:w="2830" w:type="dxa"/>
            <w:shd w:val="clear" w:color="auto" w:fill="FFC000" w:themeFill="accent4"/>
            <w:vAlign w:val="center"/>
          </w:tcPr>
          <w:p w14:paraId="7F862C53"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Назив носиоца прикупљања података</w:t>
            </w:r>
          </w:p>
        </w:tc>
        <w:tc>
          <w:tcPr>
            <w:tcW w:w="11509" w:type="dxa"/>
            <w:gridSpan w:val="11"/>
            <w:shd w:val="clear" w:color="auto" w:fill="FFFFFF" w:themeFill="background1"/>
            <w:vAlign w:val="center"/>
          </w:tcPr>
          <w:p w14:paraId="595F6755" w14:textId="77777777" w:rsidR="00DE77AF" w:rsidRPr="00A021B7" w:rsidRDefault="00DE77AF" w:rsidP="00CB0C2B">
            <w:pPr>
              <w:rPr>
                <w:rFonts w:ascii="Arial" w:eastAsiaTheme="minorHAnsi" w:hAnsi="Arial" w:cs="Arial"/>
                <w:sz w:val="20"/>
                <w:szCs w:val="20"/>
                <w:lang w:val="sr-Cyrl-RS"/>
              </w:rPr>
            </w:pPr>
          </w:p>
          <w:p w14:paraId="3C0C1965" w14:textId="51F07287"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СКГО, Марко Томашевић, </w:t>
            </w:r>
            <w:hyperlink r:id="rId29">
              <w:r w:rsidRPr="1A8E6423">
                <w:rPr>
                  <w:rStyle w:val="Hyperlink"/>
                  <w:rFonts w:ascii="Arial" w:eastAsiaTheme="minorEastAsia" w:hAnsi="Arial" w:cs="Arial"/>
                  <w:sz w:val="20"/>
                  <w:szCs w:val="20"/>
                  <w:lang w:val="sr-Cyrl-RS"/>
                </w:rPr>
                <w:t>marko.tomasevic@skgo.org</w:t>
              </w:r>
            </w:hyperlink>
          </w:p>
          <w:p w14:paraId="373718A6" w14:textId="77777777" w:rsidR="00DE77AF" w:rsidRPr="00A021B7" w:rsidRDefault="00DE77AF" w:rsidP="00CB0C2B">
            <w:pPr>
              <w:rPr>
                <w:rFonts w:ascii="Arial" w:eastAsiaTheme="minorHAnsi" w:hAnsi="Arial" w:cs="Arial"/>
                <w:i/>
                <w:iCs/>
                <w:sz w:val="20"/>
                <w:szCs w:val="20"/>
                <w:lang w:val="sr-Cyrl-RS"/>
              </w:rPr>
            </w:pPr>
          </w:p>
        </w:tc>
      </w:tr>
      <w:tr w:rsidR="00DE77AF" w:rsidRPr="00A021B7" w14:paraId="070742CA" w14:textId="77777777" w:rsidTr="1A8E6423">
        <w:trPr>
          <w:jc w:val="center"/>
        </w:trPr>
        <w:tc>
          <w:tcPr>
            <w:tcW w:w="2830" w:type="dxa"/>
            <w:shd w:val="clear" w:color="auto" w:fill="FFC000" w:themeFill="accent4"/>
            <w:vAlign w:val="center"/>
          </w:tcPr>
          <w:p w14:paraId="009C0446"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Учесталост прикупљања података</w:t>
            </w:r>
          </w:p>
        </w:tc>
        <w:tc>
          <w:tcPr>
            <w:tcW w:w="11509" w:type="dxa"/>
            <w:gridSpan w:val="11"/>
            <w:shd w:val="clear" w:color="auto" w:fill="FFFFFF" w:themeFill="background1"/>
            <w:vAlign w:val="center"/>
          </w:tcPr>
          <w:p w14:paraId="7C5C9684" w14:textId="2FFA9438" w:rsidR="00DE77AF" w:rsidRPr="00A021B7" w:rsidRDefault="00DE77AF" w:rsidP="1A8E6423">
            <w:pPr>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Пода</w:t>
            </w:r>
            <w:r w:rsidR="4109DC50" w:rsidRPr="1A8E6423">
              <w:rPr>
                <w:rFonts w:ascii="Arial" w:eastAsiaTheme="minorEastAsia" w:hAnsi="Arial" w:cs="Arial"/>
                <w:sz w:val="20"/>
                <w:szCs w:val="20"/>
                <w:lang w:val="sr-Cyrl-RS"/>
              </w:rPr>
              <w:t>ц</w:t>
            </w:r>
            <w:r w:rsidRPr="1A8E6423">
              <w:rPr>
                <w:rFonts w:ascii="Arial" w:eastAsiaTheme="minorEastAsia" w:hAnsi="Arial" w:cs="Arial"/>
                <w:sz w:val="20"/>
                <w:szCs w:val="20"/>
                <w:lang w:val="sr-Cyrl-RS"/>
              </w:rPr>
              <w:t>и се прикупљају до 31</w:t>
            </w:r>
            <w:r w:rsidR="749335F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децембра почев од 2021. године</w:t>
            </w:r>
            <w:r w:rsidR="749335F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и то сваке 2 године на репрезентативном у</w:t>
            </w:r>
            <w:r w:rsidR="7CFF06BD" w:rsidRPr="1A8E6423">
              <w:rPr>
                <w:rFonts w:ascii="Arial" w:eastAsiaTheme="minorEastAsia" w:hAnsi="Arial" w:cs="Arial"/>
                <w:sz w:val="20"/>
                <w:szCs w:val="20"/>
                <w:lang w:val="sr-Cyrl-RS"/>
              </w:rPr>
              <w:t>з</w:t>
            </w:r>
            <w:r w:rsidRPr="1A8E6423">
              <w:rPr>
                <w:rFonts w:ascii="Arial" w:eastAsiaTheme="minorEastAsia" w:hAnsi="Arial" w:cs="Arial"/>
                <w:sz w:val="20"/>
                <w:szCs w:val="20"/>
                <w:lang w:val="sr-Cyrl-RS"/>
              </w:rPr>
              <w:t xml:space="preserve">орку од минимум 30 ЈЛС (20%). Током 2021. године планирано је мерење на узорку од 60 ЈЛС (прво је било 2018. године). </w:t>
            </w:r>
          </w:p>
        </w:tc>
      </w:tr>
      <w:tr w:rsidR="00DE77AF" w:rsidRPr="00A021B7" w14:paraId="0435C924" w14:textId="77777777" w:rsidTr="1A8E6423">
        <w:trPr>
          <w:trHeight w:val="530"/>
          <w:jc w:val="center"/>
        </w:trPr>
        <w:tc>
          <w:tcPr>
            <w:tcW w:w="283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99EF90" w14:textId="77777777" w:rsidR="00DE77AF" w:rsidRPr="00A021B7" w:rsidRDefault="00DE77AF" w:rsidP="00CB0C2B">
            <w:pPr>
              <w:rPr>
                <w:rFonts w:ascii="Arial" w:eastAsiaTheme="minorHAnsi" w:hAnsi="Arial" w:cs="Arial"/>
                <w:b/>
                <w:sz w:val="20"/>
                <w:szCs w:val="20"/>
                <w:lang w:val="sr-Cyrl-RS"/>
              </w:rPr>
            </w:pPr>
            <w:r w:rsidRPr="00A021B7">
              <w:rPr>
                <w:rFonts w:ascii="Arial" w:eastAsiaTheme="minorHAnsi" w:hAnsi="Arial" w:cs="Arial"/>
                <w:b/>
                <w:sz w:val="20"/>
                <w:szCs w:val="20"/>
                <w:lang w:val="sr-Cyrl-RS"/>
              </w:rPr>
              <w:t>Кратак опис показатеља и методологије израчунавања</w:t>
            </w:r>
          </w:p>
          <w:p w14:paraId="78883948" w14:textId="6EFC1D6A" w:rsidR="00DE77AF" w:rsidRPr="00A021B7" w:rsidRDefault="00DE77AF" w:rsidP="1A8E6423">
            <w:pPr>
              <w:rPr>
                <w:rFonts w:ascii="Arial" w:eastAsiaTheme="minorEastAsia" w:hAnsi="Arial" w:cs="Arial"/>
                <w:b/>
                <w:bCs/>
                <w:sz w:val="20"/>
                <w:szCs w:val="20"/>
                <w:lang w:val="sr-Cyrl-RS"/>
              </w:rPr>
            </w:pPr>
            <w:r w:rsidRPr="1A8E6423">
              <w:rPr>
                <w:rFonts w:ascii="Arial" w:eastAsiaTheme="minorEastAsia" w:hAnsi="Arial" w:cs="Arial"/>
                <w:b/>
                <w:bCs/>
                <w:sz w:val="20"/>
                <w:szCs w:val="20"/>
                <w:lang w:val="sr-Cyrl-RS"/>
              </w:rPr>
              <w:t>(формуле/једначине)</w:t>
            </w:r>
          </w:p>
        </w:tc>
        <w:tc>
          <w:tcPr>
            <w:tcW w:w="11509"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746C" w14:textId="092010D6" w:rsidR="00DE77AF" w:rsidRPr="00A021B7" w:rsidRDefault="00DE77AF" w:rsidP="1A8E6423">
            <w:pPr>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Овај показатељ показује степен просечног капацитета ЈЛС за испуњавање појединачних административних, функционалних и процесних захтева који се пред њих постављају, ради примене начела доброг управљања и уочавања недостатака у тој примени.</w:t>
            </w:r>
          </w:p>
          <w:p w14:paraId="3521110D" w14:textId="79089CDF" w:rsidR="00DE77AF" w:rsidRPr="00A021B7" w:rsidRDefault="00DE77AF" w:rsidP="1A8E6423">
            <w:pPr>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Композитни индекс који за сваку појединачну локалну самоуправу показује разлику између 1) тренутног </w:t>
            </w:r>
            <w:r w:rsidR="749335F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достигнутог и 2) пожељног – </w:t>
            </w:r>
            <w:r w:rsidR="749335F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идеалног” стања добре управе, према унапред одређеним параметрима. Исказује се у процентима у односу на максимални могућ</w:t>
            </w:r>
            <w:r w:rsidR="749335FC"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скор. Индекс обухвата укупно 134 показатеља у пет области добре управе: (1) </w:t>
            </w:r>
            <w:r w:rsidR="749335FC" w:rsidRPr="1A8E6423">
              <w:rPr>
                <w:rFonts w:ascii="Arial" w:eastAsiaTheme="minorEastAsia" w:hAnsi="Arial" w:cs="Arial"/>
                <w:sz w:val="20"/>
                <w:szCs w:val="20"/>
                <w:lang w:val="sr-Cyrl-RS"/>
              </w:rPr>
              <w:t>о</w:t>
            </w:r>
            <w:r w:rsidRPr="1A8E6423">
              <w:rPr>
                <w:rFonts w:ascii="Arial" w:eastAsiaTheme="minorEastAsia" w:hAnsi="Arial" w:cs="Arial"/>
                <w:sz w:val="20"/>
                <w:szCs w:val="20"/>
                <w:lang w:val="sr-Cyrl-RS"/>
              </w:rPr>
              <w:t xml:space="preserve">дговорност; (2) </w:t>
            </w:r>
            <w:r w:rsidR="749335FC" w:rsidRPr="1A8E6423">
              <w:rPr>
                <w:rFonts w:ascii="Arial" w:eastAsiaTheme="minorEastAsia" w:hAnsi="Arial" w:cs="Arial"/>
                <w:sz w:val="20"/>
                <w:szCs w:val="20"/>
                <w:lang w:val="sr-Cyrl-RS"/>
              </w:rPr>
              <w:t>т</w:t>
            </w:r>
            <w:r w:rsidRPr="1A8E6423">
              <w:rPr>
                <w:rFonts w:ascii="Arial" w:eastAsiaTheme="minorEastAsia" w:hAnsi="Arial" w:cs="Arial"/>
                <w:sz w:val="20"/>
                <w:szCs w:val="20"/>
                <w:lang w:val="sr-Cyrl-RS"/>
              </w:rPr>
              <w:t xml:space="preserve">ранспарентност и партиципација; (3) </w:t>
            </w:r>
            <w:r w:rsidR="749335FC" w:rsidRPr="1A8E6423">
              <w:rPr>
                <w:rFonts w:ascii="Arial" w:eastAsiaTheme="minorEastAsia" w:hAnsi="Arial" w:cs="Arial"/>
                <w:sz w:val="20"/>
                <w:szCs w:val="20"/>
                <w:lang w:val="sr-Cyrl-RS"/>
              </w:rPr>
              <w:t>р</w:t>
            </w:r>
            <w:r w:rsidRPr="1A8E6423">
              <w:rPr>
                <w:rFonts w:ascii="Arial" w:eastAsiaTheme="minorEastAsia" w:hAnsi="Arial" w:cs="Arial"/>
                <w:sz w:val="20"/>
                <w:szCs w:val="20"/>
                <w:lang w:val="sr-Cyrl-RS"/>
              </w:rPr>
              <w:t xml:space="preserve">авноправност; (4) </w:t>
            </w:r>
            <w:r w:rsidR="749335FC" w:rsidRPr="1A8E6423">
              <w:rPr>
                <w:rFonts w:ascii="Arial" w:eastAsiaTheme="minorEastAsia" w:hAnsi="Arial" w:cs="Arial"/>
                <w:sz w:val="20"/>
                <w:szCs w:val="20"/>
                <w:lang w:val="sr-Cyrl-RS"/>
              </w:rPr>
              <w:t>п</w:t>
            </w:r>
            <w:r w:rsidRPr="1A8E6423">
              <w:rPr>
                <w:rFonts w:ascii="Arial" w:eastAsiaTheme="minorEastAsia" w:hAnsi="Arial" w:cs="Arial"/>
                <w:sz w:val="20"/>
                <w:szCs w:val="20"/>
                <w:lang w:val="sr-Cyrl-RS"/>
              </w:rPr>
              <w:t xml:space="preserve">редвидивост, економичност/ефикасност и делотворност локалне самоуправе и (5) </w:t>
            </w:r>
            <w:r w:rsidR="749335FC" w:rsidRPr="1A8E6423">
              <w:rPr>
                <w:rFonts w:ascii="Arial" w:eastAsiaTheme="minorEastAsia" w:hAnsi="Arial" w:cs="Arial"/>
                <w:sz w:val="20"/>
                <w:szCs w:val="20"/>
                <w:lang w:val="sr-Cyrl-RS"/>
              </w:rPr>
              <w:t>а</w:t>
            </w:r>
            <w:r w:rsidRPr="1A8E6423">
              <w:rPr>
                <w:rFonts w:ascii="Arial" w:eastAsiaTheme="minorEastAsia" w:hAnsi="Arial" w:cs="Arial"/>
                <w:sz w:val="20"/>
                <w:szCs w:val="20"/>
                <w:lang w:val="sr-Cyrl-RS"/>
              </w:rPr>
              <w:t>нтикорупција. Мерења вредности индекса се спроводе на репрезентативном узорку локалних самоуправа.</w:t>
            </w:r>
          </w:p>
          <w:p w14:paraId="707644AE" w14:textId="4A2F165D" w:rsidR="00DE77AF" w:rsidRPr="00A021B7" w:rsidRDefault="00DE77AF" w:rsidP="1A8E6423">
            <w:pPr>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Индекс служи за самопроцењивање од стране градова и општина</w:t>
            </w:r>
            <w:r w:rsidR="749335F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а може</w:t>
            </w:r>
            <w:r w:rsidR="749335FC" w:rsidRPr="1A8E6423">
              <w:rPr>
                <w:rFonts w:ascii="Arial" w:eastAsiaTheme="minorEastAsia" w:hAnsi="Arial" w:cs="Arial"/>
                <w:sz w:val="20"/>
                <w:szCs w:val="20"/>
                <w:lang w:val="sr-Cyrl-RS"/>
              </w:rPr>
              <w:t xml:space="preserve"> се</w:t>
            </w:r>
            <w:r w:rsidRPr="1A8E6423">
              <w:rPr>
                <w:rFonts w:ascii="Arial" w:eastAsiaTheme="minorEastAsia" w:hAnsi="Arial" w:cs="Arial"/>
                <w:sz w:val="20"/>
                <w:szCs w:val="20"/>
                <w:lang w:val="sr-Cyrl-RS"/>
              </w:rPr>
              <w:t xml:space="preserve"> користити и за независну екстерну процену. </w:t>
            </w:r>
            <w:r w:rsidR="749335FC" w:rsidRPr="1A8E6423">
              <w:rPr>
                <w:rFonts w:ascii="Arial" w:eastAsiaTheme="minorEastAsia" w:hAnsi="Arial" w:cs="Arial"/>
                <w:sz w:val="20"/>
                <w:szCs w:val="20"/>
                <w:lang w:val="sr-Cyrl-RS"/>
              </w:rPr>
              <w:t>С обзиром на</w:t>
            </w:r>
            <w:r w:rsidRPr="1A8E6423">
              <w:rPr>
                <w:rFonts w:ascii="Arial" w:eastAsiaTheme="minorEastAsia" w:hAnsi="Arial" w:cs="Arial"/>
                <w:sz w:val="20"/>
                <w:szCs w:val="20"/>
                <w:lang w:val="sr-Cyrl-RS"/>
              </w:rPr>
              <w:t xml:space="preserve"> карактер и функцију овог индекса, његова садржина прати еволуцију система јавне управе и усклађује се са њом како би овај алат могао да прати капацитет ЛС у складу са актуелним захтевима из јавних политика и прописа и </w:t>
            </w:r>
            <w:r w:rsidRPr="1A8E6423">
              <w:rPr>
                <w:rFonts w:ascii="Arial" w:eastAsiaTheme="minorEastAsia" w:hAnsi="Arial" w:cs="Arial"/>
                <w:sz w:val="20"/>
                <w:szCs w:val="20"/>
                <w:lang w:val="sr-Cyrl-RS"/>
              </w:rPr>
              <w:lastRenderedPageBreak/>
              <w:t>са најбољом праксом. Кретање</w:t>
            </w:r>
            <w:r w:rsidR="215BC5BE" w:rsidRPr="1A8E6423">
              <w:rPr>
                <w:rFonts w:ascii="Arial" w:eastAsiaTheme="minorEastAsia" w:hAnsi="Arial" w:cs="Arial"/>
                <w:sz w:val="20"/>
                <w:szCs w:val="20"/>
                <w:lang w:val="sr-Cyrl-RS"/>
              </w:rPr>
              <w:t xml:space="preserve"> на индексу</w:t>
            </w:r>
            <w:r w:rsidRPr="1A8E6423">
              <w:rPr>
                <w:rFonts w:ascii="Arial" w:eastAsiaTheme="minorEastAsia" w:hAnsi="Arial" w:cs="Arial"/>
                <w:sz w:val="20"/>
                <w:szCs w:val="20"/>
                <w:lang w:val="sr-Cyrl-RS"/>
              </w:rPr>
              <w:t xml:space="preserve"> се</w:t>
            </w:r>
            <w:r w:rsidR="3FE72D75" w:rsidRPr="1A8E6423">
              <w:rPr>
                <w:rFonts w:ascii="Arial" w:eastAsiaTheme="minorEastAsia" w:hAnsi="Arial" w:cs="Arial"/>
                <w:sz w:val="20"/>
                <w:szCs w:val="20"/>
                <w:lang w:val="sr-Cyrl-RS"/>
              </w:rPr>
              <w:t xml:space="preserve"> прати кроз периодичну</w:t>
            </w:r>
            <w:r w:rsidR="3170C3BD" w:rsidRPr="1A8E6423">
              <w:rPr>
                <w:rFonts w:ascii="Arial" w:eastAsiaTheme="minorEastAsia" w:hAnsi="Arial" w:cs="Arial"/>
                <w:sz w:val="20"/>
                <w:szCs w:val="20"/>
                <w:lang w:val="sr-Cyrl-RS"/>
              </w:rPr>
              <w:t xml:space="preserve"> (двогодишњу)</w:t>
            </w:r>
            <w:r w:rsidR="3FE72D75" w:rsidRPr="1A8E6423">
              <w:rPr>
                <w:rFonts w:ascii="Arial" w:eastAsiaTheme="minorEastAsia" w:hAnsi="Arial" w:cs="Arial"/>
                <w:sz w:val="20"/>
                <w:szCs w:val="20"/>
                <w:lang w:val="sr-Cyrl-RS"/>
              </w:rPr>
              <w:t xml:space="preserve"> екстерну процену од стране СКГО</w:t>
            </w:r>
            <w:r w:rsidRPr="1A8E6423">
              <w:rPr>
                <w:rFonts w:ascii="Arial" w:eastAsiaTheme="minorEastAsia" w:hAnsi="Arial" w:cs="Arial"/>
                <w:sz w:val="20"/>
                <w:szCs w:val="20"/>
                <w:lang w:val="sr-Cyrl-RS"/>
              </w:rPr>
              <w:t xml:space="preserve"> </w:t>
            </w:r>
            <w:r w:rsidR="3FE72D75" w:rsidRPr="1A8E6423">
              <w:rPr>
                <w:rFonts w:ascii="Arial" w:eastAsiaTheme="minorEastAsia" w:hAnsi="Arial" w:cs="Arial"/>
                <w:sz w:val="20"/>
                <w:szCs w:val="20"/>
                <w:lang w:val="sr-Cyrl-RS"/>
              </w:rPr>
              <w:t xml:space="preserve">и мери </w:t>
            </w:r>
            <w:r w:rsidRPr="1A8E6423">
              <w:rPr>
                <w:rFonts w:ascii="Arial" w:eastAsiaTheme="minorEastAsia" w:hAnsi="Arial" w:cs="Arial"/>
                <w:sz w:val="20"/>
                <w:szCs w:val="20"/>
                <w:lang w:val="sr-Cyrl-RS"/>
              </w:rPr>
              <w:t>као процентуално стање на нивоу узорка ЈЛС.</w:t>
            </w:r>
          </w:p>
        </w:tc>
      </w:tr>
      <w:tr w:rsidR="00DE77AF" w:rsidRPr="00A021B7" w14:paraId="64C3BC21" w14:textId="77777777" w:rsidTr="1A8E6423">
        <w:trPr>
          <w:trHeight w:val="265"/>
          <w:jc w:val="center"/>
        </w:trPr>
        <w:tc>
          <w:tcPr>
            <w:tcW w:w="2830" w:type="dxa"/>
            <w:vMerge w:val="restart"/>
            <w:shd w:val="clear" w:color="auto" w:fill="FFC000" w:themeFill="accent4"/>
            <w:vAlign w:val="center"/>
          </w:tcPr>
          <w:p w14:paraId="1E721C5B" w14:textId="53CDC938" w:rsidR="00DE77AF" w:rsidRPr="00A021B7" w:rsidRDefault="00DE77AF" w:rsidP="1A8E6423">
            <w:pPr>
              <w:rPr>
                <w:rFonts w:ascii="Arial" w:eastAsiaTheme="minorEastAsia" w:hAnsi="Arial" w:cs="Arial"/>
                <w:b/>
                <w:bCs/>
                <w:sz w:val="20"/>
                <w:szCs w:val="20"/>
                <w:lang w:val="sr-Cyrl-RS"/>
              </w:rPr>
            </w:pPr>
            <w:r w:rsidRPr="1A8E6423">
              <w:rPr>
                <w:rFonts w:ascii="Arial" w:eastAsiaTheme="minorEastAsia" w:hAnsi="Arial" w:cs="Arial"/>
                <w:b/>
                <w:bCs/>
                <w:sz w:val="20"/>
                <w:szCs w:val="20"/>
                <w:lang w:val="sr-Cyrl-RS"/>
              </w:rPr>
              <w:lastRenderedPageBreak/>
              <w:t xml:space="preserve">Подаци о полазној вредности и години кад је измерена, као и </w:t>
            </w:r>
            <w:r w:rsidR="007F2DA5" w:rsidRPr="1A8E6423">
              <w:rPr>
                <w:rFonts w:ascii="Arial" w:eastAsiaTheme="minorEastAsia" w:hAnsi="Arial" w:cs="Arial"/>
                <w:b/>
                <w:bCs/>
                <w:sz w:val="20"/>
                <w:szCs w:val="20"/>
                <w:lang w:val="sr-Cyrl-RS"/>
              </w:rPr>
              <w:t xml:space="preserve">о </w:t>
            </w:r>
            <w:r w:rsidRPr="1A8E6423">
              <w:rPr>
                <w:rFonts w:ascii="Arial" w:eastAsiaTheme="minorEastAsia" w:hAnsi="Arial" w:cs="Arial"/>
                <w:b/>
                <w:bCs/>
                <w:sz w:val="20"/>
                <w:szCs w:val="20"/>
                <w:lang w:val="sr-Cyrl-RS"/>
              </w:rPr>
              <w:t>тренду у прошлости</w:t>
            </w:r>
          </w:p>
        </w:tc>
        <w:tc>
          <w:tcPr>
            <w:tcW w:w="9214" w:type="dxa"/>
            <w:gridSpan w:val="8"/>
            <w:tcBorders>
              <w:bottom w:val="single" w:sz="4" w:space="0" w:color="auto"/>
            </w:tcBorders>
            <w:shd w:val="clear" w:color="auto" w:fill="FFFFFF" w:themeFill="background1"/>
            <w:vAlign w:val="center"/>
          </w:tcPr>
          <w:p w14:paraId="1AB6A454" w14:textId="77777777"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Тренд у прошлости</w:t>
            </w:r>
          </w:p>
        </w:tc>
        <w:tc>
          <w:tcPr>
            <w:tcW w:w="2295" w:type="dxa"/>
            <w:gridSpan w:val="3"/>
            <w:shd w:val="clear" w:color="auto" w:fill="FFFFFF" w:themeFill="background1"/>
            <w:vAlign w:val="center"/>
          </w:tcPr>
          <w:p w14:paraId="6BCAF91D" w14:textId="77777777"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Полазна вредност</w:t>
            </w:r>
          </w:p>
        </w:tc>
      </w:tr>
      <w:tr w:rsidR="00DE77AF" w:rsidRPr="00A021B7" w14:paraId="0B86B54D" w14:textId="77777777" w:rsidTr="1A8E6423">
        <w:trPr>
          <w:trHeight w:val="137"/>
          <w:jc w:val="center"/>
        </w:trPr>
        <w:tc>
          <w:tcPr>
            <w:tcW w:w="2830" w:type="dxa"/>
            <w:vMerge/>
            <w:vAlign w:val="center"/>
          </w:tcPr>
          <w:p w14:paraId="44151BB9" w14:textId="77777777" w:rsidR="00DE77AF" w:rsidRPr="00A021B7" w:rsidRDefault="00DE77AF" w:rsidP="00CB0C2B">
            <w:pPr>
              <w:rPr>
                <w:rFonts w:ascii="Arial" w:eastAsiaTheme="minorHAnsi" w:hAnsi="Arial" w:cs="Arial"/>
                <w:b/>
                <w:bCs/>
                <w:sz w:val="20"/>
                <w:szCs w:val="20"/>
                <w:lang w:val="sr-Cyrl-RS"/>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56AF6" w14:textId="18AD407D"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2016</w:t>
            </w:r>
            <w:r w:rsidR="007F2DA5" w:rsidRPr="1A8E6423">
              <w:rPr>
                <w:rFonts w:ascii="Arial" w:eastAsiaTheme="minorEastAsia" w:hAnsi="Arial" w:cs="Arial"/>
                <w:sz w:val="20"/>
                <w:szCs w:val="20"/>
                <w:lang w:val="sr-Cyrl-RS"/>
              </w:rPr>
              <w:t>.</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548A5" w14:textId="498FB867"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2017</w:t>
            </w:r>
            <w:r w:rsidR="007F2DA5" w:rsidRPr="1A8E6423">
              <w:rPr>
                <w:rFonts w:ascii="Arial" w:eastAsiaTheme="minorEastAsia" w:hAnsi="Arial" w:cs="Arial"/>
                <w:sz w:val="20"/>
                <w:szCs w:val="20"/>
                <w:lang w:val="sr-Cyrl-RS"/>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09D5C" w14:textId="29A21BB7"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2018</w:t>
            </w:r>
            <w:r w:rsidR="007F2DA5" w:rsidRPr="1A8E6423">
              <w:rPr>
                <w:rFonts w:ascii="Arial" w:eastAsiaTheme="minorEastAsia" w:hAnsi="Arial" w:cs="Arial"/>
                <w:sz w:val="20"/>
                <w:szCs w:val="20"/>
                <w:lang w:val="sr-Cyrl-RS"/>
              </w:rPr>
              <w:t>.</w:t>
            </w:r>
          </w:p>
        </w:tc>
        <w:tc>
          <w:tcPr>
            <w:tcW w:w="2295" w:type="dxa"/>
            <w:gridSpan w:val="3"/>
            <w:tcBorders>
              <w:left w:val="single" w:sz="4" w:space="0" w:color="auto"/>
            </w:tcBorders>
            <w:shd w:val="clear" w:color="auto" w:fill="FFFFFF" w:themeFill="background1"/>
            <w:vAlign w:val="center"/>
          </w:tcPr>
          <w:p w14:paraId="4F51ADD5" w14:textId="4B0DFC38"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2018</w:t>
            </w:r>
            <w:r w:rsidR="007F2DA5" w:rsidRPr="1A8E6423">
              <w:rPr>
                <w:rFonts w:ascii="Arial" w:eastAsiaTheme="minorEastAsia" w:hAnsi="Arial" w:cs="Arial"/>
                <w:sz w:val="20"/>
                <w:szCs w:val="20"/>
                <w:lang w:val="sr-Cyrl-RS"/>
              </w:rPr>
              <w:t>.</w:t>
            </w:r>
          </w:p>
        </w:tc>
      </w:tr>
      <w:tr w:rsidR="00DE77AF" w:rsidRPr="00A021B7" w14:paraId="14952B4A" w14:textId="77777777" w:rsidTr="1A8E6423">
        <w:trPr>
          <w:trHeight w:val="323"/>
          <w:jc w:val="center"/>
        </w:trPr>
        <w:tc>
          <w:tcPr>
            <w:tcW w:w="2830" w:type="dxa"/>
            <w:vMerge/>
            <w:vAlign w:val="center"/>
          </w:tcPr>
          <w:p w14:paraId="49E5F42F" w14:textId="77777777" w:rsidR="00DE77AF" w:rsidRPr="00A021B7" w:rsidRDefault="00DE77AF" w:rsidP="00CB0C2B">
            <w:pPr>
              <w:rPr>
                <w:rFonts w:ascii="Arial" w:eastAsiaTheme="minorHAnsi" w:hAnsi="Arial" w:cs="Arial"/>
                <w:b/>
                <w:bCs/>
                <w:sz w:val="20"/>
                <w:szCs w:val="20"/>
                <w:lang w:val="sr-Cyrl-RS"/>
              </w:rPr>
            </w:pPr>
          </w:p>
        </w:tc>
        <w:tc>
          <w:tcPr>
            <w:tcW w:w="2694" w:type="dxa"/>
            <w:gridSpan w:val="2"/>
            <w:tcBorders>
              <w:top w:val="single" w:sz="4" w:space="0" w:color="auto"/>
            </w:tcBorders>
            <w:shd w:val="clear" w:color="auto" w:fill="FFFFFF" w:themeFill="background1"/>
            <w:vAlign w:val="center"/>
          </w:tcPr>
          <w:p w14:paraId="15D5852B" w14:textId="60A2F089"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4252" w:type="dxa"/>
            <w:gridSpan w:val="4"/>
            <w:tcBorders>
              <w:top w:val="single" w:sz="4" w:space="0" w:color="auto"/>
            </w:tcBorders>
            <w:shd w:val="clear" w:color="auto" w:fill="FFFFFF" w:themeFill="background1"/>
            <w:vAlign w:val="center"/>
          </w:tcPr>
          <w:p w14:paraId="3B629126" w14:textId="79A30A74"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2268" w:type="dxa"/>
            <w:gridSpan w:val="2"/>
            <w:tcBorders>
              <w:top w:val="single" w:sz="4" w:space="0" w:color="auto"/>
            </w:tcBorders>
            <w:shd w:val="clear" w:color="auto" w:fill="FFFFFF" w:themeFill="background1"/>
            <w:vAlign w:val="center"/>
          </w:tcPr>
          <w:p w14:paraId="4F672011" w14:textId="77777777"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39%</w:t>
            </w:r>
          </w:p>
        </w:tc>
        <w:tc>
          <w:tcPr>
            <w:tcW w:w="2295" w:type="dxa"/>
            <w:gridSpan w:val="3"/>
            <w:shd w:val="clear" w:color="auto" w:fill="FFFFFF" w:themeFill="background1"/>
            <w:vAlign w:val="center"/>
          </w:tcPr>
          <w:p w14:paraId="42460E08" w14:textId="77777777"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39%</w:t>
            </w:r>
          </w:p>
        </w:tc>
      </w:tr>
      <w:tr w:rsidR="00244457" w:rsidRPr="00A021B7" w14:paraId="61D822C4" w14:textId="77777777" w:rsidTr="1A8E6423">
        <w:trPr>
          <w:trHeight w:val="274"/>
          <w:jc w:val="center"/>
        </w:trPr>
        <w:tc>
          <w:tcPr>
            <w:tcW w:w="2830" w:type="dxa"/>
            <w:vMerge w:val="restart"/>
            <w:shd w:val="clear" w:color="auto" w:fill="FFC000" w:themeFill="accent4"/>
            <w:vAlign w:val="center"/>
          </w:tcPr>
          <w:p w14:paraId="39AA7C51"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Подаци о циљним вредностима</w:t>
            </w:r>
          </w:p>
        </w:tc>
        <w:tc>
          <w:tcPr>
            <w:tcW w:w="1418" w:type="dxa"/>
            <w:shd w:val="clear" w:color="auto" w:fill="FFFFFF" w:themeFill="background1"/>
            <w:vAlign w:val="center"/>
          </w:tcPr>
          <w:p w14:paraId="5C6FFF5F" w14:textId="7291C7C8"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2021</w:t>
            </w:r>
            <w:r w:rsidR="007F2DA5" w:rsidRPr="1A8E6423">
              <w:rPr>
                <w:rFonts w:ascii="Arial" w:eastAsiaTheme="minorEastAsia" w:hAnsi="Arial" w:cs="Arial"/>
                <w:sz w:val="20"/>
                <w:szCs w:val="20"/>
                <w:lang w:val="sr-Cyrl-RS"/>
              </w:rPr>
              <w:t>.</w:t>
            </w:r>
          </w:p>
        </w:tc>
        <w:tc>
          <w:tcPr>
            <w:tcW w:w="1276" w:type="dxa"/>
            <w:shd w:val="clear" w:color="auto" w:fill="FFFFFF" w:themeFill="background1"/>
            <w:vAlign w:val="center"/>
          </w:tcPr>
          <w:p w14:paraId="4FA4D872" w14:textId="5DAA42E2"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2022</w:t>
            </w:r>
            <w:r w:rsidR="007F2DA5" w:rsidRPr="1A8E6423">
              <w:rPr>
                <w:rFonts w:ascii="Arial" w:eastAsiaTheme="minorEastAsia" w:hAnsi="Arial" w:cs="Arial"/>
                <w:sz w:val="20"/>
                <w:szCs w:val="20"/>
                <w:lang w:val="sr-Cyrl-RS"/>
              </w:rPr>
              <w:t>.</w:t>
            </w:r>
          </w:p>
        </w:tc>
        <w:tc>
          <w:tcPr>
            <w:tcW w:w="1842" w:type="dxa"/>
            <w:shd w:val="clear" w:color="auto" w:fill="FFFFFF" w:themeFill="background1"/>
            <w:vAlign w:val="center"/>
          </w:tcPr>
          <w:p w14:paraId="02106DB3" w14:textId="67D4C26C"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2023</w:t>
            </w:r>
            <w:r w:rsidR="007F2DA5" w:rsidRPr="1A8E6423">
              <w:rPr>
                <w:rFonts w:ascii="Arial" w:eastAsiaTheme="minorEastAsia" w:hAnsi="Arial" w:cs="Arial"/>
                <w:sz w:val="20"/>
                <w:szCs w:val="20"/>
                <w:lang w:val="sr-Cyrl-RS"/>
              </w:rPr>
              <w:t>.</w:t>
            </w:r>
          </w:p>
        </w:tc>
        <w:tc>
          <w:tcPr>
            <w:tcW w:w="1134" w:type="dxa"/>
            <w:gridSpan w:val="2"/>
            <w:shd w:val="clear" w:color="auto" w:fill="FFFFFF" w:themeFill="background1"/>
            <w:vAlign w:val="center"/>
          </w:tcPr>
          <w:p w14:paraId="4B4D2F2A" w14:textId="68339FC5"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2024</w:t>
            </w:r>
            <w:r w:rsidR="007F2DA5" w:rsidRPr="1A8E6423">
              <w:rPr>
                <w:rFonts w:ascii="Arial" w:eastAsiaTheme="minorEastAsia" w:hAnsi="Arial" w:cs="Arial"/>
                <w:sz w:val="20"/>
                <w:szCs w:val="20"/>
                <w:lang w:val="sr-Cyrl-RS"/>
              </w:rPr>
              <w:t>.</w:t>
            </w:r>
          </w:p>
        </w:tc>
        <w:tc>
          <w:tcPr>
            <w:tcW w:w="1276" w:type="dxa"/>
            <w:shd w:val="clear" w:color="auto" w:fill="FFFFFF" w:themeFill="background1"/>
            <w:vAlign w:val="center"/>
          </w:tcPr>
          <w:p w14:paraId="6B172E82" w14:textId="1F85300B"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2025</w:t>
            </w:r>
            <w:r w:rsidR="007F2DA5" w:rsidRPr="1A8E6423">
              <w:rPr>
                <w:rFonts w:ascii="Arial" w:eastAsiaTheme="minorEastAsia" w:hAnsi="Arial" w:cs="Arial"/>
                <w:sz w:val="20"/>
                <w:szCs w:val="20"/>
                <w:lang w:val="sr-Cyrl-RS"/>
              </w:rPr>
              <w:t>.</w:t>
            </w:r>
          </w:p>
        </w:tc>
        <w:tc>
          <w:tcPr>
            <w:tcW w:w="1134" w:type="dxa"/>
            <w:shd w:val="clear" w:color="auto" w:fill="FFFFFF" w:themeFill="background1"/>
            <w:vAlign w:val="center"/>
          </w:tcPr>
          <w:p w14:paraId="7360104F" w14:textId="5390E9EA"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2026</w:t>
            </w:r>
            <w:r w:rsidR="007F2DA5" w:rsidRPr="1A8E6423">
              <w:rPr>
                <w:rFonts w:ascii="Arial" w:eastAsiaTheme="minorEastAsia" w:hAnsi="Arial" w:cs="Arial"/>
                <w:sz w:val="20"/>
                <w:szCs w:val="20"/>
                <w:lang w:val="sr-Cyrl-RS"/>
              </w:rPr>
              <w:t>.</w:t>
            </w:r>
          </w:p>
        </w:tc>
        <w:tc>
          <w:tcPr>
            <w:tcW w:w="1134" w:type="dxa"/>
            <w:shd w:val="clear" w:color="auto" w:fill="FFFFFF" w:themeFill="background1"/>
            <w:vAlign w:val="center"/>
          </w:tcPr>
          <w:p w14:paraId="475E93DF" w14:textId="796AA0A1"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2027</w:t>
            </w:r>
            <w:r w:rsidR="007F2DA5" w:rsidRPr="1A8E6423">
              <w:rPr>
                <w:rFonts w:ascii="Arial" w:eastAsiaTheme="minorEastAsia" w:hAnsi="Arial" w:cs="Arial"/>
                <w:sz w:val="20"/>
                <w:szCs w:val="20"/>
                <w:lang w:val="sr-Cyrl-RS"/>
              </w:rPr>
              <w:t>.</w:t>
            </w:r>
          </w:p>
        </w:tc>
        <w:tc>
          <w:tcPr>
            <w:tcW w:w="919" w:type="dxa"/>
            <w:shd w:val="clear" w:color="auto" w:fill="FFFFFF" w:themeFill="background1"/>
            <w:vAlign w:val="center"/>
          </w:tcPr>
          <w:p w14:paraId="125B9E84" w14:textId="0AA12C8A"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2028</w:t>
            </w:r>
            <w:r w:rsidR="007F2DA5" w:rsidRPr="1A8E6423">
              <w:rPr>
                <w:rFonts w:ascii="Arial" w:eastAsiaTheme="minorEastAsia" w:hAnsi="Arial" w:cs="Arial"/>
                <w:sz w:val="20"/>
                <w:szCs w:val="20"/>
                <w:lang w:val="sr-Cyrl-RS"/>
              </w:rPr>
              <w:t>.</w:t>
            </w:r>
          </w:p>
        </w:tc>
        <w:tc>
          <w:tcPr>
            <w:tcW w:w="699" w:type="dxa"/>
            <w:shd w:val="clear" w:color="auto" w:fill="FFFFFF" w:themeFill="background1"/>
            <w:vAlign w:val="center"/>
          </w:tcPr>
          <w:p w14:paraId="5FDCF2E3" w14:textId="3A8F45A7"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2029</w:t>
            </w:r>
            <w:r w:rsidR="007F2DA5" w:rsidRPr="1A8E6423">
              <w:rPr>
                <w:rFonts w:ascii="Arial" w:eastAsiaTheme="minorEastAsia" w:hAnsi="Arial" w:cs="Arial"/>
                <w:sz w:val="20"/>
                <w:szCs w:val="20"/>
                <w:lang w:val="sr-Cyrl-RS"/>
              </w:rPr>
              <w:t>.</w:t>
            </w:r>
          </w:p>
        </w:tc>
        <w:tc>
          <w:tcPr>
            <w:tcW w:w="677" w:type="dxa"/>
            <w:shd w:val="clear" w:color="auto" w:fill="FFFFFF" w:themeFill="background1"/>
            <w:vAlign w:val="center"/>
          </w:tcPr>
          <w:p w14:paraId="3A5ECC80" w14:textId="144A8001"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2030</w:t>
            </w:r>
            <w:r w:rsidR="007F2DA5" w:rsidRPr="1A8E6423">
              <w:rPr>
                <w:rFonts w:ascii="Arial" w:eastAsiaTheme="minorEastAsia" w:hAnsi="Arial" w:cs="Arial"/>
                <w:sz w:val="20"/>
                <w:szCs w:val="20"/>
                <w:lang w:val="sr-Cyrl-RS"/>
              </w:rPr>
              <w:t>.</w:t>
            </w:r>
          </w:p>
        </w:tc>
      </w:tr>
      <w:tr w:rsidR="00244457" w:rsidRPr="00A021B7" w14:paraId="7510284B" w14:textId="77777777" w:rsidTr="1A8E6423">
        <w:trPr>
          <w:trHeight w:val="160"/>
          <w:jc w:val="center"/>
        </w:trPr>
        <w:tc>
          <w:tcPr>
            <w:tcW w:w="2830" w:type="dxa"/>
            <w:vMerge/>
            <w:vAlign w:val="center"/>
          </w:tcPr>
          <w:p w14:paraId="3BBA91FE" w14:textId="77777777" w:rsidR="00DE77AF" w:rsidRPr="00A021B7" w:rsidRDefault="00DE77AF" w:rsidP="00CB0C2B">
            <w:pPr>
              <w:rPr>
                <w:rFonts w:ascii="Arial" w:eastAsiaTheme="minorHAnsi" w:hAnsi="Arial" w:cs="Arial"/>
                <w:b/>
                <w:bCs/>
                <w:sz w:val="20"/>
                <w:szCs w:val="20"/>
                <w:lang w:val="sr-Cyrl-RS"/>
              </w:rPr>
            </w:pPr>
          </w:p>
        </w:tc>
        <w:tc>
          <w:tcPr>
            <w:tcW w:w="1418" w:type="dxa"/>
            <w:shd w:val="clear" w:color="auto" w:fill="FFFFFF" w:themeFill="background1"/>
            <w:vAlign w:val="center"/>
          </w:tcPr>
          <w:p w14:paraId="7F7FA07A" w14:textId="6551B883" w:rsidR="00DE77AF" w:rsidRPr="00A021B7" w:rsidRDefault="00DE77AF" w:rsidP="00EB61C0">
            <w:pPr>
              <w:jc w:val="center"/>
              <w:rPr>
                <w:rFonts w:ascii="Arial" w:eastAsiaTheme="minorEastAsia" w:hAnsi="Arial" w:cs="Arial"/>
                <w:sz w:val="20"/>
                <w:szCs w:val="20"/>
                <w:lang w:val="sr-Cyrl-RS"/>
              </w:rPr>
            </w:pPr>
            <w:r w:rsidRPr="00A021B7">
              <w:rPr>
                <w:rFonts w:ascii="Arial" w:eastAsiaTheme="minorEastAsia" w:hAnsi="Arial" w:cs="Arial"/>
                <w:sz w:val="20"/>
                <w:szCs w:val="20"/>
                <w:lang w:val="sr-Cyrl-RS"/>
              </w:rPr>
              <w:t>43%</w:t>
            </w:r>
          </w:p>
        </w:tc>
        <w:tc>
          <w:tcPr>
            <w:tcW w:w="1276" w:type="dxa"/>
            <w:shd w:val="clear" w:color="auto" w:fill="FFFFFF" w:themeFill="background1"/>
            <w:vAlign w:val="center"/>
          </w:tcPr>
          <w:p w14:paraId="5E3C550A" w14:textId="77777777"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1842" w:type="dxa"/>
            <w:shd w:val="clear" w:color="auto" w:fill="FFFFFF" w:themeFill="background1"/>
            <w:vAlign w:val="center"/>
          </w:tcPr>
          <w:p w14:paraId="4B97500D" w14:textId="7E6A4360" w:rsidR="00DE77AF" w:rsidRPr="00A021B7" w:rsidRDefault="15C706B2" w:rsidP="00EB61C0">
            <w:pPr>
              <w:jc w:val="center"/>
              <w:rPr>
                <w:rFonts w:ascii="Arial" w:eastAsiaTheme="minorEastAsia" w:hAnsi="Arial" w:cs="Arial"/>
                <w:sz w:val="20"/>
                <w:szCs w:val="20"/>
                <w:lang w:val="sr-Cyrl-RS"/>
              </w:rPr>
            </w:pPr>
            <w:r w:rsidRPr="00A021B7">
              <w:rPr>
                <w:rFonts w:ascii="Arial" w:eastAsiaTheme="minorEastAsia" w:hAnsi="Arial" w:cs="Arial"/>
                <w:sz w:val="20"/>
                <w:szCs w:val="20"/>
                <w:lang w:val="sr-Cyrl-RS"/>
              </w:rPr>
              <w:t>50</w:t>
            </w:r>
            <w:r w:rsidR="00DE77AF" w:rsidRPr="00A021B7">
              <w:rPr>
                <w:rFonts w:ascii="Arial" w:eastAsiaTheme="minorEastAsia" w:hAnsi="Arial" w:cs="Arial"/>
                <w:sz w:val="20"/>
                <w:szCs w:val="20"/>
                <w:lang w:val="sr-Cyrl-RS"/>
              </w:rPr>
              <w:t>%</w:t>
            </w:r>
          </w:p>
        </w:tc>
        <w:tc>
          <w:tcPr>
            <w:tcW w:w="1134" w:type="dxa"/>
            <w:gridSpan w:val="2"/>
            <w:shd w:val="clear" w:color="auto" w:fill="FFFFFF" w:themeFill="background1"/>
            <w:vAlign w:val="center"/>
          </w:tcPr>
          <w:p w14:paraId="06E6E063" w14:textId="77777777"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1276" w:type="dxa"/>
            <w:shd w:val="clear" w:color="auto" w:fill="FFFFFF" w:themeFill="background1"/>
            <w:vAlign w:val="center"/>
          </w:tcPr>
          <w:p w14:paraId="623AEB63" w14:textId="13F0A27D" w:rsidR="00DE77AF" w:rsidRPr="00A021B7" w:rsidRDefault="40D79927" w:rsidP="00EB61C0">
            <w:pPr>
              <w:jc w:val="center"/>
              <w:rPr>
                <w:rFonts w:ascii="Arial" w:eastAsiaTheme="minorEastAsia" w:hAnsi="Arial" w:cs="Arial"/>
                <w:sz w:val="20"/>
                <w:szCs w:val="20"/>
                <w:lang w:val="sr-Cyrl-RS"/>
              </w:rPr>
            </w:pPr>
            <w:r w:rsidRPr="00A021B7">
              <w:rPr>
                <w:rFonts w:ascii="Arial" w:eastAsiaTheme="minorEastAsia" w:hAnsi="Arial" w:cs="Arial"/>
                <w:sz w:val="20"/>
                <w:szCs w:val="20"/>
                <w:lang w:val="sr-Cyrl-RS"/>
              </w:rPr>
              <w:t>55</w:t>
            </w:r>
            <w:r w:rsidR="00DE77AF" w:rsidRPr="00A021B7">
              <w:rPr>
                <w:rFonts w:ascii="Arial" w:eastAsiaTheme="minorEastAsia" w:hAnsi="Arial" w:cs="Arial"/>
                <w:sz w:val="20"/>
                <w:szCs w:val="20"/>
                <w:lang w:val="sr-Cyrl-RS"/>
              </w:rPr>
              <w:t>%</w:t>
            </w:r>
          </w:p>
        </w:tc>
        <w:tc>
          <w:tcPr>
            <w:tcW w:w="1134" w:type="dxa"/>
            <w:shd w:val="clear" w:color="auto" w:fill="FFFFFF" w:themeFill="background1"/>
            <w:vAlign w:val="center"/>
          </w:tcPr>
          <w:p w14:paraId="0965225D" w14:textId="77777777" w:rsidR="00DE77AF" w:rsidRPr="00A021B7" w:rsidRDefault="00DE77AF" w:rsidP="00EB61C0">
            <w:pPr>
              <w:jc w:val="center"/>
              <w:rPr>
                <w:rFonts w:ascii="Arial" w:eastAsiaTheme="minorHAnsi" w:hAnsi="Arial" w:cs="Arial"/>
                <w:iCs/>
                <w:sz w:val="20"/>
                <w:szCs w:val="20"/>
                <w:lang w:val="sr-Cyrl-RS"/>
              </w:rPr>
            </w:pPr>
          </w:p>
        </w:tc>
        <w:tc>
          <w:tcPr>
            <w:tcW w:w="1134" w:type="dxa"/>
            <w:shd w:val="clear" w:color="auto" w:fill="FFFFFF" w:themeFill="background1"/>
            <w:vAlign w:val="center"/>
          </w:tcPr>
          <w:p w14:paraId="07E404C2" w14:textId="05EDCE5B" w:rsidR="00DE77AF" w:rsidRPr="00A021B7" w:rsidRDefault="15C706B2" w:rsidP="00EB61C0">
            <w:pPr>
              <w:jc w:val="center"/>
              <w:rPr>
                <w:rFonts w:ascii="Arial" w:eastAsiaTheme="minorEastAsia" w:hAnsi="Arial" w:cs="Arial"/>
                <w:sz w:val="20"/>
                <w:szCs w:val="20"/>
                <w:lang w:val="sr-Cyrl-RS"/>
              </w:rPr>
            </w:pPr>
            <w:r w:rsidRPr="00A021B7">
              <w:rPr>
                <w:rFonts w:ascii="Arial" w:eastAsiaTheme="minorEastAsia" w:hAnsi="Arial" w:cs="Arial"/>
                <w:sz w:val="20"/>
                <w:szCs w:val="20"/>
                <w:lang w:val="sr-Cyrl-RS"/>
              </w:rPr>
              <w:t>6</w:t>
            </w:r>
            <w:r w:rsidR="40D79927" w:rsidRPr="00A021B7">
              <w:rPr>
                <w:rFonts w:ascii="Arial" w:eastAsiaTheme="minorEastAsia" w:hAnsi="Arial" w:cs="Arial"/>
                <w:sz w:val="20"/>
                <w:szCs w:val="20"/>
                <w:lang w:val="sr-Cyrl-RS"/>
              </w:rPr>
              <w:t>0</w:t>
            </w:r>
            <w:r w:rsidR="00DE77AF" w:rsidRPr="00A021B7">
              <w:rPr>
                <w:rFonts w:ascii="Arial" w:eastAsiaTheme="minorEastAsia" w:hAnsi="Arial" w:cs="Arial"/>
                <w:sz w:val="20"/>
                <w:szCs w:val="20"/>
                <w:lang w:val="sr-Cyrl-RS"/>
              </w:rPr>
              <w:t>%</w:t>
            </w:r>
          </w:p>
        </w:tc>
        <w:tc>
          <w:tcPr>
            <w:tcW w:w="919" w:type="dxa"/>
            <w:shd w:val="clear" w:color="auto" w:fill="FFFFFF" w:themeFill="background1"/>
            <w:vAlign w:val="center"/>
          </w:tcPr>
          <w:p w14:paraId="51973814" w14:textId="77777777" w:rsidR="00DE77AF" w:rsidRPr="00A021B7" w:rsidRDefault="00DE77AF" w:rsidP="00EB61C0">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699" w:type="dxa"/>
            <w:shd w:val="clear" w:color="auto" w:fill="FFFFFF" w:themeFill="background1"/>
            <w:vAlign w:val="center"/>
          </w:tcPr>
          <w:p w14:paraId="314F3A8C" w14:textId="454BCD99" w:rsidR="00DE77AF" w:rsidRPr="00A021B7" w:rsidRDefault="00DE77AF" w:rsidP="00EB61C0">
            <w:pPr>
              <w:jc w:val="center"/>
              <w:rPr>
                <w:rFonts w:ascii="Arial" w:eastAsiaTheme="minorEastAsia" w:hAnsi="Arial" w:cs="Arial"/>
                <w:sz w:val="20"/>
                <w:szCs w:val="20"/>
                <w:lang w:val="sr-Cyrl-RS"/>
              </w:rPr>
            </w:pPr>
            <w:r w:rsidRPr="00A021B7" w:rsidDel="00FB6E8C">
              <w:rPr>
                <w:rFonts w:ascii="Arial" w:eastAsiaTheme="minorEastAsia" w:hAnsi="Arial" w:cs="Arial"/>
                <w:sz w:val="20"/>
                <w:szCs w:val="20"/>
                <w:lang w:val="sr-Cyrl-RS"/>
              </w:rPr>
              <w:t>65</w:t>
            </w:r>
            <w:r w:rsidRPr="00A021B7">
              <w:rPr>
                <w:rFonts w:ascii="Arial" w:eastAsiaTheme="minorEastAsia" w:hAnsi="Arial" w:cs="Arial"/>
                <w:sz w:val="20"/>
                <w:szCs w:val="20"/>
                <w:lang w:val="sr-Cyrl-RS"/>
              </w:rPr>
              <w:t>%</w:t>
            </w:r>
          </w:p>
        </w:tc>
        <w:tc>
          <w:tcPr>
            <w:tcW w:w="677" w:type="dxa"/>
            <w:shd w:val="clear" w:color="auto" w:fill="FFFFFF" w:themeFill="background1"/>
            <w:vAlign w:val="center"/>
          </w:tcPr>
          <w:p w14:paraId="4785DA2F" w14:textId="3CDC2819" w:rsidR="00DE77AF" w:rsidRPr="00A021B7" w:rsidRDefault="00DE77AF" w:rsidP="0067403F">
            <w:pPr>
              <w:rPr>
                <w:rFonts w:ascii="Arial" w:eastAsiaTheme="minorEastAsia" w:hAnsi="Arial" w:cs="Arial"/>
                <w:sz w:val="20"/>
                <w:szCs w:val="20"/>
                <w:lang w:val="sr-Cyrl-RS"/>
              </w:rPr>
            </w:pPr>
            <w:r w:rsidRPr="00A021B7">
              <w:rPr>
                <w:rFonts w:ascii="Arial" w:eastAsiaTheme="minorEastAsia" w:hAnsi="Arial" w:cs="Arial"/>
                <w:sz w:val="20"/>
                <w:szCs w:val="20"/>
                <w:lang w:val="sr-Cyrl-RS"/>
              </w:rPr>
              <w:t>7</w:t>
            </w:r>
            <w:r w:rsidR="15C706B2" w:rsidRPr="00A021B7">
              <w:rPr>
                <w:rFonts w:ascii="Arial" w:eastAsiaTheme="minorEastAsia" w:hAnsi="Arial" w:cs="Arial"/>
                <w:sz w:val="20"/>
                <w:szCs w:val="20"/>
                <w:lang w:val="sr-Cyrl-RS"/>
              </w:rPr>
              <w:t>0</w:t>
            </w:r>
            <w:r w:rsidRPr="00A021B7">
              <w:rPr>
                <w:rFonts w:ascii="Arial" w:eastAsiaTheme="minorEastAsia" w:hAnsi="Arial" w:cs="Arial"/>
                <w:sz w:val="20"/>
                <w:szCs w:val="20"/>
                <w:lang w:val="sr-Cyrl-RS"/>
              </w:rPr>
              <w:t>%</w:t>
            </w:r>
          </w:p>
        </w:tc>
      </w:tr>
      <w:tr w:rsidR="00DE77AF" w:rsidRPr="00A021B7" w14:paraId="0970ECF5" w14:textId="77777777" w:rsidTr="1A8E6423">
        <w:trPr>
          <w:trHeight w:val="160"/>
          <w:jc w:val="center"/>
        </w:trPr>
        <w:tc>
          <w:tcPr>
            <w:tcW w:w="2830" w:type="dxa"/>
            <w:shd w:val="clear" w:color="auto" w:fill="FFC000" w:themeFill="accent4"/>
            <w:vAlign w:val="center"/>
          </w:tcPr>
          <w:p w14:paraId="07E6C2AE"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Процена успешности</w:t>
            </w:r>
          </w:p>
        </w:tc>
        <w:tc>
          <w:tcPr>
            <w:tcW w:w="11509" w:type="dxa"/>
            <w:gridSpan w:val="11"/>
            <w:shd w:val="clear" w:color="auto" w:fill="FFFFFF" w:themeFill="background1"/>
            <w:vAlign w:val="center"/>
          </w:tcPr>
          <w:p w14:paraId="3AC74362" w14:textId="67A54ECB"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Прихватљиво је одступање до 5% мање у односу на циљане вредности.</w:t>
            </w:r>
          </w:p>
        </w:tc>
      </w:tr>
    </w:tbl>
    <w:p w14:paraId="4C3F2B20" w14:textId="77777777" w:rsidR="00DE77AF" w:rsidRPr="00A021B7" w:rsidRDefault="00DE77AF" w:rsidP="00DE77AF">
      <w:pPr>
        <w:rPr>
          <w:rFonts w:ascii="Arial" w:hAnsi="Arial" w:cs="Arial"/>
          <w:b/>
          <w:bCs/>
          <w:color w:val="2F5496" w:themeColor="accent1" w:themeShade="BF"/>
          <w:sz w:val="20"/>
          <w:szCs w:val="20"/>
          <w:lang w:val="sr-Cyrl-RS"/>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9"/>
        <w:gridCol w:w="1871"/>
        <w:gridCol w:w="1464"/>
        <w:gridCol w:w="1768"/>
        <w:gridCol w:w="900"/>
        <w:gridCol w:w="652"/>
        <w:gridCol w:w="248"/>
        <w:gridCol w:w="900"/>
        <w:gridCol w:w="900"/>
        <w:gridCol w:w="900"/>
        <w:gridCol w:w="900"/>
        <w:gridCol w:w="905"/>
      </w:tblGrid>
      <w:tr w:rsidR="00DE77AF" w:rsidRPr="00A021B7" w14:paraId="3F731D26" w14:textId="77777777" w:rsidTr="1A8E6423">
        <w:tc>
          <w:tcPr>
            <w:tcW w:w="994" w:type="pct"/>
            <w:shd w:val="clear" w:color="auto" w:fill="D9D9D9" w:themeFill="background1" w:themeFillShade="D9"/>
            <w:vAlign w:val="center"/>
          </w:tcPr>
          <w:p w14:paraId="2E664657" w14:textId="77777777" w:rsidR="00DE77AF" w:rsidRPr="00A021B7" w:rsidRDefault="00DE77AF" w:rsidP="00CB0C2B">
            <w:pPr>
              <w:rPr>
                <w:rFonts w:ascii="Arial" w:eastAsiaTheme="minorHAnsi" w:hAnsi="Arial" w:cs="Arial"/>
                <w:b/>
                <w:bCs/>
                <w:color w:val="000000" w:themeColor="text1"/>
                <w:sz w:val="20"/>
                <w:szCs w:val="20"/>
                <w:lang w:val="sr-Cyrl-RS"/>
              </w:rPr>
            </w:pPr>
          </w:p>
          <w:p w14:paraId="24A537AC"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Назив показатеља</w:t>
            </w:r>
          </w:p>
          <w:p w14:paraId="71558092" w14:textId="77777777" w:rsidR="00DE77AF" w:rsidRPr="00A021B7" w:rsidRDefault="00DE77AF" w:rsidP="00CB0C2B">
            <w:pPr>
              <w:rPr>
                <w:rFonts w:ascii="Arial" w:eastAsiaTheme="minorHAnsi" w:hAnsi="Arial" w:cs="Arial"/>
                <w:b/>
                <w:bCs/>
                <w:color w:val="000000" w:themeColor="text1"/>
                <w:sz w:val="20"/>
                <w:szCs w:val="20"/>
                <w:lang w:val="sr-Cyrl-RS"/>
              </w:rPr>
            </w:pPr>
          </w:p>
        </w:tc>
        <w:tc>
          <w:tcPr>
            <w:tcW w:w="4006" w:type="pct"/>
            <w:gridSpan w:val="11"/>
            <w:shd w:val="clear" w:color="auto" w:fill="D9D9D9" w:themeFill="background1" w:themeFillShade="D9"/>
            <w:vAlign w:val="center"/>
          </w:tcPr>
          <w:p w14:paraId="78325EFE" w14:textId="0052B3F5" w:rsidR="00DE77AF" w:rsidRPr="00A021B7" w:rsidRDefault="00DE77AF" w:rsidP="1A8E6423">
            <w:pPr>
              <w:rPr>
                <w:rFonts w:ascii="Arial" w:eastAsiaTheme="minorEastAsia" w:hAnsi="Arial" w:cs="Arial"/>
                <w:b/>
                <w:bCs/>
                <w:color w:val="000000" w:themeColor="text1"/>
                <w:sz w:val="20"/>
                <w:szCs w:val="20"/>
                <w:lang w:val="sr-Cyrl-RS"/>
              </w:rPr>
            </w:pPr>
            <w:r w:rsidRPr="1A8E6423">
              <w:rPr>
                <w:rFonts w:ascii="Arial" w:eastAsiaTheme="minorEastAsia" w:hAnsi="Arial" w:cs="Arial"/>
                <w:b/>
                <w:bCs/>
                <w:color w:val="000000" w:themeColor="text1"/>
                <w:sz w:val="20"/>
                <w:szCs w:val="20"/>
                <w:lang w:val="sr-Cyrl-RS"/>
              </w:rPr>
              <w:t xml:space="preserve">Доступност и квалитет </w:t>
            </w:r>
            <w:r w:rsidR="007F2DA5" w:rsidRPr="1A8E6423">
              <w:rPr>
                <w:rFonts w:ascii="Arial" w:eastAsiaTheme="minorEastAsia" w:hAnsi="Arial" w:cs="Arial"/>
                <w:b/>
                <w:bCs/>
                <w:color w:val="000000" w:themeColor="text1"/>
                <w:sz w:val="20"/>
                <w:szCs w:val="20"/>
                <w:lang w:val="sr-Cyrl-RS"/>
              </w:rPr>
              <w:t xml:space="preserve">пружања </w:t>
            </w:r>
            <w:r w:rsidRPr="1A8E6423">
              <w:rPr>
                <w:rFonts w:ascii="Arial" w:eastAsiaTheme="minorEastAsia" w:hAnsi="Arial" w:cs="Arial"/>
                <w:b/>
                <w:bCs/>
                <w:color w:val="000000" w:themeColor="text1"/>
                <w:sz w:val="20"/>
                <w:szCs w:val="20"/>
                <w:lang w:val="sr-Cyrl-RS"/>
              </w:rPr>
              <w:t>приоритетних јавних услуга локалне самоуправе</w:t>
            </w:r>
          </w:p>
        </w:tc>
      </w:tr>
      <w:tr w:rsidR="00DE77AF" w:rsidRPr="00A021B7" w14:paraId="480F2157" w14:textId="77777777" w:rsidTr="1A8E6423">
        <w:tc>
          <w:tcPr>
            <w:tcW w:w="994" w:type="pct"/>
            <w:shd w:val="clear" w:color="auto" w:fill="FFC000" w:themeFill="accent4"/>
          </w:tcPr>
          <w:p w14:paraId="3E3223C8"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Одговарајући општи, посебни циљ или мера</w:t>
            </w:r>
          </w:p>
        </w:tc>
        <w:tc>
          <w:tcPr>
            <w:tcW w:w="4006" w:type="pct"/>
            <w:gridSpan w:val="11"/>
            <w:shd w:val="clear" w:color="auto" w:fill="auto"/>
          </w:tcPr>
          <w:p w14:paraId="2493757E" w14:textId="77777777" w:rsidR="00DE77AF" w:rsidRPr="00A021B7" w:rsidRDefault="00DE77AF" w:rsidP="00CB0C2B">
            <w:pPr>
              <w:rPr>
                <w:rFonts w:ascii="Arial" w:eastAsiaTheme="minorHAnsi" w:hAnsi="Arial" w:cs="Arial"/>
                <w:iCs/>
                <w:color w:val="000000" w:themeColor="text1"/>
                <w:sz w:val="20"/>
                <w:szCs w:val="20"/>
                <w:lang w:val="sr-Cyrl-RS"/>
              </w:rPr>
            </w:pPr>
            <w:r w:rsidRPr="00A021B7">
              <w:rPr>
                <w:rFonts w:ascii="Arial" w:hAnsi="Arial" w:cs="Arial"/>
                <w:bCs/>
                <w:iCs/>
                <w:color w:val="000000" w:themeColor="text1"/>
                <w:kern w:val="24"/>
                <w:sz w:val="20"/>
                <w:szCs w:val="20"/>
                <w:lang w:val="sr-Cyrl-RS"/>
              </w:rPr>
              <w:t>Успостављање система локалне самоуправе који омогућава ефикасно и одрживо остваривање права грађана на локалну самоуправу</w:t>
            </w:r>
          </w:p>
        </w:tc>
      </w:tr>
      <w:tr w:rsidR="00DE77AF" w:rsidRPr="00A021B7" w14:paraId="4395BB8F" w14:textId="77777777" w:rsidTr="1A8E6423">
        <w:tc>
          <w:tcPr>
            <w:tcW w:w="994" w:type="pct"/>
            <w:shd w:val="clear" w:color="auto" w:fill="FFC000" w:themeFill="accent4"/>
          </w:tcPr>
          <w:p w14:paraId="077ED3C9"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color w:val="000000" w:themeColor="text1"/>
                <w:kern w:val="24"/>
                <w:sz w:val="20"/>
                <w:szCs w:val="20"/>
                <w:lang w:val="sr-Cyrl-RS"/>
              </w:rPr>
              <w:t>Тип и ниво показатеља</w:t>
            </w:r>
          </w:p>
        </w:tc>
        <w:tc>
          <w:tcPr>
            <w:tcW w:w="2337" w:type="pct"/>
            <w:gridSpan w:val="5"/>
            <w:shd w:val="clear" w:color="auto" w:fill="auto"/>
            <w:vAlign w:val="center"/>
          </w:tcPr>
          <w:p w14:paraId="278F7CF2" w14:textId="77777777" w:rsidR="00DE77AF" w:rsidRPr="00A021B7" w:rsidRDefault="00DE77AF" w:rsidP="00CB0C2B">
            <w:pPr>
              <w:tabs>
                <w:tab w:val="left" w:pos="152"/>
              </w:tabs>
              <w:ind w:left="1"/>
              <w:contextualSpacing/>
              <w:rPr>
                <w:rFonts w:ascii="Arial" w:eastAsiaTheme="minorHAnsi" w:hAnsi="Arial" w:cs="Arial"/>
                <w:bCs/>
                <w:color w:val="000000" w:themeColor="text1"/>
                <w:kern w:val="24"/>
                <w:sz w:val="20"/>
                <w:szCs w:val="20"/>
                <w:lang w:val="sr-Cyrl-RS"/>
              </w:rPr>
            </w:pPr>
            <w:r w:rsidRPr="00A021B7">
              <w:rPr>
                <w:rFonts w:ascii="Arial" w:eastAsiaTheme="minorHAnsi" w:hAnsi="Arial" w:cs="Arial"/>
                <w:bCs/>
                <w:color w:val="000000" w:themeColor="text1"/>
                <w:kern w:val="24"/>
                <w:sz w:val="20"/>
                <w:szCs w:val="20"/>
                <w:lang w:val="sr-Cyrl-RS"/>
              </w:rPr>
              <w:t xml:space="preserve">Квалитативан </w:t>
            </w:r>
          </w:p>
        </w:tc>
        <w:tc>
          <w:tcPr>
            <w:tcW w:w="1669" w:type="pct"/>
            <w:gridSpan w:val="6"/>
            <w:shd w:val="clear" w:color="auto" w:fill="FFFFFF" w:themeFill="background1"/>
            <w:vAlign w:val="center"/>
          </w:tcPr>
          <w:p w14:paraId="46B908DC" w14:textId="77777777" w:rsidR="00DE77AF" w:rsidRPr="00A021B7" w:rsidRDefault="00DE77AF" w:rsidP="00CB0C2B">
            <w:pPr>
              <w:tabs>
                <w:tab w:val="left" w:pos="183"/>
              </w:tabs>
              <w:contextualSpacing/>
              <w:rPr>
                <w:rFonts w:ascii="Arial" w:eastAsiaTheme="minorHAnsi" w:hAnsi="Arial" w:cs="Arial"/>
                <w:iCs/>
                <w:color w:val="000000" w:themeColor="text1"/>
                <w:sz w:val="20"/>
                <w:szCs w:val="20"/>
                <w:lang w:val="sr-Cyrl-RS"/>
              </w:rPr>
            </w:pPr>
            <w:r w:rsidRPr="00A021B7">
              <w:rPr>
                <w:rFonts w:ascii="Arial" w:eastAsiaTheme="minorHAnsi" w:hAnsi="Arial" w:cs="Arial"/>
                <w:iCs/>
                <w:color w:val="000000" w:themeColor="text1"/>
                <w:sz w:val="20"/>
                <w:szCs w:val="20"/>
                <w:lang w:val="sr-Cyrl-RS"/>
              </w:rPr>
              <w:t>Показатељ на нивоу посебног циља</w:t>
            </w:r>
          </w:p>
        </w:tc>
      </w:tr>
      <w:tr w:rsidR="00DE77AF" w:rsidRPr="00A021B7" w14:paraId="0C429CC2" w14:textId="77777777" w:rsidTr="1A8E6423">
        <w:trPr>
          <w:trHeight w:val="394"/>
        </w:trPr>
        <w:tc>
          <w:tcPr>
            <w:tcW w:w="994" w:type="pct"/>
            <w:shd w:val="clear" w:color="auto" w:fill="FFC000" w:themeFill="accent4"/>
          </w:tcPr>
          <w:p w14:paraId="62493C68" w14:textId="77777777" w:rsidR="00DE77AF" w:rsidRPr="00A021B7" w:rsidRDefault="00DE77AF" w:rsidP="00CB0C2B">
            <w:pPr>
              <w:rPr>
                <w:rFonts w:ascii="Arial" w:eastAsiaTheme="minorHAnsi" w:hAnsi="Arial" w:cs="Arial"/>
                <w:b/>
                <w:color w:val="000000" w:themeColor="text1"/>
                <w:kern w:val="24"/>
                <w:sz w:val="20"/>
                <w:szCs w:val="20"/>
                <w:lang w:val="sr-Cyrl-RS"/>
              </w:rPr>
            </w:pPr>
            <w:r w:rsidRPr="00A021B7">
              <w:rPr>
                <w:rFonts w:ascii="Arial" w:eastAsiaTheme="minorHAnsi" w:hAnsi="Arial" w:cs="Arial"/>
                <w:b/>
                <w:color w:val="000000" w:themeColor="text1"/>
                <w:kern w:val="24"/>
                <w:sz w:val="20"/>
                <w:szCs w:val="20"/>
                <w:lang w:val="sr-Cyrl-RS"/>
              </w:rPr>
              <w:t>Јединица мере и природа</w:t>
            </w:r>
          </w:p>
        </w:tc>
        <w:tc>
          <w:tcPr>
            <w:tcW w:w="2337" w:type="pct"/>
            <w:gridSpan w:val="5"/>
            <w:shd w:val="clear" w:color="auto" w:fill="auto"/>
            <w:vAlign w:val="center"/>
          </w:tcPr>
          <w:p w14:paraId="2E9F4B5B" w14:textId="54F49D65" w:rsidR="00DE77AF" w:rsidRPr="00A021B7" w:rsidRDefault="00DE77AF" w:rsidP="00CB0C2B">
            <w:pPr>
              <w:tabs>
                <w:tab w:val="left" w:pos="154"/>
              </w:tabs>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 xml:space="preserve">Индекс </w:t>
            </w:r>
            <w:r w:rsidR="007F2DA5"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 xml:space="preserve"> композитни показатељи (сет различитих показатеља у посебној методологији прављеној за потребе СКГО)</w:t>
            </w:r>
          </w:p>
        </w:tc>
        <w:tc>
          <w:tcPr>
            <w:tcW w:w="1669" w:type="pct"/>
            <w:gridSpan w:val="6"/>
            <w:shd w:val="clear" w:color="auto" w:fill="FFFFFF" w:themeFill="background1"/>
            <w:vAlign w:val="center"/>
          </w:tcPr>
          <w:p w14:paraId="301AB947" w14:textId="77777777" w:rsidR="00DE77AF" w:rsidRPr="00A021B7" w:rsidRDefault="00DE77AF" w:rsidP="00CB0C2B">
            <w:pPr>
              <w:tabs>
                <w:tab w:val="left" w:pos="172"/>
              </w:tabs>
              <w:ind w:left="21"/>
              <w:rPr>
                <w:rFonts w:ascii="Arial" w:hAnsi="Arial" w:cs="Arial"/>
                <w:color w:val="000000" w:themeColor="text1"/>
                <w:sz w:val="20"/>
                <w:szCs w:val="20"/>
                <w:lang w:val="sr-Cyrl-RS"/>
              </w:rPr>
            </w:pPr>
            <w:r w:rsidRPr="00A021B7">
              <w:rPr>
                <w:rFonts w:ascii="Arial" w:hAnsi="Arial" w:cs="Arial"/>
                <w:iCs/>
                <w:color w:val="000000" w:themeColor="text1"/>
                <w:sz w:val="20"/>
                <w:szCs w:val="20"/>
                <w:lang w:val="sr-Cyrl-RS"/>
              </w:rPr>
              <w:t>Пожељна је већа вредност</w:t>
            </w:r>
          </w:p>
        </w:tc>
      </w:tr>
      <w:tr w:rsidR="00DE77AF" w:rsidRPr="00A021B7" w14:paraId="3F83CDA2" w14:textId="77777777" w:rsidTr="1A8E6423">
        <w:tc>
          <w:tcPr>
            <w:tcW w:w="994" w:type="pct"/>
            <w:shd w:val="clear" w:color="auto" w:fill="FFC000" w:themeFill="accent4"/>
          </w:tcPr>
          <w:p w14:paraId="72846849"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Извор података за праћење показатеља учинка</w:t>
            </w:r>
          </w:p>
        </w:tc>
        <w:tc>
          <w:tcPr>
            <w:tcW w:w="4006" w:type="pct"/>
            <w:gridSpan w:val="11"/>
            <w:shd w:val="clear" w:color="auto" w:fill="FFFFFF" w:themeFill="background1"/>
            <w:vAlign w:val="center"/>
          </w:tcPr>
          <w:p w14:paraId="5CA19FFE" w14:textId="22BF9A56"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Пода</w:t>
            </w:r>
            <w:r w:rsidR="007F2DA5" w:rsidRPr="1A8E6423">
              <w:rPr>
                <w:rFonts w:ascii="Arial" w:eastAsiaTheme="minorEastAsia" w:hAnsi="Arial" w:cs="Arial"/>
                <w:color w:val="000000" w:themeColor="text1"/>
                <w:sz w:val="20"/>
                <w:szCs w:val="20"/>
                <w:lang w:val="sr-Cyrl-RS"/>
              </w:rPr>
              <w:t>ц</w:t>
            </w:r>
            <w:r w:rsidRPr="1A8E6423">
              <w:rPr>
                <w:rFonts w:ascii="Arial" w:eastAsiaTheme="minorEastAsia" w:hAnsi="Arial" w:cs="Arial"/>
                <w:color w:val="000000" w:themeColor="text1"/>
                <w:sz w:val="20"/>
                <w:szCs w:val="20"/>
                <w:lang w:val="sr-Cyrl-RS"/>
              </w:rPr>
              <w:t>и из будућег извештаја МДУЛС о мерењу стања по композитном индексу</w:t>
            </w:r>
          </w:p>
        </w:tc>
      </w:tr>
      <w:tr w:rsidR="00DE77AF" w:rsidRPr="00A021B7" w14:paraId="2177F240" w14:textId="77777777" w:rsidTr="1A8E6423">
        <w:tc>
          <w:tcPr>
            <w:tcW w:w="994" w:type="pct"/>
            <w:shd w:val="clear" w:color="auto" w:fill="FFC000" w:themeFill="accent4"/>
          </w:tcPr>
          <w:p w14:paraId="3E748B14"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Назив носиоца прикупљања података</w:t>
            </w:r>
          </w:p>
        </w:tc>
        <w:tc>
          <w:tcPr>
            <w:tcW w:w="4006" w:type="pct"/>
            <w:gridSpan w:val="11"/>
            <w:shd w:val="clear" w:color="auto" w:fill="FFFFFF" w:themeFill="background1"/>
            <w:vAlign w:val="center"/>
          </w:tcPr>
          <w:p w14:paraId="18086632" w14:textId="77777777" w:rsidR="00DE77AF" w:rsidRPr="00A021B7" w:rsidRDefault="00DE77AF" w:rsidP="00CB0C2B">
            <w:pPr>
              <w:rPr>
                <w:rFonts w:ascii="Arial" w:eastAsiaTheme="minorHAnsi" w:hAnsi="Arial" w:cs="Arial"/>
                <w:sz w:val="20"/>
                <w:szCs w:val="20"/>
                <w:lang w:val="sr-Cyrl-RS"/>
              </w:rPr>
            </w:pPr>
          </w:p>
          <w:p w14:paraId="15453D2C" w14:textId="15B83C54"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МДУЛС, Сектор за систем локалне самоуправе, Душанка Јовановић</w:t>
            </w:r>
            <w:r w:rsidR="43071259"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w:t>
            </w:r>
            <w:hyperlink r:id="rId30">
              <w:r w:rsidRPr="1A8E6423">
                <w:rPr>
                  <w:rStyle w:val="Hyperlink"/>
                  <w:rFonts w:ascii="Arial" w:eastAsiaTheme="minorEastAsia" w:hAnsi="Arial" w:cs="Arial"/>
                  <w:sz w:val="20"/>
                  <w:szCs w:val="20"/>
                  <w:lang w:val="sr-Cyrl-RS"/>
                </w:rPr>
                <w:t>dusanka.jovanovic@mduls.gov.rs</w:t>
              </w:r>
            </w:hyperlink>
          </w:p>
          <w:p w14:paraId="1C486C85" w14:textId="77777777" w:rsidR="00DE77AF" w:rsidRPr="00A021B7" w:rsidRDefault="00DE77AF" w:rsidP="00CB0C2B">
            <w:pPr>
              <w:rPr>
                <w:rFonts w:ascii="Arial" w:eastAsiaTheme="minorHAnsi" w:hAnsi="Arial" w:cs="Arial"/>
                <w:color w:val="FF0000"/>
                <w:sz w:val="20"/>
                <w:szCs w:val="20"/>
                <w:lang w:val="sr-Cyrl-RS"/>
              </w:rPr>
            </w:pPr>
          </w:p>
        </w:tc>
      </w:tr>
      <w:tr w:rsidR="00DE77AF" w:rsidRPr="00A021B7" w14:paraId="797DAFEB" w14:textId="77777777" w:rsidTr="1A8E6423">
        <w:tc>
          <w:tcPr>
            <w:tcW w:w="994" w:type="pct"/>
            <w:shd w:val="clear" w:color="auto" w:fill="FFC000" w:themeFill="accent4"/>
          </w:tcPr>
          <w:p w14:paraId="1195431D"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Учесталост прикупљања података</w:t>
            </w:r>
          </w:p>
        </w:tc>
        <w:tc>
          <w:tcPr>
            <w:tcW w:w="4006" w:type="pct"/>
            <w:gridSpan w:val="11"/>
            <w:shd w:val="clear" w:color="auto" w:fill="FFFFFF" w:themeFill="background1"/>
            <w:vAlign w:val="center"/>
          </w:tcPr>
          <w:p w14:paraId="263C7C6A" w14:textId="77777777" w:rsidR="00DE77AF" w:rsidRPr="00A021B7" w:rsidRDefault="00DE77AF" w:rsidP="00CB0C2B">
            <w:pP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Подаци се прикупљају на трогодишњем нивоу (2023, 2026, 2029)</w:t>
            </w:r>
          </w:p>
        </w:tc>
      </w:tr>
      <w:tr w:rsidR="00DE77AF" w:rsidRPr="00A021B7" w14:paraId="0A6E6C12" w14:textId="77777777" w:rsidTr="1A8E6423">
        <w:trPr>
          <w:trHeight w:val="883"/>
        </w:trPr>
        <w:tc>
          <w:tcPr>
            <w:tcW w:w="994" w:type="pct"/>
            <w:shd w:val="clear" w:color="auto" w:fill="FFC000" w:themeFill="accent4"/>
          </w:tcPr>
          <w:p w14:paraId="65D2BA2A" w14:textId="77777777" w:rsidR="00DE77AF" w:rsidRPr="00A021B7" w:rsidRDefault="00DE77AF" w:rsidP="00CB0C2B">
            <w:pPr>
              <w:rPr>
                <w:rFonts w:ascii="Arial" w:eastAsiaTheme="minorHAnsi" w:hAnsi="Arial" w:cs="Arial"/>
                <w:b/>
                <w:sz w:val="20"/>
                <w:szCs w:val="20"/>
                <w:lang w:val="sr-Cyrl-RS"/>
              </w:rPr>
            </w:pPr>
            <w:r w:rsidRPr="00A021B7">
              <w:rPr>
                <w:rFonts w:ascii="Arial" w:eastAsiaTheme="minorHAnsi" w:hAnsi="Arial" w:cs="Arial"/>
                <w:b/>
                <w:sz w:val="20"/>
                <w:szCs w:val="20"/>
                <w:lang w:val="sr-Cyrl-RS"/>
              </w:rPr>
              <w:t>Кратак опис показатеља и методологије израчунавања</w:t>
            </w:r>
          </w:p>
          <w:p w14:paraId="603CB765" w14:textId="15DC21EF"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sz w:val="20"/>
                <w:szCs w:val="20"/>
                <w:lang w:val="sr-Cyrl-RS"/>
              </w:rPr>
              <w:t>(формуле/једначине)</w:t>
            </w:r>
          </w:p>
        </w:tc>
        <w:tc>
          <w:tcPr>
            <w:tcW w:w="4006" w:type="pct"/>
            <w:gridSpan w:val="11"/>
            <w:shd w:val="clear" w:color="auto" w:fill="FFFFFF" w:themeFill="background1"/>
          </w:tcPr>
          <w:p w14:paraId="14548B3D" w14:textId="56DB609E" w:rsidR="00DE77AF" w:rsidRPr="00A021B7" w:rsidRDefault="00DE77AF" w:rsidP="1A8E6423">
            <w:pPr>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Овај показатељ биће развијен до краја 2022. године. </w:t>
            </w:r>
            <w:r w:rsidR="007F2DA5" w:rsidRPr="1A8E6423">
              <w:rPr>
                <w:rFonts w:ascii="Arial" w:eastAsiaTheme="minorEastAsia" w:hAnsi="Arial" w:cs="Arial"/>
                <w:sz w:val="20"/>
                <w:szCs w:val="20"/>
                <w:lang w:val="sr-Cyrl-RS"/>
              </w:rPr>
              <w:t>Т</w:t>
            </w:r>
            <w:r w:rsidRPr="1A8E6423">
              <w:rPr>
                <w:rFonts w:ascii="Arial" w:eastAsiaTheme="minorEastAsia" w:hAnsi="Arial" w:cs="Arial"/>
                <w:sz w:val="20"/>
                <w:szCs w:val="20"/>
                <w:lang w:val="sr-Cyrl-RS"/>
              </w:rPr>
              <w:t>ребало</w:t>
            </w:r>
            <w:r w:rsidR="007F2DA5" w:rsidRPr="1A8E6423">
              <w:rPr>
                <w:rFonts w:ascii="Arial" w:eastAsiaTheme="minorEastAsia" w:hAnsi="Arial" w:cs="Arial"/>
                <w:sz w:val="20"/>
                <w:szCs w:val="20"/>
                <w:lang w:val="sr-Cyrl-RS"/>
              </w:rPr>
              <w:t xml:space="preserve"> би</w:t>
            </w:r>
            <w:r w:rsidRPr="1A8E6423">
              <w:rPr>
                <w:rFonts w:ascii="Arial" w:eastAsiaTheme="minorEastAsia" w:hAnsi="Arial" w:cs="Arial"/>
                <w:sz w:val="20"/>
                <w:szCs w:val="20"/>
                <w:lang w:val="sr-Cyrl-RS"/>
              </w:rPr>
              <w:t xml:space="preserve"> да показује степен доступности и квалитета јавних услуга ЈЛС. Показатељ ће бити развијен у форми композитног индекса који ће мерити доступности и квалитет </w:t>
            </w:r>
            <w:r w:rsidR="007F2DA5" w:rsidRPr="1A8E6423">
              <w:rPr>
                <w:rFonts w:ascii="Arial" w:eastAsiaTheme="minorEastAsia" w:hAnsi="Arial" w:cs="Arial"/>
                <w:sz w:val="20"/>
                <w:szCs w:val="20"/>
                <w:lang w:val="sr-Cyrl-RS"/>
              </w:rPr>
              <w:t xml:space="preserve">пружања </w:t>
            </w:r>
            <w:r w:rsidRPr="1A8E6423">
              <w:rPr>
                <w:rFonts w:ascii="Arial" w:eastAsiaTheme="minorEastAsia" w:hAnsi="Arial" w:cs="Arial"/>
                <w:sz w:val="20"/>
                <w:szCs w:val="20"/>
                <w:lang w:val="sr-Cyrl-RS"/>
              </w:rPr>
              <w:t>управних услуга ЈЛС, услуга јавних установа које оснива и чији рад организује и финансира ЈЛС и комуналних услуга. Планирано је да композитни индекс у циљу денафикације доступност</w:t>
            </w:r>
            <w:r w:rsidR="007F2DA5"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јавних услуга обухвати у основи све јавне услуге локалне самоуправе</w:t>
            </w:r>
            <w:r w:rsidR="193CB8F1"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а у циљу идентификације квалитета услуга ЈЛС, мерење ће бити спровођено на нивоу кључних односно приоритетних јавних услуга у све три области (управне услуге, услуге јавних установа и комуналне услуге). Само мерење ће се вршити на нивоу свих ЈЛС (путем упитника за ЈЛС)</w:t>
            </w:r>
            <w:r w:rsidR="007F2DA5"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а верификација налаза биће извршена путем организације екстерног мерења на репрезентативном узорку ЈЛС који неће бити мањи од 30% укупног броја ЈЛС. Налази индекса биће приказани или у форми композитне формуле која одређује место на скали сваке анализиране ЈЛС (односно укупну просечну оцену) или у форми процентуалног степена остварења јавних услуга по индексу.</w:t>
            </w:r>
          </w:p>
        </w:tc>
      </w:tr>
      <w:tr w:rsidR="00DE77AF" w:rsidRPr="00A021B7" w14:paraId="5ED53A4E" w14:textId="77777777" w:rsidTr="1A8E6423">
        <w:trPr>
          <w:trHeight w:val="265"/>
        </w:trPr>
        <w:tc>
          <w:tcPr>
            <w:tcW w:w="994" w:type="pct"/>
            <w:vMerge w:val="restart"/>
            <w:shd w:val="clear" w:color="auto" w:fill="FFC000" w:themeFill="accent4"/>
          </w:tcPr>
          <w:p w14:paraId="493497E6" w14:textId="5EEA24B4" w:rsidR="00DE77AF" w:rsidRPr="00A021B7" w:rsidRDefault="00DE77AF" w:rsidP="1A8E6423">
            <w:pPr>
              <w:rPr>
                <w:rFonts w:ascii="Arial" w:eastAsiaTheme="minorEastAsia" w:hAnsi="Arial" w:cs="Arial"/>
                <w:b/>
                <w:bCs/>
                <w:sz w:val="20"/>
                <w:szCs w:val="20"/>
                <w:lang w:val="sr-Cyrl-RS"/>
              </w:rPr>
            </w:pPr>
            <w:r w:rsidRPr="1A8E6423">
              <w:rPr>
                <w:rFonts w:ascii="Arial" w:eastAsiaTheme="minorEastAsia" w:hAnsi="Arial" w:cs="Arial"/>
                <w:b/>
                <w:bCs/>
                <w:sz w:val="20"/>
                <w:szCs w:val="20"/>
                <w:lang w:val="sr-Cyrl-RS"/>
              </w:rPr>
              <w:t xml:space="preserve">Подаци о полазној вредности и години кад је </w:t>
            </w:r>
            <w:r w:rsidRPr="1A8E6423">
              <w:rPr>
                <w:rFonts w:ascii="Arial" w:eastAsiaTheme="minorEastAsia" w:hAnsi="Arial" w:cs="Arial"/>
                <w:b/>
                <w:bCs/>
                <w:sz w:val="20"/>
                <w:szCs w:val="20"/>
                <w:lang w:val="sr-Cyrl-RS"/>
              </w:rPr>
              <w:lastRenderedPageBreak/>
              <w:t>измерена, као и тренду у прошлости</w:t>
            </w:r>
          </w:p>
        </w:tc>
        <w:tc>
          <w:tcPr>
            <w:tcW w:w="1792" w:type="pct"/>
            <w:gridSpan w:val="3"/>
            <w:tcBorders>
              <w:bottom w:val="single" w:sz="4" w:space="0" w:color="auto"/>
            </w:tcBorders>
            <w:shd w:val="clear" w:color="auto" w:fill="FFFFFF" w:themeFill="background1"/>
            <w:vAlign w:val="center"/>
          </w:tcPr>
          <w:p w14:paraId="01B43697" w14:textId="77777777" w:rsidR="00DE77AF" w:rsidRPr="00A021B7" w:rsidRDefault="00DE77AF" w:rsidP="00496675">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lastRenderedPageBreak/>
              <w:t>Тренд у прошлости</w:t>
            </w:r>
          </w:p>
        </w:tc>
        <w:tc>
          <w:tcPr>
            <w:tcW w:w="2214" w:type="pct"/>
            <w:gridSpan w:val="8"/>
            <w:shd w:val="clear" w:color="auto" w:fill="FFFFFF" w:themeFill="background1"/>
            <w:vAlign w:val="center"/>
          </w:tcPr>
          <w:p w14:paraId="799EDEC6" w14:textId="77777777" w:rsidR="00DE77AF" w:rsidRPr="00A021B7" w:rsidRDefault="00DE77AF" w:rsidP="00496675">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Полазна вредност</w:t>
            </w:r>
          </w:p>
        </w:tc>
      </w:tr>
      <w:tr w:rsidR="00DE77AF" w:rsidRPr="00A021B7" w14:paraId="73E938B9" w14:textId="77777777" w:rsidTr="1A8E6423">
        <w:trPr>
          <w:trHeight w:val="137"/>
        </w:trPr>
        <w:tc>
          <w:tcPr>
            <w:tcW w:w="994" w:type="pct"/>
            <w:vMerge/>
          </w:tcPr>
          <w:p w14:paraId="352AB427" w14:textId="77777777" w:rsidR="00DE77AF" w:rsidRPr="00A021B7" w:rsidRDefault="00DE77AF" w:rsidP="00CB0C2B">
            <w:pPr>
              <w:rPr>
                <w:rFonts w:ascii="Arial" w:eastAsiaTheme="minorHAnsi" w:hAnsi="Arial" w:cs="Arial"/>
                <w:b/>
                <w:bCs/>
                <w:sz w:val="20"/>
                <w:szCs w:val="20"/>
                <w:lang w:val="sr-Cyrl-RS"/>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E12A3" w14:textId="219180FF"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2016</w:t>
            </w:r>
            <w:r w:rsidR="007F2DA5" w:rsidRPr="1A8E6423">
              <w:rPr>
                <w:rFonts w:ascii="Arial" w:eastAsiaTheme="minorEastAsia" w:hAnsi="Arial" w:cs="Arial"/>
                <w:color w:val="000000" w:themeColor="text1"/>
                <w:sz w:val="20"/>
                <w:szCs w:val="20"/>
                <w:lang w:val="sr-Cyrl-RS"/>
              </w:rPr>
              <w:t>.</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C238" w14:textId="660E7FFD"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2017</w:t>
            </w:r>
            <w:r w:rsidR="007F2DA5" w:rsidRPr="1A8E6423">
              <w:rPr>
                <w:rFonts w:ascii="Arial" w:eastAsiaTheme="minorEastAsia" w:hAnsi="Arial" w:cs="Arial"/>
                <w:color w:val="000000" w:themeColor="text1"/>
                <w:sz w:val="20"/>
                <w:szCs w:val="20"/>
                <w:lang w:val="sr-Cyrl-RS"/>
              </w:rPr>
              <w:t>.</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0B15E" w14:textId="55510671"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2018</w:t>
            </w:r>
            <w:r w:rsidR="007F2DA5" w:rsidRPr="1A8E6423">
              <w:rPr>
                <w:rFonts w:ascii="Arial" w:eastAsiaTheme="minorEastAsia" w:hAnsi="Arial" w:cs="Arial"/>
                <w:color w:val="000000" w:themeColor="text1"/>
                <w:sz w:val="20"/>
                <w:szCs w:val="20"/>
                <w:lang w:val="sr-Cyrl-RS"/>
              </w:rPr>
              <w:t>.</w:t>
            </w:r>
          </w:p>
        </w:tc>
        <w:tc>
          <w:tcPr>
            <w:tcW w:w="2214" w:type="pct"/>
            <w:gridSpan w:val="8"/>
            <w:tcBorders>
              <w:left w:val="single" w:sz="4" w:space="0" w:color="auto"/>
            </w:tcBorders>
            <w:shd w:val="clear" w:color="auto" w:fill="FFFFFF" w:themeFill="background1"/>
            <w:vAlign w:val="center"/>
          </w:tcPr>
          <w:p w14:paraId="4A212084" w14:textId="20710EB8"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2020</w:t>
            </w:r>
            <w:r w:rsidR="007F2DA5" w:rsidRPr="1A8E6423">
              <w:rPr>
                <w:rFonts w:ascii="Arial" w:eastAsiaTheme="minorEastAsia" w:hAnsi="Arial" w:cs="Arial"/>
                <w:color w:val="000000" w:themeColor="text1"/>
                <w:sz w:val="20"/>
                <w:szCs w:val="20"/>
                <w:lang w:val="sr-Cyrl-RS"/>
              </w:rPr>
              <w:t>.</w:t>
            </w:r>
          </w:p>
        </w:tc>
      </w:tr>
      <w:tr w:rsidR="00DE77AF" w:rsidRPr="00A021B7" w14:paraId="0EFF8FB6" w14:textId="77777777" w:rsidTr="1A8E6423">
        <w:trPr>
          <w:trHeight w:val="323"/>
        </w:trPr>
        <w:tc>
          <w:tcPr>
            <w:tcW w:w="994" w:type="pct"/>
            <w:vMerge/>
          </w:tcPr>
          <w:p w14:paraId="55320A11" w14:textId="77777777" w:rsidR="00DE77AF" w:rsidRPr="00A021B7" w:rsidRDefault="00DE77AF" w:rsidP="00CB0C2B">
            <w:pPr>
              <w:rPr>
                <w:rFonts w:ascii="Arial" w:eastAsiaTheme="minorHAnsi" w:hAnsi="Arial" w:cs="Arial"/>
                <w:b/>
                <w:bCs/>
                <w:sz w:val="20"/>
                <w:szCs w:val="20"/>
                <w:lang w:val="sr-Cyrl-RS"/>
              </w:rPr>
            </w:pPr>
          </w:p>
        </w:tc>
        <w:tc>
          <w:tcPr>
            <w:tcW w:w="657" w:type="pct"/>
            <w:tcBorders>
              <w:top w:val="single" w:sz="4" w:space="0" w:color="auto"/>
            </w:tcBorders>
            <w:shd w:val="clear" w:color="auto" w:fill="FFFFFF" w:themeFill="background1"/>
            <w:vAlign w:val="center"/>
          </w:tcPr>
          <w:p w14:paraId="7BB90790" w14:textId="77777777" w:rsidR="00DE77AF" w:rsidRPr="00A021B7" w:rsidRDefault="00DE77AF" w:rsidP="00496675">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0</w:t>
            </w:r>
          </w:p>
        </w:tc>
        <w:tc>
          <w:tcPr>
            <w:tcW w:w="514" w:type="pct"/>
            <w:tcBorders>
              <w:top w:val="single" w:sz="4" w:space="0" w:color="auto"/>
            </w:tcBorders>
            <w:shd w:val="clear" w:color="auto" w:fill="FFFFFF" w:themeFill="background1"/>
            <w:vAlign w:val="center"/>
          </w:tcPr>
          <w:p w14:paraId="046413E8" w14:textId="77777777" w:rsidR="00DE77AF" w:rsidRPr="00A021B7" w:rsidRDefault="00DE77AF" w:rsidP="00496675">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0</w:t>
            </w:r>
          </w:p>
        </w:tc>
        <w:tc>
          <w:tcPr>
            <w:tcW w:w="621" w:type="pct"/>
            <w:tcBorders>
              <w:top w:val="single" w:sz="4" w:space="0" w:color="auto"/>
            </w:tcBorders>
            <w:shd w:val="clear" w:color="auto" w:fill="FFFFFF" w:themeFill="background1"/>
            <w:vAlign w:val="center"/>
          </w:tcPr>
          <w:p w14:paraId="0E5C50AD" w14:textId="77777777" w:rsidR="00DE77AF" w:rsidRPr="00A021B7" w:rsidRDefault="00DE77AF" w:rsidP="00496675">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0</w:t>
            </w:r>
          </w:p>
        </w:tc>
        <w:tc>
          <w:tcPr>
            <w:tcW w:w="2214" w:type="pct"/>
            <w:gridSpan w:val="8"/>
            <w:shd w:val="clear" w:color="auto" w:fill="FFFFFF" w:themeFill="background1"/>
            <w:vAlign w:val="center"/>
          </w:tcPr>
          <w:p w14:paraId="068FA277" w14:textId="77777777" w:rsidR="00DE77AF" w:rsidRPr="00A021B7" w:rsidRDefault="00DE77AF" w:rsidP="00496675">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0</w:t>
            </w:r>
          </w:p>
          <w:p w14:paraId="4F5869C0" w14:textId="77777777" w:rsidR="00DE77AF" w:rsidRPr="00A021B7" w:rsidRDefault="00DE77AF" w:rsidP="00496675">
            <w:pPr>
              <w:jc w:val="center"/>
              <w:rPr>
                <w:rFonts w:ascii="Arial" w:eastAsiaTheme="minorHAnsi" w:hAnsi="Arial" w:cs="Arial"/>
                <w:color w:val="000000" w:themeColor="text1"/>
                <w:sz w:val="20"/>
                <w:szCs w:val="20"/>
                <w:lang w:val="sr-Cyrl-RS"/>
              </w:rPr>
            </w:pPr>
          </w:p>
          <w:p w14:paraId="0DDDBF46" w14:textId="77777777" w:rsidR="00DE77AF" w:rsidRPr="00A021B7" w:rsidRDefault="00DE77AF" w:rsidP="00496675">
            <w:pPr>
              <w:jc w:val="center"/>
              <w:rPr>
                <w:rFonts w:ascii="Arial" w:eastAsiaTheme="minorHAnsi" w:hAnsi="Arial" w:cs="Arial"/>
                <w:color w:val="000000" w:themeColor="text1"/>
                <w:sz w:val="20"/>
                <w:szCs w:val="20"/>
                <w:lang w:val="sr-Cyrl-RS"/>
              </w:rPr>
            </w:pPr>
          </w:p>
        </w:tc>
      </w:tr>
      <w:tr w:rsidR="00DE77AF" w:rsidRPr="00A021B7" w14:paraId="01236BCD" w14:textId="77777777" w:rsidTr="1A8E6423">
        <w:trPr>
          <w:trHeight w:val="274"/>
        </w:trPr>
        <w:tc>
          <w:tcPr>
            <w:tcW w:w="994" w:type="pct"/>
            <w:vMerge w:val="restart"/>
            <w:shd w:val="clear" w:color="auto" w:fill="FFC000" w:themeFill="accent4"/>
          </w:tcPr>
          <w:p w14:paraId="7D390431"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Подаци о циљним вредностима</w:t>
            </w:r>
          </w:p>
        </w:tc>
        <w:tc>
          <w:tcPr>
            <w:tcW w:w="657" w:type="pct"/>
            <w:shd w:val="clear" w:color="auto" w:fill="FFFFFF" w:themeFill="background1"/>
            <w:vAlign w:val="center"/>
          </w:tcPr>
          <w:p w14:paraId="0F62CC28" w14:textId="2C4E7160"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2021</w:t>
            </w:r>
            <w:r w:rsidR="007F2DA5" w:rsidRPr="1A8E6423">
              <w:rPr>
                <w:rFonts w:ascii="Arial" w:eastAsiaTheme="minorEastAsia" w:hAnsi="Arial" w:cs="Arial"/>
                <w:color w:val="000000" w:themeColor="text1"/>
                <w:sz w:val="20"/>
                <w:szCs w:val="20"/>
                <w:lang w:val="sr-Cyrl-RS"/>
              </w:rPr>
              <w:t>.</w:t>
            </w:r>
          </w:p>
        </w:tc>
        <w:tc>
          <w:tcPr>
            <w:tcW w:w="514" w:type="pct"/>
            <w:shd w:val="clear" w:color="auto" w:fill="FFFFFF" w:themeFill="background1"/>
            <w:vAlign w:val="center"/>
          </w:tcPr>
          <w:p w14:paraId="5C3ED3DA" w14:textId="5860431F"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2022</w:t>
            </w:r>
            <w:r w:rsidR="007F2DA5" w:rsidRPr="1A8E6423">
              <w:rPr>
                <w:rFonts w:ascii="Arial" w:eastAsiaTheme="minorEastAsia" w:hAnsi="Arial" w:cs="Arial"/>
                <w:color w:val="000000" w:themeColor="text1"/>
                <w:sz w:val="20"/>
                <w:szCs w:val="20"/>
                <w:lang w:val="sr-Cyrl-RS"/>
              </w:rPr>
              <w:t>.</w:t>
            </w:r>
          </w:p>
        </w:tc>
        <w:tc>
          <w:tcPr>
            <w:tcW w:w="621" w:type="pct"/>
            <w:shd w:val="clear" w:color="auto" w:fill="FFFFFF" w:themeFill="background1"/>
            <w:vAlign w:val="center"/>
          </w:tcPr>
          <w:p w14:paraId="71522A4F" w14:textId="7FFBCE88"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2023</w:t>
            </w:r>
            <w:r w:rsidR="007F2DA5" w:rsidRPr="1A8E6423">
              <w:rPr>
                <w:rFonts w:ascii="Arial" w:eastAsiaTheme="minorEastAsia" w:hAnsi="Arial" w:cs="Arial"/>
                <w:color w:val="000000" w:themeColor="text1"/>
                <w:sz w:val="20"/>
                <w:szCs w:val="20"/>
                <w:lang w:val="sr-Cyrl-RS"/>
              </w:rPr>
              <w:t>.</w:t>
            </w:r>
          </w:p>
        </w:tc>
        <w:tc>
          <w:tcPr>
            <w:tcW w:w="316" w:type="pct"/>
            <w:shd w:val="clear" w:color="auto" w:fill="FFFFFF" w:themeFill="background1"/>
            <w:vAlign w:val="center"/>
          </w:tcPr>
          <w:p w14:paraId="782E09EA" w14:textId="7A2F222D"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2024</w:t>
            </w:r>
            <w:r w:rsidR="007F2DA5" w:rsidRPr="1A8E6423">
              <w:rPr>
                <w:rFonts w:ascii="Arial" w:eastAsiaTheme="minorEastAsia" w:hAnsi="Arial" w:cs="Arial"/>
                <w:color w:val="000000" w:themeColor="text1"/>
                <w:sz w:val="20"/>
                <w:szCs w:val="20"/>
                <w:lang w:val="sr-Cyrl-RS"/>
              </w:rPr>
              <w:t>.</w:t>
            </w:r>
          </w:p>
        </w:tc>
        <w:tc>
          <w:tcPr>
            <w:tcW w:w="316" w:type="pct"/>
            <w:gridSpan w:val="2"/>
            <w:shd w:val="clear" w:color="auto" w:fill="FFFFFF" w:themeFill="background1"/>
            <w:vAlign w:val="center"/>
          </w:tcPr>
          <w:p w14:paraId="193F4188" w14:textId="7D3F1267"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2025</w:t>
            </w:r>
            <w:r w:rsidR="007F2DA5" w:rsidRPr="1A8E6423">
              <w:rPr>
                <w:rFonts w:ascii="Arial" w:eastAsiaTheme="minorEastAsia" w:hAnsi="Arial" w:cs="Arial"/>
                <w:color w:val="000000" w:themeColor="text1"/>
                <w:sz w:val="20"/>
                <w:szCs w:val="20"/>
                <w:lang w:val="sr-Cyrl-RS"/>
              </w:rPr>
              <w:t>.</w:t>
            </w:r>
          </w:p>
        </w:tc>
        <w:tc>
          <w:tcPr>
            <w:tcW w:w="316" w:type="pct"/>
            <w:shd w:val="clear" w:color="auto" w:fill="FFFFFF" w:themeFill="background1"/>
            <w:vAlign w:val="center"/>
          </w:tcPr>
          <w:p w14:paraId="2AC1CB0F" w14:textId="77B1F592"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2026</w:t>
            </w:r>
            <w:r w:rsidR="007F2DA5" w:rsidRPr="1A8E6423">
              <w:rPr>
                <w:rFonts w:ascii="Arial" w:eastAsiaTheme="minorEastAsia" w:hAnsi="Arial" w:cs="Arial"/>
                <w:color w:val="000000" w:themeColor="text1"/>
                <w:sz w:val="20"/>
                <w:szCs w:val="20"/>
                <w:lang w:val="sr-Cyrl-RS"/>
              </w:rPr>
              <w:t>.</w:t>
            </w:r>
          </w:p>
        </w:tc>
        <w:tc>
          <w:tcPr>
            <w:tcW w:w="316" w:type="pct"/>
            <w:shd w:val="clear" w:color="auto" w:fill="FFFFFF" w:themeFill="background1"/>
            <w:vAlign w:val="center"/>
          </w:tcPr>
          <w:p w14:paraId="6797D151" w14:textId="0126E17F"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2027</w:t>
            </w:r>
            <w:r w:rsidR="007F2DA5" w:rsidRPr="1A8E6423">
              <w:rPr>
                <w:rFonts w:ascii="Arial" w:eastAsiaTheme="minorEastAsia" w:hAnsi="Arial" w:cs="Arial"/>
                <w:color w:val="000000" w:themeColor="text1"/>
                <w:sz w:val="20"/>
                <w:szCs w:val="20"/>
                <w:lang w:val="sr-Cyrl-RS"/>
              </w:rPr>
              <w:t>.</w:t>
            </w:r>
          </w:p>
        </w:tc>
        <w:tc>
          <w:tcPr>
            <w:tcW w:w="316" w:type="pct"/>
            <w:shd w:val="clear" w:color="auto" w:fill="FFFFFF" w:themeFill="background1"/>
            <w:vAlign w:val="center"/>
          </w:tcPr>
          <w:p w14:paraId="46460C95" w14:textId="4BA57790"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2028</w:t>
            </w:r>
            <w:r w:rsidR="007F2DA5" w:rsidRPr="1A8E6423">
              <w:rPr>
                <w:rFonts w:ascii="Arial" w:eastAsiaTheme="minorEastAsia" w:hAnsi="Arial" w:cs="Arial"/>
                <w:color w:val="000000" w:themeColor="text1"/>
                <w:sz w:val="20"/>
                <w:szCs w:val="20"/>
                <w:lang w:val="sr-Cyrl-RS"/>
              </w:rPr>
              <w:t>.</w:t>
            </w:r>
          </w:p>
        </w:tc>
        <w:tc>
          <w:tcPr>
            <w:tcW w:w="316" w:type="pct"/>
            <w:shd w:val="clear" w:color="auto" w:fill="FFFFFF" w:themeFill="background1"/>
            <w:vAlign w:val="center"/>
          </w:tcPr>
          <w:p w14:paraId="085D8926" w14:textId="25E8B285"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2029</w:t>
            </w:r>
            <w:r w:rsidR="007F2DA5" w:rsidRPr="1A8E6423">
              <w:rPr>
                <w:rFonts w:ascii="Arial" w:eastAsiaTheme="minorEastAsia" w:hAnsi="Arial" w:cs="Arial"/>
                <w:color w:val="000000" w:themeColor="text1"/>
                <w:sz w:val="20"/>
                <w:szCs w:val="20"/>
                <w:lang w:val="sr-Cyrl-RS"/>
              </w:rPr>
              <w:t>.</w:t>
            </w:r>
          </w:p>
        </w:tc>
        <w:tc>
          <w:tcPr>
            <w:tcW w:w="318" w:type="pct"/>
            <w:shd w:val="clear" w:color="auto" w:fill="FFFFFF" w:themeFill="background1"/>
            <w:vAlign w:val="center"/>
          </w:tcPr>
          <w:p w14:paraId="07632231" w14:textId="6B156A23"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2030</w:t>
            </w:r>
            <w:r w:rsidR="007F2DA5" w:rsidRPr="1A8E6423">
              <w:rPr>
                <w:rFonts w:ascii="Arial" w:eastAsiaTheme="minorEastAsia" w:hAnsi="Arial" w:cs="Arial"/>
                <w:color w:val="000000" w:themeColor="text1"/>
                <w:sz w:val="20"/>
                <w:szCs w:val="20"/>
                <w:lang w:val="sr-Cyrl-RS"/>
              </w:rPr>
              <w:t>.</w:t>
            </w:r>
          </w:p>
        </w:tc>
      </w:tr>
      <w:tr w:rsidR="00DE77AF" w:rsidRPr="00A021B7" w14:paraId="63011923" w14:textId="77777777" w:rsidTr="1A8E6423">
        <w:trPr>
          <w:trHeight w:val="160"/>
        </w:trPr>
        <w:tc>
          <w:tcPr>
            <w:tcW w:w="994" w:type="pct"/>
            <w:vMerge/>
          </w:tcPr>
          <w:p w14:paraId="46EB3B37" w14:textId="77777777" w:rsidR="00DE77AF" w:rsidRPr="00A021B7" w:rsidRDefault="00DE77AF" w:rsidP="00CB0C2B">
            <w:pPr>
              <w:rPr>
                <w:rFonts w:ascii="Arial" w:eastAsiaTheme="minorHAnsi" w:hAnsi="Arial" w:cs="Arial"/>
                <w:b/>
                <w:bCs/>
                <w:sz w:val="20"/>
                <w:szCs w:val="20"/>
                <w:lang w:val="sr-Cyrl-RS"/>
              </w:rPr>
            </w:pPr>
          </w:p>
        </w:tc>
        <w:tc>
          <w:tcPr>
            <w:tcW w:w="657" w:type="pct"/>
            <w:shd w:val="clear" w:color="auto" w:fill="FFFFFF" w:themeFill="background1"/>
          </w:tcPr>
          <w:p w14:paraId="494B791C" w14:textId="77777777" w:rsidR="00DE77AF" w:rsidRPr="00A021B7" w:rsidRDefault="00DE77AF" w:rsidP="00496675">
            <w:pPr>
              <w:jc w:val="cente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0</w:t>
            </w:r>
          </w:p>
        </w:tc>
        <w:tc>
          <w:tcPr>
            <w:tcW w:w="514" w:type="pct"/>
            <w:shd w:val="clear" w:color="auto" w:fill="FFFFFF" w:themeFill="background1"/>
          </w:tcPr>
          <w:p w14:paraId="02BA8BFC" w14:textId="643DC5D7"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Израђен</w:t>
            </w:r>
            <w:r w:rsidR="007F2DA5" w:rsidRPr="1A8E6423">
              <w:rPr>
                <w:rFonts w:ascii="Arial" w:eastAsiaTheme="minorEastAsia" w:hAnsi="Arial" w:cs="Arial"/>
                <w:color w:val="000000" w:themeColor="text1"/>
                <w:sz w:val="20"/>
                <w:szCs w:val="20"/>
                <w:lang w:val="sr-Cyrl-RS"/>
              </w:rPr>
              <w:t xml:space="preserve"> </w:t>
            </w:r>
            <w:r w:rsidRPr="1A8E6423">
              <w:rPr>
                <w:rFonts w:ascii="Arial" w:eastAsiaTheme="minorEastAsia" w:hAnsi="Arial" w:cs="Arial"/>
                <w:color w:val="000000" w:themeColor="text1"/>
                <w:sz w:val="20"/>
                <w:szCs w:val="20"/>
                <w:lang w:val="sr-Cyrl-RS"/>
              </w:rPr>
              <w:t>индекс</w:t>
            </w:r>
          </w:p>
        </w:tc>
        <w:tc>
          <w:tcPr>
            <w:tcW w:w="621" w:type="pct"/>
            <w:shd w:val="clear" w:color="auto" w:fill="FFFFFF" w:themeFill="background1"/>
          </w:tcPr>
          <w:p w14:paraId="0920B884" w14:textId="6F5128E2" w:rsidR="00DE77AF" w:rsidRPr="00A021B7" w:rsidDel="007F2DA5"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kern w:val="24"/>
                <w:sz w:val="20"/>
                <w:szCs w:val="20"/>
                <w:lang w:val="sr-Cyrl-RS"/>
              </w:rPr>
              <w:t>Извршено мерење</w:t>
            </w:r>
            <w:r w:rsidR="007F2DA5" w:rsidRPr="1A8E6423">
              <w:rPr>
                <w:rFonts w:ascii="Arial" w:eastAsiaTheme="minorEastAsia" w:hAnsi="Arial" w:cs="Arial"/>
                <w:color w:val="000000" w:themeColor="text1"/>
                <w:kern w:val="24"/>
                <w:sz w:val="20"/>
                <w:szCs w:val="20"/>
                <w:lang w:val="sr-Cyrl-RS"/>
              </w:rPr>
              <w:t xml:space="preserve"> </w:t>
            </w:r>
            <w:r w:rsidRPr="1A8E6423">
              <w:rPr>
                <w:rFonts w:ascii="Arial" w:eastAsiaTheme="minorEastAsia" w:hAnsi="Arial" w:cs="Arial"/>
                <w:color w:val="000000" w:themeColor="text1"/>
                <w:kern w:val="24"/>
                <w:sz w:val="20"/>
                <w:szCs w:val="20"/>
                <w:lang w:val="sr-Cyrl-RS"/>
              </w:rPr>
              <w:t>по</w:t>
            </w:r>
            <w:r w:rsidR="4D08A00C" w:rsidRPr="1A8E6423">
              <w:rPr>
                <w:rFonts w:ascii="Arial" w:eastAsiaTheme="minorEastAsia" w:hAnsi="Arial" w:cs="Arial"/>
                <w:color w:val="000000" w:themeColor="text1"/>
                <w:kern w:val="24"/>
                <w:sz w:val="20"/>
                <w:szCs w:val="20"/>
                <w:lang w:val="sr-Cyrl-RS"/>
              </w:rPr>
              <w:t>моћу</w:t>
            </w:r>
            <w:r w:rsidRPr="1A8E6423">
              <w:rPr>
                <w:rFonts w:ascii="Arial" w:eastAsiaTheme="minorEastAsia" w:hAnsi="Arial" w:cs="Arial"/>
                <w:color w:val="000000" w:themeColor="text1"/>
                <w:kern w:val="24"/>
                <w:sz w:val="20"/>
                <w:szCs w:val="20"/>
                <w:lang w:val="sr-Cyrl-RS"/>
              </w:rPr>
              <w:t xml:space="preserve"> индекс</w:t>
            </w:r>
            <w:r w:rsidR="4D08A00C" w:rsidRPr="1A8E6423">
              <w:rPr>
                <w:rFonts w:ascii="Arial" w:eastAsiaTheme="minorEastAsia" w:hAnsi="Arial" w:cs="Arial"/>
                <w:color w:val="000000" w:themeColor="text1"/>
                <w:kern w:val="24"/>
                <w:sz w:val="20"/>
                <w:szCs w:val="20"/>
                <w:lang w:val="sr-Cyrl-RS"/>
              </w:rPr>
              <w:t>а</w:t>
            </w:r>
          </w:p>
        </w:tc>
        <w:tc>
          <w:tcPr>
            <w:tcW w:w="2214" w:type="pct"/>
            <w:gridSpan w:val="8"/>
            <w:shd w:val="clear" w:color="auto" w:fill="FFFFFF" w:themeFill="background1"/>
          </w:tcPr>
          <w:p w14:paraId="64DF3BAC" w14:textId="5E02F0CE" w:rsidR="00DE77AF" w:rsidRPr="00A021B7" w:rsidRDefault="00DE77AF" w:rsidP="1A8E6423">
            <w:pPr>
              <w:jc w:val="cente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Биће утврђено 2023</w:t>
            </w:r>
            <w:r w:rsidR="007F2DA5" w:rsidRPr="1A8E6423">
              <w:rPr>
                <w:rFonts w:ascii="Arial" w:eastAsiaTheme="minorEastAsia" w:hAnsi="Arial" w:cs="Arial"/>
                <w:color w:val="000000" w:themeColor="text1"/>
                <w:sz w:val="20"/>
                <w:szCs w:val="20"/>
                <w:lang w:val="sr-Cyrl-RS"/>
              </w:rPr>
              <w:t>.</w:t>
            </w:r>
          </w:p>
        </w:tc>
      </w:tr>
      <w:tr w:rsidR="00DE77AF" w:rsidRPr="00A021B7" w14:paraId="4EA16AC8" w14:textId="77777777" w:rsidTr="1A8E6423">
        <w:trPr>
          <w:trHeight w:val="611"/>
        </w:trPr>
        <w:tc>
          <w:tcPr>
            <w:tcW w:w="994" w:type="pct"/>
            <w:shd w:val="clear" w:color="auto" w:fill="FFC000" w:themeFill="accent4"/>
          </w:tcPr>
          <w:p w14:paraId="3C2E43E2"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Процена успешности</w:t>
            </w:r>
          </w:p>
        </w:tc>
        <w:tc>
          <w:tcPr>
            <w:tcW w:w="4006" w:type="pct"/>
            <w:gridSpan w:val="11"/>
            <w:shd w:val="clear" w:color="auto" w:fill="FFFFFF" w:themeFill="background1"/>
            <w:vAlign w:val="center"/>
          </w:tcPr>
          <w:p w14:paraId="55EF0BB8" w14:textId="74071233" w:rsidR="00DE77AF" w:rsidRPr="00A021B7" w:rsidRDefault="00DE77AF" w:rsidP="1A8E6423">
            <w:pPr>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sz w:val="20"/>
                <w:szCs w:val="20"/>
                <w:lang w:val="sr-Cyrl-RS"/>
              </w:rPr>
              <w:t xml:space="preserve">Прихватљиво одступање од планираних вредности биће утврђено након израде и спровођења првог мерења стања у ЈЛС </w:t>
            </w:r>
            <w:r w:rsidR="007F2DA5" w:rsidRPr="1A8E6423">
              <w:rPr>
                <w:rFonts w:ascii="Arial" w:eastAsiaTheme="minorEastAsia" w:hAnsi="Arial" w:cs="Arial"/>
                <w:color w:val="000000" w:themeColor="text1"/>
                <w:sz w:val="20"/>
                <w:szCs w:val="20"/>
                <w:lang w:val="sr-Cyrl-RS"/>
              </w:rPr>
              <w:t xml:space="preserve">помоћу </w:t>
            </w:r>
            <w:r w:rsidRPr="1A8E6423">
              <w:rPr>
                <w:rFonts w:ascii="Arial" w:eastAsiaTheme="minorEastAsia" w:hAnsi="Arial" w:cs="Arial"/>
                <w:color w:val="000000" w:themeColor="text1"/>
                <w:sz w:val="20"/>
                <w:szCs w:val="20"/>
                <w:lang w:val="sr-Cyrl-RS"/>
              </w:rPr>
              <w:t>овог индекса</w:t>
            </w:r>
            <w:r w:rsidR="007F2DA5" w:rsidRPr="1A8E6423">
              <w:rPr>
                <w:rFonts w:ascii="Arial" w:eastAsiaTheme="minorEastAsia" w:hAnsi="Arial" w:cs="Arial"/>
                <w:color w:val="000000" w:themeColor="text1"/>
                <w:sz w:val="20"/>
                <w:szCs w:val="20"/>
                <w:lang w:val="sr-Cyrl-RS"/>
              </w:rPr>
              <w:t>.</w:t>
            </w:r>
          </w:p>
        </w:tc>
      </w:tr>
    </w:tbl>
    <w:p w14:paraId="218A6BCD" w14:textId="77777777" w:rsidR="00DE77AF" w:rsidRPr="00A021B7" w:rsidRDefault="00DE77AF" w:rsidP="00DE77AF">
      <w:pPr>
        <w:rPr>
          <w:rFonts w:ascii="Arial" w:hAnsi="Arial" w:cs="Arial"/>
          <w:sz w:val="20"/>
          <w:szCs w:val="20"/>
          <w:lang w:val="sr-Cyrl-RS"/>
        </w:rPr>
      </w:pPr>
    </w:p>
    <w:p w14:paraId="56565596" w14:textId="77777777" w:rsidR="00DE77AF" w:rsidRPr="00A021B7" w:rsidRDefault="00DE77AF" w:rsidP="00DE77AF">
      <w:pPr>
        <w:tabs>
          <w:tab w:val="left" w:pos="1047"/>
        </w:tabs>
        <w:rPr>
          <w:rFonts w:ascii="Arial" w:hAnsi="Arial" w:cs="Arial"/>
          <w:sz w:val="20"/>
          <w:szCs w:val="20"/>
          <w:lang w:val="sr-Cyrl-RS"/>
        </w:rPr>
        <w:sectPr w:rsidR="00DE77AF" w:rsidRPr="00A021B7" w:rsidSect="00CB0C2B">
          <w:footerReference w:type="default" r:id="rId31"/>
          <w:pgSz w:w="16838" w:h="11906" w:orient="landscape"/>
          <w:pgMar w:top="1417" w:right="1134" w:bottom="1417" w:left="1417" w:header="708" w:footer="708" w:gutter="0"/>
          <w:cols w:space="708"/>
          <w:docGrid w:linePitch="360"/>
        </w:sectPr>
      </w:pPr>
    </w:p>
    <w:p w14:paraId="491E4B96" w14:textId="77777777" w:rsidR="00DE77AF" w:rsidRPr="00A021B7" w:rsidRDefault="00DE77AF" w:rsidP="004D4848">
      <w:pPr>
        <w:pStyle w:val="Heading4"/>
        <w:rPr>
          <w:lang w:val="sr-Cyrl-RS"/>
        </w:rPr>
      </w:pPr>
      <w:r w:rsidRPr="00A021B7">
        <w:rPr>
          <w:lang w:val="sr-Cyrl-RS"/>
        </w:rPr>
        <w:lastRenderedPageBreak/>
        <w:t>ПОСЕБАН ЦИЉ 1: УНАПРЕЂЕН ПОЛОЖАЈ И ОДГОВОРНОСТ ЛОКАЛНЕ САМОУПРАВЕ</w:t>
      </w:r>
    </w:p>
    <w:p w14:paraId="2A468925" w14:textId="77777777" w:rsidR="00DE77AF" w:rsidRPr="00A021B7" w:rsidRDefault="00DE77AF" w:rsidP="00DE77AF">
      <w:pPr>
        <w:rPr>
          <w:rFonts w:ascii="Arial" w:hAnsi="Arial" w:cs="Arial"/>
          <w:b/>
          <w:bCs/>
          <w:color w:val="2F5496" w:themeColor="accent1" w:themeShade="BF"/>
          <w:sz w:val="20"/>
          <w:szCs w:val="20"/>
          <w:lang w:val="sr-Cyrl-RS"/>
        </w:rPr>
      </w:pPr>
    </w:p>
    <w:tbl>
      <w:tblPr>
        <w:tblW w:w="13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285"/>
        <w:gridCol w:w="2268"/>
        <w:gridCol w:w="2268"/>
        <w:gridCol w:w="2126"/>
        <w:gridCol w:w="2694"/>
      </w:tblGrid>
      <w:tr w:rsidR="00DE77AF" w:rsidRPr="00A021B7" w14:paraId="059DA551" w14:textId="77777777" w:rsidTr="1A8E6423">
        <w:trPr>
          <w:jc w:val="center"/>
        </w:trPr>
        <w:tc>
          <w:tcPr>
            <w:tcW w:w="3114" w:type="dxa"/>
            <w:shd w:val="clear" w:color="auto" w:fill="D9D9D9" w:themeFill="background1" w:themeFillShade="D9"/>
            <w:vAlign w:val="center"/>
          </w:tcPr>
          <w:p w14:paraId="6F080723" w14:textId="77777777" w:rsidR="00DE77AF" w:rsidRPr="00A021B7" w:rsidRDefault="00DE77AF" w:rsidP="00CB0C2B">
            <w:pPr>
              <w:rPr>
                <w:rFonts w:ascii="Arial" w:hAnsi="Arial" w:cs="Arial"/>
                <w:b/>
                <w:bCs/>
                <w:color w:val="000000" w:themeColor="text1"/>
                <w:sz w:val="20"/>
                <w:szCs w:val="20"/>
                <w:lang w:val="sr-Cyrl-RS"/>
              </w:rPr>
            </w:pPr>
          </w:p>
          <w:p w14:paraId="2206BA7C"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показатеља</w:t>
            </w:r>
          </w:p>
          <w:p w14:paraId="772CE8C2" w14:textId="77777777" w:rsidR="00DE77AF" w:rsidRPr="00A021B7" w:rsidRDefault="00DE77AF" w:rsidP="00CB0C2B">
            <w:pPr>
              <w:rPr>
                <w:rFonts w:ascii="Arial" w:hAnsi="Arial" w:cs="Arial"/>
                <w:b/>
                <w:bCs/>
                <w:color w:val="000000" w:themeColor="text1"/>
                <w:sz w:val="20"/>
                <w:szCs w:val="20"/>
                <w:lang w:val="sr-Cyrl-RS"/>
              </w:rPr>
            </w:pPr>
          </w:p>
        </w:tc>
        <w:tc>
          <w:tcPr>
            <w:tcW w:w="10641" w:type="dxa"/>
            <w:gridSpan w:val="5"/>
            <w:shd w:val="clear" w:color="auto" w:fill="D9D9D9" w:themeFill="background1" w:themeFillShade="D9"/>
            <w:vAlign w:val="center"/>
          </w:tcPr>
          <w:p w14:paraId="10EA3FC8" w14:textId="77777777" w:rsidR="00DE77AF" w:rsidRPr="00A021B7" w:rsidRDefault="00DE77AF" w:rsidP="00CB0C2B">
            <w:pPr>
              <w:rPr>
                <w:rFonts w:ascii="Arial" w:hAnsi="Arial" w:cs="Arial"/>
                <w:b/>
                <w:color w:val="0070C0"/>
                <w:sz w:val="20"/>
                <w:szCs w:val="20"/>
                <w:lang w:val="sr-Cyrl-RS"/>
              </w:rPr>
            </w:pPr>
            <w:r w:rsidRPr="00A021B7">
              <w:rPr>
                <w:rFonts w:ascii="Arial" w:hAnsi="Arial" w:cs="Arial"/>
                <w:b/>
                <w:sz w:val="20"/>
                <w:szCs w:val="20"/>
                <w:lang w:val="sr-Cyrl-RS"/>
              </w:rPr>
              <w:t xml:space="preserve">Степен ратификације Европске повеље о локалној самоуправи </w:t>
            </w:r>
          </w:p>
        </w:tc>
      </w:tr>
      <w:tr w:rsidR="00DE77AF" w:rsidRPr="00A021B7" w14:paraId="69C5DCAD" w14:textId="77777777" w:rsidTr="1A8E6423">
        <w:trPr>
          <w:jc w:val="center"/>
        </w:trPr>
        <w:tc>
          <w:tcPr>
            <w:tcW w:w="3114" w:type="dxa"/>
            <w:shd w:val="clear" w:color="auto" w:fill="FFC000" w:themeFill="accent4"/>
            <w:vAlign w:val="center"/>
          </w:tcPr>
          <w:p w14:paraId="0BDBB6BF"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Одговарајући општи, посебни циљ или мера</w:t>
            </w:r>
          </w:p>
        </w:tc>
        <w:tc>
          <w:tcPr>
            <w:tcW w:w="10641" w:type="dxa"/>
            <w:gridSpan w:val="5"/>
            <w:shd w:val="clear" w:color="auto" w:fill="FFFFFF" w:themeFill="background1"/>
            <w:vAlign w:val="center"/>
          </w:tcPr>
          <w:p w14:paraId="06FE7836" w14:textId="77777777" w:rsidR="00DE77AF" w:rsidRPr="00A021B7" w:rsidRDefault="00DE77AF" w:rsidP="00CB0C2B">
            <w:pPr>
              <w:tabs>
                <w:tab w:val="left" w:pos="182"/>
              </w:tabs>
              <w:rPr>
                <w:rFonts w:ascii="Arial" w:hAnsi="Arial" w:cs="Arial"/>
                <w:bCs/>
                <w:kern w:val="24"/>
                <w:sz w:val="20"/>
                <w:szCs w:val="20"/>
                <w:lang w:val="sr-Cyrl-RS"/>
              </w:rPr>
            </w:pPr>
            <w:r w:rsidRPr="00A021B7">
              <w:rPr>
                <w:rFonts w:ascii="Arial" w:hAnsi="Arial" w:cs="Arial"/>
                <w:bCs/>
                <w:kern w:val="24"/>
                <w:sz w:val="20"/>
                <w:szCs w:val="20"/>
                <w:lang w:val="sr-Cyrl-RS"/>
              </w:rPr>
              <w:t>Унапређен положај и одговорност локалне самоуправе</w:t>
            </w:r>
          </w:p>
          <w:p w14:paraId="6B565348" w14:textId="77777777" w:rsidR="00DE77AF" w:rsidRPr="00A021B7" w:rsidRDefault="00DE77AF" w:rsidP="00CB0C2B">
            <w:pPr>
              <w:tabs>
                <w:tab w:val="left" w:pos="182"/>
              </w:tabs>
              <w:rPr>
                <w:rFonts w:ascii="Arial" w:hAnsi="Arial" w:cs="Arial"/>
                <w:bCs/>
                <w:kern w:val="24"/>
                <w:sz w:val="20"/>
                <w:szCs w:val="20"/>
                <w:lang w:val="sr-Cyrl-RS"/>
              </w:rPr>
            </w:pPr>
          </w:p>
        </w:tc>
      </w:tr>
      <w:tr w:rsidR="00DE77AF" w:rsidRPr="00A021B7" w14:paraId="766E7D2A" w14:textId="77777777" w:rsidTr="1A8E6423">
        <w:trPr>
          <w:jc w:val="center"/>
        </w:trPr>
        <w:tc>
          <w:tcPr>
            <w:tcW w:w="3114" w:type="dxa"/>
            <w:shd w:val="clear" w:color="auto" w:fill="FFC000" w:themeFill="accent4"/>
            <w:vAlign w:val="center"/>
          </w:tcPr>
          <w:p w14:paraId="66AFCBDC"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color w:val="000000" w:themeColor="text1"/>
                <w:kern w:val="24"/>
                <w:sz w:val="20"/>
                <w:szCs w:val="20"/>
                <w:lang w:val="sr-Cyrl-RS"/>
              </w:rPr>
              <w:t>Тип и ниво показатеља</w:t>
            </w:r>
          </w:p>
        </w:tc>
        <w:tc>
          <w:tcPr>
            <w:tcW w:w="5821" w:type="dxa"/>
            <w:gridSpan w:val="3"/>
            <w:shd w:val="clear" w:color="auto" w:fill="FFFFFF" w:themeFill="background1"/>
            <w:vAlign w:val="center"/>
          </w:tcPr>
          <w:p w14:paraId="012CB029" w14:textId="05C5C554" w:rsidR="00DE77AF" w:rsidRPr="00A021B7" w:rsidRDefault="007F2DA5" w:rsidP="00CB0C2B">
            <w:pPr>
              <w:tabs>
                <w:tab w:val="left" w:pos="182"/>
              </w:tabs>
              <w:rPr>
                <w:rFonts w:ascii="Arial" w:hAnsi="Arial" w:cs="Arial"/>
                <w:bCs/>
                <w:kern w:val="24"/>
                <w:sz w:val="20"/>
                <w:szCs w:val="20"/>
                <w:lang w:val="sr-Cyrl-RS"/>
              </w:rPr>
            </w:pPr>
            <w:r w:rsidRPr="00A021B7">
              <w:rPr>
                <w:rFonts w:ascii="Arial" w:hAnsi="Arial" w:cs="Arial"/>
                <w:bCs/>
                <w:kern w:val="24"/>
                <w:sz w:val="20"/>
                <w:szCs w:val="20"/>
                <w:lang w:val="sr-Cyrl-RS"/>
              </w:rPr>
              <w:t>Квалитативни</w:t>
            </w:r>
          </w:p>
        </w:tc>
        <w:tc>
          <w:tcPr>
            <w:tcW w:w="4820" w:type="dxa"/>
            <w:gridSpan w:val="2"/>
            <w:shd w:val="clear" w:color="auto" w:fill="FFFFFF" w:themeFill="background1"/>
            <w:vAlign w:val="center"/>
          </w:tcPr>
          <w:p w14:paraId="2A6EC453" w14:textId="77777777" w:rsidR="00DE77AF" w:rsidRPr="00A021B7" w:rsidRDefault="00DE77AF" w:rsidP="00CB0C2B">
            <w:pPr>
              <w:rPr>
                <w:rFonts w:ascii="Arial" w:hAnsi="Arial" w:cs="Arial"/>
                <w:bCs/>
                <w:kern w:val="24"/>
                <w:sz w:val="20"/>
                <w:szCs w:val="20"/>
                <w:lang w:val="sr-Cyrl-RS"/>
              </w:rPr>
            </w:pPr>
            <w:r w:rsidRPr="00A021B7">
              <w:rPr>
                <w:rFonts w:ascii="Arial" w:hAnsi="Arial" w:cs="Arial"/>
                <w:bCs/>
                <w:kern w:val="24"/>
                <w:sz w:val="20"/>
                <w:szCs w:val="20"/>
                <w:lang w:val="sr-Cyrl-RS"/>
              </w:rPr>
              <w:t>Показатељ на нивоу посебног циља</w:t>
            </w:r>
          </w:p>
        </w:tc>
      </w:tr>
      <w:tr w:rsidR="00DE77AF" w:rsidRPr="00A021B7" w14:paraId="6ABCD1F7" w14:textId="77777777" w:rsidTr="1A8E6423">
        <w:trPr>
          <w:trHeight w:val="373"/>
          <w:jc w:val="center"/>
        </w:trPr>
        <w:tc>
          <w:tcPr>
            <w:tcW w:w="3114" w:type="dxa"/>
            <w:shd w:val="clear" w:color="auto" w:fill="FFC000" w:themeFill="accent4"/>
            <w:vAlign w:val="center"/>
          </w:tcPr>
          <w:p w14:paraId="07C4B7E0" w14:textId="77777777" w:rsidR="00DE77AF" w:rsidRPr="00A021B7" w:rsidRDefault="00DE77AF" w:rsidP="00CB0C2B">
            <w:pPr>
              <w:rPr>
                <w:rFonts w:ascii="Arial" w:hAnsi="Arial" w:cs="Arial"/>
                <w:b/>
                <w:color w:val="000000" w:themeColor="text1"/>
                <w:kern w:val="24"/>
                <w:sz w:val="20"/>
                <w:szCs w:val="20"/>
                <w:lang w:val="sr-Cyrl-RS"/>
              </w:rPr>
            </w:pPr>
            <w:r w:rsidRPr="00A021B7">
              <w:rPr>
                <w:rFonts w:ascii="Arial" w:hAnsi="Arial" w:cs="Arial"/>
                <w:b/>
                <w:color w:val="000000" w:themeColor="text1"/>
                <w:kern w:val="24"/>
                <w:sz w:val="20"/>
                <w:szCs w:val="20"/>
                <w:lang w:val="sr-Cyrl-RS"/>
              </w:rPr>
              <w:t>Јединица мере и природа</w:t>
            </w:r>
          </w:p>
        </w:tc>
        <w:tc>
          <w:tcPr>
            <w:tcW w:w="5821" w:type="dxa"/>
            <w:gridSpan w:val="3"/>
            <w:shd w:val="clear" w:color="auto" w:fill="FFFFFF" w:themeFill="background1"/>
            <w:vAlign w:val="center"/>
          </w:tcPr>
          <w:p w14:paraId="20CEAEC5" w14:textId="77777777" w:rsidR="00DE77AF" w:rsidRPr="00A021B7" w:rsidRDefault="00DE77AF" w:rsidP="00CB0C2B">
            <w:pPr>
              <w:tabs>
                <w:tab w:val="left" w:pos="182"/>
              </w:tabs>
              <w:rPr>
                <w:rFonts w:ascii="Arial" w:hAnsi="Arial" w:cs="Arial"/>
                <w:bCs/>
                <w:kern w:val="24"/>
                <w:sz w:val="20"/>
                <w:szCs w:val="20"/>
                <w:lang w:val="sr-Cyrl-RS"/>
              </w:rPr>
            </w:pPr>
            <w:r w:rsidRPr="00A021B7">
              <w:rPr>
                <w:rFonts w:ascii="Arial" w:hAnsi="Arial" w:cs="Arial"/>
                <w:bCs/>
                <w:kern w:val="24"/>
                <w:sz w:val="20"/>
                <w:szCs w:val="20"/>
                <w:lang w:val="sr-Cyrl-RS"/>
              </w:rPr>
              <w:t>Композитна скала</w:t>
            </w:r>
          </w:p>
        </w:tc>
        <w:tc>
          <w:tcPr>
            <w:tcW w:w="4820" w:type="dxa"/>
            <w:gridSpan w:val="2"/>
            <w:shd w:val="clear" w:color="auto" w:fill="FFFFFF" w:themeFill="background1"/>
            <w:vAlign w:val="center"/>
          </w:tcPr>
          <w:p w14:paraId="34137D5B" w14:textId="77777777" w:rsidR="00DE77AF" w:rsidRPr="00A021B7" w:rsidRDefault="00DE77AF" w:rsidP="00CB0C2B">
            <w:pPr>
              <w:pStyle w:val="NormalWeb"/>
              <w:spacing w:before="0" w:beforeAutospacing="0" w:after="0" w:afterAutospacing="0"/>
              <w:rPr>
                <w:rFonts w:ascii="Arial" w:eastAsia="Arial" w:hAnsi="Arial" w:cs="Arial"/>
                <w:color w:val="000000" w:themeColor="dark1"/>
                <w:spacing w:val="-1"/>
                <w:kern w:val="24"/>
                <w:sz w:val="20"/>
                <w:szCs w:val="20"/>
                <w:lang w:val="sr-Cyrl-RS"/>
              </w:rPr>
            </w:pPr>
            <w:r w:rsidRPr="00A021B7">
              <w:rPr>
                <w:rFonts w:ascii="Arial" w:eastAsia="Arial" w:hAnsi="Arial" w:cs="Arial"/>
                <w:color w:val="000000" w:themeColor="dark1"/>
                <w:spacing w:val="-1"/>
                <w:kern w:val="24"/>
                <w:sz w:val="20"/>
                <w:szCs w:val="20"/>
                <w:lang w:val="sr-Cyrl-RS"/>
              </w:rPr>
              <w:t>Пожељна је већа вредност</w:t>
            </w:r>
          </w:p>
        </w:tc>
      </w:tr>
      <w:tr w:rsidR="00DE77AF" w:rsidRPr="00A021B7" w14:paraId="56C01328" w14:textId="77777777" w:rsidTr="1A8E6423">
        <w:trPr>
          <w:jc w:val="center"/>
        </w:trPr>
        <w:tc>
          <w:tcPr>
            <w:tcW w:w="3114" w:type="dxa"/>
            <w:shd w:val="clear" w:color="auto" w:fill="FFC000" w:themeFill="accent4"/>
            <w:vAlign w:val="center"/>
          </w:tcPr>
          <w:p w14:paraId="68CFDCA0"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Извор података за праћење показатеља учинка</w:t>
            </w:r>
          </w:p>
        </w:tc>
        <w:tc>
          <w:tcPr>
            <w:tcW w:w="10641" w:type="dxa"/>
            <w:gridSpan w:val="5"/>
            <w:shd w:val="clear" w:color="auto" w:fill="FFFFFF" w:themeFill="background1"/>
            <w:vAlign w:val="center"/>
          </w:tcPr>
          <w:p w14:paraId="094FD58C" w14:textId="60078BE5" w:rsidR="00DE77AF" w:rsidRPr="00A021B7" w:rsidRDefault="00DE77AF" w:rsidP="00CB0C2B">
            <w:pPr>
              <w:rPr>
                <w:rFonts w:ascii="Arial" w:hAnsi="Arial" w:cs="Arial"/>
                <w:sz w:val="20"/>
                <w:szCs w:val="20"/>
                <w:lang w:val="sr-Cyrl-RS"/>
              </w:rPr>
            </w:pPr>
            <w:r w:rsidRPr="1A8E6423">
              <w:rPr>
                <w:rFonts w:ascii="Arial" w:hAnsi="Arial" w:cs="Arial"/>
                <w:sz w:val="20"/>
                <w:szCs w:val="20"/>
                <w:lang w:val="sr-Cyrl-RS"/>
              </w:rPr>
              <w:t>Подаци МДУЛС</w:t>
            </w:r>
          </w:p>
        </w:tc>
      </w:tr>
      <w:tr w:rsidR="00DE77AF" w:rsidRPr="00A021B7" w14:paraId="6740A3D9" w14:textId="77777777" w:rsidTr="1A8E6423">
        <w:trPr>
          <w:jc w:val="center"/>
        </w:trPr>
        <w:tc>
          <w:tcPr>
            <w:tcW w:w="3114" w:type="dxa"/>
            <w:shd w:val="clear" w:color="auto" w:fill="FFC000" w:themeFill="accent4"/>
            <w:vAlign w:val="center"/>
          </w:tcPr>
          <w:p w14:paraId="21ABC152"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носиоца прикупљања података</w:t>
            </w:r>
          </w:p>
        </w:tc>
        <w:tc>
          <w:tcPr>
            <w:tcW w:w="10641" w:type="dxa"/>
            <w:gridSpan w:val="5"/>
            <w:shd w:val="clear" w:color="auto" w:fill="FFFFFF" w:themeFill="background1"/>
            <w:vAlign w:val="center"/>
          </w:tcPr>
          <w:p w14:paraId="55242DD2" w14:textId="77777777" w:rsidR="00DE77AF" w:rsidRPr="00A021B7" w:rsidRDefault="00DE77AF" w:rsidP="00CB0C2B">
            <w:pPr>
              <w:rPr>
                <w:rFonts w:ascii="Arial" w:eastAsiaTheme="minorHAnsi" w:hAnsi="Arial" w:cs="Arial"/>
                <w:sz w:val="20"/>
                <w:szCs w:val="20"/>
                <w:lang w:val="sr-Cyrl-RS"/>
              </w:rPr>
            </w:pPr>
          </w:p>
          <w:p w14:paraId="67FEB29E" w14:textId="4A0B0E64"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МДУЛС, Сектор за систем локалне самоуправе, Душанка Јовановић</w:t>
            </w:r>
            <w:r w:rsidR="43071259"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w:t>
            </w:r>
            <w:hyperlink r:id="rId32">
              <w:r w:rsidRPr="1A8E6423">
                <w:rPr>
                  <w:rStyle w:val="Hyperlink"/>
                  <w:rFonts w:ascii="Arial" w:eastAsiaTheme="minorEastAsia" w:hAnsi="Arial" w:cs="Arial"/>
                  <w:sz w:val="20"/>
                  <w:szCs w:val="20"/>
                  <w:lang w:val="sr-Cyrl-RS"/>
                </w:rPr>
                <w:t>dusanka.jovanovic@mduls.gov.rs</w:t>
              </w:r>
            </w:hyperlink>
          </w:p>
          <w:p w14:paraId="311755BB" w14:textId="77777777" w:rsidR="00DE77AF" w:rsidRPr="00A021B7" w:rsidRDefault="00DE77AF" w:rsidP="00CB0C2B">
            <w:pPr>
              <w:rPr>
                <w:rFonts w:ascii="Arial" w:hAnsi="Arial" w:cs="Arial"/>
                <w:sz w:val="20"/>
                <w:szCs w:val="20"/>
                <w:lang w:val="sr-Cyrl-RS"/>
              </w:rPr>
            </w:pPr>
          </w:p>
        </w:tc>
      </w:tr>
      <w:tr w:rsidR="00DE77AF" w:rsidRPr="00A021B7" w14:paraId="232CC134" w14:textId="77777777" w:rsidTr="1A8E6423">
        <w:trPr>
          <w:jc w:val="center"/>
        </w:trPr>
        <w:tc>
          <w:tcPr>
            <w:tcW w:w="3114" w:type="dxa"/>
            <w:shd w:val="clear" w:color="auto" w:fill="FFC000" w:themeFill="accent4"/>
            <w:vAlign w:val="center"/>
          </w:tcPr>
          <w:p w14:paraId="35DAAF86"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Учесталост прикупљања података</w:t>
            </w:r>
          </w:p>
        </w:tc>
        <w:tc>
          <w:tcPr>
            <w:tcW w:w="10641" w:type="dxa"/>
            <w:gridSpan w:val="5"/>
            <w:shd w:val="clear" w:color="auto" w:fill="FFFFFF" w:themeFill="background1"/>
            <w:vAlign w:val="center"/>
          </w:tcPr>
          <w:p w14:paraId="218C6C8A" w14:textId="70DA5036" w:rsidR="00DE77AF" w:rsidRPr="00A021B7" w:rsidRDefault="00DE77AF" w:rsidP="00CB0C2B">
            <w:pPr>
              <w:rPr>
                <w:rFonts w:ascii="Arial" w:hAnsi="Arial" w:cs="Arial"/>
                <w:sz w:val="20"/>
                <w:szCs w:val="20"/>
                <w:lang w:val="sr-Cyrl-RS"/>
              </w:rPr>
            </w:pPr>
            <w:r w:rsidRPr="1A8E6423">
              <w:rPr>
                <w:rFonts w:ascii="Arial" w:hAnsi="Arial" w:cs="Arial"/>
                <w:sz w:val="20"/>
                <w:szCs w:val="20"/>
                <w:lang w:val="sr-Cyrl-RS"/>
              </w:rPr>
              <w:t>Подаци се прикупљају на трогодишњем нивоу</w:t>
            </w:r>
          </w:p>
        </w:tc>
      </w:tr>
      <w:tr w:rsidR="00DE77AF" w:rsidRPr="00A021B7" w14:paraId="66B793A0" w14:textId="77777777" w:rsidTr="1A8E6423">
        <w:trPr>
          <w:trHeight w:val="1421"/>
          <w:jc w:val="center"/>
        </w:trPr>
        <w:tc>
          <w:tcPr>
            <w:tcW w:w="3114" w:type="dxa"/>
            <w:shd w:val="clear" w:color="auto" w:fill="FFC000" w:themeFill="accent4"/>
            <w:vAlign w:val="center"/>
          </w:tcPr>
          <w:p w14:paraId="06FC9DEB" w14:textId="77777777" w:rsidR="00DE77AF" w:rsidRPr="00A021B7" w:rsidRDefault="00DE77AF" w:rsidP="00CB0C2B">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Кратак опис показатеља и методологије израчунавања</w:t>
            </w:r>
          </w:p>
          <w:p w14:paraId="2442F26D" w14:textId="2CF3EF47"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(формуле/једначине)</w:t>
            </w:r>
          </w:p>
        </w:tc>
        <w:tc>
          <w:tcPr>
            <w:tcW w:w="10641" w:type="dxa"/>
            <w:gridSpan w:val="5"/>
            <w:shd w:val="clear" w:color="auto" w:fill="FFFFFF" w:themeFill="background1"/>
            <w:vAlign w:val="center"/>
          </w:tcPr>
          <w:p w14:paraId="375AFFF6" w14:textId="752F70AE" w:rsidR="00DE77AF" w:rsidRPr="00A021B7" w:rsidRDefault="00DE77AF" w:rsidP="00CB0C2B">
            <w:pPr>
              <w:pStyle w:val="CommentText"/>
              <w:rPr>
                <w:rFonts w:ascii="Arial" w:hAnsi="Arial" w:cs="Arial"/>
                <w:color w:val="000000" w:themeColor="text1"/>
                <w:lang w:val="sr-Cyrl-RS"/>
              </w:rPr>
            </w:pPr>
            <w:r w:rsidRPr="1A8E6423">
              <w:rPr>
                <w:rFonts w:ascii="Arial" w:hAnsi="Arial" w:cs="Arial"/>
                <w:color w:val="000000" w:themeColor="text1"/>
                <w:lang w:val="sr-Cyrl-RS"/>
              </w:rPr>
              <w:t>Овај показатељ мери колико је Република Србија прихватила политички и правни оквир за уређивање система локалне самоуправе који је предвиђен Европском повељом о локалној самоуправи (ЕПЛС). Степен усклађености са ЕПЛС указује на постојање претпоставки за развој квалитетног система локалне самоуправе и јачање положаја и значаја локалних власти у систему јавне власти. У складу са ЕПЛС</w:t>
            </w:r>
            <w:r w:rsidR="4D08A00C" w:rsidRPr="1A8E6423">
              <w:rPr>
                <w:rFonts w:ascii="Arial" w:hAnsi="Arial" w:cs="Arial"/>
                <w:color w:val="000000" w:themeColor="text1"/>
                <w:lang w:val="sr-Cyrl-RS"/>
              </w:rPr>
              <w:t>,</w:t>
            </w:r>
            <w:r w:rsidRPr="1A8E6423">
              <w:rPr>
                <w:rFonts w:ascii="Arial" w:hAnsi="Arial" w:cs="Arial"/>
                <w:color w:val="000000" w:themeColor="text1"/>
                <w:lang w:val="sr-Cyrl-RS"/>
              </w:rPr>
              <w:t xml:space="preserve"> свака држава је у обавези да прихвати најмање 20 одредби ЕПЛС.</w:t>
            </w:r>
          </w:p>
          <w:p w14:paraId="391A5B55" w14:textId="60CF643B" w:rsidR="00DE77AF" w:rsidRPr="00A021B7" w:rsidRDefault="00DE77AF" w:rsidP="00CB0C2B">
            <w:pPr>
              <w:pStyle w:val="CommentText"/>
              <w:rPr>
                <w:rFonts w:ascii="Arial" w:hAnsi="Arial" w:cs="Arial"/>
                <w:color w:val="000000" w:themeColor="text1"/>
                <w:lang w:val="sr-Cyrl-RS"/>
              </w:rPr>
            </w:pPr>
            <w:r w:rsidRPr="1A8E6423">
              <w:rPr>
                <w:rFonts w:ascii="Arial" w:hAnsi="Arial" w:cs="Arial"/>
                <w:color w:val="000000" w:themeColor="text1"/>
                <w:lang w:val="sr-Cyrl-RS"/>
              </w:rPr>
              <w:t>Вредност показатеља се израчунава применом скале од 1</w:t>
            </w:r>
            <w:r w:rsidR="4D08A00C" w:rsidRPr="1A8E6423">
              <w:rPr>
                <w:rFonts w:ascii="Arial" w:hAnsi="Arial" w:cs="Arial"/>
                <w:color w:val="000000" w:themeColor="text1"/>
                <w:lang w:val="sr-Cyrl-RS"/>
              </w:rPr>
              <w:t xml:space="preserve"> до </w:t>
            </w:r>
            <w:r w:rsidRPr="1A8E6423">
              <w:rPr>
                <w:rFonts w:ascii="Arial" w:hAnsi="Arial" w:cs="Arial"/>
                <w:color w:val="000000" w:themeColor="text1"/>
                <w:lang w:val="sr-Cyrl-RS"/>
              </w:rPr>
              <w:t>5 на следећи начин:</w:t>
            </w:r>
          </w:p>
          <w:p w14:paraId="432E92FC" w14:textId="2B8951E8" w:rsidR="00DE77AF" w:rsidRPr="00A021B7" w:rsidRDefault="00DE77AF" w:rsidP="00A57E7E">
            <w:pPr>
              <w:pStyle w:val="CommentText"/>
              <w:numPr>
                <w:ilvl w:val="0"/>
                <w:numId w:val="29"/>
              </w:numPr>
              <w:rPr>
                <w:rFonts w:ascii="Arial" w:hAnsi="Arial" w:cs="Arial"/>
                <w:color w:val="000000" w:themeColor="text1"/>
                <w:lang w:val="sr-Cyrl-RS"/>
              </w:rPr>
            </w:pPr>
            <w:r w:rsidRPr="1A8E6423">
              <w:rPr>
                <w:rFonts w:ascii="Arial" w:hAnsi="Arial" w:cs="Arial"/>
                <w:color w:val="000000" w:themeColor="text1"/>
                <w:lang w:val="sr-Cyrl-RS"/>
              </w:rPr>
              <w:t>Република Србија је прихватила 20 одредаба ЕПЛС</w:t>
            </w:r>
          </w:p>
          <w:p w14:paraId="6CC9B5D8" w14:textId="1A0BF166" w:rsidR="00DE77AF" w:rsidRPr="00A021B7" w:rsidRDefault="00DE77AF" w:rsidP="00A57E7E">
            <w:pPr>
              <w:pStyle w:val="CommentText"/>
              <w:numPr>
                <w:ilvl w:val="0"/>
                <w:numId w:val="29"/>
              </w:numPr>
              <w:rPr>
                <w:rFonts w:ascii="Arial" w:hAnsi="Arial" w:cs="Arial"/>
                <w:color w:val="000000" w:themeColor="text1"/>
                <w:lang w:val="sr-Cyrl-RS"/>
              </w:rPr>
            </w:pPr>
            <w:r w:rsidRPr="1A8E6423">
              <w:rPr>
                <w:rFonts w:ascii="Arial" w:hAnsi="Arial" w:cs="Arial"/>
                <w:color w:val="000000" w:themeColor="text1"/>
                <w:lang w:val="sr-Cyrl-RS"/>
              </w:rPr>
              <w:t xml:space="preserve">Република Србија је прихватила најмање 22 </w:t>
            </w:r>
            <w:r w:rsidR="4D08A00C" w:rsidRPr="1A8E6423">
              <w:rPr>
                <w:rFonts w:ascii="Arial" w:hAnsi="Arial" w:cs="Arial"/>
                <w:color w:val="000000" w:themeColor="text1"/>
                <w:lang w:val="sr-Cyrl-RS"/>
              </w:rPr>
              <w:t xml:space="preserve">одредбе </w:t>
            </w:r>
            <w:r w:rsidRPr="1A8E6423">
              <w:rPr>
                <w:rFonts w:ascii="Arial" w:hAnsi="Arial" w:cs="Arial"/>
                <w:color w:val="000000" w:themeColor="text1"/>
                <w:lang w:val="sr-Cyrl-RS"/>
              </w:rPr>
              <w:t>ЕПЛС</w:t>
            </w:r>
          </w:p>
          <w:p w14:paraId="115219AE" w14:textId="2EF9B8F9" w:rsidR="00DE77AF" w:rsidRPr="00A021B7" w:rsidRDefault="00DE77AF" w:rsidP="00A57E7E">
            <w:pPr>
              <w:pStyle w:val="CommentText"/>
              <w:numPr>
                <w:ilvl w:val="0"/>
                <w:numId w:val="29"/>
              </w:numPr>
              <w:rPr>
                <w:rFonts w:ascii="Arial" w:hAnsi="Arial" w:cs="Arial"/>
                <w:color w:val="000000" w:themeColor="text1"/>
                <w:lang w:val="sr-Cyrl-RS"/>
              </w:rPr>
            </w:pPr>
            <w:r w:rsidRPr="1A8E6423">
              <w:rPr>
                <w:rFonts w:ascii="Arial" w:hAnsi="Arial" w:cs="Arial"/>
                <w:color w:val="000000" w:themeColor="text1"/>
                <w:lang w:val="sr-Cyrl-RS"/>
              </w:rPr>
              <w:t>Република Србија је прихватила најмање 24 одредбе ЕПЛС</w:t>
            </w:r>
          </w:p>
          <w:p w14:paraId="15AFE595" w14:textId="4E4E2450" w:rsidR="00DE77AF" w:rsidRPr="00A021B7" w:rsidRDefault="00DE77AF" w:rsidP="00A57E7E">
            <w:pPr>
              <w:pStyle w:val="CommentText"/>
              <w:numPr>
                <w:ilvl w:val="0"/>
                <w:numId w:val="29"/>
              </w:numPr>
              <w:rPr>
                <w:rFonts w:ascii="Arial" w:hAnsi="Arial" w:cs="Arial"/>
                <w:color w:val="000000" w:themeColor="text1"/>
                <w:lang w:val="sr-Cyrl-RS"/>
              </w:rPr>
            </w:pPr>
            <w:r w:rsidRPr="1A8E6423">
              <w:rPr>
                <w:rFonts w:ascii="Arial" w:hAnsi="Arial" w:cs="Arial"/>
                <w:color w:val="000000" w:themeColor="text1"/>
                <w:lang w:val="sr-Cyrl-RS"/>
              </w:rPr>
              <w:t>Република Србија је прихватила најмање 2</w:t>
            </w:r>
            <w:r w:rsidR="6C13307F" w:rsidRPr="1A8E6423">
              <w:rPr>
                <w:rFonts w:ascii="Arial" w:hAnsi="Arial" w:cs="Arial"/>
                <w:color w:val="000000" w:themeColor="text1"/>
                <w:lang w:val="sr-Cyrl-RS"/>
              </w:rPr>
              <w:t>8</w:t>
            </w:r>
            <w:r w:rsidRPr="1A8E6423">
              <w:rPr>
                <w:rFonts w:ascii="Arial" w:hAnsi="Arial" w:cs="Arial"/>
                <w:color w:val="000000" w:themeColor="text1"/>
                <w:lang w:val="sr-Cyrl-RS"/>
              </w:rPr>
              <w:t xml:space="preserve"> одредби ЕПЛС</w:t>
            </w:r>
          </w:p>
          <w:p w14:paraId="18072F8B" w14:textId="693C88FD" w:rsidR="00DE77AF" w:rsidRPr="00A021B7" w:rsidRDefault="00DE77AF" w:rsidP="00A57E7E">
            <w:pPr>
              <w:pStyle w:val="CommentText"/>
              <w:numPr>
                <w:ilvl w:val="0"/>
                <w:numId w:val="29"/>
              </w:numPr>
              <w:rPr>
                <w:rFonts w:ascii="Arial" w:hAnsi="Arial" w:cs="Arial"/>
                <w:color w:val="000000" w:themeColor="text1"/>
                <w:lang w:val="sr-Cyrl-RS"/>
              </w:rPr>
            </w:pPr>
            <w:r w:rsidRPr="1A8E6423">
              <w:rPr>
                <w:rFonts w:ascii="Arial" w:hAnsi="Arial" w:cs="Arial"/>
                <w:color w:val="000000" w:themeColor="text1"/>
                <w:lang w:val="sr-Cyrl-RS"/>
              </w:rPr>
              <w:t xml:space="preserve">Република Србија је прихватила </w:t>
            </w:r>
            <w:r w:rsidR="6C13307F" w:rsidRPr="1A8E6423">
              <w:rPr>
                <w:rFonts w:ascii="Arial" w:hAnsi="Arial" w:cs="Arial"/>
                <w:color w:val="000000" w:themeColor="text1"/>
                <w:lang w:val="sr-Cyrl-RS"/>
              </w:rPr>
              <w:t>све</w:t>
            </w:r>
            <w:r w:rsidRPr="1A8E6423">
              <w:rPr>
                <w:rFonts w:ascii="Arial" w:hAnsi="Arial" w:cs="Arial"/>
                <w:color w:val="000000" w:themeColor="text1"/>
                <w:lang w:val="sr-Cyrl-RS"/>
              </w:rPr>
              <w:t xml:space="preserve"> одредб</w:t>
            </w:r>
            <w:r w:rsidR="6C13307F" w:rsidRPr="1A8E6423">
              <w:rPr>
                <w:rFonts w:ascii="Arial" w:hAnsi="Arial" w:cs="Arial"/>
                <w:color w:val="000000" w:themeColor="text1"/>
                <w:lang w:val="sr-Cyrl-RS"/>
              </w:rPr>
              <w:t>е</w:t>
            </w:r>
            <w:r w:rsidRPr="1A8E6423">
              <w:rPr>
                <w:rFonts w:ascii="Arial" w:hAnsi="Arial" w:cs="Arial"/>
                <w:color w:val="000000" w:themeColor="text1"/>
                <w:lang w:val="sr-Cyrl-RS"/>
              </w:rPr>
              <w:t xml:space="preserve"> ЕПЛС</w:t>
            </w:r>
            <w:r w:rsidR="4D08A00C" w:rsidRPr="1A8E6423">
              <w:rPr>
                <w:rFonts w:ascii="Arial" w:hAnsi="Arial" w:cs="Arial"/>
                <w:color w:val="000000" w:themeColor="text1"/>
                <w:lang w:val="sr-Cyrl-RS"/>
              </w:rPr>
              <w:t>.</w:t>
            </w:r>
          </w:p>
        </w:tc>
      </w:tr>
      <w:tr w:rsidR="00DE77AF" w:rsidRPr="00A021B7" w14:paraId="05A190D3" w14:textId="77777777" w:rsidTr="1A8E6423">
        <w:trPr>
          <w:trHeight w:val="265"/>
          <w:jc w:val="center"/>
        </w:trPr>
        <w:tc>
          <w:tcPr>
            <w:tcW w:w="3114" w:type="dxa"/>
            <w:vMerge w:val="restart"/>
            <w:shd w:val="clear" w:color="auto" w:fill="FFC000" w:themeFill="accent4"/>
            <w:vAlign w:val="center"/>
          </w:tcPr>
          <w:p w14:paraId="2BA760CE" w14:textId="335EE8F6"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Подаци о полазној вредности и години кад је измерена, као и тренду у прошлости</w:t>
            </w:r>
          </w:p>
        </w:tc>
        <w:tc>
          <w:tcPr>
            <w:tcW w:w="7947" w:type="dxa"/>
            <w:gridSpan w:val="4"/>
            <w:tcBorders>
              <w:bottom w:val="single" w:sz="4" w:space="0" w:color="auto"/>
            </w:tcBorders>
            <w:shd w:val="clear" w:color="auto" w:fill="FFFFFF" w:themeFill="background1"/>
            <w:vAlign w:val="center"/>
          </w:tcPr>
          <w:p w14:paraId="4F398618" w14:textId="77777777" w:rsidR="00DE77AF" w:rsidRPr="00A021B7" w:rsidRDefault="00DE77AF" w:rsidP="00CB0C2B">
            <w:pPr>
              <w:rPr>
                <w:rFonts w:ascii="Arial" w:hAnsi="Arial" w:cs="Arial"/>
                <w:sz w:val="20"/>
                <w:szCs w:val="20"/>
                <w:lang w:val="sr-Cyrl-RS"/>
              </w:rPr>
            </w:pPr>
            <w:r w:rsidRPr="00A021B7">
              <w:rPr>
                <w:rFonts w:ascii="Arial" w:hAnsi="Arial" w:cs="Arial"/>
                <w:sz w:val="20"/>
                <w:szCs w:val="20"/>
                <w:lang w:val="sr-Cyrl-RS"/>
              </w:rPr>
              <w:t>Тренд у прошлости</w:t>
            </w:r>
          </w:p>
        </w:tc>
        <w:tc>
          <w:tcPr>
            <w:tcW w:w="2694" w:type="dxa"/>
            <w:shd w:val="clear" w:color="auto" w:fill="FFFFFF" w:themeFill="background1"/>
            <w:vAlign w:val="center"/>
          </w:tcPr>
          <w:p w14:paraId="6CDA1697" w14:textId="77777777" w:rsidR="00DE77AF" w:rsidRPr="00A021B7" w:rsidRDefault="00DE77AF" w:rsidP="00CB0C2B">
            <w:pPr>
              <w:rPr>
                <w:rFonts w:ascii="Arial" w:hAnsi="Arial" w:cs="Arial"/>
                <w:sz w:val="20"/>
                <w:szCs w:val="20"/>
                <w:lang w:val="sr-Cyrl-RS"/>
              </w:rPr>
            </w:pPr>
            <w:r w:rsidRPr="00A021B7">
              <w:rPr>
                <w:rFonts w:ascii="Arial" w:hAnsi="Arial" w:cs="Arial"/>
                <w:sz w:val="20"/>
                <w:szCs w:val="20"/>
                <w:lang w:val="sr-Cyrl-RS"/>
              </w:rPr>
              <w:t>Полазна вредност</w:t>
            </w:r>
          </w:p>
        </w:tc>
      </w:tr>
      <w:tr w:rsidR="00DE77AF" w:rsidRPr="00A021B7" w14:paraId="0FA82604" w14:textId="77777777" w:rsidTr="1A8E6423">
        <w:trPr>
          <w:trHeight w:val="137"/>
          <w:jc w:val="center"/>
        </w:trPr>
        <w:tc>
          <w:tcPr>
            <w:tcW w:w="3114" w:type="dxa"/>
            <w:vMerge/>
            <w:vAlign w:val="center"/>
          </w:tcPr>
          <w:p w14:paraId="223DACC5" w14:textId="77777777" w:rsidR="00DE77AF" w:rsidRPr="00A021B7" w:rsidRDefault="00DE77AF" w:rsidP="00CB0C2B">
            <w:pPr>
              <w:rPr>
                <w:rFonts w:ascii="Arial" w:hAnsi="Arial" w:cs="Arial"/>
                <w:b/>
                <w:bCs/>
                <w:color w:val="000000" w:themeColor="text1"/>
                <w:sz w:val="20"/>
                <w:szCs w:val="20"/>
                <w:lang w:val="sr-Cyrl-RS"/>
              </w:rPr>
            </w:pP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9CB4C" w14:textId="6F91BB70"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2017</w:t>
            </w:r>
            <w:r w:rsidR="4D08A00C" w:rsidRPr="1A8E6423">
              <w:rPr>
                <w:rFonts w:ascii="Arial" w:hAnsi="Arial" w:cs="Arial"/>
                <w:sz w:val="20"/>
                <w:szCs w:val="20"/>
                <w:lang w:val="sr-Cyrl-RS"/>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8F241" w14:textId="2216C932"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2018</w:t>
            </w:r>
            <w:r w:rsidR="4D08A00C" w:rsidRPr="1A8E6423">
              <w:rPr>
                <w:rFonts w:ascii="Arial" w:hAnsi="Arial" w:cs="Arial"/>
                <w:sz w:val="20"/>
                <w:szCs w:val="20"/>
                <w:lang w:val="sr-Cyrl-R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2AB0A" w14:textId="5F31597B"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2019</w:t>
            </w:r>
            <w:r w:rsidR="4D08A00C" w:rsidRPr="1A8E6423">
              <w:rPr>
                <w:rFonts w:ascii="Arial" w:hAnsi="Arial" w:cs="Arial"/>
                <w:sz w:val="20"/>
                <w:szCs w:val="20"/>
                <w:lang w:val="sr-Cyrl-RS"/>
              </w:rPr>
              <w:t>.</w:t>
            </w:r>
          </w:p>
        </w:tc>
        <w:tc>
          <w:tcPr>
            <w:tcW w:w="2694" w:type="dxa"/>
            <w:tcBorders>
              <w:left w:val="single" w:sz="4" w:space="0" w:color="auto"/>
            </w:tcBorders>
            <w:shd w:val="clear" w:color="auto" w:fill="FFFFFF" w:themeFill="background1"/>
            <w:vAlign w:val="center"/>
          </w:tcPr>
          <w:p w14:paraId="7AB8692F" w14:textId="0342A71E"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2020</w:t>
            </w:r>
            <w:r w:rsidR="4D08A00C" w:rsidRPr="1A8E6423">
              <w:rPr>
                <w:rFonts w:ascii="Arial" w:hAnsi="Arial" w:cs="Arial"/>
                <w:sz w:val="20"/>
                <w:szCs w:val="20"/>
                <w:lang w:val="sr-Cyrl-RS"/>
              </w:rPr>
              <w:t>.</w:t>
            </w:r>
          </w:p>
        </w:tc>
      </w:tr>
      <w:tr w:rsidR="00DE77AF" w:rsidRPr="00A021B7" w14:paraId="360E1FD5" w14:textId="77777777" w:rsidTr="1A8E6423">
        <w:trPr>
          <w:trHeight w:val="323"/>
          <w:jc w:val="center"/>
        </w:trPr>
        <w:tc>
          <w:tcPr>
            <w:tcW w:w="3114" w:type="dxa"/>
            <w:vMerge/>
            <w:vAlign w:val="center"/>
          </w:tcPr>
          <w:p w14:paraId="40C71755" w14:textId="77777777" w:rsidR="00DE77AF" w:rsidRPr="00A021B7" w:rsidRDefault="00DE77AF" w:rsidP="00CB0C2B">
            <w:pPr>
              <w:rPr>
                <w:rFonts w:ascii="Arial" w:hAnsi="Arial" w:cs="Arial"/>
                <w:b/>
                <w:bCs/>
                <w:color w:val="000000" w:themeColor="text1"/>
                <w:sz w:val="20"/>
                <w:szCs w:val="20"/>
                <w:lang w:val="sr-Cyrl-RS"/>
              </w:rPr>
            </w:pPr>
          </w:p>
        </w:tc>
        <w:tc>
          <w:tcPr>
            <w:tcW w:w="1285" w:type="dxa"/>
            <w:tcBorders>
              <w:top w:val="single" w:sz="4" w:space="0" w:color="auto"/>
            </w:tcBorders>
            <w:shd w:val="clear" w:color="auto" w:fill="FFFFFF" w:themeFill="background1"/>
            <w:vAlign w:val="center"/>
          </w:tcPr>
          <w:p w14:paraId="30D6F457" w14:textId="77777777" w:rsidR="00DE77AF" w:rsidRPr="00A021B7" w:rsidRDefault="00DE77AF" w:rsidP="00CB0C2B">
            <w:pPr>
              <w:jc w:val="center"/>
              <w:rPr>
                <w:rFonts w:ascii="Arial" w:hAnsi="Arial" w:cs="Arial"/>
                <w:sz w:val="20"/>
                <w:szCs w:val="20"/>
                <w:lang w:val="sr-Cyrl-RS"/>
              </w:rPr>
            </w:pPr>
            <w:r w:rsidRPr="00A021B7">
              <w:rPr>
                <w:rFonts w:ascii="Arial" w:hAnsi="Arial" w:cs="Arial"/>
                <w:sz w:val="20"/>
                <w:szCs w:val="20"/>
                <w:lang w:val="sr-Cyrl-RS"/>
              </w:rPr>
              <w:t>3</w:t>
            </w:r>
          </w:p>
        </w:tc>
        <w:tc>
          <w:tcPr>
            <w:tcW w:w="4536" w:type="dxa"/>
            <w:gridSpan w:val="2"/>
            <w:tcBorders>
              <w:top w:val="single" w:sz="4" w:space="0" w:color="auto"/>
            </w:tcBorders>
            <w:shd w:val="clear" w:color="auto" w:fill="FFFFFF" w:themeFill="background1"/>
            <w:vAlign w:val="center"/>
          </w:tcPr>
          <w:p w14:paraId="41688CFD" w14:textId="77777777" w:rsidR="00DE77AF" w:rsidRPr="00A021B7" w:rsidRDefault="00DE77AF" w:rsidP="00CB0C2B">
            <w:pPr>
              <w:jc w:val="center"/>
              <w:rPr>
                <w:rFonts w:ascii="Arial" w:hAnsi="Arial" w:cs="Arial"/>
                <w:sz w:val="20"/>
                <w:szCs w:val="20"/>
                <w:lang w:val="sr-Cyrl-RS"/>
              </w:rPr>
            </w:pPr>
            <w:r w:rsidRPr="00A021B7">
              <w:rPr>
                <w:rFonts w:ascii="Arial" w:hAnsi="Arial" w:cs="Arial"/>
                <w:sz w:val="20"/>
                <w:szCs w:val="20"/>
                <w:lang w:val="sr-Cyrl-RS"/>
              </w:rPr>
              <w:t>3</w:t>
            </w:r>
          </w:p>
        </w:tc>
        <w:tc>
          <w:tcPr>
            <w:tcW w:w="2126" w:type="dxa"/>
            <w:tcBorders>
              <w:top w:val="single" w:sz="4" w:space="0" w:color="auto"/>
            </w:tcBorders>
            <w:shd w:val="clear" w:color="auto" w:fill="FFFFFF" w:themeFill="background1"/>
            <w:vAlign w:val="center"/>
          </w:tcPr>
          <w:p w14:paraId="62F5A884"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3</w:t>
            </w:r>
          </w:p>
        </w:tc>
        <w:tc>
          <w:tcPr>
            <w:tcW w:w="2694" w:type="dxa"/>
            <w:shd w:val="clear" w:color="auto" w:fill="FFFFFF" w:themeFill="background1"/>
            <w:vAlign w:val="center"/>
          </w:tcPr>
          <w:p w14:paraId="054EAB4B"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3</w:t>
            </w:r>
          </w:p>
        </w:tc>
      </w:tr>
      <w:tr w:rsidR="00BC41F8" w:rsidRPr="00A021B7" w14:paraId="279BC90D" w14:textId="77777777" w:rsidTr="1A8E6423">
        <w:trPr>
          <w:trHeight w:val="274"/>
          <w:jc w:val="center"/>
        </w:trPr>
        <w:tc>
          <w:tcPr>
            <w:tcW w:w="3114" w:type="dxa"/>
            <w:vMerge w:val="restart"/>
            <w:shd w:val="clear" w:color="auto" w:fill="FFC000" w:themeFill="accent4"/>
            <w:vAlign w:val="center"/>
          </w:tcPr>
          <w:p w14:paraId="56E80213"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Подаци о циљним вредностима</w:t>
            </w:r>
          </w:p>
        </w:tc>
        <w:tc>
          <w:tcPr>
            <w:tcW w:w="1285" w:type="dxa"/>
            <w:shd w:val="clear" w:color="auto" w:fill="FFFFFF" w:themeFill="background1"/>
            <w:vAlign w:val="center"/>
          </w:tcPr>
          <w:p w14:paraId="1DA4689F" w14:textId="2F11DECD"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2021</w:t>
            </w:r>
            <w:r w:rsidR="4D08A00C" w:rsidRPr="1A8E6423">
              <w:rPr>
                <w:rFonts w:ascii="Arial" w:hAnsi="Arial" w:cs="Arial"/>
                <w:sz w:val="20"/>
                <w:szCs w:val="20"/>
                <w:lang w:val="sr-Cyrl-RS"/>
              </w:rPr>
              <w:t>.</w:t>
            </w:r>
          </w:p>
        </w:tc>
        <w:tc>
          <w:tcPr>
            <w:tcW w:w="2268" w:type="dxa"/>
            <w:shd w:val="clear" w:color="auto" w:fill="FFFFFF" w:themeFill="background1"/>
            <w:vAlign w:val="center"/>
          </w:tcPr>
          <w:p w14:paraId="474E6DCF" w14:textId="5B9D1B17"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2022</w:t>
            </w:r>
            <w:r w:rsidR="4D08A00C" w:rsidRPr="1A8E6423">
              <w:rPr>
                <w:rFonts w:ascii="Arial" w:hAnsi="Arial" w:cs="Arial"/>
                <w:sz w:val="20"/>
                <w:szCs w:val="20"/>
                <w:lang w:val="sr-Cyrl-RS"/>
              </w:rPr>
              <w:t>.</w:t>
            </w:r>
          </w:p>
        </w:tc>
        <w:tc>
          <w:tcPr>
            <w:tcW w:w="2268" w:type="dxa"/>
            <w:shd w:val="clear" w:color="auto" w:fill="FFFFFF" w:themeFill="background1"/>
            <w:vAlign w:val="center"/>
          </w:tcPr>
          <w:p w14:paraId="26D77412" w14:textId="3525302D"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2023</w:t>
            </w:r>
            <w:r w:rsidR="4D08A00C" w:rsidRPr="1A8E6423">
              <w:rPr>
                <w:rFonts w:ascii="Arial" w:hAnsi="Arial" w:cs="Arial"/>
                <w:sz w:val="20"/>
                <w:szCs w:val="20"/>
                <w:lang w:val="sr-Cyrl-RS"/>
              </w:rPr>
              <w:t>.</w:t>
            </w:r>
          </w:p>
        </w:tc>
        <w:tc>
          <w:tcPr>
            <w:tcW w:w="2126" w:type="dxa"/>
            <w:shd w:val="clear" w:color="auto" w:fill="FFFFFF" w:themeFill="background1"/>
            <w:vAlign w:val="center"/>
          </w:tcPr>
          <w:p w14:paraId="328C9029" w14:textId="6EB5FA9F"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2024</w:t>
            </w:r>
            <w:r w:rsidR="4D08A00C" w:rsidRPr="1A8E6423">
              <w:rPr>
                <w:rFonts w:ascii="Arial" w:hAnsi="Arial" w:cs="Arial"/>
                <w:sz w:val="20"/>
                <w:szCs w:val="20"/>
                <w:lang w:val="sr-Cyrl-RS"/>
              </w:rPr>
              <w:t>.</w:t>
            </w:r>
          </w:p>
        </w:tc>
        <w:tc>
          <w:tcPr>
            <w:tcW w:w="2694" w:type="dxa"/>
            <w:shd w:val="clear" w:color="auto" w:fill="FFFFFF" w:themeFill="background1"/>
            <w:vAlign w:val="center"/>
          </w:tcPr>
          <w:p w14:paraId="55834285" w14:textId="565CA284" w:rsidR="00DE77AF" w:rsidRPr="00A021B7" w:rsidRDefault="00DE77AF" w:rsidP="00CB0C2B">
            <w:pPr>
              <w:jc w:val="center"/>
              <w:rPr>
                <w:rFonts w:ascii="Arial" w:hAnsi="Arial" w:cs="Arial"/>
                <w:color w:val="FF0000"/>
                <w:sz w:val="20"/>
                <w:szCs w:val="20"/>
                <w:lang w:val="sr-Cyrl-RS"/>
              </w:rPr>
            </w:pPr>
            <w:r w:rsidRPr="1A8E6423">
              <w:rPr>
                <w:rFonts w:ascii="Arial" w:hAnsi="Arial" w:cs="Arial"/>
                <w:sz w:val="20"/>
                <w:szCs w:val="20"/>
                <w:lang w:val="sr-Cyrl-RS"/>
              </w:rPr>
              <w:t>2025</w:t>
            </w:r>
            <w:r w:rsidR="4D08A00C" w:rsidRPr="1A8E6423">
              <w:rPr>
                <w:rFonts w:ascii="Arial" w:hAnsi="Arial" w:cs="Arial"/>
                <w:sz w:val="20"/>
                <w:szCs w:val="20"/>
                <w:lang w:val="sr-Cyrl-RS"/>
              </w:rPr>
              <w:t>.</w:t>
            </w:r>
          </w:p>
        </w:tc>
      </w:tr>
      <w:tr w:rsidR="00DE77AF" w:rsidRPr="00A021B7" w14:paraId="2043979D" w14:textId="77777777" w:rsidTr="1A8E6423">
        <w:trPr>
          <w:trHeight w:val="160"/>
          <w:jc w:val="center"/>
        </w:trPr>
        <w:tc>
          <w:tcPr>
            <w:tcW w:w="3114" w:type="dxa"/>
            <w:vMerge/>
            <w:vAlign w:val="center"/>
          </w:tcPr>
          <w:p w14:paraId="1E7CBE4F" w14:textId="77777777" w:rsidR="00DE77AF" w:rsidRPr="00A021B7" w:rsidRDefault="00DE77AF" w:rsidP="00CB0C2B">
            <w:pPr>
              <w:rPr>
                <w:rFonts w:ascii="Arial" w:hAnsi="Arial" w:cs="Arial"/>
                <w:b/>
                <w:bCs/>
                <w:color w:val="000000" w:themeColor="text1"/>
                <w:sz w:val="20"/>
                <w:szCs w:val="20"/>
                <w:lang w:val="sr-Cyrl-RS"/>
              </w:rPr>
            </w:pPr>
          </w:p>
        </w:tc>
        <w:tc>
          <w:tcPr>
            <w:tcW w:w="1285" w:type="dxa"/>
            <w:shd w:val="clear" w:color="auto" w:fill="FFFFFF" w:themeFill="background1"/>
            <w:vAlign w:val="center"/>
          </w:tcPr>
          <w:p w14:paraId="329D9439"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3</w:t>
            </w:r>
          </w:p>
        </w:tc>
        <w:tc>
          <w:tcPr>
            <w:tcW w:w="2268" w:type="dxa"/>
            <w:shd w:val="clear" w:color="auto" w:fill="FFFFFF" w:themeFill="background1"/>
            <w:vAlign w:val="center"/>
          </w:tcPr>
          <w:p w14:paraId="624C1909"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4</w:t>
            </w:r>
          </w:p>
        </w:tc>
        <w:tc>
          <w:tcPr>
            <w:tcW w:w="2268" w:type="dxa"/>
            <w:shd w:val="clear" w:color="auto" w:fill="FFFFFF" w:themeFill="background1"/>
            <w:vAlign w:val="center"/>
          </w:tcPr>
          <w:p w14:paraId="1C694F4E"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4</w:t>
            </w:r>
          </w:p>
        </w:tc>
        <w:tc>
          <w:tcPr>
            <w:tcW w:w="2126" w:type="dxa"/>
            <w:shd w:val="clear" w:color="auto" w:fill="FFFFFF" w:themeFill="background1"/>
            <w:vAlign w:val="center"/>
          </w:tcPr>
          <w:p w14:paraId="0F141F6F"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4</w:t>
            </w:r>
          </w:p>
        </w:tc>
        <w:tc>
          <w:tcPr>
            <w:tcW w:w="2694" w:type="dxa"/>
            <w:shd w:val="clear" w:color="auto" w:fill="FFFFFF" w:themeFill="background1"/>
            <w:vAlign w:val="center"/>
          </w:tcPr>
          <w:p w14:paraId="12068C5D" w14:textId="77777777" w:rsidR="00DE77AF" w:rsidRPr="00A021B7" w:rsidRDefault="00DE77AF" w:rsidP="00CB0C2B">
            <w:pPr>
              <w:jc w:val="center"/>
              <w:rPr>
                <w:rFonts w:ascii="Arial" w:hAnsi="Arial" w:cs="Arial"/>
                <w:color w:val="FF0000"/>
                <w:sz w:val="20"/>
                <w:szCs w:val="20"/>
                <w:lang w:val="sr-Cyrl-RS"/>
              </w:rPr>
            </w:pPr>
            <w:r w:rsidRPr="00A021B7">
              <w:rPr>
                <w:rFonts w:ascii="Arial" w:hAnsi="Arial" w:cs="Arial"/>
                <w:color w:val="000000" w:themeColor="text1"/>
                <w:sz w:val="20"/>
                <w:szCs w:val="20"/>
                <w:lang w:val="sr-Cyrl-RS"/>
              </w:rPr>
              <w:t>5</w:t>
            </w:r>
          </w:p>
        </w:tc>
      </w:tr>
      <w:tr w:rsidR="00DE77AF" w:rsidRPr="00A021B7" w14:paraId="6B05E1CE" w14:textId="77777777" w:rsidTr="1A8E6423">
        <w:trPr>
          <w:trHeight w:val="160"/>
          <w:jc w:val="center"/>
        </w:trPr>
        <w:tc>
          <w:tcPr>
            <w:tcW w:w="3114" w:type="dxa"/>
            <w:shd w:val="clear" w:color="auto" w:fill="FFC000" w:themeFill="accent4"/>
            <w:vAlign w:val="center"/>
          </w:tcPr>
          <w:p w14:paraId="5C1C34FB"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Процена успешности</w:t>
            </w:r>
          </w:p>
        </w:tc>
        <w:tc>
          <w:tcPr>
            <w:tcW w:w="10641" w:type="dxa"/>
            <w:gridSpan w:val="5"/>
            <w:shd w:val="clear" w:color="auto" w:fill="FFFFFF" w:themeFill="background1"/>
            <w:vAlign w:val="center"/>
          </w:tcPr>
          <w:p w14:paraId="41295DF2" w14:textId="06019AD9" w:rsidR="00DE77AF" w:rsidRPr="00A021B7" w:rsidRDefault="00DE77AF" w:rsidP="00CB0C2B">
            <w:pPr>
              <w:jc w:val="both"/>
              <w:rPr>
                <w:rFonts w:ascii="Arial" w:hAnsi="Arial" w:cs="Arial"/>
                <w:sz w:val="20"/>
                <w:szCs w:val="20"/>
                <w:lang w:val="sr-Cyrl-RS"/>
              </w:rPr>
            </w:pPr>
            <w:r w:rsidRPr="1A8E6423">
              <w:rPr>
                <w:rFonts w:ascii="Arial" w:hAnsi="Arial" w:cs="Arial"/>
                <w:sz w:val="20"/>
                <w:szCs w:val="20"/>
                <w:lang w:val="sr-Cyrl-RS"/>
              </w:rPr>
              <w:t xml:space="preserve">Прихватљиво је одступање од једне оцене на планираној скали током периода </w:t>
            </w:r>
            <w:r w:rsidR="006E5ADB">
              <w:rPr>
                <w:rFonts w:ascii="Arial" w:hAnsi="Arial" w:cs="Arial"/>
                <w:sz w:val="20"/>
                <w:szCs w:val="20"/>
                <w:lang w:val="sr-Cyrl-RS"/>
              </w:rPr>
              <w:t>спровођења</w:t>
            </w:r>
            <w:r w:rsidR="006E5ADB" w:rsidRPr="1A8E6423">
              <w:rPr>
                <w:rFonts w:ascii="Arial" w:hAnsi="Arial" w:cs="Arial"/>
                <w:sz w:val="20"/>
                <w:szCs w:val="20"/>
                <w:lang w:val="sr-Cyrl-RS"/>
              </w:rPr>
              <w:t xml:space="preserve"> </w:t>
            </w:r>
            <w:r w:rsidRPr="1A8E6423">
              <w:rPr>
                <w:rFonts w:ascii="Arial" w:hAnsi="Arial" w:cs="Arial"/>
                <w:sz w:val="20"/>
                <w:szCs w:val="20"/>
                <w:lang w:val="sr-Cyrl-RS"/>
              </w:rPr>
              <w:t>Стратегије односно на крају 2030. године</w:t>
            </w:r>
            <w:r w:rsidR="4D08A00C" w:rsidRPr="1A8E6423">
              <w:rPr>
                <w:rFonts w:ascii="Arial" w:hAnsi="Arial" w:cs="Arial"/>
                <w:sz w:val="20"/>
                <w:szCs w:val="20"/>
                <w:lang w:val="sr-Cyrl-RS"/>
              </w:rPr>
              <w:t>.</w:t>
            </w:r>
          </w:p>
        </w:tc>
      </w:tr>
    </w:tbl>
    <w:p w14:paraId="5BB49452" w14:textId="77777777" w:rsidR="00DE77AF" w:rsidRPr="00A021B7" w:rsidRDefault="00DE77AF" w:rsidP="00DE77AF">
      <w:pPr>
        <w:rPr>
          <w:rFonts w:ascii="Arial" w:hAnsi="Arial" w:cs="Arial"/>
          <w:b/>
          <w:bCs/>
          <w:color w:val="2F5496" w:themeColor="accent1" w:themeShade="BF"/>
          <w:sz w:val="20"/>
          <w:szCs w:val="20"/>
          <w:lang w:val="sr-Cyrl-RS"/>
        </w:rPr>
      </w:pPr>
    </w:p>
    <w:p w14:paraId="39AAEAA0" w14:textId="77777777" w:rsidR="00DE77AF" w:rsidRPr="00A021B7" w:rsidRDefault="00DE77AF" w:rsidP="00DE77AF">
      <w:pPr>
        <w:rPr>
          <w:rFonts w:ascii="Arial" w:hAnsi="Arial" w:cs="Arial"/>
          <w:b/>
          <w:bCs/>
          <w:color w:val="2F5496" w:themeColor="accent1" w:themeShade="BF"/>
          <w:sz w:val="20"/>
          <w:szCs w:val="20"/>
          <w:lang w:val="sr-Cyrl-RS"/>
        </w:rPr>
      </w:pPr>
    </w:p>
    <w:tbl>
      <w:tblPr>
        <w:tblW w:w="13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552"/>
        <w:gridCol w:w="1564"/>
        <w:gridCol w:w="562"/>
        <w:gridCol w:w="1984"/>
        <w:gridCol w:w="2127"/>
        <w:gridCol w:w="2016"/>
      </w:tblGrid>
      <w:tr w:rsidR="00DE77AF" w:rsidRPr="00A021B7" w14:paraId="51605F26" w14:textId="77777777" w:rsidTr="1A8E6423">
        <w:trPr>
          <w:jc w:val="center"/>
        </w:trPr>
        <w:tc>
          <w:tcPr>
            <w:tcW w:w="2972" w:type="dxa"/>
            <w:shd w:val="clear" w:color="auto" w:fill="D9D9D9" w:themeFill="background1" w:themeFillShade="D9"/>
          </w:tcPr>
          <w:p w14:paraId="6CF7D7FC" w14:textId="77777777" w:rsidR="00DE77AF" w:rsidRPr="00A021B7" w:rsidRDefault="00DE77AF" w:rsidP="00CB0C2B">
            <w:pPr>
              <w:rPr>
                <w:rFonts w:ascii="Arial" w:eastAsiaTheme="minorHAnsi" w:hAnsi="Arial" w:cs="Arial"/>
                <w:b/>
                <w:bCs/>
                <w:color w:val="000000" w:themeColor="text1"/>
                <w:sz w:val="20"/>
                <w:szCs w:val="20"/>
                <w:lang w:val="sr-Cyrl-RS"/>
              </w:rPr>
            </w:pPr>
          </w:p>
          <w:p w14:paraId="7B25D2E8"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Назив показатеља</w:t>
            </w:r>
          </w:p>
          <w:p w14:paraId="751911ED" w14:textId="77777777" w:rsidR="00DE77AF" w:rsidRPr="00A021B7" w:rsidRDefault="00DE77AF" w:rsidP="00CB0C2B">
            <w:pPr>
              <w:rPr>
                <w:rFonts w:ascii="Arial" w:eastAsiaTheme="minorHAnsi" w:hAnsi="Arial" w:cs="Arial"/>
                <w:b/>
                <w:bCs/>
                <w:color w:val="000000" w:themeColor="text1"/>
                <w:sz w:val="20"/>
                <w:szCs w:val="20"/>
                <w:lang w:val="sr-Cyrl-RS"/>
              </w:rPr>
            </w:pPr>
          </w:p>
        </w:tc>
        <w:tc>
          <w:tcPr>
            <w:tcW w:w="10805" w:type="dxa"/>
            <w:gridSpan w:val="6"/>
            <w:shd w:val="clear" w:color="auto" w:fill="D9D9D9" w:themeFill="background1" w:themeFillShade="D9"/>
          </w:tcPr>
          <w:p w14:paraId="063ED396" w14:textId="77777777" w:rsidR="00D27F05" w:rsidRPr="00A021B7" w:rsidRDefault="00D27F05" w:rsidP="00CB0C2B">
            <w:pPr>
              <w:rPr>
                <w:rFonts w:ascii="Arial" w:eastAsiaTheme="minorHAnsi" w:hAnsi="Arial" w:cs="Arial"/>
                <w:b/>
                <w:bCs/>
                <w:iCs/>
                <w:color w:val="000000" w:themeColor="text1"/>
                <w:sz w:val="20"/>
                <w:szCs w:val="20"/>
                <w:lang w:val="sr-Cyrl-RS"/>
              </w:rPr>
            </w:pPr>
          </w:p>
          <w:p w14:paraId="6779CBFA" w14:textId="0DCB5EE1" w:rsidR="00DE77AF" w:rsidRPr="00A021B7" w:rsidRDefault="00DE77AF" w:rsidP="1A8E6423">
            <w:pPr>
              <w:rPr>
                <w:rFonts w:ascii="Arial" w:eastAsiaTheme="minorEastAsia" w:hAnsi="Arial" w:cs="Arial"/>
                <w:b/>
                <w:bCs/>
                <w:color w:val="000000" w:themeColor="text1"/>
                <w:sz w:val="20"/>
                <w:szCs w:val="20"/>
                <w:lang w:val="sr-Cyrl-RS"/>
              </w:rPr>
            </w:pPr>
            <w:r w:rsidRPr="1A8E6423">
              <w:rPr>
                <w:rFonts w:ascii="Arial" w:eastAsiaTheme="minorEastAsia" w:hAnsi="Arial" w:cs="Arial"/>
                <w:b/>
                <w:bCs/>
                <w:color w:val="000000" w:themeColor="text1"/>
                <w:sz w:val="20"/>
                <w:szCs w:val="20"/>
                <w:lang w:val="sr-Cyrl-RS"/>
              </w:rPr>
              <w:t xml:space="preserve">Просечна вредност индекса добре управе у издвојеним областима : 1) </w:t>
            </w:r>
            <w:r w:rsidR="00AB5C59" w:rsidRPr="1A8E6423">
              <w:rPr>
                <w:rFonts w:ascii="Arial" w:eastAsiaTheme="minorEastAsia" w:hAnsi="Arial" w:cs="Arial"/>
                <w:b/>
                <w:bCs/>
                <w:color w:val="000000" w:themeColor="text1"/>
                <w:sz w:val="20"/>
                <w:szCs w:val="20"/>
                <w:lang w:val="sr-Cyrl-RS"/>
              </w:rPr>
              <w:t>о</w:t>
            </w:r>
            <w:r w:rsidRPr="1A8E6423">
              <w:rPr>
                <w:rFonts w:ascii="Arial" w:eastAsiaTheme="minorEastAsia" w:hAnsi="Arial" w:cs="Arial"/>
                <w:b/>
                <w:bCs/>
                <w:color w:val="000000" w:themeColor="text1"/>
                <w:sz w:val="20"/>
                <w:szCs w:val="20"/>
                <w:lang w:val="sr-Cyrl-RS"/>
              </w:rPr>
              <w:t xml:space="preserve">дговорност; 2) </w:t>
            </w:r>
            <w:r w:rsidR="00AB5C59" w:rsidRPr="1A8E6423">
              <w:rPr>
                <w:rFonts w:ascii="Arial" w:eastAsiaTheme="minorEastAsia" w:hAnsi="Arial" w:cs="Arial"/>
                <w:b/>
                <w:bCs/>
                <w:color w:val="000000" w:themeColor="text1"/>
                <w:sz w:val="20"/>
                <w:szCs w:val="20"/>
                <w:lang w:val="sr-Cyrl-RS"/>
              </w:rPr>
              <w:t>транспарентност</w:t>
            </w:r>
            <w:r w:rsidRPr="1A8E6423">
              <w:rPr>
                <w:rFonts w:ascii="Arial" w:eastAsiaTheme="minorEastAsia" w:hAnsi="Arial" w:cs="Arial"/>
                <w:b/>
                <w:bCs/>
                <w:color w:val="000000" w:themeColor="text1"/>
                <w:sz w:val="20"/>
                <w:szCs w:val="20"/>
                <w:lang w:val="sr-Cyrl-RS"/>
              </w:rPr>
              <w:t>, отвореност и партиципациј</w:t>
            </w:r>
            <w:r w:rsidR="4D08A00C" w:rsidRPr="1A8E6423">
              <w:rPr>
                <w:rFonts w:ascii="Arial" w:eastAsiaTheme="minorEastAsia" w:hAnsi="Arial" w:cs="Arial"/>
                <w:b/>
                <w:bCs/>
                <w:color w:val="000000" w:themeColor="text1"/>
                <w:sz w:val="20"/>
                <w:szCs w:val="20"/>
                <w:lang w:val="sr-Cyrl-RS"/>
              </w:rPr>
              <w:t>а</w:t>
            </w:r>
          </w:p>
          <w:p w14:paraId="5DD1B6D8" w14:textId="3347E06F" w:rsidR="00D27F05" w:rsidRPr="00A021B7" w:rsidRDefault="00D27F05" w:rsidP="00CB0C2B">
            <w:pPr>
              <w:rPr>
                <w:rFonts w:ascii="Arial" w:eastAsiaTheme="minorHAnsi" w:hAnsi="Arial" w:cs="Arial"/>
                <w:b/>
                <w:bCs/>
                <w:iCs/>
                <w:color w:val="000000" w:themeColor="text1"/>
                <w:sz w:val="20"/>
                <w:szCs w:val="20"/>
                <w:lang w:val="sr-Cyrl-RS"/>
              </w:rPr>
            </w:pPr>
          </w:p>
        </w:tc>
      </w:tr>
      <w:tr w:rsidR="00DE77AF" w:rsidRPr="00A021B7" w14:paraId="3A3AB39B" w14:textId="77777777" w:rsidTr="1A8E6423">
        <w:trPr>
          <w:jc w:val="center"/>
        </w:trPr>
        <w:tc>
          <w:tcPr>
            <w:tcW w:w="2972" w:type="dxa"/>
            <w:shd w:val="clear" w:color="auto" w:fill="FFC000" w:themeFill="accent4"/>
          </w:tcPr>
          <w:p w14:paraId="792F171C"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Одговарајући општи, посебни циљ или мера</w:t>
            </w:r>
          </w:p>
        </w:tc>
        <w:tc>
          <w:tcPr>
            <w:tcW w:w="10805" w:type="dxa"/>
            <w:gridSpan w:val="6"/>
            <w:shd w:val="clear" w:color="auto" w:fill="auto"/>
          </w:tcPr>
          <w:p w14:paraId="1E967300" w14:textId="77777777" w:rsidR="00DE77AF" w:rsidRPr="00A021B7" w:rsidRDefault="00DE77AF" w:rsidP="00CB0C2B">
            <w:pPr>
              <w:tabs>
                <w:tab w:val="left" w:pos="182"/>
              </w:tabs>
              <w:rPr>
                <w:rFonts w:ascii="Arial" w:hAnsi="Arial" w:cs="Arial"/>
                <w:bCs/>
                <w:i/>
                <w:kern w:val="24"/>
                <w:sz w:val="20"/>
                <w:szCs w:val="20"/>
                <w:lang w:val="sr-Cyrl-RS"/>
              </w:rPr>
            </w:pPr>
            <w:r w:rsidRPr="00A021B7">
              <w:rPr>
                <w:rFonts w:ascii="Arial" w:hAnsi="Arial" w:cs="Arial"/>
                <w:bCs/>
                <w:i/>
                <w:kern w:val="24"/>
                <w:sz w:val="20"/>
                <w:szCs w:val="20"/>
                <w:lang w:val="sr-Cyrl-RS"/>
              </w:rPr>
              <w:t>Унапређен положај и одговорност локалне самоуправе</w:t>
            </w:r>
          </w:p>
          <w:p w14:paraId="0CC69B26" w14:textId="77777777" w:rsidR="00DE77AF" w:rsidRPr="00A021B7" w:rsidRDefault="00DE77AF" w:rsidP="00CB0C2B">
            <w:pPr>
              <w:rPr>
                <w:rFonts w:ascii="Arial" w:eastAsiaTheme="minorHAnsi" w:hAnsi="Arial" w:cs="Arial"/>
                <w:color w:val="000000" w:themeColor="text1"/>
                <w:sz w:val="20"/>
                <w:szCs w:val="20"/>
                <w:lang w:val="sr-Cyrl-RS"/>
              </w:rPr>
            </w:pPr>
          </w:p>
        </w:tc>
      </w:tr>
      <w:tr w:rsidR="00DE77AF" w:rsidRPr="00A021B7" w14:paraId="7A22E33B" w14:textId="77777777" w:rsidTr="1A8E6423">
        <w:trPr>
          <w:jc w:val="center"/>
        </w:trPr>
        <w:tc>
          <w:tcPr>
            <w:tcW w:w="2972" w:type="dxa"/>
            <w:shd w:val="clear" w:color="auto" w:fill="FFC000" w:themeFill="accent4"/>
          </w:tcPr>
          <w:p w14:paraId="790920FD"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color w:val="000000" w:themeColor="text1"/>
                <w:kern w:val="24"/>
                <w:sz w:val="20"/>
                <w:szCs w:val="20"/>
                <w:lang w:val="sr-Cyrl-RS"/>
              </w:rPr>
              <w:t>Тип и ниво показатеља</w:t>
            </w:r>
          </w:p>
        </w:tc>
        <w:tc>
          <w:tcPr>
            <w:tcW w:w="4116" w:type="dxa"/>
            <w:gridSpan w:val="2"/>
            <w:shd w:val="clear" w:color="auto" w:fill="auto"/>
          </w:tcPr>
          <w:p w14:paraId="6E438863" w14:textId="77777777" w:rsidR="00DE77AF" w:rsidRPr="00A021B7" w:rsidRDefault="00DE77AF" w:rsidP="00CB0C2B">
            <w:pPr>
              <w:rPr>
                <w:rFonts w:ascii="Arial" w:eastAsiaTheme="minorHAnsi" w:hAnsi="Arial" w:cs="Arial"/>
                <w:bCs/>
                <w:color w:val="000000" w:themeColor="text1"/>
                <w:kern w:val="24"/>
                <w:sz w:val="20"/>
                <w:szCs w:val="20"/>
                <w:lang w:val="sr-Cyrl-RS"/>
              </w:rPr>
            </w:pPr>
            <w:r w:rsidRPr="00A021B7">
              <w:rPr>
                <w:rFonts w:ascii="Arial" w:eastAsiaTheme="minorHAnsi" w:hAnsi="Arial" w:cs="Arial"/>
                <w:bCs/>
                <w:color w:val="000000" w:themeColor="text1"/>
                <w:kern w:val="24"/>
                <w:sz w:val="20"/>
                <w:szCs w:val="20"/>
                <w:lang w:val="sr-Cyrl-RS"/>
              </w:rPr>
              <w:t>Квалитативни</w:t>
            </w:r>
          </w:p>
        </w:tc>
        <w:tc>
          <w:tcPr>
            <w:tcW w:w="6689" w:type="dxa"/>
            <w:gridSpan w:val="4"/>
            <w:shd w:val="clear" w:color="auto" w:fill="auto"/>
          </w:tcPr>
          <w:p w14:paraId="2FD42F2F" w14:textId="77777777" w:rsidR="00DE77AF" w:rsidRPr="00A021B7" w:rsidRDefault="00DE77AF" w:rsidP="00CB0C2B">
            <w:pPr>
              <w:rPr>
                <w:rFonts w:ascii="Arial" w:eastAsiaTheme="minorHAnsi" w:hAnsi="Arial" w:cs="Arial"/>
                <w:bCs/>
                <w:color w:val="000000" w:themeColor="text1"/>
                <w:kern w:val="24"/>
                <w:sz w:val="20"/>
                <w:szCs w:val="20"/>
                <w:lang w:val="sr-Cyrl-RS"/>
              </w:rPr>
            </w:pPr>
            <w:r w:rsidRPr="00A021B7">
              <w:rPr>
                <w:rFonts w:ascii="Arial" w:eastAsiaTheme="minorHAnsi" w:hAnsi="Arial" w:cs="Arial"/>
                <w:bCs/>
                <w:color w:val="000000" w:themeColor="text1"/>
                <w:kern w:val="24"/>
                <w:sz w:val="20"/>
                <w:szCs w:val="20"/>
                <w:lang w:val="sr-Cyrl-RS"/>
              </w:rPr>
              <w:t>Показатељ исхода</w:t>
            </w:r>
          </w:p>
        </w:tc>
      </w:tr>
      <w:tr w:rsidR="00DE77AF" w:rsidRPr="00A021B7" w14:paraId="02047CAE" w14:textId="77777777" w:rsidTr="1A8E6423">
        <w:trPr>
          <w:trHeight w:val="373"/>
          <w:jc w:val="center"/>
        </w:trPr>
        <w:tc>
          <w:tcPr>
            <w:tcW w:w="2972" w:type="dxa"/>
            <w:shd w:val="clear" w:color="auto" w:fill="FFC000" w:themeFill="accent4"/>
          </w:tcPr>
          <w:p w14:paraId="27744160" w14:textId="77777777" w:rsidR="00DE77AF" w:rsidRPr="00A021B7" w:rsidRDefault="00DE77AF" w:rsidP="00CB0C2B">
            <w:pPr>
              <w:rPr>
                <w:rFonts w:ascii="Arial" w:eastAsiaTheme="minorHAnsi" w:hAnsi="Arial" w:cs="Arial"/>
                <w:b/>
                <w:color w:val="000000" w:themeColor="text1"/>
                <w:kern w:val="24"/>
                <w:sz w:val="20"/>
                <w:szCs w:val="20"/>
                <w:lang w:val="sr-Cyrl-RS"/>
              </w:rPr>
            </w:pPr>
            <w:r w:rsidRPr="00A021B7">
              <w:rPr>
                <w:rFonts w:ascii="Arial" w:eastAsiaTheme="minorHAnsi" w:hAnsi="Arial" w:cs="Arial"/>
                <w:b/>
                <w:color w:val="000000" w:themeColor="text1"/>
                <w:kern w:val="24"/>
                <w:sz w:val="20"/>
                <w:szCs w:val="20"/>
                <w:lang w:val="sr-Cyrl-RS"/>
              </w:rPr>
              <w:t>Јединица мере и природа</w:t>
            </w:r>
          </w:p>
        </w:tc>
        <w:tc>
          <w:tcPr>
            <w:tcW w:w="4116" w:type="dxa"/>
            <w:gridSpan w:val="2"/>
            <w:shd w:val="clear" w:color="auto" w:fill="auto"/>
          </w:tcPr>
          <w:p w14:paraId="31FCCBEE" w14:textId="19B6A92C" w:rsidR="00DE77AF" w:rsidRPr="00A021B7" w:rsidRDefault="00DE77AF" w:rsidP="1A8E6423">
            <w:pPr>
              <w:tabs>
                <w:tab w:val="left" w:pos="152"/>
              </w:tabs>
              <w:rPr>
                <w:rFonts w:ascii="Arial" w:eastAsiaTheme="minorEastAsia" w:hAnsi="Arial" w:cs="Arial"/>
                <w:color w:val="000000" w:themeColor="text1"/>
                <w:sz w:val="20"/>
                <w:szCs w:val="20"/>
                <w:lang w:val="sr-Cyrl-RS"/>
              </w:rPr>
            </w:pPr>
            <w:r w:rsidRPr="1A8E6423">
              <w:rPr>
                <w:rFonts w:ascii="Arial" w:eastAsiaTheme="minorEastAsia" w:hAnsi="Arial" w:cs="Arial"/>
                <w:color w:val="000000" w:themeColor="text1"/>
                <w:kern w:val="24"/>
                <w:sz w:val="20"/>
                <w:szCs w:val="20"/>
                <w:lang w:val="sr-Cyrl-RS"/>
              </w:rPr>
              <w:t xml:space="preserve">Индекс </w:t>
            </w:r>
            <w:r w:rsidR="4D08A00C" w:rsidRPr="1A8E6423">
              <w:rPr>
                <w:rFonts w:ascii="Arial" w:eastAsiaTheme="minorEastAsia" w:hAnsi="Arial" w:cs="Arial"/>
                <w:color w:val="000000" w:themeColor="text1"/>
                <w:kern w:val="24"/>
                <w:sz w:val="20"/>
                <w:szCs w:val="20"/>
                <w:lang w:val="sr-Cyrl-RS"/>
              </w:rPr>
              <w:t>–</w:t>
            </w:r>
            <w:r w:rsidRPr="1A8E6423">
              <w:rPr>
                <w:rFonts w:ascii="Arial" w:eastAsiaTheme="minorEastAsia" w:hAnsi="Arial" w:cs="Arial"/>
                <w:color w:val="000000" w:themeColor="text1"/>
                <w:kern w:val="24"/>
                <w:sz w:val="20"/>
                <w:szCs w:val="20"/>
                <w:lang w:val="sr-Cyrl-RS"/>
              </w:rPr>
              <w:t xml:space="preserve"> композитни показатељи (сет различитих показатеља у посебној методологији прављеној за потребе СКГО)</w:t>
            </w:r>
          </w:p>
        </w:tc>
        <w:tc>
          <w:tcPr>
            <w:tcW w:w="6689" w:type="dxa"/>
            <w:gridSpan w:val="4"/>
            <w:shd w:val="clear" w:color="auto" w:fill="auto"/>
          </w:tcPr>
          <w:p w14:paraId="4A282AF3" w14:textId="77777777" w:rsidR="00DE77AF" w:rsidRPr="00A021B7" w:rsidRDefault="00DE77AF" w:rsidP="00CB0C2B">
            <w:pPr>
              <w:rPr>
                <w:rFonts w:ascii="Arial" w:eastAsia="Arial" w:hAnsi="Arial" w:cs="Arial"/>
                <w:color w:val="000000" w:themeColor="text1"/>
                <w:spacing w:val="-1"/>
                <w:kern w:val="24"/>
                <w:sz w:val="20"/>
                <w:szCs w:val="20"/>
                <w:lang w:val="sr-Cyrl-RS"/>
              </w:rPr>
            </w:pPr>
            <w:r w:rsidRPr="00A021B7">
              <w:rPr>
                <w:rFonts w:ascii="Arial" w:eastAsia="Arial" w:hAnsi="Arial" w:cs="Arial"/>
                <w:color w:val="000000" w:themeColor="text1"/>
                <w:spacing w:val="-1"/>
                <w:kern w:val="24"/>
                <w:sz w:val="20"/>
                <w:szCs w:val="20"/>
                <w:lang w:val="sr-Cyrl-RS"/>
              </w:rPr>
              <w:t>Пожељна је већа вредност</w:t>
            </w:r>
          </w:p>
        </w:tc>
      </w:tr>
      <w:tr w:rsidR="00DE77AF" w:rsidRPr="00A021B7" w14:paraId="3C35E7A3" w14:textId="77777777" w:rsidTr="1A8E6423">
        <w:trPr>
          <w:jc w:val="center"/>
        </w:trPr>
        <w:tc>
          <w:tcPr>
            <w:tcW w:w="2972" w:type="dxa"/>
            <w:shd w:val="clear" w:color="auto" w:fill="FFC000" w:themeFill="accent4"/>
          </w:tcPr>
          <w:p w14:paraId="012FCEDF" w14:textId="77777777" w:rsidR="00DE77AF" w:rsidRPr="00A021B7" w:rsidRDefault="00DE77AF" w:rsidP="00CB0C2B">
            <w:pPr>
              <w:rPr>
                <w:rFonts w:ascii="Arial" w:eastAsiaTheme="minorHAnsi" w:hAnsi="Arial" w:cs="Arial"/>
                <w:b/>
                <w:bCs/>
                <w:color w:val="000000" w:themeColor="text1"/>
                <w:sz w:val="20"/>
                <w:szCs w:val="20"/>
                <w:lang w:val="sr-Cyrl-RS"/>
              </w:rPr>
            </w:pPr>
            <w:r w:rsidRPr="00A021B7">
              <w:rPr>
                <w:rFonts w:ascii="Arial" w:eastAsiaTheme="minorHAnsi" w:hAnsi="Arial" w:cs="Arial"/>
                <w:b/>
                <w:bCs/>
                <w:color w:val="000000" w:themeColor="text1"/>
                <w:sz w:val="20"/>
                <w:szCs w:val="20"/>
                <w:lang w:val="sr-Cyrl-RS"/>
              </w:rPr>
              <w:t>Извор података за праћење показатеља учинка</w:t>
            </w:r>
          </w:p>
        </w:tc>
        <w:tc>
          <w:tcPr>
            <w:tcW w:w="10805" w:type="dxa"/>
            <w:gridSpan w:val="6"/>
            <w:shd w:val="clear" w:color="auto" w:fill="auto"/>
          </w:tcPr>
          <w:p w14:paraId="221FE236" w14:textId="77777777" w:rsidR="00DE77AF" w:rsidRPr="00A021B7" w:rsidRDefault="00DE77AF" w:rsidP="00CB0C2B">
            <w:pPr>
              <w:rPr>
                <w:rFonts w:ascii="Arial" w:eastAsiaTheme="minorHAnsi" w:hAnsi="Arial" w:cs="Arial"/>
                <w:color w:val="000000" w:themeColor="text1"/>
                <w:sz w:val="20"/>
                <w:szCs w:val="20"/>
                <w:lang w:val="sr-Cyrl-RS"/>
              </w:rPr>
            </w:pPr>
            <w:r w:rsidRPr="00A021B7">
              <w:rPr>
                <w:rFonts w:ascii="Arial" w:eastAsiaTheme="minorHAnsi" w:hAnsi="Arial" w:cs="Arial"/>
                <w:color w:val="000000" w:themeColor="text1"/>
                <w:sz w:val="20"/>
                <w:szCs w:val="20"/>
                <w:lang w:val="sr-Cyrl-RS"/>
              </w:rPr>
              <w:t>Подаци из индекса добре управе СКГО</w:t>
            </w:r>
          </w:p>
        </w:tc>
      </w:tr>
      <w:tr w:rsidR="00DE77AF" w:rsidRPr="00A021B7" w14:paraId="5A60DB38" w14:textId="77777777" w:rsidTr="1A8E6423">
        <w:trPr>
          <w:jc w:val="center"/>
        </w:trPr>
        <w:tc>
          <w:tcPr>
            <w:tcW w:w="2972" w:type="dxa"/>
            <w:shd w:val="clear" w:color="auto" w:fill="FFC000" w:themeFill="accent4"/>
          </w:tcPr>
          <w:p w14:paraId="7B041D7C"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Назив носиоца прикупљања података</w:t>
            </w:r>
          </w:p>
        </w:tc>
        <w:tc>
          <w:tcPr>
            <w:tcW w:w="10805" w:type="dxa"/>
            <w:gridSpan w:val="6"/>
            <w:shd w:val="clear" w:color="auto" w:fill="FFFFFF" w:themeFill="background1"/>
          </w:tcPr>
          <w:p w14:paraId="67EC084B" w14:textId="77777777" w:rsidR="00DE77AF" w:rsidRPr="00A021B7" w:rsidRDefault="00DE77AF" w:rsidP="00CB0C2B">
            <w:pPr>
              <w:rPr>
                <w:rFonts w:ascii="Arial" w:eastAsiaTheme="minorHAnsi" w:hAnsi="Arial" w:cs="Arial"/>
                <w:sz w:val="20"/>
                <w:szCs w:val="20"/>
                <w:lang w:val="sr-Cyrl-RS"/>
              </w:rPr>
            </w:pPr>
          </w:p>
          <w:p w14:paraId="650714F6" w14:textId="51794928"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СКГО, Марко Томашевић, </w:t>
            </w:r>
            <w:hyperlink r:id="rId33">
              <w:r w:rsidRPr="1A8E6423">
                <w:rPr>
                  <w:rStyle w:val="Hyperlink"/>
                  <w:rFonts w:ascii="Arial" w:eastAsiaTheme="minorEastAsia" w:hAnsi="Arial" w:cs="Arial"/>
                  <w:sz w:val="20"/>
                  <w:szCs w:val="20"/>
                  <w:lang w:val="sr-Cyrl-RS"/>
                </w:rPr>
                <w:t>marko.tomasevic@skgo.org</w:t>
              </w:r>
            </w:hyperlink>
          </w:p>
          <w:p w14:paraId="5BBC1AE6" w14:textId="77777777" w:rsidR="00DE77AF" w:rsidRPr="00A021B7" w:rsidRDefault="00DE77AF" w:rsidP="00CB0C2B">
            <w:pPr>
              <w:rPr>
                <w:rFonts w:ascii="Arial" w:eastAsiaTheme="minorHAnsi" w:hAnsi="Arial" w:cs="Arial"/>
                <w:i/>
                <w:iCs/>
                <w:sz w:val="20"/>
                <w:szCs w:val="20"/>
                <w:lang w:val="sr-Cyrl-RS"/>
              </w:rPr>
            </w:pPr>
          </w:p>
        </w:tc>
      </w:tr>
      <w:tr w:rsidR="00DE77AF" w:rsidRPr="00A021B7" w14:paraId="13C2950E" w14:textId="77777777" w:rsidTr="1A8E6423">
        <w:trPr>
          <w:jc w:val="center"/>
        </w:trPr>
        <w:tc>
          <w:tcPr>
            <w:tcW w:w="2972" w:type="dxa"/>
            <w:shd w:val="clear" w:color="auto" w:fill="FFC000" w:themeFill="accent4"/>
          </w:tcPr>
          <w:p w14:paraId="50C6E23D"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Учесталост прикупљања података</w:t>
            </w:r>
          </w:p>
        </w:tc>
        <w:tc>
          <w:tcPr>
            <w:tcW w:w="10805" w:type="dxa"/>
            <w:gridSpan w:val="6"/>
            <w:shd w:val="clear" w:color="auto" w:fill="FFFFFF" w:themeFill="background1"/>
          </w:tcPr>
          <w:p w14:paraId="78E21167" w14:textId="02DD80AF"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Пода</w:t>
            </w:r>
            <w:r w:rsidR="2AEB1615" w:rsidRPr="1A8E6423">
              <w:rPr>
                <w:rFonts w:ascii="Arial" w:eastAsiaTheme="minorEastAsia" w:hAnsi="Arial" w:cs="Arial"/>
                <w:sz w:val="20"/>
                <w:szCs w:val="20"/>
                <w:lang w:val="sr-Cyrl-RS"/>
              </w:rPr>
              <w:t>ц</w:t>
            </w:r>
            <w:r w:rsidRPr="1A8E6423">
              <w:rPr>
                <w:rFonts w:ascii="Arial" w:eastAsiaTheme="minorEastAsia" w:hAnsi="Arial" w:cs="Arial"/>
                <w:sz w:val="20"/>
                <w:szCs w:val="20"/>
                <w:lang w:val="sr-Cyrl-RS"/>
              </w:rPr>
              <w:t>и се прикупљају до 31</w:t>
            </w:r>
            <w:r w:rsidR="536CC07E"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децембра почев од 2021. године</w:t>
            </w:r>
            <w:r w:rsidR="4D08A00C"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и то сваке 2 године на репрезентативном у</w:t>
            </w:r>
            <w:r w:rsidR="29DC3AE4" w:rsidRPr="1A8E6423">
              <w:rPr>
                <w:rFonts w:ascii="Arial" w:eastAsiaTheme="minorEastAsia" w:hAnsi="Arial" w:cs="Arial"/>
                <w:sz w:val="20"/>
                <w:szCs w:val="20"/>
                <w:lang w:val="sr-Cyrl-RS"/>
              </w:rPr>
              <w:t>з</w:t>
            </w:r>
            <w:r w:rsidRPr="1A8E6423">
              <w:rPr>
                <w:rFonts w:ascii="Arial" w:eastAsiaTheme="minorEastAsia" w:hAnsi="Arial" w:cs="Arial"/>
                <w:sz w:val="20"/>
                <w:szCs w:val="20"/>
                <w:lang w:val="sr-Cyrl-RS"/>
              </w:rPr>
              <w:t>орку од минимум 30 ЈЛС (20%). Током 2021. године планирано је мерење на узорку од 60 ЈЛС (прво је било 2018. године).</w:t>
            </w:r>
          </w:p>
        </w:tc>
      </w:tr>
      <w:tr w:rsidR="00DE77AF" w:rsidRPr="00A021B7" w14:paraId="6389E143" w14:textId="77777777" w:rsidTr="1A8E6423">
        <w:trPr>
          <w:trHeight w:val="2125"/>
          <w:jc w:val="center"/>
        </w:trPr>
        <w:tc>
          <w:tcPr>
            <w:tcW w:w="2972" w:type="dxa"/>
            <w:shd w:val="clear" w:color="auto" w:fill="FFC000" w:themeFill="accent4"/>
          </w:tcPr>
          <w:p w14:paraId="2ADCFEA6" w14:textId="77777777" w:rsidR="00DE77AF" w:rsidRPr="00A021B7" w:rsidRDefault="00DE77AF" w:rsidP="00CB0C2B">
            <w:pPr>
              <w:rPr>
                <w:rFonts w:ascii="Arial" w:eastAsiaTheme="minorHAnsi" w:hAnsi="Arial" w:cs="Arial"/>
                <w:b/>
                <w:sz w:val="20"/>
                <w:szCs w:val="20"/>
                <w:lang w:val="sr-Cyrl-RS"/>
              </w:rPr>
            </w:pPr>
            <w:r w:rsidRPr="00A021B7">
              <w:rPr>
                <w:rFonts w:ascii="Arial" w:eastAsiaTheme="minorHAnsi" w:hAnsi="Arial" w:cs="Arial"/>
                <w:b/>
                <w:sz w:val="20"/>
                <w:szCs w:val="20"/>
                <w:lang w:val="sr-Cyrl-RS"/>
              </w:rPr>
              <w:t>Кратак опис показатеља и методологије израчунавања</w:t>
            </w:r>
          </w:p>
          <w:p w14:paraId="7B21E17F" w14:textId="7EEEFED1"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sz w:val="20"/>
                <w:szCs w:val="20"/>
                <w:lang w:val="sr-Cyrl-RS"/>
              </w:rPr>
              <w:t>(формуле/једначине)</w:t>
            </w:r>
          </w:p>
        </w:tc>
        <w:tc>
          <w:tcPr>
            <w:tcW w:w="10805" w:type="dxa"/>
            <w:gridSpan w:val="6"/>
            <w:shd w:val="clear" w:color="auto" w:fill="FFFFFF" w:themeFill="background1"/>
          </w:tcPr>
          <w:p w14:paraId="43BDCDB8" w14:textId="381FCBF7" w:rsidR="009E1824" w:rsidRPr="00A021B7" w:rsidRDefault="00DE77AF" w:rsidP="1A8E6423">
            <w:pPr>
              <w:jc w:val="both"/>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Овај показатељ показује степен просечног капацитета ЈЛС за испуњавање појединачних административних, функционалних и процесних захтева који се пред њих постављају кроз индекс доброг управљања у областима (1) </w:t>
            </w:r>
            <w:r w:rsidR="4D08A00C" w:rsidRPr="1A8E6423">
              <w:rPr>
                <w:rFonts w:ascii="Arial" w:eastAsiaTheme="minorEastAsia" w:hAnsi="Arial" w:cs="Arial"/>
                <w:sz w:val="20"/>
                <w:szCs w:val="20"/>
                <w:lang w:val="sr-Cyrl-RS"/>
              </w:rPr>
              <w:t>о</w:t>
            </w:r>
            <w:r w:rsidRPr="1A8E6423">
              <w:rPr>
                <w:rFonts w:ascii="Arial" w:eastAsiaTheme="minorEastAsia" w:hAnsi="Arial" w:cs="Arial"/>
                <w:sz w:val="20"/>
                <w:szCs w:val="20"/>
                <w:lang w:val="sr-Cyrl-RS"/>
              </w:rPr>
              <w:t>дговорност</w:t>
            </w:r>
            <w:r w:rsidR="4D08A00C"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(2) </w:t>
            </w:r>
            <w:r w:rsidR="4D08A00C" w:rsidRPr="1A8E6423">
              <w:rPr>
                <w:rFonts w:ascii="Arial" w:eastAsiaTheme="minorEastAsia" w:hAnsi="Arial" w:cs="Arial"/>
                <w:sz w:val="20"/>
                <w:szCs w:val="20"/>
                <w:lang w:val="sr-Cyrl-RS"/>
              </w:rPr>
              <w:t>т</w:t>
            </w:r>
            <w:r w:rsidRPr="1A8E6423">
              <w:rPr>
                <w:rFonts w:ascii="Arial" w:eastAsiaTheme="minorEastAsia" w:hAnsi="Arial" w:cs="Arial"/>
                <w:sz w:val="20"/>
                <w:szCs w:val="20"/>
                <w:lang w:val="sr-Cyrl-RS"/>
              </w:rPr>
              <w:t>ранспарентност</w:t>
            </w:r>
            <w:r w:rsidR="4D08A00C"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и партиципациј</w:t>
            </w:r>
            <w:r w:rsidR="4D08A00C" w:rsidRPr="1A8E6423">
              <w:rPr>
                <w:rFonts w:ascii="Arial" w:eastAsiaTheme="minorEastAsia" w:hAnsi="Arial" w:cs="Arial"/>
                <w:sz w:val="20"/>
                <w:szCs w:val="20"/>
                <w:lang w:val="sr-Cyrl-RS"/>
              </w:rPr>
              <w:t>е</w:t>
            </w:r>
            <w:r w:rsidRPr="1A8E6423">
              <w:rPr>
                <w:rFonts w:ascii="Arial" w:eastAsiaTheme="minorEastAsia" w:hAnsi="Arial" w:cs="Arial"/>
                <w:sz w:val="20"/>
                <w:szCs w:val="20"/>
                <w:lang w:val="sr-Cyrl-RS"/>
              </w:rPr>
              <w:t xml:space="preserve">. Композитни индекс за сваку појединачну локалну самоуправу показује разлику између 1) тренутног </w:t>
            </w:r>
            <w:r w:rsidR="43071259"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достигнутог и 2) пожељног – </w:t>
            </w:r>
            <w:r w:rsidR="43071259"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идеалног” стања добре управе у конкретним областима, према унапред одређеним параметрима. Исказује се у процентима у односу на максимални могућ</w:t>
            </w:r>
            <w:r w:rsidR="43071259" w:rsidRPr="1A8E6423">
              <w:rPr>
                <w:rFonts w:ascii="Arial" w:eastAsiaTheme="minorEastAsia" w:hAnsi="Arial" w:cs="Arial"/>
                <w:sz w:val="20"/>
                <w:szCs w:val="20"/>
                <w:lang w:val="sr-Cyrl-RS"/>
              </w:rPr>
              <w:t>и</w:t>
            </w:r>
            <w:r w:rsidRPr="1A8E6423">
              <w:rPr>
                <w:rFonts w:ascii="Arial" w:eastAsiaTheme="minorEastAsia" w:hAnsi="Arial" w:cs="Arial"/>
                <w:sz w:val="20"/>
                <w:szCs w:val="20"/>
                <w:lang w:val="sr-Cyrl-RS"/>
              </w:rPr>
              <w:t xml:space="preserve"> скор. </w:t>
            </w:r>
            <w:r w:rsidR="43071259" w:rsidRPr="1A8E6423">
              <w:rPr>
                <w:rFonts w:ascii="Arial" w:eastAsiaTheme="minorEastAsia" w:hAnsi="Arial" w:cs="Arial"/>
                <w:sz w:val="20"/>
                <w:szCs w:val="20"/>
                <w:lang w:val="sr-Cyrl-RS"/>
              </w:rPr>
              <w:t>С обзиром на</w:t>
            </w:r>
            <w:r w:rsidRPr="1A8E6423">
              <w:rPr>
                <w:rFonts w:ascii="Arial" w:eastAsiaTheme="minorEastAsia" w:hAnsi="Arial" w:cs="Arial"/>
                <w:sz w:val="20"/>
                <w:szCs w:val="20"/>
                <w:lang w:val="sr-Cyrl-RS"/>
              </w:rPr>
              <w:t xml:space="preserve"> карактер и функцију овог индекса, његова садржина прати еволуцију система јавне управе и усклађује се са њом, како би овај алат могао да прати капацитет ЛС у складу са актуелним захтевима из јавних политика и прописа и са најбољом праксом. </w:t>
            </w:r>
            <w:r w:rsidR="493843A5" w:rsidRPr="1A8E6423">
              <w:rPr>
                <w:rFonts w:ascii="Arial" w:eastAsiaTheme="minorEastAsia" w:hAnsi="Arial" w:cs="Arial"/>
                <w:sz w:val="20"/>
                <w:szCs w:val="20"/>
                <w:lang w:val="sr-Cyrl-RS"/>
              </w:rPr>
              <w:t>Кретање се мери као процентуално стање на нивоу узорка ЈЛС.</w:t>
            </w:r>
          </w:p>
        </w:tc>
      </w:tr>
      <w:tr w:rsidR="00DE77AF" w:rsidRPr="00A021B7" w14:paraId="4DA098CC" w14:textId="77777777" w:rsidTr="1A8E6423">
        <w:trPr>
          <w:trHeight w:val="265"/>
          <w:jc w:val="center"/>
        </w:trPr>
        <w:tc>
          <w:tcPr>
            <w:tcW w:w="2972" w:type="dxa"/>
            <w:vMerge w:val="restart"/>
            <w:shd w:val="clear" w:color="auto" w:fill="FFC000" w:themeFill="accent4"/>
          </w:tcPr>
          <w:p w14:paraId="3B93A3E0" w14:textId="2F1B0F0A" w:rsidR="00DE77AF" w:rsidRPr="00A021B7" w:rsidRDefault="00DE77AF" w:rsidP="1A8E6423">
            <w:pPr>
              <w:rPr>
                <w:rFonts w:ascii="Arial" w:eastAsiaTheme="minorEastAsia" w:hAnsi="Arial" w:cs="Arial"/>
                <w:b/>
                <w:bCs/>
                <w:sz w:val="20"/>
                <w:szCs w:val="20"/>
                <w:lang w:val="sr-Cyrl-RS"/>
              </w:rPr>
            </w:pPr>
            <w:r w:rsidRPr="1A8E6423">
              <w:rPr>
                <w:rFonts w:ascii="Arial" w:eastAsiaTheme="minorEastAsia" w:hAnsi="Arial" w:cs="Arial"/>
                <w:b/>
                <w:bCs/>
                <w:sz w:val="20"/>
                <w:szCs w:val="20"/>
                <w:lang w:val="sr-Cyrl-RS"/>
              </w:rPr>
              <w:t>Подаци о полазној вредности и години кад је измерена, као и тренду у прошлости</w:t>
            </w:r>
          </w:p>
        </w:tc>
        <w:tc>
          <w:tcPr>
            <w:tcW w:w="8789" w:type="dxa"/>
            <w:gridSpan w:val="5"/>
            <w:tcBorders>
              <w:bottom w:val="single" w:sz="4" w:space="0" w:color="auto"/>
            </w:tcBorders>
            <w:shd w:val="clear" w:color="auto" w:fill="FFFFFF" w:themeFill="background1"/>
            <w:vAlign w:val="center"/>
          </w:tcPr>
          <w:p w14:paraId="2A02AEBB" w14:textId="77777777" w:rsidR="00DE77AF" w:rsidRPr="00A021B7" w:rsidRDefault="00DE77AF" w:rsidP="00CB0C2B">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Тренд у прошлости</w:t>
            </w:r>
          </w:p>
        </w:tc>
        <w:tc>
          <w:tcPr>
            <w:tcW w:w="2016" w:type="dxa"/>
            <w:shd w:val="clear" w:color="auto" w:fill="FFFFFF" w:themeFill="background1"/>
            <w:vAlign w:val="center"/>
          </w:tcPr>
          <w:p w14:paraId="43F5F40E" w14:textId="77777777" w:rsidR="00DE77AF" w:rsidRPr="00A021B7" w:rsidRDefault="00DE77AF" w:rsidP="00CB0C2B">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Полазна вредност</w:t>
            </w:r>
          </w:p>
        </w:tc>
      </w:tr>
      <w:tr w:rsidR="00DE77AF" w:rsidRPr="00A021B7" w14:paraId="7DF04313" w14:textId="77777777" w:rsidTr="1A8E6423">
        <w:trPr>
          <w:trHeight w:val="263"/>
          <w:jc w:val="center"/>
        </w:trPr>
        <w:tc>
          <w:tcPr>
            <w:tcW w:w="2972" w:type="dxa"/>
            <w:vMerge/>
          </w:tcPr>
          <w:p w14:paraId="2512B08A" w14:textId="77777777" w:rsidR="00DE77AF" w:rsidRPr="00A021B7" w:rsidRDefault="00DE77AF" w:rsidP="00CB0C2B">
            <w:pPr>
              <w:rPr>
                <w:rFonts w:ascii="Arial" w:eastAsiaTheme="minorHAnsi" w:hAnsi="Arial" w:cs="Arial"/>
                <w:b/>
                <w:bCs/>
                <w:sz w:val="20"/>
                <w:szCs w:val="20"/>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B5D39" w14:textId="38842D2E"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2016</w:t>
            </w:r>
            <w:r w:rsidR="43071259" w:rsidRPr="1A8E6423">
              <w:rPr>
                <w:rFonts w:ascii="Arial" w:eastAsiaTheme="minorEastAsia" w:hAnsi="Arial" w:cs="Arial"/>
                <w:sz w:val="20"/>
                <w:szCs w:val="20"/>
                <w:lang w:val="sr-Cyrl-RS"/>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42B4D" w14:textId="41C5FCF3"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2017</w:t>
            </w:r>
            <w:r w:rsidR="43071259" w:rsidRPr="1A8E6423">
              <w:rPr>
                <w:rFonts w:ascii="Arial" w:eastAsiaTheme="minorEastAsia" w:hAnsi="Arial" w:cs="Arial"/>
                <w:sz w:val="20"/>
                <w:szCs w:val="20"/>
                <w:lang w:val="sr-Cyrl-RS"/>
              </w:rPr>
              <w:t>.</w:t>
            </w:r>
          </w:p>
        </w:tc>
        <w:tc>
          <w:tcPr>
            <w:tcW w:w="4143" w:type="dxa"/>
            <w:gridSpan w:val="2"/>
            <w:tcBorders>
              <w:top w:val="single" w:sz="4" w:space="0" w:color="auto"/>
              <w:left w:val="single" w:sz="4" w:space="0" w:color="auto"/>
              <w:bottom w:val="single" w:sz="4" w:space="0" w:color="auto"/>
            </w:tcBorders>
            <w:shd w:val="clear" w:color="auto" w:fill="FFFFFF" w:themeFill="background1"/>
            <w:vAlign w:val="center"/>
          </w:tcPr>
          <w:p w14:paraId="4EFDE969" w14:textId="6385DBCE"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2018</w:t>
            </w:r>
            <w:r w:rsidR="43071259" w:rsidRPr="1A8E6423">
              <w:rPr>
                <w:rFonts w:ascii="Arial" w:eastAsiaTheme="minorEastAsia" w:hAnsi="Arial" w:cs="Arial"/>
                <w:sz w:val="20"/>
                <w:szCs w:val="20"/>
                <w:lang w:val="sr-Cyrl-RS"/>
              </w:rPr>
              <w:t>.</w:t>
            </w:r>
          </w:p>
        </w:tc>
      </w:tr>
      <w:tr w:rsidR="00DE77AF" w:rsidRPr="00A021B7" w14:paraId="05187A9B" w14:textId="77777777" w:rsidTr="1A8E6423">
        <w:trPr>
          <w:trHeight w:val="323"/>
          <w:jc w:val="center"/>
        </w:trPr>
        <w:tc>
          <w:tcPr>
            <w:tcW w:w="2972" w:type="dxa"/>
            <w:vMerge/>
          </w:tcPr>
          <w:p w14:paraId="054A1941" w14:textId="77777777" w:rsidR="00DE77AF" w:rsidRPr="00A021B7" w:rsidRDefault="00DE77AF" w:rsidP="00CB0C2B">
            <w:pPr>
              <w:rPr>
                <w:rFonts w:ascii="Arial" w:eastAsiaTheme="minorHAnsi" w:hAnsi="Arial" w:cs="Arial"/>
                <w:b/>
                <w:bCs/>
                <w:sz w:val="20"/>
                <w:szCs w:val="20"/>
                <w:lang w:val="sr-Cyrl-RS"/>
              </w:rPr>
            </w:pPr>
          </w:p>
        </w:tc>
        <w:tc>
          <w:tcPr>
            <w:tcW w:w="2552" w:type="dxa"/>
            <w:tcBorders>
              <w:top w:val="single" w:sz="4" w:space="0" w:color="auto"/>
            </w:tcBorders>
            <w:shd w:val="clear" w:color="auto" w:fill="FFFFFF" w:themeFill="background1"/>
            <w:vAlign w:val="center"/>
          </w:tcPr>
          <w:p w14:paraId="06B79514" w14:textId="77777777" w:rsidR="00DE77AF" w:rsidRPr="00A021B7" w:rsidRDefault="00DE77AF" w:rsidP="00CB0C2B">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4110" w:type="dxa"/>
            <w:gridSpan w:val="3"/>
            <w:tcBorders>
              <w:top w:val="single" w:sz="4" w:space="0" w:color="auto"/>
            </w:tcBorders>
            <w:shd w:val="clear" w:color="auto" w:fill="FFFFFF" w:themeFill="background1"/>
            <w:vAlign w:val="center"/>
          </w:tcPr>
          <w:p w14:paraId="4BDED829" w14:textId="77777777" w:rsidR="00DE77AF" w:rsidRPr="00A021B7" w:rsidRDefault="00DE77AF" w:rsidP="00CB0C2B">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w:t>
            </w:r>
          </w:p>
        </w:tc>
        <w:tc>
          <w:tcPr>
            <w:tcW w:w="4143" w:type="dxa"/>
            <w:gridSpan w:val="2"/>
            <w:tcBorders>
              <w:top w:val="single" w:sz="4" w:space="0" w:color="auto"/>
            </w:tcBorders>
            <w:shd w:val="clear" w:color="auto" w:fill="FFFFFF" w:themeFill="background1"/>
            <w:vAlign w:val="center"/>
          </w:tcPr>
          <w:p w14:paraId="3F178A11" w14:textId="77777777" w:rsidR="00DE77AF" w:rsidRPr="00A021B7" w:rsidRDefault="00DE77AF" w:rsidP="00CB0C2B">
            <w:pPr>
              <w:jc w:val="center"/>
              <w:rPr>
                <w:rFonts w:ascii="Arial" w:eastAsiaTheme="minorHAnsi" w:hAnsi="Arial" w:cs="Arial"/>
                <w:iCs/>
                <w:sz w:val="20"/>
                <w:szCs w:val="20"/>
                <w:lang w:val="sr-Cyrl-RS"/>
              </w:rPr>
            </w:pPr>
            <w:r w:rsidRPr="00A021B7">
              <w:rPr>
                <w:rFonts w:ascii="Arial" w:eastAsiaTheme="minorHAnsi" w:hAnsi="Arial" w:cs="Arial"/>
                <w:iCs/>
                <w:sz w:val="20"/>
                <w:szCs w:val="20"/>
                <w:lang w:val="sr-Cyrl-RS"/>
              </w:rPr>
              <w:t>43%</w:t>
            </w:r>
          </w:p>
        </w:tc>
      </w:tr>
      <w:tr w:rsidR="00DE77AF" w:rsidRPr="00A021B7" w14:paraId="00F6A8A7" w14:textId="77777777" w:rsidTr="1A8E6423">
        <w:trPr>
          <w:trHeight w:val="274"/>
          <w:jc w:val="center"/>
        </w:trPr>
        <w:tc>
          <w:tcPr>
            <w:tcW w:w="2972" w:type="dxa"/>
            <w:vMerge w:val="restart"/>
            <w:shd w:val="clear" w:color="auto" w:fill="FFC000" w:themeFill="accent4"/>
          </w:tcPr>
          <w:p w14:paraId="17244A47"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Подаци о циљним вредностима</w:t>
            </w:r>
          </w:p>
        </w:tc>
        <w:tc>
          <w:tcPr>
            <w:tcW w:w="2552" w:type="dxa"/>
            <w:shd w:val="clear" w:color="auto" w:fill="FFFFFF" w:themeFill="background1"/>
            <w:vAlign w:val="center"/>
          </w:tcPr>
          <w:p w14:paraId="66424195" w14:textId="214E4C66"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2021</w:t>
            </w:r>
            <w:r w:rsidR="43071259" w:rsidRPr="1A8E6423">
              <w:rPr>
                <w:rFonts w:ascii="Arial" w:eastAsiaTheme="minorEastAsia" w:hAnsi="Arial" w:cs="Arial"/>
                <w:sz w:val="20"/>
                <w:szCs w:val="20"/>
                <w:lang w:val="sr-Cyrl-RS"/>
              </w:rPr>
              <w:t>.</w:t>
            </w:r>
          </w:p>
        </w:tc>
        <w:tc>
          <w:tcPr>
            <w:tcW w:w="2126" w:type="dxa"/>
            <w:gridSpan w:val="2"/>
            <w:shd w:val="clear" w:color="auto" w:fill="FFFFFF" w:themeFill="background1"/>
            <w:vAlign w:val="center"/>
          </w:tcPr>
          <w:p w14:paraId="16DAEF63" w14:textId="53D5A15F"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2022</w:t>
            </w:r>
            <w:r w:rsidR="43071259" w:rsidRPr="1A8E6423">
              <w:rPr>
                <w:rFonts w:ascii="Arial" w:eastAsiaTheme="minorEastAsia" w:hAnsi="Arial" w:cs="Arial"/>
                <w:sz w:val="20"/>
                <w:szCs w:val="20"/>
                <w:lang w:val="sr-Cyrl-RS"/>
              </w:rPr>
              <w:t>.</w:t>
            </w:r>
          </w:p>
        </w:tc>
        <w:tc>
          <w:tcPr>
            <w:tcW w:w="1984" w:type="dxa"/>
            <w:shd w:val="clear" w:color="auto" w:fill="FFFFFF" w:themeFill="background1"/>
            <w:vAlign w:val="center"/>
          </w:tcPr>
          <w:p w14:paraId="681E5EE9" w14:textId="459C9BD1"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2023</w:t>
            </w:r>
            <w:r w:rsidR="43071259" w:rsidRPr="1A8E6423">
              <w:rPr>
                <w:rFonts w:ascii="Arial" w:eastAsiaTheme="minorEastAsia" w:hAnsi="Arial" w:cs="Arial"/>
                <w:sz w:val="20"/>
                <w:szCs w:val="20"/>
                <w:lang w:val="sr-Cyrl-RS"/>
              </w:rPr>
              <w:t>.</w:t>
            </w:r>
          </w:p>
        </w:tc>
        <w:tc>
          <w:tcPr>
            <w:tcW w:w="2127" w:type="dxa"/>
            <w:shd w:val="clear" w:color="auto" w:fill="FFFFFF" w:themeFill="background1"/>
            <w:vAlign w:val="center"/>
          </w:tcPr>
          <w:p w14:paraId="702C0874" w14:textId="241286C1"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2024</w:t>
            </w:r>
            <w:r w:rsidR="43071259" w:rsidRPr="1A8E6423">
              <w:rPr>
                <w:rFonts w:ascii="Arial" w:eastAsiaTheme="minorEastAsia" w:hAnsi="Arial" w:cs="Arial"/>
                <w:sz w:val="20"/>
                <w:szCs w:val="20"/>
                <w:lang w:val="sr-Cyrl-RS"/>
              </w:rPr>
              <w:t>.</w:t>
            </w:r>
          </w:p>
        </w:tc>
        <w:tc>
          <w:tcPr>
            <w:tcW w:w="2016" w:type="dxa"/>
            <w:shd w:val="clear" w:color="auto" w:fill="FFFFFF" w:themeFill="background1"/>
            <w:vAlign w:val="center"/>
          </w:tcPr>
          <w:p w14:paraId="644D34FD" w14:textId="75C86E2E" w:rsidR="00DE77AF" w:rsidRPr="00A021B7" w:rsidRDefault="00DE77AF" w:rsidP="1A8E6423">
            <w:pPr>
              <w:jc w:val="center"/>
              <w:rPr>
                <w:rFonts w:ascii="Arial" w:eastAsiaTheme="minorEastAsia" w:hAnsi="Arial" w:cs="Arial"/>
                <w:sz w:val="20"/>
                <w:szCs w:val="20"/>
                <w:lang w:val="sr-Cyrl-RS"/>
              </w:rPr>
            </w:pPr>
            <w:r w:rsidRPr="1A8E6423">
              <w:rPr>
                <w:rFonts w:ascii="Arial" w:eastAsiaTheme="minorEastAsia" w:hAnsi="Arial" w:cs="Arial"/>
                <w:sz w:val="20"/>
                <w:szCs w:val="20"/>
                <w:lang w:val="sr-Cyrl-RS"/>
              </w:rPr>
              <w:t>2025</w:t>
            </w:r>
            <w:r w:rsidR="43071259" w:rsidRPr="1A8E6423">
              <w:rPr>
                <w:rFonts w:ascii="Arial" w:eastAsiaTheme="minorEastAsia" w:hAnsi="Arial" w:cs="Arial"/>
                <w:sz w:val="20"/>
                <w:szCs w:val="20"/>
                <w:lang w:val="sr-Cyrl-RS"/>
              </w:rPr>
              <w:t>.</w:t>
            </w:r>
          </w:p>
        </w:tc>
      </w:tr>
      <w:tr w:rsidR="00DE77AF" w:rsidRPr="00A021B7" w14:paraId="45041A0E" w14:textId="77777777" w:rsidTr="1A8E6423">
        <w:trPr>
          <w:trHeight w:val="160"/>
          <w:jc w:val="center"/>
        </w:trPr>
        <w:tc>
          <w:tcPr>
            <w:tcW w:w="2972" w:type="dxa"/>
            <w:vMerge/>
          </w:tcPr>
          <w:p w14:paraId="11B0C0E0" w14:textId="77777777" w:rsidR="00DE77AF" w:rsidRPr="00A021B7" w:rsidRDefault="00DE77AF" w:rsidP="00CB0C2B">
            <w:pPr>
              <w:rPr>
                <w:rFonts w:ascii="Arial" w:eastAsiaTheme="minorHAnsi" w:hAnsi="Arial" w:cs="Arial"/>
                <w:b/>
                <w:bCs/>
                <w:sz w:val="20"/>
                <w:szCs w:val="20"/>
                <w:lang w:val="sr-Cyrl-RS"/>
              </w:rPr>
            </w:pPr>
          </w:p>
        </w:tc>
        <w:tc>
          <w:tcPr>
            <w:tcW w:w="2552" w:type="dxa"/>
            <w:shd w:val="clear" w:color="auto" w:fill="FFFFFF" w:themeFill="background1"/>
            <w:vAlign w:val="center"/>
          </w:tcPr>
          <w:p w14:paraId="44E3F950" w14:textId="6B03D5E3" w:rsidR="00DE77AF" w:rsidRPr="00A021B7" w:rsidRDefault="00DE77AF" w:rsidP="00CB0C2B">
            <w:pPr>
              <w:jc w:val="center"/>
              <w:rPr>
                <w:rFonts w:ascii="Arial" w:eastAsiaTheme="minorEastAsia" w:hAnsi="Arial" w:cs="Arial"/>
                <w:sz w:val="20"/>
                <w:szCs w:val="20"/>
                <w:lang w:val="sr-Cyrl-RS"/>
              </w:rPr>
            </w:pPr>
            <w:r w:rsidRPr="00A021B7">
              <w:rPr>
                <w:rFonts w:ascii="Arial" w:eastAsiaTheme="minorEastAsia" w:hAnsi="Arial" w:cs="Arial"/>
                <w:sz w:val="20"/>
                <w:szCs w:val="20"/>
                <w:lang w:val="sr-Cyrl-RS"/>
              </w:rPr>
              <w:t>45%</w:t>
            </w:r>
          </w:p>
        </w:tc>
        <w:tc>
          <w:tcPr>
            <w:tcW w:w="2126" w:type="dxa"/>
            <w:gridSpan w:val="2"/>
            <w:shd w:val="clear" w:color="auto" w:fill="FFFFFF" w:themeFill="background1"/>
            <w:vAlign w:val="center"/>
          </w:tcPr>
          <w:p w14:paraId="78E05048" w14:textId="77777777" w:rsidR="00DE77AF" w:rsidRPr="00A021B7" w:rsidRDefault="00DE77AF" w:rsidP="00CB0C2B">
            <w:pPr>
              <w:jc w:val="center"/>
              <w:rPr>
                <w:rFonts w:ascii="Arial" w:eastAsiaTheme="minorHAnsi" w:hAnsi="Arial" w:cs="Arial"/>
                <w:iCs/>
                <w:sz w:val="20"/>
                <w:szCs w:val="20"/>
                <w:lang w:val="sr-Cyrl-RS"/>
              </w:rPr>
            </w:pPr>
            <w:r w:rsidRPr="00A021B7">
              <w:rPr>
                <w:rFonts w:ascii="Arial" w:hAnsi="Arial" w:cs="Arial"/>
                <w:sz w:val="20"/>
                <w:szCs w:val="20"/>
                <w:lang w:val="sr-Cyrl-RS"/>
              </w:rPr>
              <w:t>/</w:t>
            </w:r>
          </w:p>
        </w:tc>
        <w:tc>
          <w:tcPr>
            <w:tcW w:w="1984" w:type="dxa"/>
            <w:shd w:val="clear" w:color="auto" w:fill="FFFFFF" w:themeFill="background1"/>
            <w:vAlign w:val="center"/>
          </w:tcPr>
          <w:p w14:paraId="5074D6FC" w14:textId="0A07F1BD" w:rsidR="00DE77AF" w:rsidRPr="00A021B7" w:rsidRDefault="00DE77AF" w:rsidP="00CB0C2B">
            <w:pPr>
              <w:jc w:val="center"/>
              <w:rPr>
                <w:rFonts w:ascii="Arial" w:eastAsiaTheme="minorEastAsia" w:hAnsi="Arial" w:cs="Arial"/>
                <w:sz w:val="20"/>
                <w:szCs w:val="20"/>
                <w:lang w:val="sr-Cyrl-RS"/>
              </w:rPr>
            </w:pPr>
            <w:r w:rsidRPr="00A021B7" w:rsidDel="00D23FFB">
              <w:rPr>
                <w:rFonts w:ascii="Arial" w:eastAsiaTheme="minorEastAsia" w:hAnsi="Arial" w:cs="Arial"/>
                <w:sz w:val="20"/>
                <w:szCs w:val="20"/>
                <w:lang w:val="sr-Cyrl-RS"/>
              </w:rPr>
              <w:t>58</w:t>
            </w:r>
            <w:r w:rsidRPr="00A021B7">
              <w:rPr>
                <w:rFonts w:ascii="Arial" w:eastAsiaTheme="minorEastAsia" w:hAnsi="Arial" w:cs="Arial"/>
                <w:sz w:val="20"/>
                <w:szCs w:val="20"/>
                <w:lang w:val="sr-Cyrl-RS"/>
              </w:rPr>
              <w:t>%</w:t>
            </w:r>
          </w:p>
        </w:tc>
        <w:tc>
          <w:tcPr>
            <w:tcW w:w="2127" w:type="dxa"/>
            <w:shd w:val="clear" w:color="auto" w:fill="FFFFFF" w:themeFill="background1"/>
            <w:vAlign w:val="center"/>
          </w:tcPr>
          <w:p w14:paraId="2D687311" w14:textId="77777777" w:rsidR="00DE77AF" w:rsidRPr="00A021B7" w:rsidRDefault="00DE77AF" w:rsidP="00CB0C2B">
            <w:pPr>
              <w:jc w:val="center"/>
              <w:rPr>
                <w:rFonts w:ascii="Arial" w:eastAsiaTheme="minorHAnsi" w:hAnsi="Arial" w:cs="Arial"/>
                <w:iCs/>
                <w:sz w:val="20"/>
                <w:szCs w:val="20"/>
                <w:lang w:val="sr-Cyrl-RS"/>
              </w:rPr>
            </w:pPr>
            <w:r w:rsidRPr="00A021B7">
              <w:rPr>
                <w:rFonts w:ascii="Arial" w:hAnsi="Arial" w:cs="Arial"/>
                <w:sz w:val="20"/>
                <w:szCs w:val="20"/>
                <w:lang w:val="sr-Cyrl-RS"/>
              </w:rPr>
              <w:t>/</w:t>
            </w:r>
          </w:p>
        </w:tc>
        <w:tc>
          <w:tcPr>
            <w:tcW w:w="2016" w:type="dxa"/>
            <w:shd w:val="clear" w:color="auto" w:fill="FFFFFF" w:themeFill="background1"/>
            <w:vAlign w:val="center"/>
          </w:tcPr>
          <w:p w14:paraId="1B130DC6" w14:textId="5BE1FC26" w:rsidR="00DE77AF" w:rsidRPr="00A021B7" w:rsidRDefault="00DE77AF" w:rsidP="00CB0C2B">
            <w:pPr>
              <w:jc w:val="center"/>
              <w:rPr>
                <w:rFonts w:ascii="Arial" w:eastAsiaTheme="minorEastAsia" w:hAnsi="Arial" w:cs="Arial"/>
                <w:sz w:val="20"/>
                <w:szCs w:val="20"/>
                <w:lang w:val="sr-Cyrl-RS"/>
              </w:rPr>
            </w:pPr>
            <w:r w:rsidRPr="00A021B7">
              <w:rPr>
                <w:rFonts w:ascii="Arial" w:eastAsiaTheme="minorEastAsia" w:hAnsi="Arial" w:cs="Arial"/>
                <w:sz w:val="20"/>
                <w:szCs w:val="20"/>
                <w:lang w:val="sr-Cyrl-RS"/>
              </w:rPr>
              <w:t>6</w:t>
            </w:r>
            <w:r w:rsidR="1D6CA5C5" w:rsidRPr="00A021B7">
              <w:rPr>
                <w:rFonts w:ascii="Arial" w:eastAsiaTheme="minorEastAsia" w:hAnsi="Arial" w:cs="Arial"/>
                <w:sz w:val="20"/>
                <w:szCs w:val="20"/>
                <w:lang w:val="sr-Cyrl-RS"/>
              </w:rPr>
              <w:t>0</w:t>
            </w:r>
            <w:r w:rsidRPr="00A021B7">
              <w:rPr>
                <w:rFonts w:ascii="Arial" w:eastAsiaTheme="minorEastAsia" w:hAnsi="Arial" w:cs="Arial"/>
                <w:sz w:val="20"/>
                <w:szCs w:val="20"/>
                <w:lang w:val="sr-Cyrl-RS"/>
              </w:rPr>
              <w:t>%</w:t>
            </w:r>
          </w:p>
        </w:tc>
      </w:tr>
      <w:tr w:rsidR="00DE77AF" w:rsidRPr="00A021B7" w14:paraId="315095B9" w14:textId="77777777" w:rsidTr="1A8E6423">
        <w:trPr>
          <w:trHeight w:val="160"/>
          <w:jc w:val="center"/>
        </w:trPr>
        <w:tc>
          <w:tcPr>
            <w:tcW w:w="2972" w:type="dxa"/>
            <w:shd w:val="clear" w:color="auto" w:fill="FFC000" w:themeFill="accent4"/>
          </w:tcPr>
          <w:p w14:paraId="49685C9C" w14:textId="77777777" w:rsidR="00DE77AF" w:rsidRPr="00A021B7" w:rsidRDefault="00DE77AF" w:rsidP="00CB0C2B">
            <w:pPr>
              <w:rPr>
                <w:rFonts w:ascii="Arial" w:eastAsiaTheme="minorHAnsi" w:hAnsi="Arial" w:cs="Arial"/>
                <w:b/>
                <w:bCs/>
                <w:sz w:val="20"/>
                <w:szCs w:val="20"/>
                <w:lang w:val="sr-Cyrl-RS"/>
              </w:rPr>
            </w:pPr>
            <w:r w:rsidRPr="00A021B7">
              <w:rPr>
                <w:rFonts w:ascii="Arial" w:eastAsiaTheme="minorHAnsi" w:hAnsi="Arial" w:cs="Arial"/>
                <w:b/>
                <w:bCs/>
                <w:sz w:val="20"/>
                <w:szCs w:val="20"/>
                <w:lang w:val="sr-Cyrl-RS"/>
              </w:rPr>
              <w:t>Процена успешности</w:t>
            </w:r>
          </w:p>
        </w:tc>
        <w:tc>
          <w:tcPr>
            <w:tcW w:w="10805" w:type="dxa"/>
            <w:gridSpan w:val="6"/>
            <w:shd w:val="clear" w:color="auto" w:fill="FFFFFF" w:themeFill="background1"/>
          </w:tcPr>
          <w:p w14:paraId="43B59820" w14:textId="026E4A56"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Прихватљиво је одступање до 5% мање у односу на циљане вредности.</w:t>
            </w:r>
          </w:p>
          <w:p w14:paraId="2899DA18" w14:textId="77777777" w:rsidR="00DE77AF" w:rsidRPr="00A021B7" w:rsidRDefault="00DE77AF" w:rsidP="00CB0C2B">
            <w:pPr>
              <w:rPr>
                <w:rFonts w:ascii="Arial" w:eastAsiaTheme="minorHAnsi" w:hAnsi="Arial" w:cs="Arial"/>
                <w:iCs/>
                <w:sz w:val="20"/>
                <w:szCs w:val="20"/>
                <w:lang w:val="sr-Cyrl-RS"/>
              </w:rPr>
            </w:pPr>
          </w:p>
        </w:tc>
      </w:tr>
    </w:tbl>
    <w:p w14:paraId="5FB02285" w14:textId="77777777" w:rsidR="009E1824" w:rsidRPr="00A021B7" w:rsidRDefault="009E1824" w:rsidP="00DE77AF">
      <w:pPr>
        <w:rPr>
          <w:rFonts w:ascii="Arial" w:hAnsi="Arial" w:cs="Arial"/>
          <w:b/>
          <w:bCs/>
          <w:color w:val="2F5496" w:themeColor="accent1" w:themeShade="BF"/>
          <w:sz w:val="20"/>
          <w:szCs w:val="20"/>
          <w:lang w:val="sr-Cyrl-RS"/>
        </w:rPr>
      </w:pPr>
    </w:p>
    <w:tbl>
      <w:tblPr>
        <w:tblW w:w="13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2164"/>
        <w:gridCol w:w="1984"/>
        <w:gridCol w:w="1843"/>
        <w:gridCol w:w="2126"/>
        <w:gridCol w:w="2706"/>
      </w:tblGrid>
      <w:tr w:rsidR="00DE77AF" w:rsidRPr="00A021B7" w14:paraId="6F59C699" w14:textId="77777777" w:rsidTr="1A8E6423">
        <w:trPr>
          <w:jc w:val="center"/>
        </w:trPr>
        <w:tc>
          <w:tcPr>
            <w:tcW w:w="2793" w:type="dxa"/>
            <w:shd w:val="clear" w:color="auto" w:fill="D9D9D9" w:themeFill="background1" w:themeFillShade="D9"/>
          </w:tcPr>
          <w:p w14:paraId="5EDE6DCC" w14:textId="77777777" w:rsidR="00DE77AF" w:rsidRPr="00A021B7" w:rsidRDefault="00DE77AF" w:rsidP="00CB0C2B">
            <w:pPr>
              <w:rPr>
                <w:rFonts w:ascii="Arial" w:hAnsi="Arial" w:cs="Arial"/>
                <w:b/>
                <w:bCs/>
                <w:color w:val="000000" w:themeColor="text1"/>
                <w:sz w:val="20"/>
                <w:szCs w:val="20"/>
                <w:lang w:val="sr-Cyrl-RS"/>
              </w:rPr>
            </w:pPr>
          </w:p>
          <w:p w14:paraId="16272253"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показатеља</w:t>
            </w:r>
          </w:p>
          <w:p w14:paraId="765C7D40" w14:textId="77777777" w:rsidR="00DE77AF" w:rsidRPr="00A021B7" w:rsidRDefault="00DE77AF" w:rsidP="00CB0C2B">
            <w:pPr>
              <w:rPr>
                <w:rFonts w:ascii="Arial" w:hAnsi="Arial" w:cs="Arial"/>
                <w:b/>
                <w:bCs/>
                <w:color w:val="000000" w:themeColor="text1"/>
                <w:sz w:val="20"/>
                <w:szCs w:val="20"/>
                <w:lang w:val="sr-Cyrl-RS"/>
              </w:rPr>
            </w:pPr>
          </w:p>
        </w:tc>
        <w:tc>
          <w:tcPr>
            <w:tcW w:w="10823" w:type="dxa"/>
            <w:gridSpan w:val="5"/>
            <w:shd w:val="clear" w:color="auto" w:fill="D9D9D9" w:themeFill="background1" w:themeFillShade="D9"/>
          </w:tcPr>
          <w:p w14:paraId="553DFBCE" w14:textId="77777777" w:rsidR="00DE77AF" w:rsidRPr="00A021B7" w:rsidRDefault="00DE77AF" w:rsidP="00CB0C2B">
            <w:pPr>
              <w:rPr>
                <w:rFonts w:ascii="Arial" w:hAnsi="Arial" w:cs="Arial"/>
                <w:b/>
                <w:color w:val="000000" w:themeColor="text1"/>
                <w:sz w:val="20"/>
                <w:szCs w:val="20"/>
                <w:lang w:val="sr-Cyrl-RS"/>
              </w:rPr>
            </w:pPr>
          </w:p>
          <w:p w14:paraId="45F1FBE8" w14:textId="77777777" w:rsidR="00DE77AF" w:rsidRPr="00A021B7" w:rsidRDefault="00DE77AF" w:rsidP="00CB0C2B">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Укљученост локалних власти у израду националних прописа који уређују њихов рад</w:t>
            </w:r>
          </w:p>
        </w:tc>
      </w:tr>
      <w:tr w:rsidR="00DE77AF" w:rsidRPr="00A021B7" w14:paraId="10CF1370" w14:textId="77777777" w:rsidTr="009D1EF9">
        <w:trPr>
          <w:trHeight w:val="645"/>
          <w:jc w:val="center"/>
        </w:trPr>
        <w:tc>
          <w:tcPr>
            <w:tcW w:w="2793" w:type="dxa"/>
            <w:shd w:val="clear" w:color="auto" w:fill="FFC000" w:themeFill="accent4"/>
          </w:tcPr>
          <w:p w14:paraId="6224DB2F"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Одговарајући општи, посебни циљ или мера</w:t>
            </w:r>
          </w:p>
        </w:tc>
        <w:tc>
          <w:tcPr>
            <w:tcW w:w="10823" w:type="dxa"/>
            <w:gridSpan w:val="5"/>
            <w:shd w:val="clear" w:color="auto" w:fill="FFFFFF" w:themeFill="background1"/>
          </w:tcPr>
          <w:p w14:paraId="3AF980CD" w14:textId="77777777" w:rsidR="00DE77AF" w:rsidRPr="00A021B7" w:rsidRDefault="00DE77AF" w:rsidP="00CB0C2B">
            <w:pPr>
              <w:tabs>
                <w:tab w:val="left" w:pos="182"/>
              </w:tabs>
              <w:rPr>
                <w:rFonts w:ascii="Arial" w:hAnsi="Arial" w:cs="Arial"/>
                <w:bCs/>
                <w:color w:val="000000" w:themeColor="text1"/>
                <w:kern w:val="24"/>
                <w:sz w:val="20"/>
                <w:szCs w:val="20"/>
                <w:lang w:val="sr-Cyrl-RS"/>
              </w:rPr>
            </w:pPr>
            <w:r w:rsidRPr="00A021B7">
              <w:rPr>
                <w:rFonts w:ascii="Arial" w:hAnsi="Arial" w:cs="Arial"/>
                <w:sz w:val="20"/>
                <w:szCs w:val="20"/>
                <w:lang w:val="sr-Cyrl-RS"/>
              </w:rPr>
              <w:t>Унапређење положаја и одговорности локалне самоуправе</w:t>
            </w:r>
          </w:p>
        </w:tc>
      </w:tr>
      <w:tr w:rsidR="00EB61C0" w:rsidRPr="00A021B7" w14:paraId="7F2D108B" w14:textId="77777777" w:rsidTr="1A8E6423">
        <w:trPr>
          <w:jc w:val="center"/>
        </w:trPr>
        <w:tc>
          <w:tcPr>
            <w:tcW w:w="2793" w:type="dxa"/>
            <w:shd w:val="clear" w:color="auto" w:fill="FFC000" w:themeFill="accent4"/>
          </w:tcPr>
          <w:p w14:paraId="732976CB"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color w:val="000000" w:themeColor="text1"/>
                <w:kern w:val="24"/>
                <w:sz w:val="20"/>
                <w:szCs w:val="20"/>
                <w:lang w:val="sr-Cyrl-RS"/>
              </w:rPr>
              <w:t>Тип и ниво показатеља</w:t>
            </w:r>
          </w:p>
        </w:tc>
        <w:tc>
          <w:tcPr>
            <w:tcW w:w="5991" w:type="dxa"/>
            <w:gridSpan w:val="3"/>
            <w:shd w:val="clear" w:color="auto" w:fill="FFFFFF" w:themeFill="background1"/>
          </w:tcPr>
          <w:p w14:paraId="18BF320D" w14:textId="77777777" w:rsidR="00DE77AF" w:rsidRPr="00A021B7" w:rsidRDefault="00DE77AF" w:rsidP="00CB0C2B">
            <w:pPr>
              <w:tabs>
                <w:tab w:val="left" w:pos="182"/>
              </w:tabs>
              <w:rPr>
                <w:rFonts w:ascii="Arial" w:hAnsi="Arial" w:cs="Arial"/>
                <w:bCs/>
                <w:color w:val="000000" w:themeColor="text1"/>
                <w:kern w:val="24"/>
                <w:sz w:val="20"/>
                <w:szCs w:val="20"/>
                <w:lang w:val="sr-Cyrl-RS"/>
              </w:rPr>
            </w:pPr>
            <w:r w:rsidRPr="00A021B7">
              <w:rPr>
                <w:rFonts w:ascii="Arial" w:hAnsi="Arial" w:cs="Arial"/>
                <w:bCs/>
                <w:color w:val="000000" w:themeColor="text1"/>
                <w:kern w:val="24"/>
                <w:sz w:val="20"/>
                <w:szCs w:val="20"/>
                <w:lang w:val="sr-Cyrl-RS"/>
              </w:rPr>
              <w:t>Квантитативни</w:t>
            </w:r>
          </w:p>
        </w:tc>
        <w:tc>
          <w:tcPr>
            <w:tcW w:w="4832" w:type="dxa"/>
            <w:gridSpan w:val="2"/>
            <w:shd w:val="clear" w:color="auto" w:fill="FFFFFF" w:themeFill="background1"/>
          </w:tcPr>
          <w:p w14:paraId="79EFCA33" w14:textId="77777777" w:rsidR="00DE77AF" w:rsidRPr="00A021B7" w:rsidRDefault="00DE77AF" w:rsidP="00CB0C2B">
            <w:pPr>
              <w:rPr>
                <w:rFonts w:ascii="Arial" w:hAnsi="Arial" w:cs="Arial"/>
                <w:bCs/>
                <w:color w:val="000000" w:themeColor="text1"/>
                <w:kern w:val="24"/>
                <w:sz w:val="20"/>
                <w:szCs w:val="20"/>
                <w:lang w:val="sr-Cyrl-RS"/>
              </w:rPr>
            </w:pPr>
            <w:r w:rsidRPr="00A021B7">
              <w:rPr>
                <w:rFonts w:ascii="Arial" w:hAnsi="Arial" w:cs="Arial"/>
                <w:bCs/>
                <w:color w:val="000000" w:themeColor="text1"/>
                <w:kern w:val="24"/>
                <w:sz w:val="20"/>
                <w:szCs w:val="20"/>
                <w:lang w:val="sr-Cyrl-RS"/>
              </w:rPr>
              <w:t>Показатељ на нивоу посебног циља</w:t>
            </w:r>
          </w:p>
        </w:tc>
      </w:tr>
      <w:tr w:rsidR="00EB61C0" w:rsidRPr="00A021B7" w14:paraId="27DC29DF" w14:textId="77777777" w:rsidTr="1A8E6423">
        <w:trPr>
          <w:trHeight w:val="373"/>
          <w:jc w:val="center"/>
        </w:trPr>
        <w:tc>
          <w:tcPr>
            <w:tcW w:w="2793" w:type="dxa"/>
            <w:shd w:val="clear" w:color="auto" w:fill="FFC000" w:themeFill="accent4"/>
          </w:tcPr>
          <w:p w14:paraId="7EE094CF" w14:textId="77777777" w:rsidR="00DE77AF" w:rsidRPr="00A021B7" w:rsidRDefault="00DE77AF" w:rsidP="00CB0C2B">
            <w:pPr>
              <w:rPr>
                <w:rFonts w:ascii="Arial" w:hAnsi="Arial" w:cs="Arial"/>
                <w:b/>
                <w:color w:val="000000" w:themeColor="text1"/>
                <w:kern w:val="24"/>
                <w:sz w:val="20"/>
                <w:szCs w:val="20"/>
                <w:lang w:val="sr-Cyrl-RS"/>
              </w:rPr>
            </w:pPr>
            <w:r w:rsidRPr="00A021B7">
              <w:rPr>
                <w:rFonts w:ascii="Arial" w:hAnsi="Arial" w:cs="Arial"/>
                <w:b/>
                <w:color w:val="000000" w:themeColor="text1"/>
                <w:kern w:val="24"/>
                <w:sz w:val="20"/>
                <w:szCs w:val="20"/>
                <w:lang w:val="sr-Cyrl-RS"/>
              </w:rPr>
              <w:t>Јединица мере и природа</w:t>
            </w:r>
          </w:p>
        </w:tc>
        <w:tc>
          <w:tcPr>
            <w:tcW w:w="5991" w:type="dxa"/>
            <w:gridSpan w:val="3"/>
            <w:shd w:val="clear" w:color="auto" w:fill="FFFFFF" w:themeFill="background1"/>
          </w:tcPr>
          <w:p w14:paraId="08B9D432" w14:textId="0CC05D34" w:rsidR="00DE77AF" w:rsidRPr="00A021B7" w:rsidRDefault="00DE77AF" w:rsidP="1A8E6423">
            <w:pPr>
              <w:pStyle w:val="NormalWeb"/>
              <w:spacing w:before="0" w:beforeAutospacing="0" w:after="0" w:afterAutospacing="0"/>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усвојених закона који се у већој мери односе на ЛС у чијој припреми су учестовале ЈЛС</w:t>
            </w:r>
          </w:p>
        </w:tc>
        <w:tc>
          <w:tcPr>
            <w:tcW w:w="4832" w:type="dxa"/>
            <w:gridSpan w:val="2"/>
            <w:shd w:val="clear" w:color="auto" w:fill="FFFFFF" w:themeFill="background1"/>
          </w:tcPr>
          <w:p w14:paraId="5C0E338A" w14:textId="77777777" w:rsidR="00DE77AF" w:rsidRPr="00A021B7" w:rsidRDefault="00DE77AF" w:rsidP="00CB0C2B">
            <w:pPr>
              <w:pStyle w:val="NormalWeb"/>
              <w:spacing w:before="0" w:beforeAutospacing="0" w:after="0" w:afterAutospacing="0"/>
              <w:rPr>
                <w:rFonts w:ascii="Arial" w:eastAsia="Arial" w:hAnsi="Arial" w:cs="Arial"/>
                <w:color w:val="000000" w:themeColor="text1"/>
                <w:spacing w:val="-1"/>
                <w:kern w:val="24"/>
                <w:sz w:val="20"/>
                <w:szCs w:val="20"/>
                <w:lang w:val="sr-Cyrl-RS"/>
              </w:rPr>
            </w:pPr>
            <w:r w:rsidRPr="00A021B7">
              <w:rPr>
                <w:rFonts w:ascii="Arial" w:eastAsia="Arial" w:hAnsi="Arial" w:cs="Arial"/>
                <w:color w:val="000000" w:themeColor="text1"/>
                <w:spacing w:val="-1"/>
                <w:kern w:val="24"/>
                <w:sz w:val="20"/>
                <w:szCs w:val="20"/>
                <w:lang w:val="sr-Cyrl-RS"/>
              </w:rPr>
              <w:t>Пожељна је већа вредност</w:t>
            </w:r>
          </w:p>
        </w:tc>
      </w:tr>
      <w:tr w:rsidR="00DE77AF" w:rsidRPr="00A021B7" w14:paraId="3430BC74" w14:textId="77777777" w:rsidTr="1A8E6423">
        <w:trPr>
          <w:jc w:val="center"/>
        </w:trPr>
        <w:tc>
          <w:tcPr>
            <w:tcW w:w="2793" w:type="dxa"/>
            <w:shd w:val="clear" w:color="auto" w:fill="FFC000" w:themeFill="accent4"/>
          </w:tcPr>
          <w:p w14:paraId="443F29B3"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Извор података за праћење показатеља учинка</w:t>
            </w:r>
          </w:p>
        </w:tc>
        <w:tc>
          <w:tcPr>
            <w:tcW w:w="10823" w:type="dxa"/>
            <w:gridSpan w:val="5"/>
            <w:shd w:val="clear" w:color="auto" w:fill="FFFFFF" w:themeFill="background1"/>
          </w:tcPr>
          <w:p w14:paraId="462FA220" w14:textId="77777777" w:rsidR="00DE77AF" w:rsidRPr="00A021B7" w:rsidRDefault="00DE77AF" w:rsidP="00CB0C2B">
            <w:pP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Извештај Сталне конференције градова и општина (СКГО)</w:t>
            </w:r>
          </w:p>
          <w:p w14:paraId="2C6B8742" w14:textId="3807C761" w:rsidR="00DE77AF" w:rsidRPr="00A021B7" w:rsidRDefault="00DE77AF" w:rsidP="00CB0C2B">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Извештаји ресорних органа о спроведеним јавним расправама </w:t>
            </w:r>
            <w:r w:rsidR="43071259" w:rsidRPr="1A8E6423">
              <w:rPr>
                <w:rFonts w:ascii="Arial" w:hAnsi="Arial" w:cs="Arial"/>
                <w:color w:val="000000" w:themeColor="text1"/>
                <w:sz w:val="20"/>
                <w:szCs w:val="20"/>
                <w:lang w:val="sr-Cyrl-RS"/>
              </w:rPr>
              <w:t xml:space="preserve">о </w:t>
            </w:r>
            <w:r w:rsidRPr="1A8E6423">
              <w:rPr>
                <w:rFonts w:ascii="Arial" w:hAnsi="Arial" w:cs="Arial"/>
                <w:color w:val="000000" w:themeColor="text1"/>
                <w:sz w:val="20"/>
                <w:szCs w:val="20"/>
                <w:lang w:val="sr-Cyrl-RS"/>
              </w:rPr>
              <w:t>нацрт</w:t>
            </w:r>
            <w:r w:rsidR="43071259" w:rsidRPr="1A8E6423">
              <w:rPr>
                <w:rFonts w:ascii="Arial" w:hAnsi="Arial" w:cs="Arial"/>
                <w:color w:val="000000" w:themeColor="text1"/>
                <w:sz w:val="20"/>
                <w:szCs w:val="20"/>
                <w:lang w:val="sr-Cyrl-RS"/>
              </w:rPr>
              <w:t>им</w:t>
            </w:r>
            <w:r w:rsidRPr="1A8E6423">
              <w:rPr>
                <w:rFonts w:ascii="Arial" w:hAnsi="Arial" w:cs="Arial"/>
                <w:color w:val="000000" w:themeColor="text1"/>
                <w:sz w:val="20"/>
                <w:szCs w:val="20"/>
                <w:lang w:val="sr-Cyrl-RS"/>
              </w:rPr>
              <w:t>а закона</w:t>
            </w:r>
          </w:p>
        </w:tc>
      </w:tr>
      <w:tr w:rsidR="00DE77AF" w:rsidRPr="00A021B7" w14:paraId="31E98872" w14:textId="77777777" w:rsidTr="1A8E6423">
        <w:trPr>
          <w:trHeight w:val="523"/>
          <w:jc w:val="center"/>
        </w:trPr>
        <w:tc>
          <w:tcPr>
            <w:tcW w:w="2793" w:type="dxa"/>
            <w:shd w:val="clear" w:color="auto" w:fill="FFC000" w:themeFill="accent4"/>
          </w:tcPr>
          <w:p w14:paraId="4CBA80F0"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носиоца прикупљања података</w:t>
            </w:r>
          </w:p>
        </w:tc>
        <w:tc>
          <w:tcPr>
            <w:tcW w:w="10823" w:type="dxa"/>
            <w:gridSpan w:val="5"/>
            <w:shd w:val="clear" w:color="auto" w:fill="FFFFFF" w:themeFill="background1"/>
          </w:tcPr>
          <w:p w14:paraId="29F14604" w14:textId="77777777" w:rsidR="00DE77AF" w:rsidRPr="00A021B7" w:rsidRDefault="00DE77AF" w:rsidP="00CB0C2B">
            <w:pPr>
              <w:rPr>
                <w:rFonts w:ascii="Arial" w:eastAsiaTheme="minorHAnsi" w:hAnsi="Arial" w:cs="Arial"/>
                <w:sz w:val="20"/>
                <w:szCs w:val="20"/>
                <w:lang w:val="sr-Cyrl-RS"/>
              </w:rPr>
            </w:pPr>
          </w:p>
          <w:p w14:paraId="2817BE3A" w14:textId="29C176B3" w:rsidR="00DE77AF" w:rsidRPr="00A021B7" w:rsidRDefault="00DE77AF" w:rsidP="00CB0C2B">
            <w:pPr>
              <w:rPr>
                <w:rFonts w:ascii="Arial" w:eastAsiaTheme="minorHAnsi" w:hAnsi="Arial" w:cs="Arial"/>
                <w:sz w:val="20"/>
                <w:szCs w:val="20"/>
                <w:lang w:val="sr-Cyrl-RS"/>
              </w:rPr>
            </w:pPr>
            <w:r w:rsidRPr="00A021B7">
              <w:rPr>
                <w:rFonts w:ascii="Arial" w:eastAsiaTheme="minorHAnsi" w:hAnsi="Arial" w:cs="Arial"/>
                <w:sz w:val="20"/>
                <w:szCs w:val="20"/>
                <w:lang w:val="sr-Cyrl-RS"/>
              </w:rPr>
              <w:t xml:space="preserve">СКГО, Марко Томашевић, </w:t>
            </w:r>
            <w:hyperlink r:id="rId34" w:history="1">
              <w:r w:rsidRPr="00A021B7">
                <w:rPr>
                  <w:rStyle w:val="Hyperlink"/>
                  <w:rFonts w:ascii="Arial" w:eastAsiaTheme="minorHAnsi" w:hAnsi="Arial" w:cs="Arial"/>
                  <w:sz w:val="20"/>
                  <w:szCs w:val="20"/>
                  <w:lang w:val="sr-Cyrl-RS"/>
                </w:rPr>
                <w:t>marko.tomasevic@skgo.org</w:t>
              </w:r>
            </w:hyperlink>
          </w:p>
        </w:tc>
      </w:tr>
      <w:tr w:rsidR="00DE77AF" w:rsidRPr="00A021B7" w14:paraId="304EB13D" w14:textId="77777777" w:rsidTr="1A8E6423">
        <w:trPr>
          <w:jc w:val="center"/>
        </w:trPr>
        <w:tc>
          <w:tcPr>
            <w:tcW w:w="2793" w:type="dxa"/>
            <w:shd w:val="clear" w:color="auto" w:fill="FFC000" w:themeFill="accent4"/>
          </w:tcPr>
          <w:p w14:paraId="67243AEE"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Учесталост прикупљања података</w:t>
            </w:r>
          </w:p>
        </w:tc>
        <w:tc>
          <w:tcPr>
            <w:tcW w:w="10823" w:type="dxa"/>
            <w:gridSpan w:val="5"/>
            <w:shd w:val="clear" w:color="auto" w:fill="FFFFFF" w:themeFill="background1"/>
          </w:tcPr>
          <w:p w14:paraId="73F59B2B" w14:textId="77777777" w:rsidR="00DE77AF" w:rsidRPr="00A021B7" w:rsidRDefault="00DE77AF" w:rsidP="00CB0C2B">
            <w:pP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Двогодишње</w:t>
            </w:r>
          </w:p>
        </w:tc>
      </w:tr>
      <w:tr w:rsidR="00DE77AF" w:rsidRPr="00A021B7" w14:paraId="5F2A667C" w14:textId="77777777" w:rsidTr="1A8E6423">
        <w:trPr>
          <w:trHeight w:val="1615"/>
          <w:jc w:val="center"/>
        </w:trPr>
        <w:tc>
          <w:tcPr>
            <w:tcW w:w="2793" w:type="dxa"/>
            <w:shd w:val="clear" w:color="auto" w:fill="FFC000" w:themeFill="accent4"/>
          </w:tcPr>
          <w:p w14:paraId="55F24B4C" w14:textId="77777777" w:rsidR="00DE77AF" w:rsidRPr="00A021B7" w:rsidRDefault="00DE77AF" w:rsidP="00CB0C2B">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Кратак опис показатеља и методологије израчунавања</w:t>
            </w:r>
          </w:p>
          <w:p w14:paraId="4B3F9027" w14:textId="31B2A5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color w:val="000000" w:themeColor="text1"/>
                <w:sz w:val="20"/>
                <w:szCs w:val="20"/>
                <w:lang w:val="sr-Cyrl-RS"/>
              </w:rPr>
              <w:t>(формуле/једначине)</w:t>
            </w:r>
          </w:p>
        </w:tc>
        <w:tc>
          <w:tcPr>
            <w:tcW w:w="10823" w:type="dxa"/>
            <w:gridSpan w:val="5"/>
            <w:shd w:val="clear" w:color="auto" w:fill="FFFFFF" w:themeFill="background1"/>
          </w:tcPr>
          <w:p w14:paraId="608A176F" w14:textId="31832343" w:rsidR="00DE77AF" w:rsidRPr="00A021B7" w:rsidRDefault="00DE77AF" w:rsidP="00CB0C2B">
            <w:pPr>
              <w:pStyle w:val="CommentText"/>
              <w:rPr>
                <w:rFonts w:ascii="Arial" w:hAnsi="Arial" w:cs="Arial"/>
                <w:color w:val="000000" w:themeColor="text1"/>
                <w:lang w:val="sr-Cyrl-RS"/>
              </w:rPr>
            </w:pPr>
            <w:r w:rsidRPr="1A8E6423">
              <w:rPr>
                <w:rFonts w:ascii="Arial" w:hAnsi="Arial" w:cs="Arial"/>
                <w:color w:val="000000" w:themeColor="text1"/>
                <w:lang w:val="sr-Cyrl-RS"/>
              </w:rPr>
              <w:t>Овај показатељ мери у којој мери су ЛС односно њихова национална асоцијација учествовале у припреми закона који се у значајнијој мери односе на локалну самоуправу. Вредност показатеља се израчунава тако што се број усвојених закона који се у значајнијој мери односе на ЛС у чијој припреми су учестовале ЈЛС или њихова национална асоцијација, дели укупним бројем усвојених закона који се у значајнијој мери односе на ЛС па се добијени резултат мери у складу са дефинисаном скалом од 1 до 5:</w:t>
            </w:r>
          </w:p>
          <w:p w14:paraId="2CB1F36A" w14:textId="1CB4BB64" w:rsidR="00DE77AF" w:rsidRPr="00A021B7" w:rsidRDefault="00DE77AF" w:rsidP="00A57E7E">
            <w:pPr>
              <w:pStyle w:val="CommentText"/>
              <w:numPr>
                <w:ilvl w:val="0"/>
                <w:numId w:val="27"/>
              </w:numPr>
              <w:rPr>
                <w:rFonts w:ascii="Arial" w:hAnsi="Arial" w:cs="Arial"/>
                <w:color w:val="000000" w:themeColor="text1"/>
                <w:lang w:val="sr-Cyrl-RS"/>
              </w:rPr>
            </w:pPr>
            <w:r w:rsidRPr="1A8E6423">
              <w:rPr>
                <w:rFonts w:ascii="Arial" w:hAnsi="Arial" w:cs="Arial"/>
                <w:color w:val="000000" w:themeColor="text1"/>
                <w:lang w:val="sr-Cyrl-RS"/>
              </w:rPr>
              <w:t>Више од 20% од усвојених закона који се у значајној мери односе на ЛС припремљено у консултацији или кроз директно учешће локалних власти или њихове националне асоцијације</w:t>
            </w:r>
          </w:p>
          <w:p w14:paraId="41D3E72D" w14:textId="45C00E7C" w:rsidR="00DE77AF" w:rsidRPr="00A021B7" w:rsidRDefault="00DE77AF" w:rsidP="00A57E7E">
            <w:pPr>
              <w:pStyle w:val="CommentText"/>
              <w:numPr>
                <w:ilvl w:val="0"/>
                <w:numId w:val="27"/>
              </w:numPr>
              <w:rPr>
                <w:rFonts w:ascii="Arial" w:hAnsi="Arial" w:cs="Arial"/>
                <w:color w:val="000000" w:themeColor="text1"/>
                <w:lang w:val="sr-Cyrl-RS"/>
              </w:rPr>
            </w:pPr>
            <w:r w:rsidRPr="1A8E6423">
              <w:rPr>
                <w:rFonts w:ascii="Arial" w:hAnsi="Arial" w:cs="Arial"/>
                <w:color w:val="000000" w:themeColor="text1"/>
                <w:lang w:val="sr-Cyrl-RS"/>
              </w:rPr>
              <w:t>Више од 40% од усвојених закона који се у значајној мери односе на ЛС припремљено у консултацији или кроз директно учешће локалних власти или њихове националне асоцијације</w:t>
            </w:r>
          </w:p>
          <w:p w14:paraId="79586FA1" w14:textId="000C2270" w:rsidR="00DE77AF" w:rsidRPr="00A021B7" w:rsidRDefault="00DE77AF" w:rsidP="00A57E7E">
            <w:pPr>
              <w:pStyle w:val="CommentText"/>
              <w:numPr>
                <w:ilvl w:val="0"/>
                <w:numId w:val="27"/>
              </w:numPr>
              <w:rPr>
                <w:rFonts w:ascii="Arial" w:hAnsi="Arial" w:cs="Arial"/>
                <w:color w:val="000000" w:themeColor="text1"/>
                <w:lang w:val="sr-Cyrl-RS"/>
              </w:rPr>
            </w:pPr>
            <w:r w:rsidRPr="1A8E6423">
              <w:rPr>
                <w:rFonts w:ascii="Arial" w:hAnsi="Arial" w:cs="Arial"/>
                <w:color w:val="000000" w:themeColor="text1"/>
                <w:lang w:val="sr-Cyrl-RS"/>
              </w:rPr>
              <w:t>Више од 60% од усвојених закона који се у значајној мери односе на ЛС припремљено у консултацији или кроз директно учешће локалних власти или њихове националне асоцијације</w:t>
            </w:r>
          </w:p>
          <w:p w14:paraId="50BF5BDD" w14:textId="2A2918A7" w:rsidR="00DE77AF" w:rsidRPr="00A021B7" w:rsidRDefault="00DE77AF" w:rsidP="00A57E7E">
            <w:pPr>
              <w:pStyle w:val="CommentText"/>
              <w:numPr>
                <w:ilvl w:val="0"/>
                <w:numId w:val="27"/>
              </w:numPr>
              <w:rPr>
                <w:rFonts w:ascii="Arial" w:hAnsi="Arial" w:cs="Arial"/>
                <w:color w:val="000000" w:themeColor="text1"/>
                <w:lang w:val="sr-Cyrl-RS"/>
              </w:rPr>
            </w:pPr>
            <w:r w:rsidRPr="1A8E6423">
              <w:rPr>
                <w:rFonts w:ascii="Arial" w:hAnsi="Arial" w:cs="Arial"/>
                <w:color w:val="000000" w:themeColor="text1"/>
                <w:lang w:val="sr-Cyrl-RS"/>
              </w:rPr>
              <w:t>Више од 80% од усвојених закона који се у значајној мери односе на ЛС припремљено у консултацији или кроз директно учешће локалних власти или њихове националне асоцијације</w:t>
            </w:r>
          </w:p>
          <w:p w14:paraId="5834082C" w14:textId="1E253F33" w:rsidR="00DE77AF" w:rsidRPr="00A021B7" w:rsidRDefault="00DE77AF" w:rsidP="00A57E7E">
            <w:pPr>
              <w:pStyle w:val="CommentText"/>
              <w:numPr>
                <w:ilvl w:val="0"/>
                <w:numId w:val="27"/>
              </w:numPr>
              <w:rPr>
                <w:rFonts w:ascii="Arial" w:hAnsi="Arial" w:cs="Arial"/>
                <w:color w:val="000000" w:themeColor="text1"/>
                <w:lang w:val="sr-Cyrl-RS"/>
              </w:rPr>
            </w:pPr>
            <w:r w:rsidRPr="1A8E6423">
              <w:rPr>
                <w:rFonts w:ascii="Arial" w:hAnsi="Arial" w:cs="Arial"/>
                <w:color w:val="000000" w:themeColor="text1"/>
                <w:lang w:val="sr-Cyrl-RS"/>
              </w:rPr>
              <w:t>Више од 90% усвојених закона који се</w:t>
            </w:r>
            <w:r w:rsidR="78A00136" w:rsidRPr="1A8E6423">
              <w:rPr>
                <w:rFonts w:ascii="Arial" w:hAnsi="Arial" w:cs="Arial"/>
                <w:color w:val="000000" w:themeColor="text1"/>
                <w:lang w:val="sr-Cyrl-RS"/>
              </w:rPr>
              <w:t xml:space="preserve"> у значајној мери</w:t>
            </w:r>
            <w:r w:rsidRPr="1A8E6423">
              <w:rPr>
                <w:rFonts w:ascii="Arial" w:hAnsi="Arial" w:cs="Arial"/>
                <w:color w:val="000000" w:themeColor="text1"/>
                <w:lang w:val="sr-Cyrl-RS"/>
              </w:rPr>
              <w:t xml:space="preserve"> односе на ЛС припремљен</w:t>
            </w:r>
            <w:r w:rsidR="43071259" w:rsidRPr="1A8E6423">
              <w:rPr>
                <w:rFonts w:ascii="Arial" w:hAnsi="Arial" w:cs="Arial"/>
                <w:color w:val="000000" w:themeColor="text1"/>
                <w:lang w:val="sr-Cyrl-RS"/>
              </w:rPr>
              <w:t>о</w:t>
            </w:r>
            <w:r w:rsidRPr="1A8E6423">
              <w:rPr>
                <w:rFonts w:ascii="Arial" w:hAnsi="Arial" w:cs="Arial"/>
                <w:color w:val="000000" w:themeColor="text1"/>
                <w:lang w:val="sr-Cyrl-RS"/>
              </w:rPr>
              <w:t xml:space="preserve"> у консултацији са локалним властима или њиховом националном асоцијацијом</w:t>
            </w:r>
          </w:p>
        </w:tc>
      </w:tr>
      <w:tr w:rsidR="00DE77AF" w:rsidRPr="00A021B7" w14:paraId="281F7610" w14:textId="77777777" w:rsidTr="1A8E6423">
        <w:trPr>
          <w:trHeight w:val="265"/>
          <w:jc w:val="center"/>
        </w:trPr>
        <w:tc>
          <w:tcPr>
            <w:tcW w:w="2793" w:type="dxa"/>
            <w:vMerge w:val="restart"/>
            <w:shd w:val="clear" w:color="auto" w:fill="FFC000" w:themeFill="accent4"/>
          </w:tcPr>
          <w:p w14:paraId="78AA8F77" w14:textId="01119B27"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Подаци о полазној вредности и години кад је измерена, као и тренду у прошлости</w:t>
            </w:r>
          </w:p>
        </w:tc>
        <w:tc>
          <w:tcPr>
            <w:tcW w:w="8117" w:type="dxa"/>
            <w:gridSpan w:val="4"/>
            <w:tcBorders>
              <w:bottom w:val="single" w:sz="4" w:space="0" w:color="auto"/>
            </w:tcBorders>
            <w:shd w:val="clear" w:color="auto" w:fill="FFFFFF" w:themeFill="background1"/>
            <w:vAlign w:val="center"/>
          </w:tcPr>
          <w:p w14:paraId="424EC210"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Тренд у прошлости</w:t>
            </w:r>
          </w:p>
        </w:tc>
        <w:tc>
          <w:tcPr>
            <w:tcW w:w="2706" w:type="dxa"/>
            <w:shd w:val="clear" w:color="auto" w:fill="FFFFFF" w:themeFill="background1"/>
            <w:vAlign w:val="center"/>
          </w:tcPr>
          <w:p w14:paraId="6277C723"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Полазна вредност</w:t>
            </w:r>
          </w:p>
        </w:tc>
      </w:tr>
      <w:tr w:rsidR="00DE77AF" w:rsidRPr="00A021B7" w14:paraId="27D8F14E" w14:textId="77777777" w:rsidTr="1A8E6423">
        <w:trPr>
          <w:trHeight w:val="137"/>
          <w:jc w:val="center"/>
        </w:trPr>
        <w:tc>
          <w:tcPr>
            <w:tcW w:w="2793" w:type="dxa"/>
            <w:vMerge/>
          </w:tcPr>
          <w:p w14:paraId="5A011050" w14:textId="77777777" w:rsidR="00DE77AF" w:rsidRPr="00A021B7" w:rsidRDefault="00DE77AF" w:rsidP="00CB0C2B">
            <w:pPr>
              <w:rPr>
                <w:rFonts w:ascii="Arial" w:hAnsi="Arial" w:cs="Arial"/>
                <w:b/>
                <w:bCs/>
                <w:color w:val="000000" w:themeColor="text1"/>
                <w:sz w:val="20"/>
                <w:szCs w:val="20"/>
                <w:lang w:val="sr-Cyrl-RS"/>
              </w:rPr>
            </w:pPr>
          </w:p>
        </w:tc>
        <w:tc>
          <w:tcPr>
            <w:tcW w:w="2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B85B" w14:textId="098C69D9"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2017</w:t>
            </w:r>
            <w:r w:rsidR="43071259" w:rsidRPr="1A8E6423">
              <w:rPr>
                <w:rFonts w:ascii="Arial" w:hAnsi="Arial" w:cs="Arial"/>
                <w:color w:val="000000" w:themeColor="text1"/>
                <w:sz w:val="20"/>
                <w:szCs w:val="20"/>
                <w:lang w:val="sr-Cyrl-RS"/>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C7F76" w14:textId="6AC55D75"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2018</w:t>
            </w:r>
            <w:r w:rsidR="43071259" w:rsidRPr="1A8E6423">
              <w:rPr>
                <w:rFonts w:ascii="Arial" w:hAnsi="Arial" w:cs="Arial"/>
                <w:color w:val="000000" w:themeColor="text1"/>
                <w:sz w:val="20"/>
                <w:szCs w:val="20"/>
                <w:lang w:val="sr-Cyrl-RS"/>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283D7" w14:textId="309F481B"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2019</w:t>
            </w:r>
            <w:r w:rsidR="43071259" w:rsidRPr="1A8E6423">
              <w:rPr>
                <w:rFonts w:ascii="Arial" w:hAnsi="Arial" w:cs="Arial"/>
                <w:color w:val="000000" w:themeColor="text1"/>
                <w:sz w:val="20"/>
                <w:szCs w:val="20"/>
                <w:lang w:val="sr-Cyrl-RS"/>
              </w:rPr>
              <w:t>.</w:t>
            </w:r>
          </w:p>
        </w:tc>
        <w:tc>
          <w:tcPr>
            <w:tcW w:w="2706" w:type="dxa"/>
            <w:tcBorders>
              <w:left w:val="single" w:sz="4" w:space="0" w:color="auto"/>
            </w:tcBorders>
            <w:shd w:val="clear" w:color="auto" w:fill="FFFFFF" w:themeFill="background1"/>
            <w:vAlign w:val="center"/>
          </w:tcPr>
          <w:p w14:paraId="22B8D53B" w14:textId="699E130A"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sz w:val="20"/>
                <w:szCs w:val="20"/>
                <w:lang w:val="sr-Cyrl-RS"/>
              </w:rPr>
              <w:t>2020</w:t>
            </w:r>
            <w:r w:rsidR="43071259" w:rsidRPr="1A8E6423">
              <w:rPr>
                <w:rFonts w:ascii="Arial" w:hAnsi="Arial" w:cs="Arial"/>
                <w:sz w:val="20"/>
                <w:szCs w:val="20"/>
                <w:lang w:val="sr-Cyrl-RS"/>
              </w:rPr>
              <w:t>.</w:t>
            </w:r>
          </w:p>
        </w:tc>
      </w:tr>
      <w:tr w:rsidR="00DE77AF" w:rsidRPr="00A021B7" w14:paraId="29926D1F" w14:textId="77777777" w:rsidTr="1A8E6423">
        <w:trPr>
          <w:trHeight w:val="323"/>
          <w:jc w:val="center"/>
        </w:trPr>
        <w:tc>
          <w:tcPr>
            <w:tcW w:w="2793" w:type="dxa"/>
            <w:vMerge/>
          </w:tcPr>
          <w:p w14:paraId="48AE1201" w14:textId="77777777" w:rsidR="00DE77AF" w:rsidRPr="00A021B7" w:rsidRDefault="00DE77AF" w:rsidP="00CB0C2B">
            <w:pPr>
              <w:rPr>
                <w:rFonts w:ascii="Arial" w:hAnsi="Arial" w:cs="Arial"/>
                <w:b/>
                <w:bCs/>
                <w:color w:val="000000" w:themeColor="text1"/>
                <w:sz w:val="20"/>
                <w:szCs w:val="20"/>
                <w:lang w:val="sr-Cyrl-RS"/>
              </w:rPr>
            </w:pPr>
          </w:p>
        </w:tc>
        <w:tc>
          <w:tcPr>
            <w:tcW w:w="2164" w:type="dxa"/>
            <w:tcBorders>
              <w:top w:val="single" w:sz="4" w:space="0" w:color="auto"/>
            </w:tcBorders>
            <w:shd w:val="clear" w:color="auto" w:fill="FFFFFF" w:themeFill="background1"/>
            <w:vAlign w:val="center"/>
          </w:tcPr>
          <w:p w14:paraId="58F593F1"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3827" w:type="dxa"/>
            <w:gridSpan w:val="2"/>
            <w:tcBorders>
              <w:top w:val="single" w:sz="4" w:space="0" w:color="auto"/>
            </w:tcBorders>
            <w:shd w:val="clear" w:color="auto" w:fill="FFFFFF" w:themeFill="background1"/>
            <w:vAlign w:val="center"/>
          </w:tcPr>
          <w:p w14:paraId="60396DC0"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2126" w:type="dxa"/>
            <w:tcBorders>
              <w:top w:val="single" w:sz="4" w:space="0" w:color="auto"/>
            </w:tcBorders>
            <w:shd w:val="clear" w:color="auto" w:fill="FFFFFF" w:themeFill="background1"/>
            <w:vAlign w:val="center"/>
          </w:tcPr>
          <w:p w14:paraId="1634397E"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3</w:t>
            </w:r>
          </w:p>
        </w:tc>
        <w:tc>
          <w:tcPr>
            <w:tcW w:w="2706" w:type="dxa"/>
            <w:shd w:val="clear" w:color="auto" w:fill="FFFFFF" w:themeFill="background1"/>
            <w:vAlign w:val="center"/>
          </w:tcPr>
          <w:p w14:paraId="6C8E48F9"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3</w:t>
            </w:r>
          </w:p>
        </w:tc>
      </w:tr>
      <w:tr w:rsidR="00DE77AF" w:rsidRPr="00A021B7" w14:paraId="2F56F444" w14:textId="77777777" w:rsidTr="1A8E6423">
        <w:trPr>
          <w:trHeight w:val="274"/>
          <w:jc w:val="center"/>
        </w:trPr>
        <w:tc>
          <w:tcPr>
            <w:tcW w:w="2793" w:type="dxa"/>
            <w:vMerge w:val="restart"/>
            <w:shd w:val="clear" w:color="auto" w:fill="FFC000" w:themeFill="accent4"/>
          </w:tcPr>
          <w:p w14:paraId="7171110E"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Подаци о циљним вредностима</w:t>
            </w:r>
          </w:p>
        </w:tc>
        <w:tc>
          <w:tcPr>
            <w:tcW w:w="2164" w:type="dxa"/>
            <w:shd w:val="clear" w:color="auto" w:fill="FFFFFF" w:themeFill="background1"/>
            <w:vAlign w:val="center"/>
          </w:tcPr>
          <w:p w14:paraId="19A83B47" w14:textId="704D61AA"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2021</w:t>
            </w:r>
            <w:r w:rsidR="43071259" w:rsidRPr="1A8E6423">
              <w:rPr>
                <w:rFonts w:ascii="Arial" w:hAnsi="Arial" w:cs="Arial"/>
                <w:color w:val="000000" w:themeColor="text1"/>
                <w:sz w:val="20"/>
                <w:szCs w:val="20"/>
                <w:lang w:val="sr-Cyrl-RS"/>
              </w:rPr>
              <w:t>.</w:t>
            </w:r>
          </w:p>
        </w:tc>
        <w:tc>
          <w:tcPr>
            <w:tcW w:w="1984" w:type="dxa"/>
            <w:shd w:val="clear" w:color="auto" w:fill="FFFFFF" w:themeFill="background1"/>
            <w:vAlign w:val="center"/>
          </w:tcPr>
          <w:p w14:paraId="65F6C990" w14:textId="63A89A56"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2022</w:t>
            </w:r>
            <w:r w:rsidR="43071259" w:rsidRPr="1A8E6423">
              <w:rPr>
                <w:rFonts w:ascii="Arial" w:hAnsi="Arial" w:cs="Arial"/>
                <w:color w:val="000000" w:themeColor="text1"/>
                <w:sz w:val="20"/>
                <w:szCs w:val="20"/>
                <w:lang w:val="sr-Cyrl-RS"/>
              </w:rPr>
              <w:t>.</w:t>
            </w:r>
          </w:p>
        </w:tc>
        <w:tc>
          <w:tcPr>
            <w:tcW w:w="1843" w:type="dxa"/>
            <w:shd w:val="clear" w:color="auto" w:fill="FFFFFF" w:themeFill="background1"/>
            <w:vAlign w:val="center"/>
          </w:tcPr>
          <w:p w14:paraId="479F910C" w14:textId="5635BE84"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2023</w:t>
            </w:r>
            <w:r w:rsidR="43071259" w:rsidRPr="1A8E6423">
              <w:rPr>
                <w:rFonts w:ascii="Arial" w:hAnsi="Arial" w:cs="Arial"/>
                <w:color w:val="000000" w:themeColor="text1"/>
                <w:sz w:val="20"/>
                <w:szCs w:val="20"/>
                <w:lang w:val="sr-Cyrl-RS"/>
              </w:rPr>
              <w:t>.</w:t>
            </w:r>
          </w:p>
        </w:tc>
        <w:tc>
          <w:tcPr>
            <w:tcW w:w="2126" w:type="dxa"/>
            <w:shd w:val="clear" w:color="auto" w:fill="FFFFFF" w:themeFill="background1"/>
            <w:vAlign w:val="center"/>
          </w:tcPr>
          <w:p w14:paraId="4F8C5D3D" w14:textId="66DAAFA8"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2024</w:t>
            </w:r>
            <w:r w:rsidR="43071259" w:rsidRPr="1A8E6423">
              <w:rPr>
                <w:rFonts w:ascii="Arial" w:hAnsi="Arial" w:cs="Arial"/>
                <w:color w:val="000000" w:themeColor="text1"/>
                <w:sz w:val="20"/>
                <w:szCs w:val="20"/>
                <w:lang w:val="sr-Cyrl-RS"/>
              </w:rPr>
              <w:t>.</w:t>
            </w:r>
          </w:p>
        </w:tc>
        <w:tc>
          <w:tcPr>
            <w:tcW w:w="2706" w:type="dxa"/>
            <w:shd w:val="clear" w:color="auto" w:fill="FFFFFF" w:themeFill="background1"/>
            <w:vAlign w:val="center"/>
          </w:tcPr>
          <w:p w14:paraId="56E1CBDE" w14:textId="6E91BAD6"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2025</w:t>
            </w:r>
            <w:r w:rsidR="43071259" w:rsidRPr="1A8E6423">
              <w:rPr>
                <w:rFonts w:ascii="Arial" w:hAnsi="Arial" w:cs="Arial"/>
                <w:color w:val="000000" w:themeColor="text1"/>
                <w:sz w:val="20"/>
                <w:szCs w:val="20"/>
                <w:lang w:val="sr-Cyrl-RS"/>
              </w:rPr>
              <w:t>.</w:t>
            </w:r>
          </w:p>
        </w:tc>
      </w:tr>
      <w:tr w:rsidR="00DE77AF" w:rsidRPr="00A021B7" w14:paraId="5ECDAE2C" w14:textId="77777777" w:rsidTr="1A8E6423">
        <w:trPr>
          <w:trHeight w:val="160"/>
          <w:jc w:val="center"/>
        </w:trPr>
        <w:tc>
          <w:tcPr>
            <w:tcW w:w="2793" w:type="dxa"/>
            <w:vMerge/>
          </w:tcPr>
          <w:p w14:paraId="35E5AEC5" w14:textId="77777777" w:rsidR="00DE77AF" w:rsidRPr="00A021B7" w:rsidRDefault="00DE77AF" w:rsidP="00CB0C2B">
            <w:pPr>
              <w:rPr>
                <w:rFonts w:ascii="Arial" w:hAnsi="Arial" w:cs="Arial"/>
                <w:b/>
                <w:bCs/>
                <w:color w:val="000000" w:themeColor="text1"/>
                <w:sz w:val="20"/>
                <w:szCs w:val="20"/>
                <w:lang w:val="sr-Cyrl-RS"/>
              </w:rPr>
            </w:pPr>
          </w:p>
        </w:tc>
        <w:tc>
          <w:tcPr>
            <w:tcW w:w="2164" w:type="dxa"/>
            <w:shd w:val="clear" w:color="auto" w:fill="FFFFFF" w:themeFill="background1"/>
          </w:tcPr>
          <w:p w14:paraId="476E7BC8" w14:textId="77777777" w:rsidR="00DE77AF" w:rsidRPr="00A021B7" w:rsidRDefault="00DE77AF" w:rsidP="486C755F">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3</w:t>
            </w:r>
          </w:p>
        </w:tc>
        <w:tc>
          <w:tcPr>
            <w:tcW w:w="1984" w:type="dxa"/>
            <w:shd w:val="clear" w:color="auto" w:fill="FFFFFF" w:themeFill="background1"/>
          </w:tcPr>
          <w:p w14:paraId="748F74AE" w14:textId="77777777" w:rsidR="00DE77AF" w:rsidRPr="00A021B7" w:rsidRDefault="00DE77AF" w:rsidP="486C755F">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1843" w:type="dxa"/>
            <w:shd w:val="clear" w:color="auto" w:fill="FFFFFF" w:themeFill="background1"/>
          </w:tcPr>
          <w:p w14:paraId="3E7C2CEC" w14:textId="13FB0339" w:rsidR="00DE77AF" w:rsidRPr="00A021B7" w:rsidRDefault="00855ADB" w:rsidP="486C755F">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4</w:t>
            </w:r>
          </w:p>
        </w:tc>
        <w:tc>
          <w:tcPr>
            <w:tcW w:w="2126" w:type="dxa"/>
            <w:shd w:val="clear" w:color="auto" w:fill="FFFFFF" w:themeFill="background1"/>
          </w:tcPr>
          <w:p w14:paraId="3CD4415C" w14:textId="77777777" w:rsidR="00DE77AF" w:rsidRPr="00A021B7" w:rsidRDefault="00DE77AF" w:rsidP="486C755F">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2706" w:type="dxa"/>
            <w:shd w:val="clear" w:color="auto" w:fill="FFFFFF" w:themeFill="background1"/>
          </w:tcPr>
          <w:p w14:paraId="35DC4847" w14:textId="7A5F4017" w:rsidR="00DE77AF" w:rsidRPr="00A021B7" w:rsidRDefault="1D6CA5C5" w:rsidP="486C755F">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5</w:t>
            </w:r>
          </w:p>
        </w:tc>
      </w:tr>
      <w:tr w:rsidR="00DE77AF" w:rsidRPr="00A021B7" w14:paraId="6E19BEE1" w14:textId="77777777" w:rsidTr="1A8E6423">
        <w:trPr>
          <w:trHeight w:val="160"/>
          <w:jc w:val="center"/>
        </w:trPr>
        <w:tc>
          <w:tcPr>
            <w:tcW w:w="2793" w:type="dxa"/>
            <w:shd w:val="clear" w:color="auto" w:fill="FFC000" w:themeFill="accent4"/>
          </w:tcPr>
          <w:p w14:paraId="139FBAC9"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lastRenderedPageBreak/>
              <w:t>Процена успешности</w:t>
            </w:r>
          </w:p>
        </w:tc>
        <w:tc>
          <w:tcPr>
            <w:tcW w:w="10823" w:type="dxa"/>
            <w:gridSpan w:val="5"/>
            <w:shd w:val="clear" w:color="auto" w:fill="FFFFFF" w:themeFill="background1"/>
          </w:tcPr>
          <w:p w14:paraId="71CD5A9A" w14:textId="7AD2E100" w:rsidR="00DE77AF" w:rsidRPr="00A021B7" w:rsidRDefault="00DE77AF" w:rsidP="00CB0C2B">
            <w:pPr>
              <w:rPr>
                <w:rFonts w:ascii="Arial" w:hAnsi="Arial" w:cs="Arial"/>
                <w:color w:val="000000" w:themeColor="text1"/>
                <w:sz w:val="20"/>
                <w:szCs w:val="20"/>
                <w:lang w:val="sr-Cyrl-RS"/>
              </w:rPr>
            </w:pPr>
            <w:r w:rsidRPr="00A021B7">
              <w:rPr>
                <w:rFonts w:ascii="Arial" w:hAnsi="Arial" w:cs="Arial"/>
                <w:sz w:val="20"/>
                <w:szCs w:val="20"/>
                <w:lang w:val="sr-Cyrl-RS"/>
              </w:rPr>
              <w:t xml:space="preserve">Прихватљиво је одступање од једне оцене на планираној скали током периода </w:t>
            </w:r>
            <w:r w:rsidR="009D1EF9">
              <w:rPr>
                <w:rFonts w:ascii="Arial" w:hAnsi="Arial" w:cs="Arial"/>
                <w:sz w:val="20"/>
                <w:szCs w:val="20"/>
                <w:lang w:val="sr-Cyrl-RS"/>
              </w:rPr>
              <w:t>спровођења</w:t>
            </w:r>
            <w:r w:rsidRPr="00A021B7">
              <w:rPr>
                <w:rFonts w:ascii="Arial" w:hAnsi="Arial" w:cs="Arial"/>
                <w:sz w:val="20"/>
                <w:szCs w:val="20"/>
                <w:lang w:val="sr-Cyrl-RS"/>
              </w:rPr>
              <w:t xml:space="preserve"> Стратегије односно на крају 2030. године</w:t>
            </w:r>
          </w:p>
        </w:tc>
      </w:tr>
    </w:tbl>
    <w:p w14:paraId="662C5E30" w14:textId="77777777" w:rsidR="00145447" w:rsidRDefault="00145447" w:rsidP="004D4848">
      <w:pPr>
        <w:pStyle w:val="Heading4"/>
        <w:rPr>
          <w:lang w:val="sr-Cyrl-RS"/>
        </w:rPr>
      </w:pPr>
    </w:p>
    <w:p w14:paraId="6CBC9E2B" w14:textId="2CCA4100" w:rsidR="00DE77AF" w:rsidRPr="00A021B7" w:rsidRDefault="00DE77AF" w:rsidP="004D4848">
      <w:pPr>
        <w:pStyle w:val="Heading4"/>
        <w:rPr>
          <w:lang w:val="sr-Cyrl-RS"/>
        </w:rPr>
      </w:pPr>
      <w:bookmarkStart w:id="182" w:name="_Hlk63273000"/>
      <w:r w:rsidRPr="00A021B7">
        <w:rPr>
          <w:lang w:val="sr-Cyrl-RS"/>
        </w:rPr>
        <w:t>ПОСЕБАН ЦИЉ 2: УНАПРЕЂЕЊЕ СИСТЕМА ФИНАНСИРАЊА КОЈИ ОМОГУЋАВА АДЕКВАТНО И ПРЕДВИДИВО ФИНАНСИРАЊЕ ЛОКАЛНЕ САМОУПРАВЕ</w:t>
      </w:r>
    </w:p>
    <w:p w14:paraId="1B0CCF22" w14:textId="77777777" w:rsidR="00DE77AF" w:rsidRPr="00A021B7" w:rsidRDefault="00DE77AF" w:rsidP="00DE77AF">
      <w:pPr>
        <w:rPr>
          <w:rFonts w:ascii="Arial" w:hAnsi="Arial" w:cs="Arial"/>
          <w:b/>
          <w:bCs/>
          <w:color w:val="FFC000"/>
          <w:sz w:val="20"/>
          <w:szCs w:val="20"/>
          <w:lang w:val="sr-Cyrl-RS"/>
        </w:rPr>
      </w:pPr>
    </w:p>
    <w:tbl>
      <w:tblPr>
        <w:tblW w:w="13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2255"/>
        <w:gridCol w:w="2410"/>
        <w:gridCol w:w="2410"/>
        <w:gridCol w:w="1843"/>
        <w:gridCol w:w="1765"/>
      </w:tblGrid>
      <w:tr w:rsidR="00145447" w:rsidRPr="00A021B7" w14:paraId="53733D91" w14:textId="77777777" w:rsidTr="004363E7">
        <w:trPr>
          <w:jc w:val="center"/>
        </w:trPr>
        <w:tc>
          <w:tcPr>
            <w:tcW w:w="2990" w:type="dxa"/>
            <w:shd w:val="clear" w:color="auto" w:fill="D9D9D9" w:themeFill="background1" w:themeFillShade="D9"/>
          </w:tcPr>
          <w:p w14:paraId="55731A66" w14:textId="77777777" w:rsidR="00145447" w:rsidRPr="00A021B7" w:rsidRDefault="00145447" w:rsidP="00145447">
            <w:pPr>
              <w:rPr>
                <w:rFonts w:ascii="Arial" w:hAnsi="Arial" w:cs="Arial"/>
                <w:b/>
                <w:bCs/>
                <w:color w:val="000000" w:themeColor="text1"/>
                <w:sz w:val="20"/>
                <w:szCs w:val="20"/>
                <w:lang w:val="sr-Cyrl-RS"/>
              </w:rPr>
            </w:pPr>
          </w:p>
          <w:p w14:paraId="3BC8AD19"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показатеља</w:t>
            </w:r>
          </w:p>
          <w:p w14:paraId="1CA55D18" w14:textId="77777777" w:rsidR="00145447" w:rsidRPr="00A021B7" w:rsidRDefault="00145447" w:rsidP="00145447">
            <w:pPr>
              <w:rPr>
                <w:rFonts w:ascii="Arial" w:hAnsi="Arial" w:cs="Arial"/>
                <w:b/>
                <w:bCs/>
                <w:color w:val="000000" w:themeColor="text1"/>
                <w:sz w:val="20"/>
                <w:szCs w:val="20"/>
                <w:lang w:val="sr-Cyrl-RS"/>
              </w:rPr>
            </w:pPr>
          </w:p>
        </w:tc>
        <w:tc>
          <w:tcPr>
            <w:tcW w:w="10683" w:type="dxa"/>
            <w:gridSpan w:val="5"/>
            <w:shd w:val="clear" w:color="auto" w:fill="D9D9D9" w:themeFill="background1" w:themeFillShade="D9"/>
            <w:vAlign w:val="center"/>
          </w:tcPr>
          <w:p w14:paraId="0EF1205D" w14:textId="4A829C4C" w:rsidR="00145447" w:rsidRPr="004363E7" w:rsidRDefault="00145447" w:rsidP="00145447">
            <w:pPr>
              <w:rPr>
                <w:rFonts w:ascii="Arial" w:hAnsi="Arial" w:cs="Arial"/>
                <w:b/>
                <w:color w:val="000000" w:themeColor="text1"/>
                <w:sz w:val="20"/>
                <w:szCs w:val="20"/>
                <w:lang w:val="sr-Cyrl-RS"/>
              </w:rPr>
            </w:pPr>
            <w:r w:rsidRPr="004363E7">
              <w:rPr>
                <w:rFonts w:ascii="Arial" w:hAnsi="Arial" w:cs="Arial"/>
                <w:b/>
                <w:color w:val="000000" w:themeColor="text1"/>
                <w:sz w:val="20"/>
                <w:szCs w:val="20"/>
                <w:lang w:val="sr-Cyrl-RS"/>
              </w:rPr>
              <w:t>Удео пореских прихода ЛС у укупним пореским приходима у Републици Србији</w:t>
            </w:r>
          </w:p>
        </w:tc>
      </w:tr>
      <w:tr w:rsidR="00145447" w:rsidRPr="00A021B7" w14:paraId="1D8B1480" w14:textId="77777777" w:rsidTr="1A8E6423">
        <w:trPr>
          <w:jc w:val="center"/>
        </w:trPr>
        <w:tc>
          <w:tcPr>
            <w:tcW w:w="2990" w:type="dxa"/>
            <w:shd w:val="clear" w:color="auto" w:fill="FFC000" w:themeFill="accent4"/>
          </w:tcPr>
          <w:p w14:paraId="070DBCD8"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Одговарајући општи, посебни циљ или мера</w:t>
            </w:r>
          </w:p>
        </w:tc>
        <w:tc>
          <w:tcPr>
            <w:tcW w:w="10683" w:type="dxa"/>
            <w:gridSpan w:val="5"/>
            <w:shd w:val="clear" w:color="auto" w:fill="FFFFFF" w:themeFill="background1"/>
          </w:tcPr>
          <w:p w14:paraId="351263CA" w14:textId="20C42D48" w:rsidR="00145447" w:rsidRPr="00A021B7" w:rsidRDefault="00145447" w:rsidP="00145447">
            <w:pP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Унапређења система финансирања који омогућава адекватно и предвидиво финансирање локалне самоуправе</w:t>
            </w:r>
          </w:p>
        </w:tc>
      </w:tr>
      <w:tr w:rsidR="00145447" w:rsidRPr="00A021B7" w14:paraId="5804C87D" w14:textId="77777777" w:rsidTr="1A8E6423">
        <w:trPr>
          <w:jc w:val="center"/>
        </w:trPr>
        <w:tc>
          <w:tcPr>
            <w:tcW w:w="2990" w:type="dxa"/>
            <w:shd w:val="clear" w:color="auto" w:fill="FFC000" w:themeFill="accent4"/>
          </w:tcPr>
          <w:p w14:paraId="7B9E3D5A"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color w:val="000000" w:themeColor="text1"/>
                <w:kern w:val="24"/>
                <w:sz w:val="20"/>
                <w:szCs w:val="20"/>
                <w:lang w:val="sr-Cyrl-RS"/>
              </w:rPr>
              <w:t>Тип и ниво показатеља</w:t>
            </w:r>
          </w:p>
        </w:tc>
        <w:tc>
          <w:tcPr>
            <w:tcW w:w="7075" w:type="dxa"/>
            <w:gridSpan w:val="3"/>
            <w:shd w:val="clear" w:color="auto" w:fill="FFFFFF" w:themeFill="background1"/>
          </w:tcPr>
          <w:p w14:paraId="00A49126" w14:textId="2C92948D" w:rsidR="00145447" w:rsidRPr="00A021B7" w:rsidRDefault="00145447" w:rsidP="00145447">
            <w:pPr>
              <w:tabs>
                <w:tab w:val="left" w:pos="182"/>
              </w:tabs>
              <w:rPr>
                <w:rFonts w:ascii="Arial" w:hAnsi="Arial" w:cs="Arial"/>
                <w:color w:val="000000" w:themeColor="text1"/>
                <w:kern w:val="24"/>
                <w:sz w:val="20"/>
                <w:szCs w:val="20"/>
                <w:lang w:val="sr-Cyrl-RS"/>
              </w:rPr>
            </w:pPr>
            <w:r w:rsidRPr="1A8E6423">
              <w:rPr>
                <w:rFonts w:ascii="Arial" w:hAnsi="Arial" w:cs="Arial"/>
                <w:color w:val="000000" w:themeColor="text1"/>
                <w:kern w:val="24"/>
                <w:sz w:val="20"/>
                <w:szCs w:val="20"/>
                <w:lang w:val="sr-Cyrl-RS"/>
              </w:rPr>
              <w:t>Квалитативни и квантитативни</w:t>
            </w:r>
          </w:p>
        </w:tc>
        <w:tc>
          <w:tcPr>
            <w:tcW w:w="3608" w:type="dxa"/>
            <w:gridSpan w:val="2"/>
            <w:shd w:val="clear" w:color="auto" w:fill="FFFFFF" w:themeFill="background1"/>
          </w:tcPr>
          <w:p w14:paraId="4460FE33" w14:textId="77777777" w:rsidR="00145447" w:rsidRPr="00A021B7" w:rsidRDefault="00145447" w:rsidP="00145447">
            <w:pPr>
              <w:rPr>
                <w:rFonts w:ascii="Arial" w:hAnsi="Arial" w:cs="Arial"/>
                <w:bCs/>
                <w:color w:val="000000" w:themeColor="text1"/>
                <w:kern w:val="24"/>
                <w:sz w:val="20"/>
                <w:szCs w:val="20"/>
                <w:lang w:val="sr-Cyrl-RS"/>
              </w:rPr>
            </w:pPr>
            <w:r w:rsidRPr="00A021B7">
              <w:rPr>
                <w:rFonts w:ascii="Arial" w:hAnsi="Arial" w:cs="Arial"/>
                <w:bCs/>
                <w:color w:val="000000" w:themeColor="text1"/>
                <w:kern w:val="24"/>
                <w:sz w:val="20"/>
                <w:szCs w:val="20"/>
                <w:lang w:val="sr-Cyrl-RS"/>
              </w:rPr>
              <w:t>Показатељ на нивоу посебног циља</w:t>
            </w:r>
          </w:p>
        </w:tc>
      </w:tr>
      <w:tr w:rsidR="00145447" w:rsidRPr="00A021B7" w14:paraId="5724A5C2" w14:textId="77777777" w:rsidTr="1A8E6423">
        <w:trPr>
          <w:trHeight w:val="373"/>
          <w:jc w:val="center"/>
        </w:trPr>
        <w:tc>
          <w:tcPr>
            <w:tcW w:w="2990" w:type="dxa"/>
            <w:shd w:val="clear" w:color="auto" w:fill="FFC000" w:themeFill="accent4"/>
          </w:tcPr>
          <w:p w14:paraId="4A8C402C" w14:textId="77777777" w:rsidR="00145447" w:rsidRPr="00A021B7" w:rsidRDefault="00145447" w:rsidP="00145447">
            <w:pPr>
              <w:rPr>
                <w:rFonts w:ascii="Arial" w:hAnsi="Arial" w:cs="Arial"/>
                <w:b/>
                <w:color w:val="000000" w:themeColor="text1"/>
                <w:kern w:val="24"/>
                <w:sz w:val="20"/>
                <w:szCs w:val="20"/>
                <w:lang w:val="sr-Cyrl-RS"/>
              </w:rPr>
            </w:pPr>
            <w:r w:rsidRPr="00A021B7">
              <w:rPr>
                <w:rFonts w:ascii="Arial" w:hAnsi="Arial" w:cs="Arial"/>
                <w:b/>
                <w:color w:val="000000" w:themeColor="text1"/>
                <w:kern w:val="24"/>
                <w:sz w:val="20"/>
                <w:szCs w:val="20"/>
                <w:lang w:val="sr-Cyrl-RS"/>
              </w:rPr>
              <w:t>Јединица мере и природа</w:t>
            </w:r>
          </w:p>
        </w:tc>
        <w:tc>
          <w:tcPr>
            <w:tcW w:w="7075" w:type="dxa"/>
            <w:gridSpan w:val="3"/>
            <w:shd w:val="clear" w:color="auto" w:fill="FFFFFF" w:themeFill="background1"/>
          </w:tcPr>
          <w:p w14:paraId="0186ACE2" w14:textId="50D13E1A" w:rsidR="00145447" w:rsidRPr="00A021B7" w:rsidRDefault="00145447" w:rsidP="00145447">
            <w:pPr>
              <w:tabs>
                <w:tab w:val="left" w:pos="182"/>
              </w:tabs>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 учешћа локалних прихода у укупним јавним приходима</w:t>
            </w:r>
          </w:p>
        </w:tc>
        <w:tc>
          <w:tcPr>
            <w:tcW w:w="3608" w:type="dxa"/>
            <w:gridSpan w:val="2"/>
            <w:shd w:val="clear" w:color="auto" w:fill="FFFFFF" w:themeFill="background1"/>
          </w:tcPr>
          <w:p w14:paraId="26A305DD" w14:textId="77777777" w:rsidR="00145447" w:rsidRPr="00A021B7" w:rsidRDefault="00145447" w:rsidP="00145447">
            <w:pPr>
              <w:pStyle w:val="NormalWeb"/>
              <w:spacing w:before="0" w:beforeAutospacing="0" w:after="0" w:afterAutospacing="0"/>
              <w:rPr>
                <w:rFonts w:ascii="Arial" w:eastAsia="Arial" w:hAnsi="Arial" w:cs="Arial"/>
                <w:color w:val="000000" w:themeColor="text1"/>
                <w:spacing w:val="-1"/>
                <w:kern w:val="24"/>
                <w:sz w:val="20"/>
                <w:szCs w:val="20"/>
                <w:lang w:val="sr-Cyrl-RS"/>
              </w:rPr>
            </w:pPr>
            <w:r w:rsidRPr="00A021B7">
              <w:rPr>
                <w:rFonts w:ascii="Arial" w:eastAsia="Arial" w:hAnsi="Arial" w:cs="Arial"/>
                <w:color w:val="000000" w:themeColor="text1"/>
                <w:spacing w:val="-1"/>
                <w:kern w:val="24"/>
                <w:sz w:val="20"/>
                <w:szCs w:val="20"/>
                <w:lang w:val="sr-Cyrl-RS"/>
              </w:rPr>
              <w:t>Пожељна је већа вредност</w:t>
            </w:r>
          </w:p>
        </w:tc>
      </w:tr>
      <w:tr w:rsidR="00145447" w:rsidRPr="00A021B7" w14:paraId="1D1D46D5" w14:textId="77777777" w:rsidTr="1A8E6423">
        <w:trPr>
          <w:jc w:val="center"/>
        </w:trPr>
        <w:tc>
          <w:tcPr>
            <w:tcW w:w="2990" w:type="dxa"/>
            <w:shd w:val="clear" w:color="auto" w:fill="FFC000" w:themeFill="accent4"/>
          </w:tcPr>
          <w:p w14:paraId="33F7EAD7"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Извор података за праћење показатеља учинка</w:t>
            </w:r>
          </w:p>
        </w:tc>
        <w:tc>
          <w:tcPr>
            <w:tcW w:w="10683" w:type="dxa"/>
            <w:gridSpan w:val="5"/>
            <w:shd w:val="clear" w:color="auto" w:fill="FFFFFF" w:themeFill="background1"/>
          </w:tcPr>
          <w:p w14:paraId="2EFFCEB0" w14:textId="77777777" w:rsidR="005B2EC6" w:rsidRDefault="005B2EC6" w:rsidP="005B2EC6">
            <w:pPr>
              <w:rPr>
                <w:rFonts w:ascii="Arial" w:eastAsiaTheme="minorEastAsia" w:hAnsi="Arial" w:cs="Arial"/>
                <w:color w:val="000000" w:themeColor="text1"/>
                <w:sz w:val="20"/>
                <w:szCs w:val="20"/>
                <w:lang w:val="sr-Cyrl-RS"/>
              </w:rPr>
            </w:pPr>
            <w:r w:rsidRPr="00FD6E8C">
              <w:rPr>
                <w:rFonts w:ascii="Arial" w:eastAsiaTheme="minorEastAsia" w:hAnsi="Arial" w:cs="Arial"/>
                <w:color w:val="000000" w:themeColor="text1"/>
                <w:sz w:val="20"/>
                <w:szCs w:val="20"/>
                <w:lang w:val="sr-Cyrl-RS"/>
              </w:rPr>
              <w:t>Подаци ИСИБ АП и ЈЛС</w:t>
            </w:r>
            <w:r>
              <w:rPr>
                <w:rFonts w:ascii="Arial" w:eastAsiaTheme="minorEastAsia" w:hAnsi="Arial" w:cs="Arial"/>
                <w:color w:val="000000" w:themeColor="text1"/>
                <w:sz w:val="20"/>
                <w:szCs w:val="20"/>
              </w:rPr>
              <w:t>.</w:t>
            </w:r>
            <w:r w:rsidRPr="1A8E6423">
              <w:rPr>
                <w:rFonts w:ascii="Arial" w:eastAsiaTheme="minorEastAsia" w:hAnsi="Arial" w:cs="Arial"/>
                <w:color w:val="000000" w:themeColor="text1"/>
                <w:sz w:val="20"/>
                <w:szCs w:val="20"/>
                <w:lang w:val="sr-Cyrl-RS"/>
              </w:rPr>
              <w:t xml:space="preserve"> </w:t>
            </w:r>
          </w:p>
          <w:p w14:paraId="48F916B7" w14:textId="0272B535" w:rsidR="00145447" w:rsidRPr="00A021B7" w:rsidRDefault="00145447" w:rsidP="00145447">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Подаци из </w:t>
            </w:r>
            <w:r w:rsidRPr="1A8E6423">
              <w:rPr>
                <w:rFonts w:ascii="Arial" w:hAnsi="Arial" w:cs="Arial"/>
                <w:i/>
                <w:iCs/>
                <w:color w:val="000000" w:themeColor="text1"/>
                <w:sz w:val="20"/>
                <w:szCs w:val="20"/>
                <w:lang w:val="sr-Cyrl-RS"/>
              </w:rPr>
              <w:t>Месечног билтена јавних финансија</w:t>
            </w:r>
          </w:p>
          <w:p w14:paraId="16E957CE" w14:textId="43393E7F" w:rsidR="00145447" w:rsidRPr="00A021B7" w:rsidRDefault="00145447" w:rsidP="00145447">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Подаци Управе за трезор Министарства финансија,</w:t>
            </w:r>
          </w:p>
          <w:p w14:paraId="10DA2DD7" w14:textId="1CAB1DCC" w:rsidR="00145447" w:rsidRPr="00A021B7" w:rsidRDefault="00145447" w:rsidP="00145447">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Подаци из аналитичког сервиса ЈЛС, МДУЛС и РСЈП, </w:t>
            </w:r>
            <w:hyperlink r:id="rId35">
              <w:r w:rsidRPr="1A8E6423">
                <w:rPr>
                  <w:rStyle w:val="Hyperlink"/>
                  <w:rFonts w:ascii="Arial" w:hAnsi="Arial" w:cs="Arial"/>
                  <w:color w:val="000000" w:themeColor="text1"/>
                  <w:sz w:val="20"/>
                  <w:szCs w:val="20"/>
                  <w:lang w:val="sr-Cyrl-RS"/>
                </w:rPr>
                <w:t>https://rsjp.gov.rs/jls-baza/</w:t>
              </w:r>
            </w:hyperlink>
          </w:p>
        </w:tc>
      </w:tr>
      <w:tr w:rsidR="00145447" w:rsidRPr="00A021B7" w14:paraId="3E13B624" w14:textId="77777777" w:rsidTr="1A8E6423">
        <w:trPr>
          <w:jc w:val="center"/>
        </w:trPr>
        <w:tc>
          <w:tcPr>
            <w:tcW w:w="2990" w:type="dxa"/>
            <w:shd w:val="clear" w:color="auto" w:fill="FFC000" w:themeFill="accent4"/>
          </w:tcPr>
          <w:p w14:paraId="073315ED"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носиоца прикупљања података</w:t>
            </w:r>
          </w:p>
        </w:tc>
        <w:tc>
          <w:tcPr>
            <w:tcW w:w="10683" w:type="dxa"/>
            <w:gridSpan w:val="5"/>
            <w:shd w:val="clear" w:color="auto" w:fill="FFFFFF" w:themeFill="background1"/>
          </w:tcPr>
          <w:p w14:paraId="4DDCCF95" w14:textId="77777777" w:rsidR="00145447" w:rsidRPr="0065691F" w:rsidRDefault="00145447" w:rsidP="00145447">
            <w:pPr>
              <w:rPr>
                <w:rFonts w:ascii="Arial" w:hAnsi="Arial" w:cs="Arial"/>
                <w:sz w:val="20"/>
                <w:szCs w:val="20"/>
                <w:lang w:val="sr-Cyrl-RS"/>
              </w:rPr>
            </w:pPr>
            <w:r w:rsidRPr="0065691F">
              <w:rPr>
                <w:rFonts w:ascii="Arial" w:hAnsi="Arial" w:cs="Arial"/>
                <w:sz w:val="20"/>
                <w:szCs w:val="20"/>
                <w:lang w:val="sr-Cyrl-RS"/>
              </w:rPr>
              <w:t>Министарство финансија, име и презиме, контакт</w:t>
            </w:r>
          </w:p>
          <w:p w14:paraId="2B146098" w14:textId="77777777" w:rsidR="00145447" w:rsidRPr="0065691F" w:rsidRDefault="00145447" w:rsidP="00145447">
            <w:pPr>
              <w:rPr>
                <w:rFonts w:ascii="Arial" w:hAnsi="Arial" w:cs="Arial"/>
                <w:sz w:val="20"/>
                <w:szCs w:val="20"/>
                <w:lang w:val="sr-Cyrl-RS"/>
              </w:rPr>
            </w:pPr>
          </w:p>
          <w:p w14:paraId="47CA7C69" w14:textId="174DE9A8" w:rsidR="00145447" w:rsidRPr="00A021B7" w:rsidRDefault="00145447" w:rsidP="00145447">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СКГО, Милена Радомировић, </w:t>
            </w:r>
            <w:hyperlink r:id="rId36">
              <w:r w:rsidRPr="1A8E6423">
                <w:rPr>
                  <w:rStyle w:val="Hyperlink"/>
                  <w:rFonts w:ascii="Arial" w:hAnsi="Arial" w:cs="Arial"/>
                  <w:sz w:val="20"/>
                  <w:szCs w:val="20"/>
                  <w:lang w:val="sr-Cyrl-RS"/>
                </w:rPr>
                <w:t>milena.radomirovic@skgo.org</w:t>
              </w:r>
            </w:hyperlink>
          </w:p>
        </w:tc>
      </w:tr>
      <w:tr w:rsidR="00145447" w:rsidRPr="00A021B7" w14:paraId="2D008C11" w14:textId="77777777" w:rsidTr="1A8E6423">
        <w:trPr>
          <w:jc w:val="center"/>
        </w:trPr>
        <w:tc>
          <w:tcPr>
            <w:tcW w:w="2990" w:type="dxa"/>
            <w:shd w:val="clear" w:color="auto" w:fill="FFC000" w:themeFill="accent4"/>
          </w:tcPr>
          <w:p w14:paraId="153F4F6F"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Учесталост прикупљања података</w:t>
            </w:r>
          </w:p>
        </w:tc>
        <w:tc>
          <w:tcPr>
            <w:tcW w:w="10683" w:type="dxa"/>
            <w:gridSpan w:val="5"/>
            <w:shd w:val="clear" w:color="auto" w:fill="FFFFFF" w:themeFill="background1"/>
          </w:tcPr>
          <w:p w14:paraId="38D70C53" w14:textId="49646609" w:rsidR="00145447" w:rsidRPr="00A021B7" w:rsidRDefault="00145447" w:rsidP="00145447">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Подаци се прикупљају до 30. септембра текуће године за претходну.</w:t>
            </w:r>
          </w:p>
        </w:tc>
      </w:tr>
      <w:tr w:rsidR="00145447" w:rsidRPr="00A021B7" w14:paraId="18BF2372" w14:textId="77777777" w:rsidTr="1A8E6423">
        <w:trPr>
          <w:jc w:val="center"/>
        </w:trPr>
        <w:tc>
          <w:tcPr>
            <w:tcW w:w="2990" w:type="dxa"/>
            <w:shd w:val="clear" w:color="auto" w:fill="FFC000" w:themeFill="accent4"/>
          </w:tcPr>
          <w:p w14:paraId="090A3FB2" w14:textId="77777777" w:rsidR="00145447" w:rsidRPr="00A021B7" w:rsidRDefault="00145447" w:rsidP="00145447">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Кратак опис показатеља и методологије израчунавања</w:t>
            </w:r>
          </w:p>
          <w:p w14:paraId="693A4922" w14:textId="0A5488E2" w:rsidR="00145447" w:rsidRPr="00A021B7" w:rsidRDefault="00145447" w:rsidP="00145447">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(формуле/једначине)</w:t>
            </w:r>
          </w:p>
          <w:p w14:paraId="7C148367" w14:textId="77777777" w:rsidR="00145447" w:rsidRPr="00A021B7" w:rsidRDefault="00145447" w:rsidP="00145447">
            <w:pPr>
              <w:rPr>
                <w:rFonts w:ascii="Arial" w:hAnsi="Arial" w:cs="Arial"/>
                <w:b/>
                <w:bCs/>
                <w:color w:val="000000" w:themeColor="text1"/>
                <w:sz w:val="20"/>
                <w:szCs w:val="20"/>
                <w:lang w:val="sr-Cyrl-RS"/>
              </w:rPr>
            </w:pPr>
          </w:p>
        </w:tc>
        <w:tc>
          <w:tcPr>
            <w:tcW w:w="10683" w:type="dxa"/>
            <w:gridSpan w:val="5"/>
            <w:shd w:val="clear" w:color="auto" w:fill="FFFFFF" w:themeFill="background1"/>
          </w:tcPr>
          <w:p w14:paraId="71E940E0" w14:textId="7E02AA33" w:rsidR="00145447" w:rsidRPr="00A021B7" w:rsidRDefault="00145447" w:rsidP="00145447">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Овај показатељ показује степен учешћа ЛС у расподели </w:t>
            </w:r>
            <w:r>
              <w:rPr>
                <w:rFonts w:ascii="Arial" w:hAnsi="Arial" w:cs="Arial"/>
                <w:color w:val="000000" w:themeColor="text1"/>
                <w:sz w:val="20"/>
                <w:szCs w:val="20"/>
                <w:lang w:val="sr-Cyrl-RS"/>
              </w:rPr>
              <w:t>пореских</w:t>
            </w:r>
            <w:r w:rsidRPr="1A8E6423">
              <w:rPr>
                <w:rFonts w:ascii="Arial" w:hAnsi="Arial" w:cs="Arial"/>
                <w:color w:val="000000" w:themeColor="text1"/>
                <w:sz w:val="20"/>
                <w:szCs w:val="20"/>
                <w:lang w:val="sr-Cyrl-RS"/>
              </w:rPr>
              <w:t xml:space="preserve"> прихода. Раст процента учешћа локалних </w:t>
            </w:r>
            <w:r>
              <w:rPr>
                <w:rFonts w:ascii="Arial" w:hAnsi="Arial" w:cs="Arial"/>
                <w:color w:val="000000" w:themeColor="text1"/>
                <w:sz w:val="20"/>
                <w:szCs w:val="20"/>
                <w:lang w:val="sr-Cyrl-RS"/>
              </w:rPr>
              <w:t xml:space="preserve">пореких </w:t>
            </w:r>
            <w:r w:rsidRPr="1A8E6423">
              <w:rPr>
                <w:rFonts w:ascii="Arial" w:hAnsi="Arial" w:cs="Arial"/>
                <w:color w:val="000000" w:themeColor="text1"/>
                <w:sz w:val="20"/>
                <w:szCs w:val="20"/>
                <w:lang w:val="sr-Cyrl-RS"/>
              </w:rPr>
              <w:t>прихода указује на два позитивна процеса 1) већу децентрализацију јавних послова, коју треба да прати и већи удео у јавним приходима који су потребни за финансирање послова јавне управе; 2) повећање ефикасности ЛС у наплати локалних прихода</w:t>
            </w:r>
            <w:r>
              <w:rPr>
                <w:rFonts w:ascii="Arial" w:hAnsi="Arial" w:cs="Arial"/>
                <w:color w:val="000000" w:themeColor="text1"/>
                <w:sz w:val="20"/>
                <w:szCs w:val="20"/>
                <w:lang w:val="sr-Cyrl-RS"/>
              </w:rPr>
              <w:t xml:space="preserve"> од пореза</w:t>
            </w:r>
            <w:r w:rsidRPr="1A8E6423">
              <w:rPr>
                <w:rFonts w:ascii="Arial" w:hAnsi="Arial" w:cs="Arial"/>
                <w:color w:val="000000" w:themeColor="text1"/>
                <w:sz w:val="20"/>
                <w:szCs w:val="20"/>
                <w:lang w:val="sr-Cyrl-RS"/>
              </w:rPr>
              <w:t xml:space="preserve"> којима се повећава укупан износ прихода локалне самоуправе без преношења нових прихода од вишег нивоа власти. Овај индикатор се израчунава тако што се укупни </w:t>
            </w:r>
            <w:r>
              <w:rPr>
                <w:rFonts w:ascii="Arial" w:hAnsi="Arial" w:cs="Arial"/>
                <w:color w:val="000000" w:themeColor="text1"/>
                <w:sz w:val="20"/>
                <w:szCs w:val="20"/>
                <w:lang w:val="sr-Cyrl-RS"/>
              </w:rPr>
              <w:t xml:space="preserve">порески </w:t>
            </w:r>
            <w:r w:rsidRPr="1A8E6423">
              <w:rPr>
                <w:rFonts w:ascii="Arial" w:hAnsi="Arial" w:cs="Arial"/>
                <w:color w:val="000000" w:themeColor="text1"/>
                <w:sz w:val="20"/>
                <w:szCs w:val="20"/>
                <w:lang w:val="sr-Cyrl-RS"/>
              </w:rPr>
              <w:t xml:space="preserve">приходи локалне самоуправе поделе са </w:t>
            </w:r>
            <w:r>
              <w:rPr>
                <w:rFonts w:ascii="Arial" w:hAnsi="Arial" w:cs="Arial"/>
                <w:color w:val="000000" w:themeColor="text1"/>
                <w:sz w:val="20"/>
                <w:szCs w:val="20"/>
                <w:lang w:val="sr-Cyrl-RS"/>
              </w:rPr>
              <w:t xml:space="preserve">пореским </w:t>
            </w:r>
            <w:r w:rsidRPr="1A8E6423">
              <w:rPr>
                <w:rFonts w:ascii="Arial" w:hAnsi="Arial" w:cs="Arial"/>
                <w:color w:val="000000" w:themeColor="text1"/>
                <w:sz w:val="20"/>
                <w:szCs w:val="20"/>
                <w:lang w:val="sr-Cyrl-RS"/>
              </w:rPr>
              <w:t>приходима</w:t>
            </w:r>
            <w:r>
              <w:rPr>
                <w:rFonts w:ascii="Arial" w:hAnsi="Arial" w:cs="Arial"/>
                <w:color w:val="000000" w:themeColor="text1"/>
                <w:sz w:val="20"/>
                <w:szCs w:val="20"/>
                <w:lang w:val="sr-Cyrl-RS"/>
              </w:rPr>
              <w:t xml:space="preserve"> државе</w:t>
            </w:r>
            <w:r w:rsidRPr="1A8E6423">
              <w:rPr>
                <w:rFonts w:ascii="Arial" w:hAnsi="Arial" w:cs="Arial"/>
                <w:color w:val="000000" w:themeColor="text1"/>
                <w:sz w:val="20"/>
                <w:szCs w:val="20"/>
                <w:lang w:val="sr-Cyrl-RS"/>
              </w:rPr>
              <w:t>.</w:t>
            </w:r>
          </w:p>
          <w:p w14:paraId="62AEC87A" w14:textId="77777777" w:rsidR="00145447" w:rsidRPr="00A021B7" w:rsidRDefault="00145447" w:rsidP="00145447">
            <w:pPr>
              <w:rPr>
                <w:rFonts w:ascii="Arial" w:eastAsiaTheme="minorHAnsi" w:hAnsi="Arial" w:cs="Arial"/>
                <w:b/>
                <w:color w:val="000000" w:themeColor="text1"/>
                <w:sz w:val="20"/>
                <w:szCs w:val="20"/>
                <w:lang w:val="sr-Cyrl-RS"/>
              </w:rPr>
            </w:pPr>
            <w:r w:rsidRPr="00A021B7">
              <w:rPr>
                <w:rFonts w:ascii="Arial" w:eastAsiaTheme="minorHAnsi" w:hAnsi="Arial" w:cs="Arial"/>
                <w:b/>
                <w:color w:val="000000" w:themeColor="text1"/>
                <w:sz w:val="20"/>
                <w:szCs w:val="20"/>
                <w:lang w:val="sr-Cyrl-RS"/>
              </w:rPr>
              <w:t xml:space="preserve">                                                                ФОРМУЛА/ЈЕДНАЧИНА</w:t>
            </w:r>
          </w:p>
          <w:p w14:paraId="664DDFBD" w14:textId="77777777" w:rsidR="00145447" w:rsidRPr="00A021B7" w:rsidRDefault="00145447" w:rsidP="00145447">
            <w:pPr>
              <w:rPr>
                <w:rFonts w:ascii="Arial" w:hAnsi="Arial" w:cs="Arial"/>
                <w:color w:val="000000" w:themeColor="text1"/>
                <w:sz w:val="20"/>
                <w:szCs w:val="20"/>
                <w:lang w:val="sr-Cyrl-RS"/>
              </w:rPr>
            </w:pPr>
          </w:p>
          <w:p w14:paraId="548D3352" w14:textId="581980BE" w:rsidR="00145447" w:rsidRPr="00A021B7" w:rsidRDefault="00145447" w:rsidP="00145447">
            <w:pPr>
              <w:rPr>
                <w:rFonts w:ascii="Arial" w:hAnsi="Arial" w:cs="Arial"/>
                <w:color w:val="000000" w:themeColor="text1"/>
                <w:sz w:val="20"/>
                <w:szCs w:val="20"/>
                <w:lang w:val="sr-Cyrl-RS"/>
              </w:rPr>
            </w:pPr>
            <w:r w:rsidRPr="00A021B7">
              <w:rPr>
                <w:rFonts w:ascii="Arial" w:hAnsi="Arial" w:cs="Arial"/>
                <w:noProof/>
                <w:color w:val="000000" w:themeColor="text1"/>
                <w:sz w:val="20"/>
                <w:szCs w:val="20"/>
                <w:lang w:eastAsia="en-US"/>
              </w:rPr>
              <mc:AlternateContent>
                <mc:Choice Requires="wps">
                  <w:drawing>
                    <wp:anchor distT="0" distB="0" distL="114300" distR="114300" simplePos="0" relativeHeight="251660297" behindDoc="0" locked="0" layoutInCell="1" allowOverlap="1" wp14:anchorId="7CBEAB6A" wp14:editId="700DA48E">
                      <wp:simplePos x="0" y="0"/>
                      <wp:positionH relativeFrom="column">
                        <wp:posOffset>2079063</wp:posOffset>
                      </wp:positionH>
                      <wp:positionV relativeFrom="paragraph">
                        <wp:posOffset>6433</wp:posOffset>
                      </wp:positionV>
                      <wp:extent cx="2483370" cy="264795"/>
                      <wp:effectExtent l="0" t="0" r="0" b="0"/>
                      <wp:wrapNone/>
                      <wp:docPr id="14" name="TextBox 1"/>
                      <wp:cNvGraphicFramePr/>
                      <a:graphic xmlns:a="http://schemas.openxmlformats.org/drawingml/2006/main">
                        <a:graphicData uri="http://schemas.microsoft.com/office/word/2010/wordprocessingShape">
                          <wps:wsp>
                            <wps:cNvSpPr txBox="1"/>
                            <wps:spPr>
                              <a:xfrm>
                                <a:off x="0" y="0"/>
                                <a:ext cx="248337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6E1F772" w14:textId="3386E7E9" w:rsidR="007324B5" w:rsidRDefault="00FB2452" w:rsidP="00DE77AF">
                                  <m:oMath>
                                    <m:f>
                                      <m:fPr>
                                        <m:ctrlPr>
                                          <w:rPr>
                                            <w:rFonts w:ascii="Cambria Math" w:eastAsiaTheme="minorEastAsia" w:hAnsi="Cambria Math" w:cstheme="minorBidi"/>
                                            <w:i/>
                                            <w:iCs/>
                                            <w:color w:val="000000" w:themeColor="text1"/>
                                            <w:sz w:val="28"/>
                                            <w:szCs w:val="28"/>
                                          </w:rPr>
                                        </m:ctrlPr>
                                      </m:fPr>
                                      <m:num>
                                        <m:r>
                                          <w:rPr>
                                            <w:rFonts w:ascii="Cambria Math" w:hAnsi="Cambria Math" w:cstheme="minorBidi"/>
                                            <w:color w:val="000000" w:themeColor="text1"/>
                                            <w:sz w:val="28"/>
                                            <w:szCs w:val="28"/>
                                            <w:lang w:val="sr-Latn-RS"/>
                                          </w:rPr>
                                          <m:t>Укупни локални порески приходи</m:t>
                                        </m:r>
                                      </m:num>
                                      <m:den>
                                        <m:r>
                                          <w:rPr>
                                            <w:rFonts w:ascii="Cambria Math" w:hAnsi="Cambria Math" w:cstheme="minorBidi"/>
                                            <w:color w:val="000000" w:themeColor="text1"/>
                                            <w:sz w:val="28"/>
                                            <w:szCs w:val="28"/>
                                            <w:lang w:val="sr-Latn-RS"/>
                                          </w:rPr>
                                          <m:t>Укупни порески приходи државе</m:t>
                                        </m:r>
                                      </m:den>
                                    </m:f>
                                  </m:oMath>
                                  <w:r w:rsidR="007324B5">
                                    <w:rPr>
                                      <w:rFonts w:asciiTheme="minorHAnsi" w:cstheme="minorBidi"/>
                                      <w:color w:val="000000" w:themeColor="text1"/>
                                      <w:lang w:val="sr-Latn-RS"/>
                                    </w:rPr>
                                    <w:t xml:space="preserve"> </w:t>
                                  </w:r>
                                  <m:oMath>
                                    <m:r>
                                      <w:rPr>
                                        <w:rFonts w:ascii="Cambria Math" w:eastAsia="Cambria Math" w:hAnsi="Cambria Math" w:cstheme="minorBidi"/>
                                        <w:color w:val="000000" w:themeColor="text1"/>
                                        <w:lang w:val="sr-Latn-RS"/>
                                      </w:rPr>
                                      <m:t>×100</m:t>
                                    </m:r>
                                  </m:oMath>
                                </w:p>
                              </w:txbxContent>
                            </wps:txbx>
                            <wps:bodyPr vertOverflow="clip" horzOverflow="clip"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7CBEAB6A" id="_x0000_s1027" type="#_x0000_t202" style="position:absolute;margin-left:163.7pt;margin-top:.5pt;width:195.55pt;height:20.85p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" filled="f" stroked="f">
                      <v:textbox style="mso-fit-shape-to-text:t" inset="0,0,0,0">
                        <w:txbxContent>
                          <w:p w14:paraId="76E1F772" w14:textId="3386E7E9" w:rsidR="007324B5" w:rsidRDefault="007324B5" w:rsidP="00DE77AF">
                            <m:oMath>
                              <m:f>
                                <m:fPr>
                                  <m:ctrlPr>
                                    <w:rPr>
                                      <w:rFonts w:ascii="Cambria Math" w:eastAsiaTheme="minorEastAsia" w:hAnsi="Cambria Math" w:cstheme="minorBidi"/>
                                      <w:i/>
                                      <w:iCs/>
                                      <w:color w:val="000000" w:themeColor="text1"/>
                                      <w:sz w:val="28"/>
                                      <w:szCs w:val="28"/>
                                    </w:rPr>
                                  </m:ctrlPr>
                                </m:fPr>
                                <m:num>
                                  <m:r>
                                    <w:rPr>
                                      <w:rFonts w:ascii="Cambria Math" w:hAnsi="Cambria Math" w:cstheme="minorBidi"/>
                                      <w:color w:val="000000" w:themeColor="text1"/>
                                      <w:sz w:val="28"/>
                                      <w:szCs w:val="28"/>
                                      <w:lang w:val="sr-Latn-RS"/>
                                    </w:rPr>
                                    <m:t>Укупни локални порески приходи</m:t>
                                  </m:r>
                                </m:num>
                                <m:den>
                                  <m:r>
                                    <w:rPr>
                                      <w:rFonts w:ascii="Cambria Math" w:hAnsi="Cambria Math" w:cstheme="minorBidi"/>
                                      <w:color w:val="000000" w:themeColor="text1"/>
                                      <w:sz w:val="28"/>
                                      <w:szCs w:val="28"/>
                                      <w:lang w:val="sr-Latn-RS"/>
                                    </w:rPr>
                                    <m:t>Укупни порески приходи државе</m:t>
                                  </m:r>
                                </m:den>
                              </m:f>
                            </m:oMath>
                            <w:r>
                              <w:rPr>
                                <w:rFonts w:asciiTheme="minorHAnsi" w:cstheme="minorBidi"/>
                                <w:color w:val="000000" w:themeColor="text1"/>
                                <w:lang w:val="sr-Latn-RS"/>
                              </w:rPr>
                              <w:t xml:space="preserve"> </w:t>
                            </w:r>
                            <m:oMath>
                              <m:r>
                                <w:rPr>
                                  <w:rFonts w:ascii="Cambria Math" w:eastAsia="Cambria Math" w:hAnsi="Cambria Math" w:cstheme="minorBidi"/>
                                  <w:color w:val="000000" w:themeColor="text1"/>
                                  <w:lang w:val="sr-Latn-RS"/>
                                </w:rPr>
                                <m:t>×100</m:t>
                              </m:r>
                            </m:oMath>
                          </w:p>
                        </w:txbxContent>
                      </v:textbox>
                    </v:shape>
                  </w:pict>
                </mc:Fallback>
              </mc:AlternateContent>
            </w:r>
          </w:p>
          <w:p w14:paraId="47F6AC93" w14:textId="77777777" w:rsidR="00145447" w:rsidRPr="00A021B7" w:rsidRDefault="00145447" w:rsidP="00145447">
            <w:pPr>
              <w:rPr>
                <w:rFonts w:ascii="Arial" w:hAnsi="Arial" w:cs="Arial"/>
                <w:color w:val="000000" w:themeColor="text1"/>
                <w:sz w:val="20"/>
                <w:szCs w:val="20"/>
                <w:lang w:val="sr-Cyrl-RS"/>
              </w:rPr>
            </w:pPr>
          </w:p>
          <w:p w14:paraId="5D4770CC" w14:textId="77777777" w:rsidR="00145447" w:rsidRPr="00A021B7" w:rsidRDefault="00145447" w:rsidP="00145447">
            <w:pPr>
              <w:rPr>
                <w:rFonts w:ascii="Arial" w:hAnsi="Arial" w:cs="Arial"/>
                <w:color w:val="000000" w:themeColor="text1"/>
                <w:sz w:val="20"/>
                <w:szCs w:val="20"/>
                <w:lang w:val="sr-Cyrl-RS"/>
              </w:rPr>
            </w:pPr>
          </w:p>
        </w:tc>
      </w:tr>
      <w:tr w:rsidR="00145447" w:rsidRPr="00A021B7" w14:paraId="0F4FE5DC" w14:textId="77777777" w:rsidTr="1A8E6423">
        <w:trPr>
          <w:trHeight w:val="265"/>
          <w:jc w:val="center"/>
        </w:trPr>
        <w:tc>
          <w:tcPr>
            <w:tcW w:w="2990" w:type="dxa"/>
            <w:vMerge w:val="restart"/>
            <w:shd w:val="clear" w:color="auto" w:fill="FFC000" w:themeFill="accent4"/>
          </w:tcPr>
          <w:p w14:paraId="77BF7E03" w14:textId="68976EA1" w:rsidR="00145447" w:rsidRPr="00A021B7" w:rsidRDefault="00145447" w:rsidP="00145447">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 xml:space="preserve">Подаци о полазној вредности и години кад је </w:t>
            </w:r>
            <w:r w:rsidRPr="1A8E6423">
              <w:rPr>
                <w:rFonts w:ascii="Arial" w:hAnsi="Arial" w:cs="Arial"/>
                <w:b/>
                <w:bCs/>
                <w:color w:val="000000" w:themeColor="text1"/>
                <w:sz w:val="20"/>
                <w:szCs w:val="20"/>
                <w:lang w:val="sr-Cyrl-RS"/>
              </w:rPr>
              <w:lastRenderedPageBreak/>
              <w:t>измерена, као и тренду у прошлости</w:t>
            </w:r>
          </w:p>
        </w:tc>
        <w:tc>
          <w:tcPr>
            <w:tcW w:w="8918" w:type="dxa"/>
            <w:gridSpan w:val="4"/>
            <w:tcBorders>
              <w:bottom w:val="single" w:sz="4" w:space="0" w:color="auto"/>
            </w:tcBorders>
            <w:shd w:val="clear" w:color="auto" w:fill="FFFFFF" w:themeFill="background1"/>
            <w:vAlign w:val="center"/>
          </w:tcPr>
          <w:p w14:paraId="085242BD" w14:textId="77777777" w:rsidR="00145447" w:rsidRPr="00A021B7" w:rsidRDefault="00145447" w:rsidP="00145447">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lastRenderedPageBreak/>
              <w:t>Тренд у прошлости</w:t>
            </w:r>
          </w:p>
        </w:tc>
        <w:tc>
          <w:tcPr>
            <w:tcW w:w="1765" w:type="dxa"/>
            <w:shd w:val="clear" w:color="auto" w:fill="FFFFFF" w:themeFill="background1"/>
            <w:vAlign w:val="center"/>
          </w:tcPr>
          <w:p w14:paraId="56D6F3B2" w14:textId="77777777" w:rsidR="00145447" w:rsidRPr="00A021B7" w:rsidRDefault="00145447" w:rsidP="00145447">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Полазна вредност</w:t>
            </w:r>
          </w:p>
        </w:tc>
      </w:tr>
      <w:tr w:rsidR="00145447" w:rsidRPr="00A021B7" w14:paraId="52F3DC0A" w14:textId="77777777" w:rsidTr="1A8E6423">
        <w:trPr>
          <w:trHeight w:val="137"/>
          <w:jc w:val="center"/>
        </w:trPr>
        <w:tc>
          <w:tcPr>
            <w:tcW w:w="2990" w:type="dxa"/>
            <w:vMerge/>
          </w:tcPr>
          <w:p w14:paraId="0731D582" w14:textId="77777777" w:rsidR="00145447" w:rsidRPr="00A021B7" w:rsidRDefault="00145447" w:rsidP="00145447">
            <w:pPr>
              <w:rPr>
                <w:rFonts w:ascii="Arial" w:hAnsi="Arial" w:cs="Arial"/>
                <w:b/>
                <w:bCs/>
                <w:color w:val="000000" w:themeColor="text1"/>
                <w:sz w:val="20"/>
                <w:szCs w:val="20"/>
                <w:lang w:val="sr-Cyrl-RS"/>
              </w:rPr>
            </w:pPr>
          </w:p>
        </w:tc>
        <w:tc>
          <w:tcPr>
            <w:tcW w:w="2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892A0" w14:textId="18CA0A2B"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2016.</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D906" w14:textId="47485379"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w:t>
            </w:r>
            <w:r w:rsidR="00FA5D1B">
              <w:rPr>
                <w:rFonts w:ascii="Arial" w:hAnsi="Arial" w:cs="Arial"/>
                <w:color w:val="000000" w:themeColor="text1"/>
                <w:sz w:val="20"/>
                <w:szCs w:val="20"/>
                <w:lang w:val="sr-Cyrl-RS"/>
              </w:rPr>
              <w:t>8</w:t>
            </w:r>
            <w:r w:rsidRPr="1A8E6423">
              <w:rPr>
                <w:rFonts w:ascii="Arial" w:hAnsi="Arial" w:cs="Arial"/>
                <w:color w:val="000000" w:themeColor="text1"/>
                <w:sz w:val="20"/>
                <w:szCs w:val="20"/>
                <w:lang w:val="sr-Cyrl-R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B66F0" w14:textId="3CB726FE"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w:t>
            </w:r>
            <w:r w:rsidR="00FA5D1B">
              <w:rPr>
                <w:rFonts w:ascii="Arial" w:hAnsi="Arial" w:cs="Arial"/>
                <w:color w:val="000000" w:themeColor="text1"/>
                <w:sz w:val="20"/>
                <w:szCs w:val="20"/>
                <w:lang w:val="sr-Cyrl-RS"/>
              </w:rPr>
              <w:t>9</w:t>
            </w:r>
            <w:r w:rsidRPr="1A8E6423">
              <w:rPr>
                <w:rFonts w:ascii="Arial" w:hAnsi="Arial" w:cs="Arial"/>
                <w:color w:val="000000" w:themeColor="text1"/>
                <w:sz w:val="20"/>
                <w:szCs w:val="20"/>
                <w:lang w:val="sr-Cyrl-RS"/>
              </w:rPr>
              <w:t>.</w:t>
            </w:r>
          </w:p>
        </w:tc>
        <w:tc>
          <w:tcPr>
            <w:tcW w:w="1765" w:type="dxa"/>
            <w:tcBorders>
              <w:left w:val="single" w:sz="4" w:space="0" w:color="auto"/>
            </w:tcBorders>
            <w:shd w:val="clear" w:color="auto" w:fill="FFFFFF" w:themeFill="background1"/>
            <w:vAlign w:val="center"/>
          </w:tcPr>
          <w:p w14:paraId="7DA8E205" w14:textId="595FB68A"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w:t>
            </w:r>
            <w:r w:rsidR="00FA5D1B">
              <w:rPr>
                <w:rFonts w:ascii="Arial" w:hAnsi="Arial" w:cs="Arial"/>
                <w:color w:val="000000" w:themeColor="text1"/>
                <w:sz w:val="20"/>
                <w:szCs w:val="20"/>
                <w:lang w:val="sr-Cyrl-RS"/>
              </w:rPr>
              <w:t>20</w:t>
            </w:r>
            <w:r w:rsidRPr="1A8E6423">
              <w:rPr>
                <w:rFonts w:ascii="Arial" w:hAnsi="Arial" w:cs="Arial"/>
                <w:color w:val="000000" w:themeColor="text1"/>
                <w:sz w:val="20"/>
                <w:szCs w:val="20"/>
                <w:lang w:val="sr-Cyrl-RS"/>
              </w:rPr>
              <w:t>.</w:t>
            </w:r>
          </w:p>
        </w:tc>
      </w:tr>
      <w:tr w:rsidR="00145447" w:rsidRPr="00A021B7" w14:paraId="39F5CD33" w14:textId="77777777" w:rsidTr="1A8E6423">
        <w:trPr>
          <w:trHeight w:val="323"/>
          <w:jc w:val="center"/>
        </w:trPr>
        <w:tc>
          <w:tcPr>
            <w:tcW w:w="2990" w:type="dxa"/>
            <w:vMerge/>
          </w:tcPr>
          <w:p w14:paraId="704D6025" w14:textId="77777777" w:rsidR="00145447" w:rsidRPr="00A021B7" w:rsidRDefault="00145447" w:rsidP="00145447">
            <w:pPr>
              <w:rPr>
                <w:rFonts w:ascii="Arial" w:hAnsi="Arial" w:cs="Arial"/>
                <w:b/>
                <w:bCs/>
                <w:color w:val="000000" w:themeColor="text1"/>
                <w:sz w:val="20"/>
                <w:szCs w:val="20"/>
                <w:lang w:val="sr-Cyrl-RS"/>
              </w:rPr>
            </w:pPr>
          </w:p>
        </w:tc>
        <w:tc>
          <w:tcPr>
            <w:tcW w:w="2255" w:type="dxa"/>
            <w:tcBorders>
              <w:top w:val="single" w:sz="4" w:space="0" w:color="auto"/>
            </w:tcBorders>
            <w:shd w:val="clear" w:color="auto" w:fill="FFFFFF" w:themeFill="background1"/>
            <w:vAlign w:val="center"/>
          </w:tcPr>
          <w:p w14:paraId="636E5696" w14:textId="47EAA4EC" w:rsidR="00145447" w:rsidRPr="00A021B7" w:rsidRDefault="00FA5D1B" w:rsidP="00FA5D1B">
            <w:pPr>
              <w:jc w:val="center"/>
              <w:rPr>
                <w:rFonts w:ascii="Arial" w:hAnsi="Arial" w:cs="Arial"/>
                <w:color w:val="000000" w:themeColor="text1"/>
                <w:sz w:val="20"/>
                <w:szCs w:val="20"/>
                <w:lang w:val="sr-Cyrl-RS"/>
              </w:rPr>
            </w:pPr>
            <w:r>
              <w:rPr>
                <w:rFonts w:ascii="Arial" w:hAnsi="Arial" w:cs="Arial"/>
                <w:color w:val="000000" w:themeColor="text1"/>
                <w:sz w:val="20"/>
                <w:szCs w:val="20"/>
                <w:lang w:val="sr-Cyrl-RS"/>
              </w:rPr>
              <w:t>/</w:t>
            </w:r>
          </w:p>
        </w:tc>
        <w:tc>
          <w:tcPr>
            <w:tcW w:w="4820" w:type="dxa"/>
            <w:gridSpan w:val="2"/>
            <w:tcBorders>
              <w:top w:val="single" w:sz="4" w:space="0" w:color="auto"/>
            </w:tcBorders>
            <w:shd w:val="clear" w:color="auto" w:fill="FFFFFF" w:themeFill="background1"/>
            <w:vAlign w:val="center"/>
          </w:tcPr>
          <w:p w14:paraId="1AFCAF1B" w14:textId="0FC5D4F1" w:rsidR="00145447" w:rsidRPr="00A021B7" w:rsidRDefault="00FA5D1B" w:rsidP="00145447">
            <w:pPr>
              <w:jc w:val="center"/>
              <w:rPr>
                <w:rFonts w:ascii="Arial" w:hAnsi="Arial" w:cs="Arial"/>
                <w:color w:val="000000" w:themeColor="text1"/>
                <w:sz w:val="20"/>
                <w:szCs w:val="20"/>
                <w:lang w:val="sr-Cyrl-RS"/>
              </w:rPr>
            </w:pPr>
            <w:r>
              <w:rPr>
                <w:rFonts w:ascii="Arial" w:hAnsi="Arial" w:cs="Arial"/>
                <w:color w:val="000000" w:themeColor="text1"/>
                <w:sz w:val="20"/>
                <w:szCs w:val="20"/>
                <w:lang w:val="sr-Cyrl-RS"/>
              </w:rPr>
              <w:t>/</w:t>
            </w:r>
          </w:p>
        </w:tc>
        <w:tc>
          <w:tcPr>
            <w:tcW w:w="1843" w:type="dxa"/>
            <w:tcBorders>
              <w:top w:val="single" w:sz="4" w:space="0" w:color="auto"/>
            </w:tcBorders>
            <w:shd w:val="clear" w:color="auto" w:fill="FFFFFF" w:themeFill="background1"/>
            <w:vAlign w:val="center"/>
          </w:tcPr>
          <w:p w14:paraId="6AD666E3" w14:textId="03913351" w:rsidR="00145447" w:rsidRPr="00A021B7" w:rsidRDefault="00D95A64" w:rsidP="00145447">
            <w:pPr>
              <w:jc w:val="center"/>
              <w:rPr>
                <w:rFonts w:ascii="Arial" w:hAnsi="Arial" w:cs="Arial"/>
                <w:color w:val="000000" w:themeColor="text1"/>
                <w:sz w:val="20"/>
                <w:szCs w:val="20"/>
                <w:lang w:val="sr-Cyrl-RS"/>
              </w:rPr>
            </w:pPr>
            <w:r>
              <w:rPr>
                <w:rFonts w:ascii="Arial" w:hAnsi="Arial" w:cs="Arial"/>
                <w:color w:val="000000" w:themeColor="text1"/>
                <w:sz w:val="20"/>
                <w:szCs w:val="20"/>
              </w:rPr>
              <w:t>9</w:t>
            </w:r>
            <w:r w:rsidR="004241D6">
              <w:rPr>
                <w:rFonts w:ascii="Arial" w:hAnsi="Arial" w:cs="Arial"/>
                <w:color w:val="000000" w:themeColor="text1"/>
                <w:sz w:val="20"/>
                <w:szCs w:val="20"/>
              </w:rPr>
              <w:t>,</w:t>
            </w:r>
            <w:r>
              <w:rPr>
                <w:rFonts w:ascii="Arial" w:hAnsi="Arial" w:cs="Arial"/>
                <w:color w:val="000000" w:themeColor="text1"/>
                <w:sz w:val="20"/>
                <w:szCs w:val="20"/>
              </w:rPr>
              <w:t>87%</w:t>
            </w:r>
            <w:r w:rsidR="00145447" w:rsidRPr="00A021B7">
              <w:rPr>
                <w:rFonts w:ascii="Arial" w:hAnsi="Arial" w:cs="Arial"/>
                <w:color w:val="000000" w:themeColor="text1"/>
                <w:sz w:val="20"/>
                <w:szCs w:val="20"/>
                <w:lang w:val="sr-Cyrl-RS"/>
              </w:rPr>
              <w:t>%</w:t>
            </w:r>
          </w:p>
        </w:tc>
        <w:tc>
          <w:tcPr>
            <w:tcW w:w="1765" w:type="dxa"/>
            <w:shd w:val="clear" w:color="auto" w:fill="FFFFFF" w:themeFill="background1"/>
            <w:vAlign w:val="center"/>
          </w:tcPr>
          <w:p w14:paraId="3E3608A1" w14:textId="768136D0"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1</w:t>
            </w:r>
            <w:r w:rsidR="00D95A64">
              <w:rPr>
                <w:rFonts w:ascii="Arial" w:hAnsi="Arial" w:cs="Arial"/>
                <w:color w:val="000000" w:themeColor="text1"/>
                <w:sz w:val="20"/>
                <w:szCs w:val="20"/>
              </w:rPr>
              <w:t>0</w:t>
            </w:r>
            <w:r w:rsidRPr="1A8E6423">
              <w:rPr>
                <w:rFonts w:ascii="Arial" w:hAnsi="Arial" w:cs="Arial"/>
                <w:color w:val="000000" w:themeColor="text1"/>
                <w:sz w:val="20"/>
                <w:szCs w:val="20"/>
                <w:lang w:val="sr-Cyrl-RS"/>
              </w:rPr>
              <w:t>,</w:t>
            </w:r>
            <w:r w:rsidR="00D95A64">
              <w:rPr>
                <w:rFonts w:ascii="Arial" w:hAnsi="Arial" w:cs="Arial"/>
                <w:color w:val="000000" w:themeColor="text1"/>
                <w:sz w:val="20"/>
                <w:szCs w:val="20"/>
              </w:rPr>
              <w:t>12</w:t>
            </w:r>
            <w:r w:rsidRPr="1A8E6423">
              <w:rPr>
                <w:rFonts w:ascii="Arial" w:hAnsi="Arial" w:cs="Arial"/>
                <w:color w:val="000000" w:themeColor="text1"/>
                <w:sz w:val="20"/>
                <w:szCs w:val="20"/>
                <w:lang w:val="sr-Cyrl-RS"/>
              </w:rPr>
              <w:t>%</w:t>
            </w:r>
          </w:p>
        </w:tc>
      </w:tr>
      <w:tr w:rsidR="00145447" w:rsidRPr="00A021B7" w14:paraId="6AAF2DFB" w14:textId="77777777" w:rsidTr="1A8E6423">
        <w:trPr>
          <w:trHeight w:val="274"/>
          <w:jc w:val="center"/>
        </w:trPr>
        <w:tc>
          <w:tcPr>
            <w:tcW w:w="2990" w:type="dxa"/>
            <w:vMerge w:val="restart"/>
            <w:shd w:val="clear" w:color="auto" w:fill="FFC000" w:themeFill="accent4"/>
          </w:tcPr>
          <w:p w14:paraId="25CDE6A9"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Подаци о циљним вредностима</w:t>
            </w:r>
          </w:p>
        </w:tc>
        <w:tc>
          <w:tcPr>
            <w:tcW w:w="2255" w:type="dxa"/>
            <w:shd w:val="clear" w:color="auto" w:fill="FFFFFF" w:themeFill="background1"/>
            <w:vAlign w:val="center"/>
          </w:tcPr>
          <w:p w14:paraId="67169FA8" w14:textId="664CE7E6"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2021.</w:t>
            </w:r>
          </w:p>
        </w:tc>
        <w:tc>
          <w:tcPr>
            <w:tcW w:w="2410" w:type="dxa"/>
            <w:shd w:val="clear" w:color="auto" w:fill="FFFFFF" w:themeFill="background1"/>
            <w:vAlign w:val="center"/>
          </w:tcPr>
          <w:p w14:paraId="69F7EE0F" w14:textId="2F694696"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2022.</w:t>
            </w:r>
          </w:p>
        </w:tc>
        <w:tc>
          <w:tcPr>
            <w:tcW w:w="2410" w:type="dxa"/>
            <w:shd w:val="clear" w:color="auto" w:fill="FFFFFF" w:themeFill="background1"/>
            <w:vAlign w:val="center"/>
          </w:tcPr>
          <w:p w14:paraId="6774A338" w14:textId="74C5AEC6"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2023.</w:t>
            </w:r>
          </w:p>
        </w:tc>
        <w:tc>
          <w:tcPr>
            <w:tcW w:w="1843" w:type="dxa"/>
            <w:shd w:val="clear" w:color="auto" w:fill="FFFFFF" w:themeFill="background1"/>
            <w:vAlign w:val="center"/>
          </w:tcPr>
          <w:p w14:paraId="00A67928" w14:textId="5ECECA4E"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2024.</w:t>
            </w:r>
          </w:p>
        </w:tc>
        <w:tc>
          <w:tcPr>
            <w:tcW w:w="1765" w:type="dxa"/>
            <w:shd w:val="clear" w:color="auto" w:fill="FFFFFF" w:themeFill="background1"/>
            <w:vAlign w:val="center"/>
          </w:tcPr>
          <w:p w14:paraId="0D82B6E5" w14:textId="3E33ED39"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2025.</w:t>
            </w:r>
          </w:p>
        </w:tc>
      </w:tr>
      <w:tr w:rsidR="00145447" w:rsidRPr="00A021B7" w14:paraId="15E422FD" w14:textId="77777777" w:rsidTr="1A8E6423">
        <w:trPr>
          <w:trHeight w:val="160"/>
          <w:jc w:val="center"/>
        </w:trPr>
        <w:tc>
          <w:tcPr>
            <w:tcW w:w="2990" w:type="dxa"/>
            <w:vMerge/>
          </w:tcPr>
          <w:p w14:paraId="5D83E3C4" w14:textId="77777777" w:rsidR="00145447" w:rsidRPr="00A021B7" w:rsidRDefault="00145447" w:rsidP="00145447">
            <w:pPr>
              <w:rPr>
                <w:rFonts w:ascii="Arial" w:hAnsi="Arial" w:cs="Arial"/>
                <w:b/>
                <w:bCs/>
                <w:color w:val="000000" w:themeColor="text1"/>
                <w:sz w:val="20"/>
                <w:szCs w:val="20"/>
                <w:lang w:val="sr-Cyrl-RS"/>
              </w:rPr>
            </w:pPr>
          </w:p>
        </w:tc>
        <w:tc>
          <w:tcPr>
            <w:tcW w:w="2255" w:type="dxa"/>
            <w:shd w:val="clear" w:color="auto" w:fill="FFFFFF" w:themeFill="background1"/>
            <w:vAlign w:val="center"/>
          </w:tcPr>
          <w:p w14:paraId="27C5B5D0" w14:textId="5620CFD5" w:rsidR="00145447" w:rsidRPr="00A021B7" w:rsidRDefault="00145447" w:rsidP="00145447">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1</w:t>
            </w:r>
            <w:r w:rsidR="004241D6">
              <w:rPr>
                <w:rFonts w:ascii="Arial" w:hAnsi="Arial" w:cs="Arial"/>
                <w:color w:val="000000" w:themeColor="text1"/>
                <w:sz w:val="20"/>
                <w:szCs w:val="20"/>
              </w:rPr>
              <w:t>0,4</w:t>
            </w:r>
            <w:r w:rsidRPr="00A021B7">
              <w:rPr>
                <w:rFonts w:ascii="Arial" w:hAnsi="Arial" w:cs="Arial"/>
                <w:color w:val="000000" w:themeColor="text1"/>
                <w:sz w:val="20"/>
                <w:szCs w:val="20"/>
                <w:lang w:val="sr-Cyrl-RS"/>
              </w:rPr>
              <w:t>%</w:t>
            </w:r>
          </w:p>
        </w:tc>
        <w:tc>
          <w:tcPr>
            <w:tcW w:w="2410" w:type="dxa"/>
            <w:shd w:val="clear" w:color="auto" w:fill="FFFFFF" w:themeFill="background1"/>
            <w:vAlign w:val="center"/>
          </w:tcPr>
          <w:p w14:paraId="66DCBDB5" w14:textId="43D20B66"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1</w:t>
            </w:r>
            <w:r w:rsidR="004241D6">
              <w:rPr>
                <w:rFonts w:ascii="Arial" w:hAnsi="Arial" w:cs="Arial"/>
                <w:color w:val="000000" w:themeColor="text1"/>
                <w:sz w:val="20"/>
                <w:szCs w:val="20"/>
              </w:rPr>
              <w:t>0,7</w:t>
            </w:r>
            <w:r w:rsidRPr="1A8E6423">
              <w:rPr>
                <w:rFonts w:ascii="Arial" w:hAnsi="Arial" w:cs="Arial"/>
                <w:color w:val="000000" w:themeColor="text1"/>
                <w:sz w:val="20"/>
                <w:szCs w:val="20"/>
                <w:lang w:val="sr-Cyrl-RS"/>
              </w:rPr>
              <w:t>%</w:t>
            </w:r>
          </w:p>
        </w:tc>
        <w:tc>
          <w:tcPr>
            <w:tcW w:w="2410" w:type="dxa"/>
            <w:shd w:val="clear" w:color="auto" w:fill="FFFFFF" w:themeFill="background1"/>
            <w:vAlign w:val="center"/>
          </w:tcPr>
          <w:p w14:paraId="3D66BE18" w14:textId="2A23ACDB" w:rsidR="00145447" w:rsidRPr="00A021B7" w:rsidRDefault="00145447" w:rsidP="00145447">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1</w:t>
            </w:r>
            <w:r w:rsidR="004241D6">
              <w:rPr>
                <w:rFonts w:ascii="Arial" w:hAnsi="Arial" w:cs="Arial"/>
                <w:color w:val="000000" w:themeColor="text1"/>
                <w:sz w:val="20"/>
                <w:szCs w:val="20"/>
              </w:rPr>
              <w:t>1</w:t>
            </w:r>
            <w:r w:rsidRPr="1A8E6423">
              <w:rPr>
                <w:rFonts w:ascii="Arial" w:hAnsi="Arial" w:cs="Arial"/>
                <w:color w:val="000000" w:themeColor="text1"/>
                <w:sz w:val="20"/>
                <w:szCs w:val="20"/>
                <w:lang w:val="sr-Cyrl-RS"/>
              </w:rPr>
              <w:t>,</w:t>
            </w:r>
            <w:r w:rsidR="004241D6">
              <w:rPr>
                <w:rFonts w:ascii="Arial" w:hAnsi="Arial" w:cs="Arial"/>
                <w:color w:val="000000" w:themeColor="text1"/>
                <w:sz w:val="20"/>
                <w:szCs w:val="20"/>
              </w:rPr>
              <w:t>2</w:t>
            </w:r>
            <w:r w:rsidRPr="1A8E6423">
              <w:rPr>
                <w:rFonts w:ascii="Arial" w:hAnsi="Arial" w:cs="Arial"/>
                <w:color w:val="000000" w:themeColor="text1"/>
                <w:sz w:val="20"/>
                <w:szCs w:val="20"/>
                <w:lang w:val="sr-Cyrl-RS"/>
              </w:rPr>
              <w:t>%</w:t>
            </w:r>
          </w:p>
        </w:tc>
        <w:tc>
          <w:tcPr>
            <w:tcW w:w="1843" w:type="dxa"/>
            <w:shd w:val="clear" w:color="auto" w:fill="FFFFFF" w:themeFill="background1"/>
            <w:vAlign w:val="center"/>
          </w:tcPr>
          <w:p w14:paraId="2997636E" w14:textId="35AB08AE" w:rsidR="00145447" w:rsidRPr="00A021B7" w:rsidRDefault="00145447" w:rsidP="00145447">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1</w:t>
            </w:r>
            <w:r w:rsidR="004241D6">
              <w:rPr>
                <w:rFonts w:ascii="Arial" w:hAnsi="Arial" w:cs="Arial"/>
                <w:color w:val="000000" w:themeColor="text1"/>
                <w:sz w:val="20"/>
                <w:szCs w:val="20"/>
              </w:rPr>
              <w:t>1.7</w:t>
            </w:r>
            <w:r w:rsidRPr="00A021B7">
              <w:rPr>
                <w:rFonts w:ascii="Arial" w:hAnsi="Arial" w:cs="Arial"/>
                <w:color w:val="000000" w:themeColor="text1"/>
                <w:sz w:val="20"/>
                <w:szCs w:val="20"/>
                <w:lang w:val="sr-Cyrl-RS"/>
              </w:rPr>
              <w:t>%</w:t>
            </w:r>
          </w:p>
        </w:tc>
        <w:tc>
          <w:tcPr>
            <w:tcW w:w="1765" w:type="dxa"/>
            <w:shd w:val="clear" w:color="auto" w:fill="FFFFFF" w:themeFill="background1"/>
            <w:vAlign w:val="center"/>
          </w:tcPr>
          <w:p w14:paraId="2FCE3C18" w14:textId="7D78BABF" w:rsidR="00145447" w:rsidRPr="00A021B7" w:rsidRDefault="00145447" w:rsidP="00145447">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1</w:t>
            </w:r>
            <w:r w:rsidR="004241D6">
              <w:rPr>
                <w:rFonts w:ascii="Arial" w:hAnsi="Arial" w:cs="Arial"/>
                <w:color w:val="000000" w:themeColor="text1"/>
                <w:sz w:val="20"/>
                <w:szCs w:val="20"/>
              </w:rPr>
              <w:t>2,3</w:t>
            </w:r>
            <w:r w:rsidRPr="00A021B7">
              <w:rPr>
                <w:rFonts w:ascii="Arial" w:hAnsi="Arial" w:cs="Arial"/>
                <w:color w:val="000000" w:themeColor="text1"/>
                <w:sz w:val="20"/>
                <w:szCs w:val="20"/>
                <w:lang w:val="sr-Cyrl-RS"/>
              </w:rPr>
              <w:t>%</w:t>
            </w:r>
          </w:p>
        </w:tc>
      </w:tr>
      <w:tr w:rsidR="00145447" w:rsidRPr="00A021B7" w14:paraId="1AABE1DA" w14:textId="77777777" w:rsidTr="1A8E6423">
        <w:trPr>
          <w:trHeight w:val="160"/>
          <w:jc w:val="center"/>
        </w:trPr>
        <w:tc>
          <w:tcPr>
            <w:tcW w:w="2990" w:type="dxa"/>
            <w:shd w:val="clear" w:color="auto" w:fill="FFC000" w:themeFill="accent4"/>
          </w:tcPr>
          <w:p w14:paraId="6C1EF536" w14:textId="77777777" w:rsidR="00145447" w:rsidRPr="00A021B7" w:rsidRDefault="00145447" w:rsidP="00145447">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Процена успешности</w:t>
            </w:r>
          </w:p>
        </w:tc>
        <w:tc>
          <w:tcPr>
            <w:tcW w:w="10683" w:type="dxa"/>
            <w:gridSpan w:val="5"/>
            <w:shd w:val="clear" w:color="auto" w:fill="FFFFFF" w:themeFill="background1"/>
          </w:tcPr>
          <w:p w14:paraId="7AB20662" w14:textId="1BA132CA" w:rsidR="00145447" w:rsidRPr="00A021B7" w:rsidRDefault="00145447" w:rsidP="00145447">
            <w:pPr>
              <w:jc w:val="both"/>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 xml:space="preserve">Прихватљиво је одступање до </w:t>
            </w:r>
            <w:r w:rsidR="004241D6">
              <w:rPr>
                <w:rFonts w:ascii="Arial" w:hAnsi="Arial" w:cs="Arial"/>
                <w:color w:val="000000" w:themeColor="text1"/>
                <w:sz w:val="20"/>
                <w:szCs w:val="20"/>
              </w:rPr>
              <w:t xml:space="preserve">0.5 </w:t>
            </w:r>
            <w:r w:rsidRPr="00A021B7">
              <w:rPr>
                <w:rFonts w:ascii="Arial" w:hAnsi="Arial" w:cs="Arial"/>
                <w:color w:val="000000" w:themeColor="text1"/>
                <w:sz w:val="20"/>
                <w:szCs w:val="20"/>
                <w:lang w:val="sr-Cyrl-RS"/>
              </w:rPr>
              <w:t>% од циљане процентуалне вредности.</w:t>
            </w:r>
          </w:p>
        </w:tc>
      </w:tr>
    </w:tbl>
    <w:p w14:paraId="6F15FF94" w14:textId="77777777" w:rsidR="00DE77AF" w:rsidRPr="00A021B7" w:rsidRDefault="00DE77AF" w:rsidP="00DE77AF">
      <w:pPr>
        <w:rPr>
          <w:rFonts w:ascii="Arial" w:hAnsi="Arial" w:cs="Arial"/>
          <w:b/>
          <w:bCs/>
          <w:color w:val="FFC000"/>
          <w:sz w:val="20"/>
          <w:szCs w:val="20"/>
          <w:lang w:val="sr-Cyrl-RS"/>
        </w:rPr>
      </w:pPr>
    </w:p>
    <w:tbl>
      <w:tblPr>
        <w:tblW w:w="13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2138"/>
        <w:gridCol w:w="2551"/>
        <w:gridCol w:w="2552"/>
        <w:gridCol w:w="1842"/>
        <w:gridCol w:w="1624"/>
      </w:tblGrid>
      <w:tr w:rsidR="00DE77AF" w:rsidRPr="00A021B7" w14:paraId="3B2E105B" w14:textId="77777777" w:rsidTr="1A8E6423">
        <w:trPr>
          <w:jc w:val="center"/>
        </w:trPr>
        <w:tc>
          <w:tcPr>
            <w:tcW w:w="2966" w:type="dxa"/>
            <w:shd w:val="clear" w:color="auto" w:fill="D9D9D9" w:themeFill="background1" w:themeFillShade="D9"/>
          </w:tcPr>
          <w:p w14:paraId="39FAD577" w14:textId="77777777" w:rsidR="00DE77AF" w:rsidRPr="00A021B7" w:rsidRDefault="00DE77AF" w:rsidP="00CB0C2B">
            <w:pPr>
              <w:rPr>
                <w:rFonts w:ascii="Arial" w:hAnsi="Arial" w:cs="Arial"/>
                <w:b/>
                <w:bCs/>
                <w:color w:val="000000" w:themeColor="text1"/>
                <w:sz w:val="20"/>
                <w:szCs w:val="20"/>
                <w:lang w:val="sr-Cyrl-RS"/>
              </w:rPr>
            </w:pPr>
          </w:p>
          <w:p w14:paraId="66DC0414"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показатеља</w:t>
            </w:r>
          </w:p>
        </w:tc>
        <w:tc>
          <w:tcPr>
            <w:tcW w:w="10707" w:type="dxa"/>
            <w:gridSpan w:val="5"/>
            <w:shd w:val="clear" w:color="auto" w:fill="D9D9D9" w:themeFill="background1" w:themeFillShade="D9"/>
          </w:tcPr>
          <w:p w14:paraId="219568E8" w14:textId="77777777" w:rsidR="00DE77AF" w:rsidRPr="00A021B7" w:rsidRDefault="00DE77AF" w:rsidP="00CB0C2B">
            <w:pPr>
              <w:jc w:val="both"/>
              <w:rPr>
                <w:rFonts w:ascii="Arial" w:hAnsi="Arial" w:cs="Arial"/>
                <w:b/>
                <w:color w:val="000000" w:themeColor="text1"/>
                <w:sz w:val="20"/>
                <w:szCs w:val="20"/>
                <w:lang w:val="sr-Cyrl-RS"/>
              </w:rPr>
            </w:pPr>
          </w:p>
          <w:p w14:paraId="7BE6467F" w14:textId="77777777" w:rsidR="00DE77AF" w:rsidRPr="00A021B7" w:rsidRDefault="00DE77AF" w:rsidP="00CB0C2B">
            <w:pPr>
              <w:jc w:val="both"/>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 xml:space="preserve">Удео капиталних издатака у укупним издацима локалне самоуправе </w:t>
            </w:r>
          </w:p>
          <w:p w14:paraId="4C2B7B82" w14:textId="77777777" w:rsidR="00DE77AF" w:rsidRPr="00A021B7" w:rsidRDefault="00DE77AF" w:rsidP="00CB0C2B">
            <w:pPr>
              <w:jc w:val="both"/>
              <w:rPr>
                <w:rFonts w:ascii="Arial" w:hAnsi="Arial" w:cs="Arial"/>
                <w:b/>
                <w:color w:val="000000" w:themeColor="text1"/>
                <w:sz w:val="20"/>
                <w:szCs w:val="20"/>
                <w:lang w:val="sr-Cyrl-RS"/>
              </w:rPr>
            </w:pPr>
          </w:p>
        </w:tc>
      </w:tr>
      <w:tr w:rsidR="00DE77AF" w:rsidRPr="00A021B7" w14:paraId="3426F943" w14:textId="77777777" w:rsidTr="1A8E6423">
        <w:trPr>
          <w:jc w:val="center"/>
        </w:trPr>
        <w:tc>
          <w:tcPr>
            <w:tcW w:w="2966" w:type="dxa"/>
            <w:shd w:val="clear" w:color="auto" w:fill="FFC000" w:themeFill="accent4"/>
          </w:tcPr>
          <w:p w14:paraId="71363CA3"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Одговарајући општи, посебни циљ или мера</w:t>
            </w:r>
          </w:p>
        </w:tc>
        <w:tc>
          <w:tcPr>
            <w:tcW w:w="10707" w:type="dxa"/>
            <w:gridSpan w:val="5"/>
            <w:shd w:val="clear" w:color="auto" w:fill="FFFFFF" w:themeFill="background1"/>
          </w:tcPr>
          <w:p w14:paraId="48C1214A" w14:textId="1DC0BFBE" w:rsidR="00DE77AF" w:rsidRPr="00A021B7" w:rsidRDefault="00DE77AF" w:rsidP="00CB0C2B">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Унапређењ</w:t>
            </w:r>
            <w:r w:rsidR="50A506AC" w:rsidRPr="1A8E6423">
              <w:rPr>
                <w:rFonts w:ascii="Arial" w:hAnsi="Arial" w:cs="Arial"/>
                <w:color w:val="000000" w:themeColor="text1"/>
                <w:sz w:val="20"/>
                <w:szCs w:val="20"/>
                <w:lang w:val="sr-Cyrl-RS"/>
              </w:rPr>
              <w:t>е</w:t>
            </w:r>
            <w:r w:rsidRPr="1A8E6423">
              <w:rPr>
                <w:rFonts w:ascii="Arial" w:hAnsi="Arial" w:cs="Arial"/>
                <w:color w:val="000000" w:themeColor="text1"/>
                <w:sz w:val="20"/>
                <w:szCs w:val="20"/>
                <w:lang w:val="sr-Cyrl-RS"/>
              </w:rPr>
              <w:t xml:space="preserve"> система финансирања који омогућава адекватно и предвидиво финансирање локалне самоуправе</w:t>
            </w:r>
          </w:p>
        </w:tc>
      </w:tr>
      <w:tr w:rsidR="00DE77AF" w:rsidRPr="00A021B7" w14:paraId="4623608F" w14:textId="77777777" w:rsidTr="1A8E6423">
        <w:trPr>
          <w:jc w:val="center"/>
        </w:trPr>
        <w:tc>
          <w:tcPr>
            <w:tcW w:w="2966" w:type="dxa"/>
            <w:shd w:val="clear" w:color="auto" w:fill="FFC000" w:themeFill="accent4"/>
          </w:tcPr>
          <w:p w14:paraId="56354FF6"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color w:val="000000" w:themeColor="text1"/>
                <w:kern w:val="24"/>
                <w:sz w:val="20"/>
                <w:szCs w:val="20"/>
                <w:lang w:val="sr-Cyrl-RS"/>
              </w:rPr>
              <w:t>Тип и ниво показатеља</w:t>
            </w:r>
          </w:p>
        </w:tc>
        <w:tc>
          <w:tcPr>
            <w:tcW w:w="7241" w:type="dxa"/>
            <w:gridSpan w:val="3"/>
            <w:shd w:val="clear" w:color="auto" w:fill="FFFFFF" w:themeFill="background1"/>
          </w:tcPr>
          <w:p w14:paraId="56497B4A" w14:textId="6A793E77" w:rsidR="00DE77AF" w:rsidRPr="00A021B7" w:rsidRDefault="50A506AC" w:rsidP="1A8E6423">
            <w:pPr>
              <w:tabs>
                <w:tab w:val="left" w:pos="182"/>
              </w:tabs>
              <w:rPr>
                <w:rFonts w:ascii="Arial" w:hAnsi="Arial" w:cs="Arial"/>
                <w:color w:val="000000" w:themeColor="text1"/>
                <w:kern w:val="24"/>
                <w:sz w:val="20"/>
                <w:szCs w:val="20"/>
                <w:lang w:val="sr-Cyrl-RS"/>
              </w:rPr>
            </w:pPr>
            <w:r w:rsidRPr="1A8E6423">
              <w:rPr>
                <w:rFonts w:ascii="Arial" w:hAnsi="Arial" w:cs="Arial"/>
                <w:color w:val="000000" w:themeColor="text1"/>
                <w:kern w:val="24"/>
                <w:sz w:val="20"/>
                <w:szCs w:val="20"/>
                <w:lang w:val="sr-Cyrl-RS"/>
              </w:rPr>
              <w:t>Квалитативни</w:t>
            </w:r>
            <w:r w:rsidR="00DE77AF" w:rsidRPr="1A8E6423">
              <w:rPr>
                <w:rFonts w:ascii="Arial" w:hAnsi="Arial" w:cs="Arial"/>
                <w:color w:val="000000" w:themeColor="text1"/>
                <w:kern w:val="24"/>
                <w:sz w:val="20"/>
                <w:szCs w:val="20"/>
                <w:lang w:val="sr-Cyrl-RS"/>
              </w:rPr>
              <w:t xml:space="preserve"> и квантитативни</w:t>
            </w:r>
          </w:p>
        </w:tc>
        <w:tc>
          <w:tcPr>
            <w:tcW w:w="3466" w:type="dxa"/>
            <w:gridSpan w:val="2"/>
            <w:shd w:val="clear" w:color="auto" w:fill="FFFFFF" w:themeFill="background1"/>
          </w:tcPr>
          <w:p w14:paraId="5C0BA770" w14:textId="77777777" w:rsidR="00DE77AF" w:rsidRPr="00A021B7" w:rsidRDefault="00DE77AF" w:rsidP="00CB0C2B">
            <w:pPr>
              <w:jc w:val="both"/>
              <w:rPr>
                <w:rFonts w:ascii="Arial" w:hAnsi="Arial" w:cs="Arial"/>
                <w:bCs/>
                <w:color w:val="000000" w:themeColor="text1"/>
                <w:kern w:val="24"/>
                <w:sz w:val="20"/>
                <w:szCs w:val="20"/>
                <w:lang w:val="sr-Cyrl-RS"/>
              </w:rPr>
            </w:pPr>
            <w:r w:rsidRPr="00A021B7">
              <w:rPr>
                <w:rFonts w:ascii="Arial" w:hAnsi="Arial" w:cs="Arial"/>
                <w:bCs/>
                <w:color w:val="000000" w:themeColor="text1"/>
                <w:kern w:val="24"/>
                <w:sz w:val="20"/>
                <w:szCs w:val="20"/>
                <w:lang w:val="sr-Cyrl-RS"/>
              </w:rPr>
              <w:t>Показатељ на нивоу посебног циља</w:t>
            </w:r>
          </w:p>
        </w:tc>
      </w:tr>
      <w:tr w:rsidR="00DE77AF" w:rsidRPr="00A021B7" w14:paraId="474D9AA3" w14:textId="77777777" w:rsidTr="1A8E6423">
        <w:trPr>
          <w:trHeight w:val="373"/>
          <w:jc w:val="center"/>
        </w:trPr>
        <w:tc>
          <w:tcPr>
            <w:tcW w:w="2966" w:type="dxa"/>
            <w:shd w:val="clear" w:color="auto" w:fill="FFC000" w:themeFill="accent4"/>
          </w:tcPr>
          <w:p w14:paraId="563C24DD" w14:textId="77777777" w:rsidR="00DE77AF" w:rsidRPr="00A021B7" w:rsidRDefault="00DE77AF" w:rsidP="00CB0C2B">
            <w:pPr>
              <w:rPr>
                <w:rFonts w:ascii="Arial" w:hAnsi="Arial" w:cs="Arial"/>
                <w:b/>
                <w:color w:val="000000" w:themeColor="text1"/>
                <w:kern w:val="24"/>
                <w:sz w:val="20"/>
                <w:szCs w:val="20"/>
                <w:lang w:val="sr-Cyrl-RS"/>
              </w:rPr>
            </w:pPr>
            <w:r w:rsidRPr="00A021B7">
              <w:rPr>
                <w:rFonts w:ascii="Arial" w:hAnsi="Arial" w:cs="Arial"/>
                <w:b/>
                <w:color w:val="000000" w:themeColor="text1"/>
                <w:kern w:val="24"/>
                <w:sz w:val="20"/>
                <w:szCs w:val="20"/>
                <w:lang w:val="sr-Cyrl-RS"/>
              </w:rPr>
              <w:t>Јединица мере и природа</w:t>
            </w:r>
          </w:p>
        </w:tc>
        <w:tc>
          <w:tcPr>
            <w:tcW w:w="7241" w:type="dxa"/>
            <w:gridSpan w:val="3"/>
            <w:shd w:val="clear" w:color="auto" w:fill="FFFFFF" w:themeFill="background1"/>
          </w:tcPr>
          <w:p w14:paraId="5C5F2719" w14:textId="343C77E2" w:rsidR="00DE77AF" w:rsidRPr="00A021B7" w:rsidRDefault="3AEE16D1" w:rsidP="00CB0C2B">
            <w:pPr>
              <w:tabs>
                <w:tab w:val="left" w:pos="182"/>
              </w:tabs>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 xml:space="preserve">% </w:t>
            </w:r>
            <w:r w:rsidR="50A506AC" w:rsidRPr="1A8E6423">
              <w:rPr>
                <w:rFonts w:ascii="Arial" w:hAnsi="Arial" w:cs="Arial"/>
                <w:color w:val="000000" w:themeColor="text1"/>
                <w:kern w:val="24"/>
                <w:sz w:val="20"/>
                <w:szCs w:val="20"/>
                <w:lang w:val="sr-Cyrl-RS"/>
              </w:rPr>
              <w:t>у</w:t>
            </w:r>
            <w:r w:rsidR="00DE77AF" w:rsidRPr="1A8E6423">
              <w:rPr>
                <w:rFonts w:ascii="Arial" w:hAnsi="Arial" w:cs="Arial"/>
                <w:color w:val="000000" w:themeColor="text1"/>
                <w:kern w:val="24"/>
                <w:sz w:val="20"/>
                <w:szCs w:val="20"/>
                <w:lang w:val="sr-Cyrl-RS"/>
              </w:rPr>
              <w:t>чешћ</w:t>
            </w:r>
            <w:r w:rsidR="50A506AC" w:rsidRPr="1A8E6423">
              <w:rPr>
                <w:rFonts w:ascii="Arial" w:hAnsi="Arial" w:cs="Arial"/>
                <w:color w:val="000000" w:themeColor="text1"/>
                <w:kern w:val="24"/>
                <w:sz w:val="20"/>
                <w:szCs w:val="20"/>
                <w:lang w:val="sr-Cyrl-RS"/>
              </w:rPr>
              <w:t>а</w:t>
            </w:r>
            <w:r w:rsidR="00DE77AF" w:rsidRPr="1A8E6423">
              <w:rPr>
                <w:rFonts w:ascii="Arial" w:hAnsi="Arial" w:cs="Arial"/>
                <w:color w:val="000000" w:themeColor="text1"/>
                <w:kern w:val="24"/>
                <w:sz w:val="20"/>
                <w:szCs w:val="20"/>
                <w:lang w:val="sr-Cyrl-RS"/>
              </w:rPr>
              <w:t xml:space="preserve"> капиталних издатака у укупним издацима локалне самоуправе</w:t>
            </w:r>
          </w:p>
        </w:tc>
        <w:tc>
          <w:tcPr>
            <w:tcW w:w="3466" w:type="dxa"/>
            <w:gridSpan w:val="2"/>
            <w:shd w:val="clear" w:color="auto" w:fill="FFFFFF" w:themeFill="background1"/>
          </w:tcPr>
          <w:p w14:paraId="496BCABD" w14:textId="77777777" w:rsidR="00DE77AF" w:rsidRPr="00A021B7" w:rsidRDefault="00DE77AF" w:rsidP="00CB0C2B">
            <w:pPr>
              <w:pStyle w:val="NormalWeb"/>
              <w:spacing w:before="0" w:beforeAutospacing="0" w:after="0" w:afterAutospacing="0"/>
              <w:jc w:val="both"/>
              <w:rPr>
                <w:rFonts w:ascii="Arial" w:eastAsia="Arial" w:hAnsi="Arial" w:cs="Arial"/>
                <w:color w:val="000000" w:themeColor="text1"/>
                <w:spacing w:val="-1"/>
                <w:kern w:val="24"/>
                <w:sz w:val="20"/>
                <w:szCs w:val="20"/>
                <w:lang w:val="sr-Cyrl-RS"/>
              </w:rPr>
            </w:pPr>
            <w:r w:rsidRPr="00A021B7">
              <w:rPr>
                <w:rFonts w:ascii="Arial" w:eastAsia="Arial" w:hAnsi="Arial" w:cs="Arial"/>
                <w:color w:val="000000" w:themeColor="text1"/>
                <w:spacing w:val="-1"/>
                <w:kern w:val="24"/>
                <w:sz w:val="20"/>
                <w:szCs w:val="20"/>
                <w:lang w:val="sr-Cyrl-RS"/>
              </w:rPr>
              <w:t>Пожељна је већа вредност</w:t>
            </w:r>
          </w:p>
        </w:tc>
      </w:tr>
      <w:tr w:rsidR="00DE77AF" w:rsidRPr="00A021B7" w14:paraId="0085385A" w14:textId="77777777" w:rsidTr="1A8E6423">
        <w:trPr>
          <w:jc w:val="center"/>
        </w:trPr>
        <w:tc>
          <w:tcPr>
            <w:tcW w:w="2966" w:type="dxa"/>
            <w:shd w:val="clear" w:color="auto" w:fill="FFC000" w:themeFill="accent4"/>
          </w:tcPr>
          <w:p w14:paraId="0732413A"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Извор података за праћење показатеља учинка</w:t>
            </w:r>
          </w:p>
        </w:tc>
        <w:tc>
          <w:tcPr>
            <w:tcW w:w="10707" w:type="dxa"/>
            <w:gridSpan w:val="5"/>
            <w:shd w:val="clear" w:color="auto" w:fill="FFFFFF" w:themeFill="background1"/>
          </w:tcPr>
          <w:p w14:paraId="26A90643" w14:textId="77777777" w:rsidR="005B2EC6" w:rsidRDefault="005B2EC6" w:rsidP="005B2EC6">
            <w:pPr>
              <w:rPr>
                <w:rFonts w:ascii="Arial" w:eastAsiaTheme="minorEastAsia" w:hAnsi="Arial" w:cs="Arial"/>
                <w:color w:val="000000" w:themeColor="text1"/>
                <w:sz w:val="20"/>
                <w:szCs w:val="20"/>
                <w:lang w:val="sr-Cyrl-RS"/>
              </w:rPr>
            </w:pPr>
            <w:r w:rsidRPr="00FD6E8C">
              <w:rPr>
                <w:rFonts w:ascii="Arial" w:eastAsiaTheme="minorEastAsia" w:hAnsi="Arial" w:cs="Arial"/>
                <w:color w:val="000000" w:themeColor="text1"/>
                <w:sz w:val="20"/>
                <w:szCs w:val="20"/>
                <w:lang w:val="sr-Cyrl-RS"/>
              </w:rPr>
              <w:t>Подаци ИСИБ АП и ЈЛС</w:t>
            </w:r>
            <w:r>
              <w:rPr>
                <w:rFonts w:ascii="Arial" w:eastAsiaTheme="minorEastAsia" w:hAnsi="Arial" w:cs="Arial"/>
                <w:color w:val="000000" w:themeColor="text1"/>
                <w:sz w:val="20"/>
                <w:szCs w:val="20"/>
              </w:rPr>
              <w:t>.</w:t>
            </w:r>
            <w:r w:rsidRPr="1A8E6423">
              <w:rPr>
                <w:rFonts w:ascii="Arial" w:eastAsiaTheme="minorEastAsia" w:hAnsi="Arial" w:cs="Arial"/>
                <w:color w:val="000000" w:themeColor="text1"/>
                <w:sz w:val="20"/>
                <w:szCs w:val="20"/>
                <w:lang w:val="sr-Cyrl-RS"/>
              </w:rPr>
              <w:t xml:space="preserve"> </w:t>
            </w:r>
          </w:p>
          <w:p w14:paraId="2DFCF1AA" w14:textId="7E7F4D59" w:rsidR="00DE77AF" w:rsidRPr="00A021B7" w:rsidRDefault="00DE77AF" w:rsidP="1A8E6423">
            <w:pPr>
              <w:jc w:val="both"/>
              <w:rPr>
                <w:rFonts w:ascii="Arial" w:hAnsi="Arial" w:cs="Arial"/>
                <w:i/>
                <w:iCs/>
                <w:color w:val="000000" w:themeColor="text1"/>
                <w:sz w:val="20"/>
                <w:szCs w:val="20"/>
                <w:lang w:val="sr-Cyrl-RS"/>
              </w:rPr>
            </w:pPr>
            <w:r w:rsidRPr="1A8E6423">
              <w:rPr>
                <w:rFonts w:ascii="Arial" w:hAnsi="Arial" w:cs="Arial"/>
                <w:color w:val="000000" w:themeColor="text1"/>
                <w:sz w:val="20"/>
                <w:szCs w:val="20"/>
                <w:lang w:val="sr-Cyrl-RS"/>
              </w:rPr>
              <w:t xml:space="preserve">Подаци из </w:t>
            </w:r>
            <w:r w:rsidRPr="1A8E6423">
              <w:rPr>
                <w:rFonts w:ascii="Arial" w:hAnsi="Arial" w:cs="Arial"/>
                <w:i/>
                <w:iCs/>
                <w:color w:val="000000" w:themeColor="text1"/>
                <w:sz w:val="20"/>
                <w:szCs w:val="20"/>
                <w:lang w:val="sr-Cyrl-RS"/>
              </w:rPr>
              <w:t>Месечног билтена јавних финансија</w:t>
            </w:r>
          </w:p>
          <w:p w14:paraId="5BCFC4F2" w14:textId="6091EA78" w:rsidR="00DE77AF" w:rsidRPr="00A021B7" w:rsidRDefault="00DE77AF" w:rsidP="00CB0C2B">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Подаци Управе за трезор Министарства финансија</w:t>
            </w:r>
          </w:p>
          <w:p w14:paraId="4CC36EFA" w14:textId="0ECFF651" w:rsidR="00DE77AF" w:rsidRPr="00A021B7" w:rsidRDefault="00DE77AF" w:rsidP="00CB0C2B">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Подаци из аналитичког сервиса ЈЛС, МДУЛС и РСЈП</w:t>
            </w:r>
            <w:r w:rsidR="50A506AC"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w:t>
            </w:r>
            <w:hyperlink r:id="rId37">
              <w:r w:rsidRPr="1A8E6423">
                <w:rPr>
                  <w:rStyle w:val="Hyperlink"/>
                  <w:rFonts w:ascii="Arial" w:hAnsi="Arial" w:cs="Arial"/>
                  <w:color w:val="000000" w:themeColor="text1"/>
                  <w:sz w:val="20"/>
                  <w:szCs w:val="20"/>
                  <w:lang w:val="sr-Cyrl-RS"/>
                </w:rPr>
                <w:t>https://rsjp.gov.rs/jls-baza/</w:t>
              </w:r>
            </w:hyperlink>
          </w:p>
        </w:tc>
      </w:tr>
      <w:tr w:rsidR="00DE77AF" w:rsidRPr="00A021B7" w14:paraId="436E7E7C" w14:textId="77777777" w:rsidTr="1A8E6423">
        <w:trPr>
          <w:jc w:val="center"/>
        </w:trPr>
        <w:tc>
          <w:tcPr>
            <w:tcW w:w="2966" w:type="dxa"/>
            <w:shd w:val="clear" w:color="auto" w:fill="FFC000" w:themeFill="accent4"/>
          </w:tcPr>
          <w:p w14:paraId="11CF8BC5"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носиоца прикупљања података</w:t>
            </w:r>
          </w:p>
        </w:tc>
        <w:tc>
          <w:tcPr>
            <w:tcW w:w="10707" w:type="dxa"/>
            <w:gridSpan w:val="5"/>
            <w:shd w:val="clear" w:color="auto" w:fill="FFFFFF" w:themeFill="background1"/>
          </w:tcPr>
          <w:p w14:paraId="6231CB73" w14:textId="77777777" w:rsidR="00DE77AF" w:rsidRPr="0065691F" w:rsidRDefault="00DE77AF" w:rsidP="00CB0C2B">
            <w:pPr>
              <w:rPr>
                <w:rFonts w:ascii="Arial" w:hAnsi="Arial" w:cs="Arial"/>
                <w:sz w:val="20"/>
                <w:szCs w:val="20"/>
              </w:rPr>
            </w:pPr>
            <w:r w:rsidRPr="0065691F">
              <w:rPr>
                <w:rFonts w:ascii="Arial" w:hAnsi="Arial" w:cs="Arial"/>
                <w:sz w:val="20"/>
                <w:szCs w:val="20"/>
                <w:lang w:val="sr-Cyrl-RS"/>
              </w:rPr>
              <w:t>Министарство финансија, име и презиме, контакт</w:t>
            </w:r>
          </w:p>
          <w:p w14:paraId="2B56D9AD" w14:textId="77777777" w:rsidR="00DE77AF" w:rsidRPr="00A021B7" w:rsidRDefault="00DE77AF" w:rsidP="00CB0C2B">
            <w:pPr>
              <w:jc w:val="both"/>
              <w:rPr>
                <w:rFonts w:ascii="Arial" w:hAnsi="Arial" w:cs="Arial"/>
                <w:color w:val="000000" w:themeColor="text1"/>
                <w:sz w:val="20"/>
                <w:szCs w:val="20"/>
                <w:lang w:val="sr-Cyrl-RS"/>
              </w:rPr>
            </w:pPr>
          </w:p>
          <w:p w14:paraId="3DE98A61" w14:textId="725DF376" w:rsidR="00DE77AF" w:rsidRPr="00A021B7" w:rsidRDefault="00DE77AF" w:rsidP="1A8E6423">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СКГО, Милена Радомировић, </w:t>
            </w:r>
            <w:hyperlink r:id="rId38">
              <w:r w:rsidRPr="1A8E6423">
                <w:rPr>
                  <w:rStyle w:val="Hyperlink"/>
                  <w:rFonts w:ascii="Arial" w:hAnsi="Arial" w:cs="Arial"/>
                  <w:sz w:val="20"/>
                  <w:szCs w:val="20"/>
                  <w:lang w:val="sr-Cyrl-RS"/>
                </w:rPr>
                <w:t>milena.radomirovic@skgo.org</w:t>
              </w:r>
            </w:hyperlink>
          </w:p>
        </w:tc>
      </w:tr>
      <w:tr w:rsidR="00DE77AF" w:rsidRPr="00A021B7" w14:paraId="7C8DE325" w14:textId="77777777" w:rsidTr="1A8E6423">
        <w:trPr>
          <w:jc w:val="center"/>
        </w:trPr>
        <w:tc>
          <w:tcPr>
            <w:tcW w:w="2966" w:type="dxa"/>
            <w:shd w:val="clear" w:color="auto" w:fill="FFC000" w:themeFill="accent4"/>
          </w:tcPr>
          <w:p w14:paraId="00F72D53"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Учесталост прикупљања података</w:t>
            </w:r>
          </w:p>
        </w:tc>
        <w:tc>
          <w:tcPr>
            <w:tcW w:w="10707" w:type="dxa"/>
            <w:gridSpan w:val="5"/>
            <w:shd w:val="clear" w:color="auto" w:fill="FFFFFF" w:themeFill="background1"/>
          </w:tcPr>
          <w:p w14:paraId="25926733" w14:textId="57531258" w:rsidR="00DE77AF" w:rsidRPr="00A021B7" w:rsidRDefault="00DE77AF" w:rsidP="00CB0C2B">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Подаци се прикупљају до 30. септембра текуће године за претходну.</w:t>
            </w:r>
          </w:p>
        </w:tc>
      </w:tr>
      <w:tr w:rsidR="00DE77AF" w:rsidRPr="00A021B7" w14:paraId="702BF0FC" w14:textId="77777777" w:rsidTr="1A8E6423">
        <w:trPr>
          <w:jc w:val="center"/>
        </w:trPr>
        <w:tc>
          <w:tcPr>
            <w:tcW w:w="2966" w:type="dxa"/>
            <w:shd w:val="clear" w:color="auto" w:fill="FFC000" w:themeFill="accent4"/>
          </w:tcPr>
          <w:p w14:paraId="6A50030E" w14:textId="77777777" w:rsidR="00DE77AF" w:rsidRPr="00A021B7" w:rsidRDefault="00DE77AF" w:rsidP="00CB0C2B">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Кратак опис показатеља и методологије израчунавања</w:t>
            </w:r>
          </w:p>
          <w:p w14:paraId="1A921504" w14:textId="6C1DA5EB"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color w:val="000000" w:themeColor="text1"/>
                <w:sz w:val="20"/>
                <w:szCs w:val="20"/>
                <w:lang w:val="sr-Cyrl-RS"/>
              </w:rPr>
              <w:t>(формуле/једначине)</w:t>
            </w:r>
          </w:p>
        </w:tc>
        <w:tc>
          <w:tcPr>
            <w:tcW w:w="10707" w:type="dxa"/>
            <w:gridSpan w:val="5"/>
            <w:shd w:val="clear" w:color="auto" w:fill="FFFFFF" w:themeFill="background1"/>
          </w:tcPr>
          <w:p w14:paraId="713D07A0" w14:textId="57836E2D" w:rsidR="00DE77AF" w:rsidRPr="00A021B7" w:rsidRDefault="00DE77AF" w:rsidP="00CB0C2B">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Овај показатељ показује степен учешћа капиталних издатака у издацима локалне самоуправе. </w:t>
            </w:r>
            <w:r w:rsidR="50A506AC" w:rsidRPr="1A8E6423">
              <w:rPr>
                <w:rFonts w:ascii="Arial" w:hAnsi="Arial" w:cs="Arial"/>
                <w:color w:val="000000" w:themeColor="text1"/>
                <w:sz w:val="20"/>
                <w:szCs w:val="20"/>
                <w:lang w:val="sr-Cyrl-RS"/>
              </w:rPr>
              <w:t>С обзиром на то</w:t>
            </w:r>
            <w:r w:rsidRPr="1A8E6423">
              <w:rPr>
                <w:rFonts w:ascii="Arial" w:hAnsi="Arial" w:cs="Arial"/>
                <w:color w:val="000000" w:themeColor="text1"/>
                <w:sz w:val="20"/>
                <w:szCs w:val="20"/>
                <w:lang w:val="sr-Cyrl-RS"/>
              </w:rPr>
              <w:t xml:space="preserve"> да је једна од кључних функција локалне самоуправе развој локалне комуналне и социјалне инфраструктуре (у образовању, социјалној заштити, култури, спорту, омладинској политици и др.) одређени ниво удела капиталних издатака у локалном буџету указује на сврсисходност употребе прикупљених локалних прихода. Овај показатељ се израчунава тако што се укупан износ капиталних издатака подели укупним износом издатака локалне самоуправе.</w:t>
            </w:r>
          </w:p>
          <w:p w14:paraId="4D5A88C6" w14:textId="77777777" w:rsidR="00DE77AF" w:rsidRPr="00A021B7" w:rsidRDefault="00DE77AF" w:rsidP="00CB0C2B">
            <w:pPr>
              <w:rPr>
                <w:rFonts w:ascii="Arial" w:eastAsiaTheme="minorHAnsi" w:hAnsi="Arial" w:cs="Arial"/>
                <w:b/>
                <w:color w:val="000000" w:themeColor="text1"/>
                <w:sz w:val="20"/>
                <w:szCs w:val="20"/>
                <w:lang w:val="sr-Cyrl-RS"/>
              </w:rPr>
            </w:pPr>
            <w:r w:rsidRPr="00A021B7">
              <w:rPr>
                <w:rFonts w:ascii="Arial" w:eastAsiaTheme="minorHAnsi" w:hAnsi="Arial" w:cs="Arial"/>
                <w:b/>
                <w:color w:val="000000" w:themeColor="text1"/>
                <w:sz w:val="20"/>
                <w:szCs w:val="20"/>
                <w:lang w:val="sr-Cyrl-RS"/>
              </w:rPr>
              <w:t xml:space="preserve">                                                                 ФОРМУЛА/ЈЕДНАЧИНА</w:t>
            </w:r>
          </w:p>
          <w:p w14:paraId="253DF351" w14:textId="1B7E74EC" w:rsidR="00DE77AF" w:rsidRPr="00A021B7" w:rsidRDefault="00CC3BA7" w:rsidP="00CB0C2B">
            <w:pPr>
              <w:jc w:val="both"/>
              <w:rPr>
                <w:rFonts w:ascii="Arial" w:hAnsi="Arial" w:cs="Arial"/>
                <w:color w:val="000000" w:themeColor="text1"/>
                <w:sz w:val="20"/>
                <w:szCs w:val="20"/>
                <w:lang w:val="sr-Cyrl-RS"/>
              </w:rPr>
            </w:pPr>
            <w:r w:rsidRPr="00A021B7">
              <w:rPr>
                <w:rFonts w:ascii="Arial" w:hAnsi="Arial" w:cs="Arial"/>
                <w:noProof/>
                <w:color w:val="000000" w:themeColor="text1"/>
                <w:sz w:val="20"/>
                <w:szCs w:val="20"/>
                <w:lang w:eastAsia="en-US"/>
              </w:rPr>
              <mc:AlternateContent>
                <mc:Choice Requires="wps">
                  <w:drawing>
                    <wp:anchor distT="0" distB="0" distL="114300" distR="114300" simplePos="0" relativeHeight="251658247" behindDoc="0" locked="0" layoutInCell="1" allowOverlap="1" wp14:anchorId="09731173" wp14:editId="649BEB5E">
                      <wp:simplePos x="0" y="0"/>
                      <wp:positionH relativeFrom="column">
                        <wp:posOffset>2090420</wp:posOffset>
                      </wp:positionH>
                      <wp:positionV relativeFrom="paragraph">
                        <wp:posOffset>52070</wp:posOffset>
                      </wp:positionV>
                      <wp:extent cx="2638425" cy="264816"/>
                      <wp:effectExtent l="0" t="0" r="0" b="0"/>
                      <wp:wrapNone/>
                      <wp:docPr id="15" name="TextBox 2"/>
                      <wp:cNvGraphicFramePr/>
                      <a:graphic xmlns:a="http://schemas.openxmlformats.org/drawingml/2006/main">
                        <a:graphicData uri="http://schemas.microsoft.com/office/word/2010/wordprocessingShape">
                          <wps:wsp>
                            <wps:cNvSpPr txBox="1"/>
                            <wps:spPr>
                              <a:xfrm>
                                <a:off x="0" y="0"/>
                                <a:ext cx="2638425" cy="26481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B41DA1" w14:textId="77777777" w:rsidR="007324B5" w:rsidRPr="004A3859" w:rsidRDefault="00FB2452" w:rsidP="00DE77AF">
                                  <w:pPr>
                                    <w:rPr>
                                      <w:rFonts w:asciiTheme="minorHAnsi" w:cstheme="minorBidi"/>
                                      <w:color w:val="000000" w:themeColor="text1"/>
                                      <w:lang w:val="sr-Latn-RS"/>
                                    </w:rPr>
                                  </w:pPr>
                                  <m:oMath>
                                    <m:f>
                                      <m:fPr>
                                        <m:ctrlPr>
                                          <w:rPr>
                                            <w:rFonts w:ascii="Cambria Math" w:eastAsiaTheme="minorEastAsia" w:hAnsi="Cambria Math" w:cstheme="minorBidi"/>
                                            <w:i/>
                                            <w:iCs/>
                                            <w:color w:val="000000" w:themeColor="text1"/>
                                            <w:sz w:val="28"/>
                                            <w:szCs w:val="28"/>
                                          </w:rPr>
                                        </m:ctrlPr>
                                      </m:fPr>
                                      <m:num>
                                        <m:r>
                                          <w:rPr>
                                            <w:rFonts w:ascii="Cambria Math" w:hAnsi="Cambria Math" w:cstheme="minorBidi"/>
                                            <w:color w:val="000000" w:themeColor="text1"/>
                                            <w:sz w:val="28"/>
                                            <w:szCs w:val="28"/>
                                            <w:lang w:val="sr-Latn-RS"/>
                                          </w:rPr>
                                          <m:t>Укупни капитални издаци ЈЛС</m:t>
                                        </m:r>
                                      </m:num>
                                      <m:den>
                                        <m:r>
                                          <w:rPr>
                                            <w:rFonts w:ascii="Cambria Math" w:hAnsi="Cambria Math" w:cstheme="minorBidi"/>
                                            <w:color w:val="000000" w:themeColor="text1"/>
                                            <w:sz w:val="28"/>
                                            <w:szCs w:val="28"/>
                                            <w:lang w:val="sr-Latn-RS"/>
                                          </w:rPr>
                                          <m:t>Укупни издаци ЈЛС</m:t>
                                        </m:r>
                                      </m:den>
                                    </m:f>
                                  </m:oMath>
                                  <w:r w:rsidR="007324B5">
                                    <w:rPr>
                                      <w:rFonts w:asciiTheme="minorHAnsi" w:cstheme="minorBidi"/>
                                      <w:color w:val="000000" w:themeColor="text1"/>
                                      <w:lang w:val="sr-Latn-RS"/>
                                    </w:rPr>
                                    <w:t xml:space="preserve"> </w:t>
                                  </w:r>
                                  <m:oMath>
                                    <m:r>
                                      <w:rPr>
                                        <w:rFonts w:ascii="Cambria Math" w:eastAsia="Cambria Math" w:hAnsi="Cambria Math" w:cstheme="minorBidi"/>
                                        <w:color w:val="000000" w:themeColor="text1"/>
                                        <w:lang w:val="sr-Latn-RS"/>
                                      </w:rPr>
                                      <m:t>×100</m:t>
                                    </m:r>
                                  </m:oMath>
                                </w:p>
                              </w:txbxContent>
                            </wps:txbx>
                            <wps:bodyPr vertOverflow="clip" horzOverflow="clip" wrap="square" lIns="0" tIns="0" rIns="0" bIns="0" rtlCol="0" anchor="t">
                              <a:spAutoFit/>
                            </wps:bodyPr>
                          </wps:wsp>
                        </a:graphicData>
                      </a:graphic>
                      <wp14:sizeRelH relativeFrom="margin">
                        <wp14:pctWidth>0</wp14:pctWidth>
                      </wp14:sizeRelH>
                    </wp:anchor>
                  </w:drawing>
                </mc:Choice>
                <mc:Fallback>
                  <w:pict>
                    <v:shape w14:anchorId="09731173" id="TextBox 2" o:spid="_x0000_s1028" type="#_x0000_t202" style="position:absolute;left:0;text-align:left;margin-left:164.6pt;margin-top:4.1pt;width:207.75pt;height:20.8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" filled="f" stroked="f">
                      <v:textbox style="mso-fit-shape-to-text:t" inset="0,0,0,0">
                        <w:txbxContent>
                          <w:p w14:paraId="5EB41DA1" w14:textId="77777777" w:rsidR="007324B5" w:rsidRPr="004A3859" w:rsidRDefault="007324B5" w:rsidP="00DE77AF">
                            <w:pPr>
                              <w:rPr>
                                <w:rFonts w:asciiTheme="minorHAnsi" w:cstheme="minorBidi"/>
                                <w:color w:val="000000" w:themeColor="text1"/>
                                <w:lang w:val="sr-Latn-RS"/>
                              </w:rPr>
                            </w:pPr>
                            <m:oMath>
                              <m:f>
                                <m:fPr>
                                  <m:ctrlPr>
                                    <w:rPr>
                                      <w:rFonts w:ascii="Cambria Math" w:eastAsiaTheme="minorEastAsia" w:hAnsi="Cambria Math" w:cstheme="minorBidi"/>
                                      <w:i/>
                                      <w:iCs/>
                                      <w:color w:val="000000" w:themeColor="text1"/>
                                      <w:sz w:val="28"/>
                                      <w:szCs w:val="28"/>
                                    </w:rPr>
                                  </m:ctrlPr>
                                </m:fPr>
                                <m:num>
                                  <m:r>
                                    <w:rPr>
                                      <w:rFonts w:ascii="Cambria Math" w:hAnsi="Cambria Math" w:cstheme="minorBidi"/>
                                      <w:color w:val="000000" w:themeColor="text1"/>
                                      <w:sz w:val="28"/>
                                      <w:szCs w:val="28"/>
                                      <w:lang w:val="sr-Latn-RS"/>
                                    </w:rPr>
                                    <m:t>Укупни капитални издаци ЈЛС</m:t>
                                  </m:r>
                                </m:num>
                                <m:den>
                                  <m:r>
                                    <w:rPr>
                                      <w:rFonts w:ascii="Cambria Math" w:hAnsi="Cambria Math" w:cstheme="minorBidi"/>
                                      <w:color w:val="000000" w:themeColor="text1"/>
                                      <w:sz w:val="28"/>
                                      <w:szCs w:val="28"/>
                                      <w:lang w:val="sr-Latn-RS"/>
                                    </w:rPr>
                                    <m:t>Укупни издаци ЈЛС</m:t>
                                  </m:r>
                                </m:den>
                              </m:f>
                            </m:oMath>
                            <w:r>
                              <w:rPr>
                                <w:rFonts w:asciiTheme="minorHAnsi" w:cstheme="minorBidi"/>
                                <w:color w:val="000000" w:themeColor="text1"/>
                                <w:lang w:val="sr-Latn-RS"/>
                              </w:rPr>
                              <w:t xml:space="preserve"> </w:t>
                            </w:r>
                            <m:oMath>
                              <m:r>
                                <w:rPr>
                                  <w:rFonts w:ascii="Cambria Math" w:eastAsia="Cambria Math" w:hAnsi="Cambria Math" w:cstheme="minorBidi"/>
                                  <w:color w:val="000000" w:themeColor="text1"/>
                                  <w:lang w:val="sr-Latn-RS"/>
                                </w:rPr>
                                <m:t>×100</m:t>
                              </m:r>
                            </m:oMath>
                          </w:p>
                        </w:txbxContent>
                      </v:textbox>
                    </v:shape>
                  </w:pict>
                </mc:Fallback>
              </mc:AlternateContent>
            </w:r>
          </w:p>
          <w:p w14:paraId="54AC26AB" w14:textId="3F50D815" w:rsidR="00DE77AF" w:rsidRPr="00A021B7" w:rsidRDefault="00DE77AF" w:rsidP="00CB0C2B">
            <w:pPr>
              <w:jc w:val="both"/>
              <w:rPr>
                <w:rFonts w:ascii="Arial" w:hAnsi="Arial" w:cs="Arial"/>
                <w:color w:val="000000" w:themeColor="text1"/>
                <w:sz w:val="20"/>
                <w:szCs w:val="20"/>
                <w:lang w:val="sr-Cyrl-RS"/>
              </w:rPr>
            </w:pPr>
          </w:p>
          <w:p w14:paraId="1B92F774" w14:textId="77777777" w:rsidR="00DE77AF" w:rsidRPr="00A021B7" w:rsidRDefault="00DE77AF" w:rsidP="00CB0C2B">
            <w:pPr>
              <w:jc w:val="both"/>
              <w:rPr>
                <w:rFonts w:ascii="Arial" w:hAnsi="Arial" w:cs="Arial"/>
                <w:color w:val="000000" w:themeColor="text1"/>
                <w:sz w:val="20"/>
                <w:szCs w:val="20"/>
                <w:lang w:val="sr-Cyrl-RS"/>
              </w:rPr>
            </w:pPr>
          </w:p>
        </w:tc>
      </w:tr>
      <w:tr w:rsidR="00DE77AF" w:rsidRPr="00A021B7" w14:paraId="13C174E1" w14:textId="77777777" w:rsidTr="1A8E6423">
        <w:trPr>
          <w:trHeight w:val="265"/>
          <w:jc w:val="center"/>
        </w:trPr>
        <w:tc>
          <w:tcPr>
            <w:tcW w:w="2966" w:type="dxa"/>
            <w:vMerge w:val="restart"/>
            <w:shd w:val="clear" w:color="auto" w:fill="FFC000" w:themeFill="accent4"/>
          </w:tcPr>
          <w:p w14:paraId="60C8D733" w14:textId="656203C0"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Подаци о полазној вредности и години кад је измерена, као и тренду у прошлости</w:t>
            </w:r>
          </w:p>
        </w:tc>
        <w:tc>
          <w:tcPr>
            <w:tcW w:w="9083" w:type="dxa"/>
            <w:gridSpan w:val="4"/>
            <w:tcBorders>
              <w:bottom w:val="single" w:sz="4" w:space="0" w:color="auto"/>
            </w:tcBorders>
            <w:shd w:val="clear" w:color="auto" w:fill="FFFFFF" w:themeFill="background1"/>
            <w:vAlign w:val="center"/>
          </w:tcPr>
          <w:p w14:paraId="13F4AFD9"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Тренд у прошлости</w:t>
            </w:r>
          </w:p>
        </w:tc>
        <w:tc>
          <w:tcPr>
            <w:tcW w:w="1624" w:type="dxa"/>
            <w:shd w:val="clear" w:color="auto" w:fill="FFFFFF" w:themeFill="background1"/>
            <w:vAlign w:val="center"/>
          </w:tcPr>
          <w:p w14:paraId="2D0AD606"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Полазна вредност</w:t>
            </w:r>
          </w:p>
        </w:tc>
      </w:tr>
      <w:tr w:rsidR="00DE77AF" w:rsidRPr="00A021B7" w14:paraId="2023E3D6" w14:textId="77777777" w:rsidTr="1A8E6423">
        <w:trPr>
          <w:trHeight w:val="137"/>
          <w:jc w:val="center"/>
        </w:trPr>
        <w:tc>
          <w:tcPr>
            <w:tcW w:w="2966" w:type="dxa"/>
            <w:vMerge/>
          </w:tcPr>
          <w:p w14:paraId="7FADA743" w14:textId="77777777" w:rsidR="00DE77AF" w:rsidRPr="00A021B7" w:rsidRDefault="00DE77AF" w:rsidP="00CB0C2B">
            <w:pPr>
              <w:rPr>
                <w:rFonts w:ascii="Arial" w:hAnsi="Arial" w:cs="Arial"/>
                <w:b/>
                <w:bCs/>
                <w:color w:val="000000" w:themeColor="text1"/>
                <w:sz w:val="20"/>
                <w:szCs w:val="20"/>
                <w:lang w:val="sr-Cyrl-RS"/>
              </w:rPr>
            </w:pP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6B924" w14:textId="326EDBFD"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2016</w:t>
            </w:r>
            <w:r w:rsidR="50A506AC" w:rsidRPr="1A8E6423">
              <w:rPr>
                <w:rFonts w:ascii="Arial" w:hAnsi="Arial" w:cs="Arial"/>
                <w:color w:val="000000" w:themeColor="text1"/>
                <w:sz w:val="20"/>
                <w:szCs w:val="20"/>
                <w:lang w:val="sr-Cyrl-RS"/>
              </w:rPr>
              <w: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96108" w14:textId="61FA3CA5"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2017</w:t>
            </w:r>
            <w:r w:rsidR="50A506AC" w:rsidRPr="1A8E6423">
              <w:rPr>
                <w:rFonts w:ascii="Arial" w:hAnsi="Arial" w:cs="Arial"/>
                <w:color w:val="000000" w:themeColor="text1"/>
                <w:sz w:val="20"/>
                <w:szCs w:val="20"/>
                <w:lang w:val="sr-Cyrl-RS"/>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0A2" w14:textId="57F56792"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2018</w:t>
            </w:r>
            <w:r w:rsidR="50A506AC" w:rsidRPr="1A8E6423">
              <w:rPr>
                <w:rFonts w:ascii="Arial" w:hAnsi="Arial" w:cs="Arial"/>
                <w:color w:val="000000" w:themeColor="text1"/>
                <w:sz w:val="20"/>
                <w:szCs w:val="20"/>
                <w:lang w:val="sr-Cyrl-RS"/>
              </w:rPr>
              <w:t>.</w:t>
            </w:r>
          </w:p>
        </w:tc>
        <w:tc>
          <w:tcPr>
            <w:tcW w:w="1624" w:type="dxa"/>
            <w:tcBorders>
              <w:left w:val="single" w:sz="4" w:space="0" w:color="auto"/>
            </w:tcBorders>
            <w:shd w:val="clear" w:color="auto" w:fill="FFFFFF" w:themeFill="background1"/>
            <w:vAlign w:val="center"/>
          </w:tcPr>
          <w:p w14:paraId="19F9D317" w14:textId="5AE3FD55"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2019</w:t>
            </w:r>
            <w:r w:rsidR="50A506AC" w:rsidRPr="1A8E6423">
              <w:rPr>
                <w:rFonts w:ascii="Arial" w:hAnsi="Arial" w:cs="Arial"/>
                <w:color w:val="000000" w:themeColor="text1"/>
                <w:sz w:val="20"/>
                <w:szCs w:val="20"/>
                <w:lang w:val="sr-Cyrl-RS"/>
              </w:rPr>
              <w:t>.</w:t>
            </w:r>
          </w:p>
        </w:tc>
      </w:tr>
      <w:tr w:rsidR="00DE77AF" w:rsidRPr="00A021B7" w14:paraId="264A8877" w14:textId="77777777" w:rsidTr="1A8E6423">
        <w:trPr>
          <w:trHeight w:val="323"/>
          <w:jc w:val="center"/>
        </w:trPr>
        <w:tc>
          <w:tcPr>
            <w:tcW w:w="2966" w:type="dxa"/>
            <w:vMerge/>
          </w:tcPr>
          <w:p w14:paraId="1BE8515A" w14:textId="77777777" w:rsidR="00DE77AF" w:rsidRPr="00A021B7" w:rsidRDefault="00DE77AF" w:rsidP="00CB0C2B">
            <w:pPr>
              <w:rPr>
                <w:rFonts w:ascii="Arial" w:hAnsi="Arial" w:cs="Arial"/>
                <w:b/>
                <w:bCs/>
                <w:color w:val="000000" w:themeColor="text1"/>
                <w:sz w:val="20"/>
                <w:szCs w:val="20"/>
                <w:lang w:val="sr-Cyrl-RS"/>
              </w:rPr>
            </w:pPr>
          </w:p>
        </w:tc>
        <w:tc>
          <w:tcPr>
            <w:tcW w:w="2138" w:type="dxa"/>
            <w:tcBorders>
              <w:top w:val="single" w:sz="4" w:space="0" w:color="auto"/>
            </w:tcBorders>
            <w:shd w:val="clear" w:color="auto" w:fill="FFFFFF" w:themeFill="background1"/>
          </w:tcPr>
          <w:p w14:paraId="3A859D8C" w14:textId="79E734F4"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14</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5%</w:t>
            </w:r>
          </w:p>
        </w:tc>
        <w:tc>
          <w:tcPr>
            <w:tcW w:w="5103" w:type="dxa"/>
            <w:gridSpan w:val="2"/>
            <w:tcBorders>
              <w:top w:val="single" w:sz="4" w:space="0" w:color="auto"/>
            </w:tcBorders>
            <w:shd w:val="clear" w:color="auto" w:fill="FFFFFF" w:themeFill="background1"/>
          </w:tcPr>
          <w:p w14:paraId="32F9D203" w14:textId="77777777"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13%</w:t>
            </w:r>
          </w:p>
        </w:tc>
        <w:tc>
          <w:tcPr>
            <w:tcW w:w="1842" w:type="dxa"/>
            <w:tcBorders>
              <w:top w:val="single" w:sz="4" w:space="0" w:color="auto"/>
            </w:tcBorders>
            <w:shd w:val="clear" w:color="auto" w:fill="FFFFFF" w:themeFill="background1"/>
          </w:tcPr>
          <w:p w14:paraId="34FA81E0" w14:textId="55B9B281"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14</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5%</w:t>
            </w:r>
          </w:p>
        </w:tc>
        <w:tc>
          <w:tcPr>
            <w:tcW w:w="1624" w:type="dxa"/>
            <w:shd w:val="clear" w:color="auto" w:fill="FFFFFF" w:themeFill="background1"/>
          </w:tcPr>
          <w:p w14:paraId="09553E7A" w14:textId="20C669D2"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15</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54%</w:t>
            </w:r>
          </w:p>
        </w:tc>
      </w:tr>
      <w:tr w:rsidR="00DE77AF" w:rsidRPr="00A021B7" w14:paraId="2690C52B" w14:textId="77777777" w:rsidTr="1A8E6423">
        <w:trPr>
          <w:trHeight w:val="274"/>
          <w:jc w:val="center"/>
        </w:trPr>
        <w:tc>
          <w:tcPr>
            <w:tcW w:w="2966" w:type="dxa"/>
            <w:vMerge w:val="restart"/>
            <w:shd w:val="clear" w:color="auto" w:fill="FFC000" w:themeFill="accent4"/>
          </w:tcPr>
          <w:p w14:paraId="14621546"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lastRenderedPageBreak/>
              <w:t>Подаци о циљним вредностима</w:t>
            </w:r>
          </w:p>
        </w:tc>
        <w:tc>
          <w:tcPr>
            <w:tcW w:w="2138" w:type="dxa"/>
            <w:shd w:val="clear" w:color="auto" w:fill="FFFFFF" w:themeFill="background1"/>
            <w:vAlign w:val="center"/>
          </w:tcPr>
          <w:p w14:paraId="11D6E251" w14:textId="76D659C1"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2021</w:t>
            </w:r>
            <w:r w:rsidR="50A506AC" w:rsidRPr="1A8E6423">
              <w:rPr>
                <w:rFonts w:ascii="Arial" w:hAnsi="Arial" w:cs="Arial"/>
                <w:color w:val="000000" w:themeColor="text1"/>
                <w:sz w:val="20"/>
                <w:szCs w:val="20"/>
                <w:lang w:val="sr-Cyrl-RS"/>
              </w:rPr>
              <w:t>.</w:t>
            </w:r>
          </w:p>
        </w:tc>
        <w:tc>
          <w:tcPr>
            <w:tcW w:w="2551" w:type="dxa"/>
            <w:shd w:val="clear" w:color="auto" w:fill="FFFFFF" w:themeFill="background1"/>
            <w:vAlign w:val="center"/>
          </w:tcPr>
          <w:p w14:paraId="7BB506A1" w14:textId="183E315C"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2022</w:t>
            </w:r>
            <w:r w:rsidR="50A506AC" w:rsidRPr="1A8E6423">
              <w:rPr>
                <w:rFonts w:ascii="Arial" w:hAnsi="Arial" w:cs="Arial"/>
                <w:color w:val="000000" w:themeColor="text1"/>
                <w:sz w:val="20"/>
                <w:szCs w:val="20"/>
                <w:lang w:val="sr-Cyrl-RS"/>
              </w:rPr>
              <w:t>.</w:t>
            </w:r>
          </w:p>
        </w:tc>
        <w:tc>
          <w:tcPr>
            <w:tcW w:w="2552" w:type="dxa"/>
            <w:shd w:val="clear" w:color="auto" w:fill="FFFFFF" w:themeFill="background1"/>
            <w:vAlign w:val="center"/>
          </w:tcPr>
          <w:p w14:paraId="6ACC3A15" w14:textId="24F84DCC"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2023</w:t>
            </w:r>
            <w:r w:rsidR="50A506AC" w:rsidRPr="1A8E6423">
              <w:rPr>
                <w:rFonts w:ascii="Arial" w:hAnsi="Arial" w:cs="Arial"/>
                <w:color w:val="000000" w:themeColor="text1"/>
                <w:sz w:val="20"/>
                <w:szCs w:val="20"/>
                <w:lang w:val="sr-Cyrl-RS"/>
              </w:rPr>
              <w:t>.</w:t>
            </w:r>
          </w:p>
        </w:tc>
        <w:tc>
          <w:tcPr>
            <w:tcW w:w="1842" w:type="dxa"/>
            <w:shd w:val="clear" w:color="auto" w:fill="FFFFFF" w:themeFill="background1"/>
            <w:vAlign w:val="center"/>
          </w:tcPr>
          <w:p w14:paraId="37DD318A" w14:textId="64CD4780"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2024</w:t>
            </w:r>
            <w:r w:rsidR="50A506AC" w:rsidRPr="1A8E6423">
              <w:rPr>
                <w:rFonts w:ascii="Arial" w:hAnsi="Arial" w:cs="Arial"/>
                <w:color w:val="000000" w:themeColor="text1"/>
                <w:sz w:val="20"/>
                <w:szCs w:val="20"/>
                <w:lang w:val="sr-Cyrl-RS"/>
              </w:rPr>
              <w:t>.</w:t>
            </w:r>
          </w:p>
        </w:tc>
        <w:tc>
          <w:tcPr>
            <w:tcW w:w="1624" w:type="dxa"/>
            <w:shd w:val="clear" w:color="auto" w:fill="FFFFFF" w:themeFill="background1"/>
            <w:vAlign w:val="center"/>
          </w:tcPr>
          <w:p w14:paraId="3BC242FD" w14:textId="323CE2C7"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2025</w:t>
            </w:r>
            <w:r w:rsidR="50A506AC" w:rsidRPr="1A8E6423">
              <w:rPr>
                <w:rFonts w:ascii="Arial" w:hAnsi="Arial" w:cs="Arial"/>
                <w:color w:val="000000" w:themeColor="text1"/>
                <w:sz w:val="20"/>
                <w:szCs w:val="20"/>
                <w:lang w:val="sr-Cyrl-RS"/>
              </w:rPr>
              <w:t>.</w:t>
            </w:r>
          </w:p>
        </w:tc>
      </w:tr>
      <w:tr w:rsidR="00DE77AF" w:rsidRPr="00A021B7" w14:paraId="58BA393F" w14:textId="77777777" w:rsidTr="1A8E6423">
        <w:trPr>
          <w:trHeight w:val="160"/>
          <w:jc w:val="center"/>
        </w:trPr>
        <w:tc>
          <w:tcPr>
            <w:tcW w:w="2966" w:type="dxa"/>
            <w:vMerge/>
          </w:tcPr>
          <w:p w14:paraId="1AE8D39F" w14:textId="77777777" w:rsidR="00DE77AF" w:rsidRPr="00A021B7" w:rsidRDefault="00DE77AF" w:rsidP="00CB0C2B">
            <w:pPr>
              <w:rPr>
                <w:rFonts w:ascii="Arial" w:hAnsi="Arial" w:cs="Arial"/>
                <w:b/>
                <w:bCs/>
                <w:color w:val="000000" w:themeColor="text1"/>
                <w:sz w:val="20"/>
                <w:szCs w:val="20"/>
                <w:lang w:val="sr-Cyrl-RS"/>
              </w:rPr>
            </w:pPr>
          </w:p>
        </w:tc>
        <w:tc>
          <w:tcPr>
            <w:tcW w:w="2138" w:type="dxa"/>
            <w:shd w:val="clear" w:color="auto" w:fill="FFFFFF" w:themeFill="background1"/>
          </w:tcPr>
          <w:p w14:paraId="710B3BCC"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bCs/>
                <w:color w:val="000000" w:themeColor="text1"/>
                <w:kern w:val="24"/>
                <w:sz w:val="20"/>
                <w:szCs w:val="20"/>
                <w:lang w:val="sr-Cyrl-RS"/>
              </w:rPr>
              <w:t xml:space="preserve">16% </w:t>
            </w:r>
          </w:p>
        </w:tc>
        <w:tc>
          <w:tcPr>
            <w:tcW w:w="2551" w:type="dxa"/>
            <w:shd w:val="clear" w:color="auto" w:fill="FFFFFF" w:themeFill="background1"/>
          </w:tcPr>
          <w:p w14:paraId="5701F46C" w14:textId="2328B818"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16</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 xml:space="preserve">3% </w:t>
            </w:r>
          </w:p>
        </w:tc>
        <w:tc>
          <w:tcPr>
            <w:tcW w:w="2552" w:type="dxa"/>
            <w:shd w:val="clear" w:color="auto" w:fill="FFFFFF" w:themeFill="background1"/>
          </w:tcPr>
          <w:p w14:paraId="010AC20F" w14:textId="27016E81"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16</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 xml:space="preserve">7% </w:t>
            </w:r>
          </w:p>
        </w:tc>
        <w:tc>
          <w:tcPr>
            <w:tcW w:w="1842" w:type="dxa"/>
            <w:shd w:val="clear" w:color="auto" w:fill="FFFFFF" w:themeFill="background1"/>
          </w:tcPr>
          <w:p w14:paraId="14C35F5E" w14:textId="107366DE"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17</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 xml:space="preserve">2% </w:t>
            </w:r>
          </w:p>
        </w:tc>
        <w:tc>
          <w:tcPr>
            <w:tcW w:w="1624" w:type="dxa"/>
            <w:shd w:val="clear" w:color="auto" w:fill="FFFFFF" w:themeFill="background1"/>
          </w:tcPr>
          <w:p w14:paraId="262E492E" w14:textId="5863D1AC"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17</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5.%</w:t>
            </w:r>
          </w:p>
        </w:tc>
      </w:tr>
      <w:tr w:rsidR="00DE77AF" w:rsidRPr="00A021B7" w14:paraId="5A521168" w14:textId="77777777" w:rsidTr="1A8E6423">
        <w:trPr>
          <w:trHeight w:val="160"/>
          <w:jc w:val="center"/>
        </w:trPr>
        <w:tc>
          <w:tcPr>
            <w:tcW w:w="2966" w:type="dxa"/>
            <w:shd w:val="clear" w:color="auto" w:fill="FFC000" w:themeFill="accent4"/>
          </w:tcPr>
          <w:p w14:paraId="7B330BAC"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Процена успешности</w:t>
            </w:r>
          </w:p>
        </w:tc>
        <w:tc>
          <w:tcPr>
            <w:tcW w:w="10707" w:type="dxa"/>
            <w:gridSpan w:val="5"/>
            <w:shd w:val="clear" w:color="auto" w:fill="FFFFFF" w:themeFill="background1"/>
            <w:vAlign w:val="center"/>
          </w:tcPr>
          <w:p w14:paraId="7053CFA6" w14:textId="635094B4" w:rsidR="00DE77AF" w:rsidRPr="00A021B7" w:rsidRDefault="00DE77AF" w:rsidP="00CB0C2B">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Прихватљиво је одступање до 0</w:t>
            </w:r>
            <w:r w:rsidR="50A506AC"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5% од циљане процентуалне вредности.</w:t>
            </w:r>
          </w:p>
        </w:tc>
      </w:tr>
      <w:bookmarkEnd w:id="182"/>
    </w:tbl>
    <w:p w14:paraId="1972B799" w14:textId="2E77DD07" w:rsidR="00DE77AF" w:rsidRPr="00A021B7" w:rsidRDefault="00DE77AF" w:rsidP="00DE77AF">
      <w:pPr>
        <w:jc w:val="both"/>
        <w:rPr>
          <w:rFonts w:ascii="Arial" w:hAnsi="Arial" w:cs="Arial"/>
          <w:b/>
          <w:bCs/>
          <w:color w:val="2F5496" w:themeColor="accent1" w:themeShade="BF"/>
          <w:sz w:val="20"/>
          <w:szCs w:val="20"/>
          <w:lang w:val="sr-Cyrl-RS"/>
        </w:rPr>
      </w:pPr>
    </w:p>
    <w:p w14:paraId="47671BE7" w14:textId="77777777" w:rsidR="0035169D" w:rsidRPr="00A021B7" w:rsidRDefault="0035169D" w:rsidP="00DE77AF">
      <w:pPr>
        <w:jc w:val="both"/>
        <w:rPr>
          <w:rFonts w:ascii="Arial" w:hAnsi="Arial" w:cs="Arial"/>
          <w:b/>
          <w:bCs/>
          <w:color w:val="2F5496" w:themeColor="accent1" w:themeShade="BF"/>
          <w:sz w:val="20"/>
          <w:szCs w:val="20"/>
          <w:lang w:val="sr-Cyrl-RS"/>
        </w:rPr>
      </w:pPr>
    </w:p>
    <w:p w14:paraId="60FA22E0" w14:textId="3FC1A4FA" w:rsidR="00DE77AF" w:rsidRPr="00A021B7" w:rsidRDefault="00DE77AF" w:rsidP="004D4848">
      <w:pPr>
        <w:pStyle w:val="Heading4"/>
        <w:rPr>
          <w:lang w:val="sr-Cyrl-RS"/>
        </w:rPr>
      </w:pPr>
      <w:r w:rsidRPr="1A8E6423">
        <w:rPr>
          <w:lang w:val="sr-Cyrl-RS"/>
        </w:rPr>
        <w:t>ПОСЕБАН ЦИЉ 3: УНАПРЕЂЕЊЕ ОРГАНИЗАЦИЈЕ И КАПАЦИТЕТА ЛОКАЛНЕ САМОУПРАВЕ</w:t>
      </w:r>
    </w:p>
    <w:p w14:paraId="7718D159" w14:textId="77777777" w:rsidR="00DE77AF" w:rsidRPr="00A021B7" w:rsidRDefault="00DE77AF" w:rsidP="00DE77AF">
      <w:pPr>
        <w:rPr>
          <w:rFonts w:ascii="Arial" w:hAnsi="Arial" w:cs="Arial"/>
          <w:b/>
          <w:bCs/>
          <w:color w:val="FFC000"/>
          <w:sz w:val="20"/>
          <w:szCs w:val="20"/>
          <w:lang w:val="sr-Cyrl-RS"/>
        </w:rPr>
      </w:pPr>
    </w:p>
    <w:tbl>
      <w:tblPr>
        <w:tblW w:w="13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2360"/>
        <w:gridCol w:w="2268"/>
        <w:gridCol w:w="1843"/>
        <w:gridCol w:w="1984"/>
        <w:gridCol w:w="2106"/>
      </w:tblGrid>
      <w:tr w:rsidR="00DE77AF" w:rsidRPr="00A021B7" w14:paraId="1A2F93A4" w14:textId="77777777" w:rsidTr="1A8E6423">
        <w:trPr>
          <w:jc w:val="center"/>
        </w:trPr>
        <w:tc>
          <w:tcPr>
            <w:tcW w:w="3022" w:type="dxa"/>
            <w:shd w:val="clear" w:color="auto" w:fill="D9D9D9" w:themeFill="background1" w:themeFillShade="D9"/>
          </w:tcPr>
          <w:p w14:paraId="0E244BB4" w14:textId="77777777" w:rsidR="00DE77AF" w:rsidRPr="00A021B7" w:rsidRDefault="00DE77AF" w:rsidP="00CB0C2B">
            <w:pPr>
              <w:rPr>
                <w:rFonts w:ascii="Arial" w:hAnsi="Arial" w:cs="Arial"/>
                <w:b/>
                <w:bCs/>
                <w:color w:val="000000" w:themeColor="text1"/>
                <w:sz w:val="20"/>
                <w:szCs w:val="20"/>
                <w:lang w:val="sr-Cyrl-RS"/>
              </w:rPr>
            </w:pPr>
          </w:p>
          <w:p w14:paraId="21790259"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показатеља</w:t>
            </w:r>
          </w:p>
        </w:tc>
        <w:tc>
          <w:tcPr>
            <w:tcW w:w="10561" w:type="dxa"/>
            <w:gridSpan w:val="5"/>
            <w:shd w:val="clear" w:color="auto" w:fill="D9D9D9" w:themeFill="background1" w:themeFillShade="D9"/>
          </w:tcPr>
          <w:p w14:paraId="3A5BCE86" w14:textId="77777777" w:rsidR="00DE77AF" w:rsidRPr="00A021B7" w:rsidRDefault="00DE77AF" w:rsidP="00CB0C2B">
            <w:pPr>
              <w:rPr>
                <w:rFonts w:ascii="Arial" w:hAnsi="Arial" w:cs="Arial"/>
                <w:b/>
                <w:bCs/>
                <w:color w:val="000000" w:themeColor="text1"/>
                <w:sz w:val="20"/>
                <w:szCs w:val="20"/>
                <w:lang w:val="sr-Cyrl-RS"/>
              </w:rPr>
            </w:pPr>
          </w:p>
          <w:p w14:paraId="6F0EBB60" w14:textId="3991E189"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Капацитет ЈЛС за управљање људским ресурсима у локалној управи</w:t>
            </w:r>
          </w:p>
          <w:p w14:paraId="233743C5" w14:textId="77777777" w:rsidR="00DE77AF" w:rsidRPr="00A021B7" w:rsidRDefault="00DE77AF" w:rsidP="00CB0C2B">
            <w:pPr>
              <w:rPr>
                <w:rFonts w:ascii="Arial" w:hAnsi="Arial" w:cs="Arial"/>
                <w:b/>
                <w:bCs/>
                <w:color w:val="000000" w:themeColor="text1"/>
                <w:sz w:val="20"/>
                <w:szCs w:val="20"/>
                <w:lang w:val="sr-Cyrl-RS"/>
              </w:rPr>
            </w:pPr>
          </w:p>
        </w:tc>
      </w:tr>
      <w:tr w:rsidR="00DE77AF" w:rsidRPr="00A021B7" w14:paraId="5D03AD8C" w14:textId="77777777" w:rsidTr="1A8E6423">
        <w:trPr>
          <w:jc w:val="center"/>
        </w:trPr>
        <w:tc>
          <w:tcPr>
            <w:tcW w:w="3022" w:type="dxa"/>
            <w:shd w:val="clear" w:color="auto" w:fill="FFC000" w:themeFill="accent4"/>
          </w:tcPr>
          <w:p w14:paraId="2E3FC176"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Одговарајући општи, посебни циљ или мера</w:t>
            </w:r>
          </w:p>
        </w:tc>
        <w:tc>
          <w:tcPr>
            <w:tcW w:w="10561" w:type="dxa"/>
            <w:gridSpan w:val="5"/>
            <w:shd w:val="clear" w:color="auto" w:fill="FFFFFF" w:themeFill="background1"/>
          </w:tcPr>
          <w:p w14:paraId="5EED9F43" w14:textId="77777777" w:rsidR="00DE77AF" w:rsidRPr="00A021B7" w:rsidRDefault="00DE77AF" w:rsidP="00CB0C2B">
            <w:pPr>
              <w:rPr>
                <w:rFonts w:ascii="Arial" w:hAnsi="Arial" w:cs="Arial"/>
                <w:bCs/>
                <w:color w:val="000000" w:themeColor="text1"/>
                <w:kern w:val="24"/>
                <w:sz w:val="20"/>
                <w:szCs w:val="20"/>
                <w:lang w:val="sr-Cyrl-RS"/>
              </w:rPr>
            </w:pPr>
            <w:r w:rsidRPr="00A021B7">
              <w:rPr>
                <w:rFonts w:ascii="Arial" w:hAnsi="Arial" w:cs="Arial"/>
                <w:color w:val="000000" w:themeColor="text1"/>
                <w:sz w:val="20"/>
                <w:szCs w:val="20"/>
                <w:lang w:val="sr-Cyrl-RS"/>
              </w:rPr>
              <w:t>Унапређење организације и капацитета локалне самоуправе</w:t>
            </w:r>
          </w:p>
        </w:tc>
      </w:tr>
      <w:tr w:rsidR="00DE77AF" w:rsidRPr="00A021B7" w14:paraId="08C08F5D" w14:textId="77777777" w:rsidTr="1A8E6423">
        <w:trPr>
          <w:jc w:val="center"/>
        </w:trPr>
        <w:tc>
          <w:tcPr>
            <w:tcW w:w="3022" w:type="dxa"/>
            <w:shd w:val="clear" w:color="auto" w:fill="FFC000" w:themeFill="accent4"/>
          </w:tcPr>
          <w:p w14:paraId="7125B663"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color w:val="000000" w:themeColor="text1"/>
                <w:kern w:val="24"/>
                <w:sz w:val="20"/>
                <w:szCs w:val="20"/>
                <w:lang w:val="sr-Cyrl-RS"/>
              </w:rPr>
              <w:t>Тип и ниво показатеља</w:t>
            </w:r>
          </w:p>
        </w:tc>
        <w:tc>
          <w:tcPr>
            <w:tcW w:w="6471" w:type="dxa"/>
            <w:gridSpan w:val="3"/>
            <w:shd w:val="clear" w:color="auto" w:fill="FFFFFF" w:themeFill="background1"/>
          </w:tcPr>
          <w:p w14:paraId="4ED2EEB2" w14:textId="57E35634" w:rsidR="00DE77AF" w:rsidRPr="00A021B7" w:rsidRDefault="50A506AC" w:rsidP="1A8E6423">
            <w:pPr>
              <w:tabs>
                <w:tab w:val="left" w:pos="182"/>
              </w:tabs>
              <w:rPr>
                <w:rFonts w:ascii="Arial" w:hAnsi="Arial" w:cs="Arial"/>
                <w:color w:val="000000" w:themeColor="text1"/>
                <w:kern w:val="24"/>
                <w:sz w:val="20"/>
                <w:szCs w:val="20"/>
                <w:lang w:val="sr-Cyrl-RS"/>
              </w:rPr>
            </w:pPr>
            <w:r w:rsidRPr="1A8E6423">
              <w:rPr>
                <w:rFonts w:ascii="Arial" w:hAnsi="Arial" w:cs="Arial"/>
                <w:color w:val="000000" w:themeColor="text1"/>
                <w:kern w:val="24"/>
                <w:sz w:val="20"/>
                <w:szCs w:val="20"/>
                <w:lang w:val="sr-Cyrl-RS"/>
              </w:rPr>
              <w:t>Квалитативни</w:t>
            </w:r>
          </w:p>
        </w:tc>
        <w:tc>
          <w:tcPr>
            <w:tcW w:w="4090" w:type="dxa"/>
            <w:gridSpan w:val="2"/>
            <w:shd w:val="clear" w:color="auto" w:fill="FFFFFF" w:themeFill="background1"/>
          </w:tcPr>
          <w:p w14:paraId="0D1C10E3" w14:textId="77777777" w:rsidR="00DE77AF" w:rsidRPr="00A021B7" w:rsidRDefault="00DE77AF" w:rsidP="00CB0C2B">
            <w:pPr>
              <w:rPr>
                <w:rFonts w:ascii="Arial" w:hAnsi="Arial" w:cs="Arial"/>
                <w:bCs/>
                <w:color w:val="000000" w:themeColor="text1"/>
                <w:kern w:val="24"/>
                <w:sz w:val="20"/>
                <w:szCs w:val="20"/>
                <w:lang w:val="sr-Cyrl-RS"/>
              </w:rPr>
            </w:pPr>
            <w:r w:rsidRPr="00A021B7">
              <w:rPr>
                <w:rFonts w:ascii="Arial" w:hAnsi="Arial" w:cs="Arial"/>
                <w:bCs/>
                <w:color w:val="000000" w:themeColor="text1"/>
                <w:kern w:val="24"/>
                <w:sz w:val="20"/>
                <w:szCs w:val="20"/>
                <w:lang w:val="sr-Cyrl-RS"/>
              </w:rPr>
              <w:t>Показатељ на нивоу посебног циља</w:t>
            </w:r>
          </w:p>
        </w:tc>
      </w:tr>
      <w:tr w:rsidR="00DE77AF" w:rsidRPr="00A021B7" w14:paraId="5B088AFB" w14:textId="77777777" w:rsidTr="1A8E6423">
        <w:trPr>
          <w:trHeight w:val="373"/>
          <w:jc w:val="center"/>
        </w:trPr>
        <w:tc>
          <w:tcPr>
            <w:tcW w:w="3022" w:type="dxa"/>
            <w:shd w:val="clear" w:color="auto" w:fill="FFC000" w:themeFill="accent4"/>
          </w:tcPr>
          <w:p w14:paraId="5E488D6B" w14:textId="77777777" w:rsidR="00DE77AF" w:rsidRPr="00A021B7" w:rsidRDefault="00DE77AF" w:rsidP="00CB0C2B">
            <w:pPr>
              <w:rPr>
                <w:rFonts w:ascii="Arial" w:hAnsi="Arial" w:cs="Arial"/>
                <w:b/>
                <w:color w:val="000000" w:themeColor="text1"/>
                <w:kern w:val="24"/>
                <w:sz w:val="20"/>
                <w:szCs w:val="20"/>
                <w:lang w:val="sr-Cyrl-RS"/>
              </w:rPr>
            </w:pPr>
            <w:r w:rsidRPr="00A021B7">
              <w:rPr>
                <w:rFonts w:ascii="Arial" w:hAnsi="Arial" w:cs="Arial"/>
                <w:b/>
                <w:color w:val="000000" w:themeColor="text1"/>
                <w:kern w:val="24"/>
                <w:sz w:val="20"/>
                <w:szCs w:val="20"/>
                <w:lang w:val="sr-Cyrl-RS"/>
              </w:rPr>
              <w:t>Јединица мере и природа</w:t>
            </w:r>
          </w:p>
        </w:tc>
        <w:tc>
          <w:tcPr>
            <w:tcW w:w="6471" w:type="dxa"/>
            <w:gridSpan w:val="3"/>
            <w:shd w:val="clear" w:color="auto" w:fill="FFFFFF" w:themeFill="background1"/>
          </w:tcPr>
          <w:p w14:paraId="20662946" w14:textId="2943BAD7" w:rsidR="00DE77AF" w:rsidRPr="00A021B7" w:rsidRDefault="00DE77AF" w:rsidP="1A8E6423">
            <w:pPr>
              <w:pStyle w:val="NormalWeb"/>
              <w:spacing w:before="0" w:beforeAutospacing="0" w:after="0" w:afterAutospacing="0"/>
              <w:rPr>
                <w:rFonts w:ascii="Arial" w:hAnsi="Arial" w:cs="Arial"/>
                <w:color w:val="000000" w:themeColor="text1"/>
                <w:sz w:val="20"/>
                <w:szCs w:val="20"/>
                <w:lang w:val="sr-Cyrl-RS"/>
              </w:rPr>
            </w:pPr>
            <w:r w:rsidRPr="1A8E6423">
              <w:rPr>
                <w:rFonts w:ascii="Arial" w:hAnsi="Arial" w:cs="Arial"/>
                <w:color w:val="000000" w:themeColor="text1"/>
                <w:kern w:val="24"/>
                <w:sz w:val="20"/>
                <w:szCs w:val="20"/>
                <w:lang w:val="sr-Cyrl-RS"/>
              </w:rPr>
              <w:t xml:space="preserve">Индекс </w:t>
            </w:r>
            <w:r w:rsidR="50A506AC" w:rsidRPr="1A8E6423">
              <w:rPr>
                <w:rFonts w:ascii="Arial" w:hAnsi="Arial" w:cs="Arial"/>
                <w:color w:val="000000" w:themeColor="text1"/>
                <w:kern w:val="24"/>
                <w:sz w:val="20"/>
                <w:szCs w:val="20"/>
                <w:lang w:val="sr-Cyrl-RS"/>
              </w:rPr>
              <w:t>–</w:t>
            </w:r>
            <w:r w:rsidRPr="1A8E6423">
              <w:rPr>
                <w:rFonts w:ascii="Arial" w:hAnsi="Arial" w:cs="Arial"/>
                <w:color w:val="000000" w:themeColor="text1"/>
                <w:kern w:val="24"/>
                <w:sz w:val="20"/>
                <w:szCs w:val="20"/>
                <w:lang w:val="sr-Cyrl-RS"/>
              </w:rPr>
              <w:t xml:space="preserve"> композитни показатељи (сет различитих показатеља у посебној методологији прављеној за потребе СКГО)</w:t>
            </w:r>
          </w:p>
        </w:tc>
        <w:tc>
          <w:tcPr>
            <w:tcW w:w="4090" w:type="dxa"/>
            <w:gridSpan w:val="2"/>
            <w:shd w:val="clear" w:color="auto" w:fill="FFFFFF" w:themeFill="background1"/>
          </w:tcPr>
          <w:p w14:paraId="0A4A2F62" w14:textId="77777777" w:rsidR="00DE77AF" w:rsidRPr="00A021B7" w:rsidRDefault="00DE77AF" w:rsidP="00CB0C2B">
            <w:pPr>
              <w:pStyle w:val="NormalWeb"/>
              <w:spacing w:before="0" w:beforeAutospacing="0" w:after="0" w:afterAutospacing="0"/>
              <w:rPr>
                <w:rFonts w:ascii="Arial" w:eastAsia="Arial" w:hAnsi="Arial" w:cs="Arial"/>
                <w:color w:val="000000" w:themeColor="text1"/>
                <w:spacing w:val="-1"/>
                <w:kern w:val="24"/>
                <w:sz w:val="20"/>
                <w:szCs w:val="20"/>
                <w:lang w:val="sr-Cyrl-RS"/>
              </w:rPr>
            </w:pPr>
            <w:r w:rsidRPr="00A021B7">
              <w:rPr>
                <w:rFonts w:ascii="Arial" w:eastAsia="Arial" w:hAnsi="Arial" w:cs="Arial"/>
                <w:color w:val="000000" w:themeColor="text1"/>
                <w:spacing w:val="-1"/>
                <w:kern w:val="24"/>
                <w:sz w:val="20"/>
                <w:szCs w:val="20"/>
                <w:lang w:val="sr-Cyrl-RS"/>
              </w:rPr>
              <w:t>Пожељна је већа вредност</w:t>
            </w:r>
          </w:p>
        </w:tc>
      </w:tr>
      <w:tr w:rsidR="00DE77AF" w:rsidRPr="00A021B7" w14:paraId="143E9291" w14:textId="77777777" w:rsidTr="1A8E6423">
        <w:trPr>
          <w:jc w:val="center"/>
        </w:trPr>
        <w:tc>
          <w:tcPr>
            <w:tcW w:w="3022" w:type="dxa"/>
            <w:shd w:val="clear" w:color="auto" w:fill="FFC000" w:themeFill="accent4"/>
          </w:tcPr>
          <w:p w14:paraId="71C8AADA"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Извор података за праћење показатеља учинка</w:t>
            </w:r>
          </w:p>
        </w:tc>
        <w:tc>
          <w:tcPr>
            <w:tcW w:w="10561" w:type="dxa"/>
            <w:gridSpan w:val="5"/>
            <w:shd w:val="clear" w:color="auto" w:fill="FFFFFF" w:themeFill="background1"/>
          </w:tcPr>
          <w:p w14:paraId="3A4F6E13" w14:textId="77777777" w:rsidR="00DE77AF" w:rsidRPr="00A021B7" w:rsidRDefault="00DE77AF" w:rsidP="00CB0C2B">
            <w:pP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Подаци из индекса управљања људским ресурсима СКГО</w:t>
            </w:r>
          </w:p>
        </w:tc>
      </w:tr>
      <w:tr w:rsidR="00DE77AF" w:rsidRPr="00A021B7" w14:paraId="7A277E97" w14:textId="77777777" w:rsidTr="1A8E6423">
        <w:trPr>
          <w:jc w:val="center"/>
        </w:trPr>
        <w:tc>
          <w:tcPr>
            <w:tcW w:w="3022" w:type="dxa"/>
            <w:shd w:val="clear" w:color="auto" w:fill="FFC000" w:themeFill="accent4"/>
          </w:tcPr>
          <w:p w14:paraId="3F8978FA"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носиоца прикупљања података</w:t>
            </w:r>
          </w:p>
        </w:tc>
        <w:tc>
          <w:tcPr>
            <w:tcW w:w="10561" w:type="dxa"/>
            <w:gridSpan w:val="5"/>
            <w:shd w:val="clear" w:color="auto" w:fill="FFFFFF" w:themeFill="background1"/>
          </w:tcPr>
          <w:p w14:paraId="5B983B4A" w14:textId="708CC4D5"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 xml:space="preserve">СКГО, Марко Томашевић, </w:t>
            </w:r>
            <w:hyperlink r:id="rId39">
              <w:r w:rsidRPr="1A8E6423">
                <w:rPr>
                  <w:rStyle w:val="Hyperlink"/>
                  <w:rFonts w:ascii="Arial" w:eastAsiaTheme="minorEastAsia" w:hAnsi="Arial" w:cs="Arial"/>
                  <w:sz w:val="20"/>
                  <w:szCs w:val="20"/>
                  <w:lang w:val="sr-Cyrl-RS"/>
                </w:rPr>
                <w:t>marko.tomasevic@skgo.org</w:t>
              </w:r>
            </w:hyperlink>
          </w:p>
        </w:tc>
      </w:tr>
      <w:tr w:rsidR="00DE77AF" w:rsidRPr="00A021B7" w14:paraId="5C0C757E" w14:textId="77777777" w:rsidTr="1A8E6423">
        <w:trPr>
          <w:jc w:val="center"/>
        </w:trPr>
        <w:tc>
          <w:tcPr>
            <w:tcW w:w="3022" w:type="dxa"/>
            <w:shd w:val="clear" w:color="auto" w:fill="FFC000" w:themeFill="accent4"/>
          </w:tcPr>
          <w:p w14:paraId="58305898"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Учесталост прикупљања података</w:t>
            </w:r>
          </w:p>
        </w:tc>
        <w:tc>
          <w:tcPr>
            <w:tcW w:w="10561" w:type="dxa"/>
            <w:gridSpan w:val="5"/>
            <w:shd w:val="clear" w:color="auto" w:fill="FFFFFF" w:themeFill="background1"/>
          </w:tcPr>
          <w:p w14:paraId="51C3B53B" w14:textId="5962E6C0" w:rsidR="00DE77AF" w:rsidRPr="00A021B7" w:rsidRDefault="00DE77AF" w:rsidP="00CB0C2B">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Подаци се прикупљају до 31. децембра почев од 2021</w:t>
            </w:r>
            <w:r w:rsidR="50A506AC"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и то сваке 2 године на репрезентативном у</w:t>
            </w:r>
            <w:r w:rsidR="50A506AC" w:rsidRPr="1A8E6423">
              <w:rPr>
                <w:rFonts w:ascii="Arial" w:hAnsi="Arial" w:cs="Arial"/>
                <w:color w:val="000000" w:themeColor="text1"/>
                <w:sz w:val="20"/>
                <w:szCs w:val="20"/>
                <w:lang w:val="sr-Cyrl-RS"/>
              </w:rPr>
              <w:t>з</w:t>
            </w:r>
            <w:r w:rsidRPr="1A8E6423">
              <w:rPr>
                <w:rFonts w:ascii="Arial" w:hAnsi="Arial" w:cs="Arial"/>
                <w:color w:val="000000" w:themeColor="text1"/>
                <w:sz w:val="20"/>
                <w:szCs w:val="20"/>
                <w:lang w:val="sr-Cyrl-RS"/>
              </w:rPr>
              <w:t>орку од минимум 30 ЈЛС. Током 2020. године обављено је мерење на узорку од 70 ЈЛС.</w:t>
            </w:r>
          </w:p>
        </w:tc>
      </w:tr>
      <w:tr w:rsidR="00DE77AF" w:rsidRPr="00A021B7" w14:paraId="0703C19E" w14:textId="77777777" w:rsidTr="1A8E6423">
        <w:trPr>
          <w:trHeight w:val="710"/>
          <w:jc w:val="center"/>
        </w:trPr>
        <w:tc>
          <w:tcPr>
            <w:tcW w:w="3022" w:type="dxa"/>
            <w:shd w:val="clear" w:color="auto" w:fill="FFC000" w:themeFill="accent4"/>
          </w:tcPr>
          <w:p w14:paraId="6504538A" w14:textId="77777777" w:rsidR="00DE77AF" w:rsidRPr="00A021B7" w:rsidRDefault="00DE77AF" w:rsidP="00CB0C2B">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Кратак опис показатеља и методологије израчунавања</w:t>
            </w:r>
          </w:p>
          <w:p w14:paraId="7205BD21" w14:textId="157125E6"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(формуле/једначине)</w:t>
            </w:r>
          </w:p>
        </w:tc>
        <w:tc>
          <w:tcPr>
            <w:tcW w:w="10561" w:type="dxa"/>
            <w:gridSpan w:val="5"/>
            <w:shd w:val="clear" w:color="auto" w:fill="FFFFFF" w:themeFill="background1"/>
          </w:tcPr>
          <w:p w14:paraId="61359FAF" w14:textId="4A223A4D" w:rsidR="00DE77AF" w:rsidRPr="00A021B7" w:rsidRDefault="00DE77AF" w:rsidP="00CB0C2B">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 xml:space="preserve">Овај показатељ показује степен просечног капацитета ЈЛС за испуњавање појединачних административних, функционалних и процесних захтева који се пред њих постављају у процесу управљања људским ресурсима у локалној управи. Такође, индекс указује и на степен капацитета локалне самоуправе да обезбеди адекватно функционисање и одговарајуће кадрове у локалној управи за </w:t>
            </w:r>
            <w:r w:rsidR="3A24A3EB" w:rsidRPr="1A8E6423">
              <w:rPr>
                <w:rFonts w:ascii="Arial" w:hAnsi="Arial" w:cs="Arial"/>
                <w:color w:val="000000" w:themeColor="text1"/>
                <w:sz w:val="20"/>
                <w:szCs w:val="20"/>
                <w:lang w:val="sr-Cyrl-RS"/>
              </w:rPr>
              <w:t xml:space="preserve">обезбеђивање </w:t>
            </w:r>
            <w:r w:rsidRPr="1A8E6423">
              <w:rPr>
                <w:rFonts w:ascii="Arial" w:hAnsi="Arial" w:cs="Arial"/>
                <w:color w:val="000000" w:themeColor="text1"/>
                <w:sz w:val="20"/>
                <w:szCs w:val="20"/>
                <w:lang w:val="sr-Cyrl-RS"/>
              </w:rPr>
              <w:t>управних услуга према грађанима и привреди. Постојећи индекс за управљање људским ресурсима садржи мерења капацитета ЈЛС у следећим областима</w:t>
            </w:r>
            <w:r w:rsidRPr="1A8E6423">
              <w:rPr>
                <w:rFonts w:ascii="Arial" w:hAnsi="Arial" w:cs="Arial"/>
                <w:b/>
                <w:bCs/>
                <w:color w:val="000000" w:themeColor="text1"/>
                <w:sz w:val="20"/>
                <w:szCs w:val="20"/>
                <w:lang w:val="sr-Cyrl-RS"/>
              </w:rPr>
              <w:t>:</w:t>
            </w:r>
            <w:r w:rsidRPr="1A8E6423">
              <w:rPr>
                <w:rFonts w:ascii="Arial" w:hAnsi="Arial" w:cs="Arial"/>
                <w:color w:val="000000" w:themeColor="text1"/>
                <w:sz w:val="20"/>
                <w:szCs w:val="20"/>
                <w:lang w:val="sr-Cyrl-RS"/>
              </w:rPr>
              <w:t xml:space="preserve"> 1) </w:t>
            </w:r>
            <w:r w:rsidR="3A24A3EB" w:rsidRPr="1A8E6423">
              <w:rPr>
                <w:rFonts w:ascii="Arial" w:hAnsi="Arial" w:cs="Arial"/>
                <w:color w:val="000000" w:themeColor="text1"/>
                <w:sz w:val="20"/>
                <w:szCs w:val="20"/>
                <w:lang w:val="sr-Cyrl-RS"/>
              </w:rPr>
              <w:t>о</w:t>
            </w:r>
            <w:r w:rsidRPr="1A8E6423">
              <w:rPr>
                <w:rFonts w:ascii="Arial" w:hAnsi="Arial" w:cs="Arial"/>
                <w:color w:val="000000" w:themeColor="text1"/>
                <w:sz w:val="20"/>
                <w:szCs w:val="20"/>
                <w:lang w:val="sr-Cyrl-RS"/>
              </w:rPr>
              <w:t>рганизација и планирање људск</w:t>
            </w:r>
            <w:r w:rsidR="2309CF44" w:rsidRPr="1A8E6423">
              <w:rPr>
                <w:rFonts w:ascii="Arial" w:hAnsi="Arial" w:cs="Arial"/>
                <w:color w:val="000000" w:themeColor="text1"/>
                <w:sz w:val="20"/>
                <w:szCs w:val="20"/>
                <w:lang w:val="sr-Cyrl-RS"/>
              </w:rPr>
              <w:t>и</w:t>
            </w:r>
            <w:r w:rsidRPr="1A8E6423">
              <w:rPr>
                <w:rFonts w:ascii="Arial" w:hAnsi="Arial" w:cs="Arial"/>
                <w:color w:val="000000" w:themeColor="text1"/>
                <w:sz w:val="20"/>
                <w:szCs w:val="20"/>
                <w:lang w:val="sr-Cyrl-RS"/>
              </w:rPr>
              <w:t xml:space="preserve">х ресурса; 2) </w:t>
            </w:r>
            <w:r w:rsidR="3A24A3EB" w:rsidRPr="1A8E6423">
              <w:rPr>
                <w:rFonts w:ascii="Arial" w:hAnsi="Arial" w:cs="Arial"/>
                <w:color w:val="000000" w:themeColor="text1"/>
                <w:sz w:val="20"/>
                <w:szCs w:val="20"/>
                <w:lang w:val="sr-Cyrl-RS"/>
              </w:rPr>
              <w:t>п</w:t>
            </w:r>
            <w:r w:rsidRPr="1A8E6423">
              <w:rPr>
                <w:rFonts w:ascii="Arial" w:hAnsi="Arial" w:cs="Arial"/>
                <w:color w:val="000000" w:themeColor="text1"/>
                <w:sz w:val="20"/>
                <w:szCs w:val="20"/>
                <w:lang w:val="sr-Cyrl-RS"/>
              </w:rPr>
              <w:t xml:space="preserve">опуњавање радних места; 3) </w:t>
            </w:r>
            <w:r w:rsidR="3A24A3EB" w:rsidRPr="1A8E6423">
              <w:rPr>
                <w:rFonts w:ascii="Arial" w:hAnsi="Arial" w:cs="Arial"/>
                <w:color w:val="000000" w:themeColor="text1"/>
                <w:sz w:val="20"/>
                <w:szCs w:val="20"/>
                <w:lang w:val="sr-Cyrl-RS"/>
              </w:rPr>
              <w:t>с</w:t>
            </w:r>
            <w:r w:rsidRPr="1A8E6423">
              <w:rPr>
                <w:rFonts w:ascii="Arial" w:hAnsi="Arial" w:cs="Arial"/>
                <w:color w:val="000000" w:themeColor="text1"/>
                <w:sz w:val="20"/>
                <w:szCs w:val="20"/>
                <w:lang w:val="sr-Cyrl-RS"/>
              </w:rPr>
              <w:t xml:space="preserve">тручно усавршавање и оспособљавање запослених; 4) </w:t>
            </w:r>
            <w:r w:rsidR="3A24A3EB" w:rsidRPr="1A8E6423">
              <w:rPr>
                <w:rFonts w:ascii="Arial" w:hAnsi="Arial" w:cs="Arial"/>
                <w:color w:val="000000" w:themeColor="text1"/>
                <w:sz w:val="20"/>
                <w:szCs w:val="20"/>
                <w:lang w:val="sr-Cyrl-RS"/>
              </w:rPr>
              <w:t>о</w:t>
            </w:r>
            <w:r w:rsidRPr="1A8E6423">
              <w:rPr>
                <w:rFonts w:ascii="Arial" w:hAnsi="Arial" w:cs="Arial"/>
                <w:color w:val="000000" w:themeColor="text1"/>
                <w:sz w:val="20"/>
                <w:szCs w:val="20"/>
                <w:lang w:val="sr-Cyrl-RS"/>
              </w:rPr>
              <w:t xml:space="preserve">цењивање запослених, дисциплинска одговорност и жалбени поступак и 5) </w:t>
            </w:r>
            <w:r w:rsidR="3A24A3EB" w:rsidRPr="1A8E6423">
              <w:rPr>
                <w:rFonts w:ascii="Arial" w:hAnsi="Arial" w:cs="Arial"/>
                <w:color w:val="000000" w:themeColor="text1"/>
                <w:sz w:val="20"/>
                <w:szCs w:val="20"/>
                <w:lang w:val="sr-Cyrl-RS"/>
              </w:rPr>
              <w:t>к</w:t>
            </w:r>
            <w:r w:rsidRPr="1A8E6423">
              <w:rPr>
                <w:rFonts w:ascii="Arial" w:hAnsi="Arial" w:cs="Arial"/>
                <w:color w:val="000000" w:themeColor="text1"/>
                <w:sz w:val="20"/>
                <w:szCs w:val="20"/>
                <w:lang w:val="sr-Cyrl-RS"/>
              </w:rPr>
              <w:t>омуникација, етика, вредности и култура организације.</w:t>
            </w:r>
          </w:p>
          <w:p w14:paraId="539144A8" w14:textId="07A401B0" w:rsidR="00DE77AF" w:rsidRPr="00A021B7" w:rsidRDefault="00DE77AF" w:rsidP="00A57E7E">
            <w:pPr>
              <w:jc w:val="both"/>
              <w:rPr>
                <w:rFonts w:ascii="Arial" w:hAnsi="Arial" w:cs="Arial"/>
                <w:sz w:val="20"/>
                <w:szCs w:val="20"/>
                <w:lang w:val="sr-Cyrl-RS"/>
              </w:rPr>
            </w:pPr>
            <w:r w:rsidRPr="1A8E6423">
              <w:rPr>
                <w:rFonts w:ascii="Arial" w:hAnsi="Arial" w:cs="Arial"/>
                <w:color w:val="000000" w:themeColor="text1"/>
                <w:sz w:val="20"/>
                <w:szCs w:val="20"/>
                <w:lang w:val="sr-Cyrl-RS"/>
              </w:rPr>
              <w:t>Индекс служи за самопроцењивање од стране градова и општина и</w:t>
            </w:r>
            <w:r w:rsidR="3A24A3EB"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поред тога што је алат за процену капацитета</w:t>
            </w:r>
            <w:r w:rsidR="3A24A3EB" w:rsidRPr="1A8E6423">
              <w:rPr>
                <w:rFonts w:ascii="Arial" w:hAnsi="Arial" w:cs="Arial"/>
                <w:color w:val="000000" w:themeColor="text1"/>
                <w:sz w:val="20"/>
                <w:szCs w:val="20"/>
                <w:lang w:val="sr-Cyrl-RS"/>
              </w:rPr>
              <w:t>,</w:t>
            </w:r>
            <w:r w:rsidRPr="1A8E6423">
              <w:rPr>
                <w:rFonts w:ascii="Arial" w:hAnsi="Arial" w:cs="Arial"/>
                <w:color w:val="000000" w:themeColor="text1"/>
                <w:sz w:val="20"/>
                <w:szCs w:val="20"/>
                <w:lang w:val="sr-Cyrl-RS"/>
              </w:rPr>
              <w:t xml:space="preserve"> он има и карактер развојног алата јер садржи и смернице </w:t>
            </w:r>
            <w:r w:rsidR="3A24A3EB" w:rsidRPr="1A8E6423">
              <w:rPr>
                <w:rFonts w:ascii="Arial" w:hAnsi="Arial" w:cs="Arial"/>
                <w:color w:val="000000" w:themeColor="text1"/>
                <w:sz w:val="20"/>
                <w:szCs w:val="20"/>
                <w:lang w:val="sr-Cyrl-RS"/>
              </w:rPr>
              <w:t>за</w:t>
            </w:r>
            <w:r w:rsidRPr="1A8E6423">
              <w:rPr>
                <w:rFonts w:ascii="Arial" w:hAnsi="Arial" w:cs="Arial"/>
                <w:color w:val="000000" w:themeColor="text1"/>
                <w:sz w:val="20"/>
                <w:szCs w:val="20"/>
                <w:lang w:val="sr-Cyrl-RS"/>
              </w:rPr>
              <w:t xml:space="preserve"> унапређењ</w:t>
            </w:r>
            <w:r w:rsidR="3A24A3EB" w:rsidRPr="1A8E6423">
              <w:rPr>
                <w:rFonts w:ascii="Arial" w:hAnsi="Arial" w:cs="Arial"/>
                <w:color w:val="000000" w:themeColor="text1"/>
                <w:sz w:val="20"/>
                <w:szCs w:val="20"/>
                <w:lang w:val="sr-Cyrl-RS"/>
              </w:rPr>
              <w:t>е</w:t>
            </w:r>
            <w:r w:rsidRPr="1A8E6423">
              <w:rPr>
                <w:rFonts w:ascii="Arial" w:hAnsi="Arial" w:cs="Arial"/>
                <w:color w:val="000000" w:themeColor="text1"/>
                <w:sz w:val="20"/>
                <w:szCs w:val="20"/>
                <w:lang w:val="sr-Cyrl-RS"/>
              </w:rPr>
              <w:t xml:space="preserve"> рада ЛС. </w:t>
            </w:r>
            <w:r w:rsidR="3A24A3EB" w:rsidRPr="1A8E6423">
              <w:rPr>
                <w:rFonts w:ascii="Arial" w:hAnsi="Arial" w:cs="Arial"/>
                <w:color w:val="000000" w:themeColor="text1"/>
                <w:sz w:val="20"/>
                <w:szCs w:val="20"/>
                <w:lang w:val="sr-Cyrl-RS"/>
              </w:rPr>
              <w:t>С обзиром на</w:t>
            </w:r>
            <w:r w:rsidRPr="1A8E6423">
              <w:rPr>
                <w:rFonts w:ascii="Arial" w:hAnsi="Arial" w:cs="Arial"/>
                <w:color w:val="000000" w:themeColor="text1"/>
                <w:sz w:val="20"/>
                <w:szCs w:val="20"/>
                <w:lang w:val="sr-Cyrl-RS"/>
              </w:rPr>
              <w:t xml:space="preserve"> карактер и функцију овог индекса, његова садржина прати еволуцију система јавне управе и усклађује се са њом како би овај алат могао да прати капацитет ЛС у складу са актуелним захтевима из јавних политика и прописа и са најбољом праксом.</w:t>
            </w:r>
            <w:r w:rsidR="50E7AF82" w:rsidRPr="1A8E6423">
              <w:rPr>
                <w:rFonts w:ascii="Arial" w:hAnsi="Arial" w:cs="Arial"/>
                <w:color w:val="000000" w:themeColor="text1"/>
                <w:sz w:val="20"/>
                <w:szCs w:val="20"/>
                <w:lang w:val="sr-Cyrl-RS"/>
              </w:rPr>
              <w:t xml:space="preserve"> </w:t>
            </w:r>
            <w:r w:rsidR="3FE72D75" w:rsidRPr="1A8E6423">
              <w:rPr>
                <w:rFonts w:ascii="Arial" w:eastAsiaTheme="minorEastAsia" w:hAnsi="Arial" w:cs="Arial"/>
                <w:sz w:val="20"/>
                <w:szCs w:val="20"/>
                <w:lang w:val="sr-Cyrl-RS"/>
              </w:rPr>
              <w:t>Кретање на индексу се прати кроз периодичну екстерну процену од стране СКГО и мери као процентуално стање на нивоу узорка ЈЛС.</w:t>
            </w:r>
          </w:p>
        </w:tc>
      </w:tr>
      <w:tr w:rsidR="00DE77AF" w:rsidRPr="00A021B7" w14:paraId="627B4EF7" w14:textId="77777777" w:rsidTr="1A8E6423">
        <w:trPr>
          <w:trHeight w:val="265"/>
          <w:jc w:val="center"/>
        </w:trPr>
        <w:tc>
          <w:tcPr>
            <w:tcW w:w="3022" w:type="dxa"/>
            <w:vMerge w:val="restart"/>
            <w:shd w:val="clear" w:color="auto" w:fill="FFC000" w:themeFill="accent4"/>
          </w:tcPr>
          <w:p w14:paraId="3627830C" w14:textId="0B461734"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 xml:space="preserve">Подаци о полазној вредности и години кад је </w:t>
            </w:r>
            <w:r w:rsidRPr="1A8E6423">
              <w:rPr>
                <w:rFonts w:ascii="Arial" w:hAnsi="Arial" w:cs="Arial"/>
                <w:b/>
                <w:bCs/>
                <w:color w:val="000000" w:themeColor="text1"/>
                <w:sz w:val="20"/>
                <w:szCs w:val="20"/>
                <w:lang w:val="sr-Cyrl-RS"/>
              </w:rPr>
              <w:lastRenderedPageBreak/>
              <w:t>измерена, као и тренду у прошлости</w:t>
            </w:r>
          </w:p>
        </w:tc>
        <w:tc>
          <w:tcPr>
            <w:tcW w:w="8455" w:type="dxa"/>
            <w:gridSpan w:val="4"/>
            <w:tcBorders>
              <w:bottom w:val="single" w:sz="4" w:space="0" w:color="auto"/>
            </w:tcBorders>
            <w:shd w:val="clear" w:color="auto" w:fill="FFFFFF" w:themeFill="background1"/>
          </w:tcPr>
          <w:p w14:paraId="24DB2320"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lastRenderedPageBreak/>
              <w:t>Тренд у прошлости</w:t>
            </w:r>
          </w:p>
        </w:tc>
        <w:tc>
          <w:tcPr>
            <w:tcW w:w="2106" w:type="dxa"/>
            <w:shd w:val="clear" w:color="auto" w:fill="FFFFFF" w:themeFill="background1"/>
          </w:tcPr>
          <w:p w14:paraId="05DF4C35"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Полазна вредност</w:t>
            </w:r>
          </w:p>
        </w:tc>
      </w:tr>
      <w:tr w:rsidR="00DE77AF" w:rsidRPr="00A021B7" w14:paraId="498EBBA3" w14:textId="77777777" w:rsidTr="1A8E6423">
        <w:trPr>
          <w:trHeight w:val="137"/>
          <w:jc w:val="center"/>
        </w:trPr>
        <w:tc>
          <w:tcPr>
            <w:tcW w:w="3022" w:type="dxa"/>
            <w:vMerge/>
          </w:tcPr>
          <w:p w14:paraId="2F913F09" w14:textId="77777777" w:rsidR="00DE77AF" w:rsidRPr="00A021B7" w:rsidRDefault="00DE77AF" w:rsidP="00CB0C2B">
            <w:pPr>
              <w:rPr>
                <w:rFonts w:ascii="Arial" w:hAnsi="Arial" w:cs="Arial"/>
                <w:b/>
                <w:bCs/>
                <w:color w:val="000000" w:themeColor="text1"/>
                <w:sz w:val="20"/>
                <w:szCs w:val="20"/>
                <w:lang w:val="sr-Cyrl-RS"/>
              </w:rPr>
            </w:pPr>
          </w:p>
        </w:tc>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2C05EC" w14:textId="4657CF8F"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2016</w:t>
            </w:r>
            <w:r w:rsidR="3A24A3EB" w:rsidRPr="1A8E6423">
              <w:rPr>
                <w:rFonts w:ascii="Arial" w:hAnsi="Arial" w:cs="Arial"/>
                <w:color w:val="000000" w:themeColor="text1"/>
                <w:sz w:val="20"/>
                <w:szCs w:val="20"/>
                <w:lang w:val="sr-Cyrl-RS"/>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EC1DC8" w14:textId="31C28701"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2017</w:t>
            </w:r>
            <w:r w:rsidR="3A24A3EB" w:rsidRPr="1A8E6423">
              <w:rPr>
                <w:rFonts w:ascii="Arial" w:hAnsi="Arial" w:cs="Arial"/>
                <w:color w:val="000000" w:themeColor="text1"/>
                <w:sz w:val="20"/>
                <w:szCs w:val="20"/>
                <w:lang w:val="sr-Cyrl-R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63F3CA1" w14:textId="0EC1F3FA"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2018</w:t>
            </w:r>
            <w:r w:rsidR="3A24A3EB" w:rsidRPr="1A8E6423">
              <w:rPr>
                <w:rFonts w:ascii="Arial" w:hAnsi="Arial" w:cs="Arial"/>
                <w:color w:val="000000" w:themeColor="text1"/>
                <w:sz w:val="20"/>
                <w:szCs w:val="20"/>
                <w:lang w:val="sr-Cyrl-RS"/>
              </w:rPr>
              <w:t>.</w:t>
            </w:r>
          </w:p>
        </w:tc>
        <w:tc>
          <w:tcPr>
            <w:tcW w:w="2106" w:type="dxa"/>
            <w:tcBorders>
              <w:left w:val="single" w:sz="4" w:space="0" w:color="auto"/>
            </w:tcBorders>
            <w:shd w:val="clear" w:color="auto" w:fill="FFFFFF" w:themeFill="background1"/>
          </w:tcPr>
          <w:p w14:paraId="43059E17" w14:textId="41B983A7"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2020</w:t>
            </w:r>
            <w:r w:rsidR="3A24A3EB" w:rsidRPr="1A8E6423">
              <w:rPr>
                <w:rFonts w:ascii="Arial" w:hAnsi="Arial" w:cs="Arial"/>
                <w:color w:val="000000" w:themeColor="text1"/>
                <w:sz w:val="20"/>
                <w:szCs w:val="20"/>
                <w:lang w:val="sr-Cyrl-RS"/>
              </w:rPr>
              <w:t>.</w:t>
            </w:r>
          </w:p>
        </w:tc>
      </w:tr>
      <w:tr w:rsidR="00DE77AF" w:rsidRPr="00A021B7" w14:paraId="4BBBA297" w14:textId="77777777" w:rsidTr="1A8E6423">
        <w:trPr>
          <w:trHeight w:val="323"/>
          <w:jc w:val="center"/>
        </w:trPr>
        <w:tc>
          <w:tcPr>
            <w:tcW w:w="3022" w:type="dxa"/>
            <w:vMerge/>
          </w:tcPr>
          <w:p w14:paraId="03C1298B" w14:textId="77777777" w:rsidR="00DE77AF" w:rsidRPr="00A021B7" w:rsidRDefault="00DE77AF" w:rsidP="00CB0C2B">
            <w:pPr>
              <w:rPr>
                <w:rFonts w:ascii="Arial" w:hAnsi="Arial" w:cs="Arial"/>
                <w:b/>
                <w:bCs/>
                <w:color w:val="000000" w:themeColor="text1"/>
                <w:sz w:val="20"/>
                <w:szCs w:val="20"/>
                <w:lang w:val="sr-Cyrl-RS"/>
              </w:rPr>
            </w:pPr>
          </w:p>
        </w:tc>
        <w:tc>
          <w:tcPr>
            <w:tcW w:w="2360" w:type="dxa"/>
            <w:tcBorders>
              <w:top w:val="single" w:sz="4" w:space="0" w:color="auto"/>
            </w:tcBorders>
            <w:shd w:val="clear" w:color="auto" w:fill="FFFFFF" w:themeFill="background1"/>
          </w:tcPr>
          <w:p w14:paraId="24637E5B"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4111" w:type="dxa"/>
            <w:gridSpan w:val="2"/>
            <w:tcBorders>
              <w:top w:val="single" w:sz="4" w:space="0" w:color="auto"/>
            </w:tcBorders>
            <w:shd w:val="clear" w:color="auto" w:fill="FFFFFF" w:themeFill="background1"/>
          </w:tcPr>
          <w:p w14:paraId="17F34021"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N/A</w:t>
            </w:r>
          </w:p>
        </w:tc>
        <w:tc>
          <w:tcPr>
            <w:tcW w:w="1984" w:type="dxa"/>
            <w:tcBorders>
              <w:top w:val="single" w:sz="4" w:space="0" w:color="auto"/>
            </w:tcBorders>
            <w:shd w:val="clear" w:color="auto" w:fill="FFFFFF" w:themeFill="background1"/>
          </w:tcPr>
          <w:p w14:paraId="69EFE802"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2106" w:type="dxa"/>
            <w:shd w:val="clear" w:color="auto" w:fill="FFFFFF" w:themeFill="background1"/>
          </w:tcPr>
          <w:p w14:paraId="33A49382"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51%</w:t>
            </w:r>
          </w:p>
        </w:tc>
      </w:tr>
      <w:tr w:rsidR="00DE77AF" w:rsidRPr="00A021B7" w14:paraId="16AF0751" w14:textId="77777777" w:rsidTr="1A8E6423">
        <w:trPr>
          <w:trHeight w:val="274"/>
          <w:jc w:val="center"/>
        </w:trPr>
        <w:tc>
          <w:tcPr>
            <w:tcW w:w="3022" w:type="dxa"/>
            <w:vMerge w:val="restart"/>
            <w:shd w:val="clear" w:color="auto" w:fill="FFC000" w:themeFill="accent4"/>
          </w:tcPr>
          <w:p w14:paraId="785955D1"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Подаци о циљним вредностима</w:t>
            </w:r>
          </w:p>
        </w:tc>
        <w:tc>
          <w:tcPr>
            <w:tcW w:w="2360" w:type="dxa"/>
            <w:shd w:val="clear" w:color="auto" w:fill="FFFFFF" w:themeFill="background1"/>
          </w:tcPr>
          <w:p w14:paraId="163E2066" w14:textId="04FC829A"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2021</w:t>
            </w:r>
            <w:r w:rsidR="3A24A3EB" w:rsidRPr="1A8E6423">
              <w:rPr>
                <w:rFonts w:ascii="Arial" w:hAnsi="Arial" w:cs="Arial"/>
                <w:color w:val="000000" w:themeColor="text1"/>
                <w:sz w:val="20"/>
                <w:szCs w:val="20"/>
                <w:lang w:val="sr-Cyrl-RS"/>
              </w:rPr>
              <w:t>.</w:t>
            </w:r>
          </w:p>
        </w:tc>
        <w:tc>
          <w:tcPr>
            <w:tcW w:w="2268" w:type="dxa"/>
            <w:shd w:val="clear" w:color="auto" w:fill="FFFFFF" w:themeFill="background1"/>
          </w:tcPr>
          <w:p w14:paraId="686DAB10" w14:textId="662AF4C2"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2022</w:t>
            </w:r>
            <w:r w:rsidR="3A24A3EB" w:rsidRPr="1A8E6423">
              <w:rPr>
                <w:rFonts w:ascii="Arial" w:hAnsi="Arial" w:cs="Arial"/>
                <w:color w:val="000000" w:themeColor="text1"/>
                <w:sz w:val="20"/>
                <w:szCs w:val="20"/>
                <w:lang w:val="sr-Cyrl-RS"/>
              </w:rPr>
              <w:t>.</w:t>
            </w:r>
          </w:p>
        </w:tc>
        <w:tc>
          <w:tcPr>
            <w:tcW w:w="1843" w:type="dxa"/>
            <w:shd w:val="clear" w:color="auto" w:fill="FFFFFF" w:themeFill="background1"/>
          </w:tcPr>
          <w:p w14:paraId="524885FD" w14:textId="18FC93C4"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2023</w:t>
            </w:r>
            <w:r w:rsidR="3A24A3EB" w:rsidRPr="1A8E6423">
              <w:rPr>
                <w:rFonts w:ascii="Arial" w:hAnsi="Arial" w:cs="Arial"/>
                <w:color w:val="000000" w:themeColor="text1"/>
                <w:sz w:val="20"/>
                <w:szCs w:val="20"/>
                <w:lang w:val="sr-Cyrl-RS"/>
              </w:rPr>
              <w:t>.</w:t>
            </w:r>
          </w:p>
        </w:tc>
        <w:tc>
          <w:tcPr>
            <w:tcW w:w="1984" w:type="dxa"/>
            <w:shd w:val="clear" w:color="auto" w:fill="FFFFFF" w:themeFill="background1"/>
          </w:tcPr>
          <w:p w14:paraId="43491A72" w14:textId="2CBD7F26"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2024</w:t>
            </w:r>
            <w:r w:rsidR="3A24A3EB" w:rsidRPr="1A8E6423">
              <w:rPr>
                <w:rFonts w:ascii="Arial" w:hAnsi="Arial" w:cs="Arial"/>
                <w:color w:val="000000" w:themeColor="text1"/>
                <w:sz w:val="20"/>
                <w:szCs w:val="20"/>
                <w:lang w:val="sr-Cyrl-RS"/>
              </w:rPr>
              <w:t>.</w:t>
            </w:r>
          </w:p>
        </w:tc>
        <w:tc>
          <w:tcPr>
            <w:tcW w:w="2106" w:type="dxa"/>
            <w:shd w:val="clear" w:color="auto" w:fill="FFFFFF" w:themeFill="background1"/>
          </w:tcPr>
          <w:p w14:paraId="66885197" w14:textId="7CC3B070" w:rsidR="00DE77AF" w:rsidRPr="00A021B7" w:rsidRDefault="00DE77AF" w:rsidP="00CB0C2B">
            <w:pPr>
              <w:jc w:val="cente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2025</w:t>
            </w:r>
            <w:r w:rsidR="3A24A3EB" w:rsidRPr="1A8E6423">
              <w:rPr>
                <w:rFonts w:ascii="Arial" w:hAnsi="Arial" w:cs="Arial"/>
                <w:color w:val="000000" w:themeColor="text1"/>
                <w:sz w:val="20"/>
                <w:szCs w:val="20"/>
                <w:lang w:val="sr-Cyrl-RS"/>
              </w:rPr>
              <w:t>.</w:t>
            </w:r>
          </w:p>
        </w:tc>
      </w:tr>
      <w:tr w:rsidR="00DE77AF" w:rsidRPr="00A021B7" w14:paraId="098D7A0F" w14:textId="77777777" w:rsidTr="1A8E6423">
        <w:trPr>
          <w:trHeight w:val="160"/>
          <w:jc w:val="center"/>
        </w:trPr>
        <w:tc>
          <w:tcPr>
            <w:tcW w:w="3022" w:type="dxa"/>
            <w:vMerge/>
          </w:tcPr>
          <w:p w14:paraId="53B872C2" w14:textId="77777777" w:rsidR="00DE77AF" w:rsidRPr="00A021B7" w:rsidRDefault="00DE77AF" w:rsidP="00CB0C2B">
            <w:pPr>
              <w:rPr>
                <w:rFonts w:ascii="Arial" w:hAnsi="Arial" w:cs="Arial"/>
                <w:b/>
                <w:bCs/>
                <w:color w:val="000000" w:themeColor="text1"/>
                <w:sz w:val="20"/>
                <w:szCs w:val="20"/>
                <w:lang w:val="sr-Cyrl-RS"/>
              </w:rPr>
            </w:pPr>
          </w:p>
        </w:tc>
        <w:tc>
          <w:tcPr>
            <w:tcW w:w="2360" w:type="dxa"/>
            <w:shd w:val="clear" w:color="auto" w:fill="FFFFFF" w:themeFill="background1"/>
          </w:tcPr>
          <w:p w14:paraId="66176F7D"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56%</w:t>
            </w:r>
          </w:p>
        </w:tc>
        <w:tc>
          <w:tcPr>
            <w:tcW w:w="2268" w:type="dxa"/>
            <w:shd w:val="clear" w:color="auto" w:fill="FFFFFF" w:themeFill="background1"/>
          </w:tcPr>
          <w:p w14:paraId="2C1D07A5"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1843" w:type="dxa"/>
            <w:shd w:val="clear" w:color="auto" w:fill="FFFFFF" w:themeFill="background1"/>
          </w:tcPr>
          <w:p w14:paraId="70BB1ABB"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bCs/>
                <w:color w:val="000000" w:themeColor="text1"/>
                <w:kern w:val="24"/>
                <w:sz w:val="20"/>
                <w:szCs w:val="20"/>
                <w:lang w:val="sr-Cyrl-RS"/>
              </w:rPr>
              <w:t>62%</w:t>
            </w:r>
          </w:p>
        </w:tc>
        <w:tc>
          <w:tcPr>
            <w:tcW w:w="1984" w:type="dxa"/>
            <w:shd w:val="clear" w:color="auto" w:fill="FFFFFF" w:themeFill="background1"/>
          </w:tcPr>
          <w:p w14:paraId="54FD7750" w14:textId="77777777" w:rsidR="00DE77AF" w:rsidRPr="00A021B7" w:rsidRDefault="00DE77AF" w:rsidP="00CB0C2B">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w:t>
            </w:r>
          </w:p>
        </w:tc>
        <w:tc>
          <w:tcPr>
            <w:tcW w:w="2106" w:type="dxa"/>
            <w:shd w:val="clear" w:color="auto" w:fill="FFFFFF" w:themeFill="background1"/>
          </w:tcPr>
          <w:p w14:paraId="46A02A8F" w14:textId="76C4D339" w:rsidR="00DE77AF" w:rsidRPr="00A021B7" w:rsidRDefault="00DE77AF" w:rsidP="009A1178">
            <w:pPr>
              <w:jc w:val="center"/>
              <w:rPr>
                <w:rFonts w:ascii="Arial" w:hAnsi="Arial" w:cs="Arial"/>
                <w:color w:val="000000" w:themeColor="text1"/>
                <w:sz w:val="20"/>
                <w:szCs w:val="20"/>
                <w:lang w:val="sr-Cyrl-RS"/>
              </w:rPr>
            </w:pPr>
            <w:r w:rsidRPr="00A021B7">
              <w:rPr>
                <w:rFonts w:ascii="Arial" w:hAnsi="Arial" w:cs="Arial"/>
                <w:bCs/>
                <w:color w:val="000000" w:themeColor="text1"/>
                <w:kern w:val="24"/>
                <w:sz w:val="20"/>
                <w:szCs w:val="20"/>
                <w:lang w:val="sr-Cyrl-RS"/>
              </w:rPr>
              <w:t>68%</w:t>
            </w:r>
          </w:p>
        </w:tc>
      </w:tr>
      <w:tr w:rsidR="00DE77AF" w:rsidRPr="00A021B7" w14:paraId="6E7AF1F6" w14:textId="77777777" w:rsidTr="1A8E6423">
        <w:trPr>
          <w:trHeight w:val="160"/>
          <w:jc w:val="center"/>
        </w:trPr>
        <w:tc>
          <w:tcPr>
            <w:tcW w:w="3022" w:type="dxa"/>
            <w:shd w:val="clear" w:color="auto" w:fill="FFC000" w:themeFill="accent4"/>
          </w:tcPr>
          <w:p w14:paraId="13903737"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Процена успешности</w:t>
            </w:r>
          </w:p>
        </w:tc>
        <w:tc>
          <w:tcPr>
            <w:tcW w:w="10561" w:type="dxa"/>
            <w:gridSpan w:val="5"/>
            <w:shd w:val="clear" w:color="auto" w:fill="FFFFFF" w:themeFill="background1"/>
          </w:tcPr>
          <w:p w14:paraId="1EA30170" w14:textId="521E2AE9" w:rsidR="00DE77AF" w:rsidRPr="00A021B7" w:rsidRDefault="00DE77AF" w:rsidP="00CB0C2B">
            <w:pPr>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Прихватљиво је одступање до 5% од циљане процентуалне вредности</w:t>
            </w:r>
            <w:r w:rsidR="3A24A3EB" w:rsidRPr="1A8E6423">
              <w:rPr>
                <w:rFonts w:ascii="Arial" w:hAnsi="Arial" w:cs="Arial"/>
                <w:color w:val="000000" w:themeColor="text1"/>
                <w:sz w:val="20"/>
                <w:szCs w:val="20"/>
                <w:lang w:val="sr-Cyrl-RS"/>
              </w:rPr>
              <w:t>.</w:t>
            </w:r>
          </w:p>
        </w:tc>
      </w:tr>
    </w:tbl>
    <w:p w14:paraId="7DA1671F" w14:textId="3CA99D2B" w:rsidR="00DE77AF" w:rsidRPr="00A021B7" w:rsidRDefault="00DE77AF" w:rsidP="00DE77AF">
      <w:pPr>
        <w:jc w:val="both"/>
        <w:rPr>
          <w:rFonts w:ascii="Arial" w:hAnsi="Arial" w:cs="Arial"/>
          <w:b/>
          <w:bCs/>
          <w:color w:val="2F5496" w:themeColor="accent1" w:themeShade="BF"/>
          <w:sz w:val="20"/>
          <w:szCs w:val="20"/>
          <w:lang w:val="sr-Cyrl-RS"/>
        </w:rPr>
      </w:pPr>
    </w:p>
    <w:p w14:paraId="51FF5CDA" w14:textId="77777777" w:rsidR="00A6412C" w:rsidRPr="00A021B7" w:rsidRDefault="00A6412C" w:rsidP="00DE77AF">
      <w:pPr>
        <w:jc w:val="both"/>
        <w:rPr>
          <w:rFonts w:ascii="Arial" w:hAnsi="Arial" w:cs="Arial"/>
          <w:b/>
          <w:bCs/>
          <w:color w:val="2F5496" w:themeColor="accent1" w:themeShade="BF"/>
          <w:sz w:val="20"/>
          <w:szCs w:val="20"/>
          <w:lang w:val="sr-Cyrl-RS"/>
        </w:rPr>
      </w:pPr>
    </w:p>
    <w:tbl>
      <w:tblPr>
        <w:tblW w:w="13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2082"/>
        <w:gridCol w:w="2126"/>
        <w:gridCol w:w="2268"/>
        <w:gridCol w:w="1843"/>
        <w:gridCol w:w="2242"/>
      </w:tblGrid>
      <w:tr w:rsidR="00DE77AF" w:rsidRPr="00A021B7" w14:paraId="7E53A3AC" w14:textId="77777777" w:rsidTr="1A8E6423">
        <w:trPr>
          <w:jc w:val="center"/>
        </w:trPr>
        <w:tc>
          <w:tcPr>
            <w:tcW w:w="3022" w:type="dxa"/>
            <w:shd w:val="clear" w:color="auto" w:fill="D9D9D9" w:themeFill="background1" w:themeFillShade="D9"/>
          </w:tcPr>
          <w:p w14:paraId="33FDFABC" w14:textId="77777777" w:rsidR="00DE77AF" w:rsidRPr="00A021B7" w:rsidRDefault="00DE77AF" w:rsidP="00CB0C2B">
            <w:pPr>
              <w:rPr>
                <w:rFonts w:ascii="Arial" w:hAnsi="Arial" w:cs="Arial"/>
                <w:b/>
                <w:bCs/>
                <w:color w:val="000000" w:themeColor="text1"/>
                <w:sz w:val="20"/>
                <w:szCs w:val="20"/>
                <w:lang w:val="sr-Cyrl-RS"/>
              </w:rPr>
            </w:pPr>
          </w:p>
          <w:p w14:paraId="3188DC7C"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показатеља</w:t>
            </w:r>
          </w:p>
        </w:tc>
        <w:tc>
          <w:tcPr>
            <w:tcW w:w="10561" w:type="dxa"/>
            <w:gridSpan w:val="5"/>
            <w:shd w:val="clear" w:color="auto" w:fill="D9D9D9" w:themeFill="background1" w:themeFillShade="D9"/>
          </w:tcPr>
          <w:p w14:paraId="6A7F40E2" w14:textId="77777777" w:rsidR="00DE77AF" w:rsidRPr="00A021B7" w:rsidRDefault="00DE77AF" w:rsidP="00CB0C2B">
            <w:pPr>
              <w:jc w:val="both"/>
              <w:rPr>
                <w:rFonts w:ascii="Arial" w:hAnsi="Arial" w:cs="Arial"/>
                <w:b/>
                <w:sz w:val="20"/>
                <w:szCs w:val="20"/>
                <w:lang w:val="sr-Cyrl-RS"/>
              </w:rPr>
            </w:pPr>
          </w:p>
          <w:p w14:paraId="2EE91504" w14:textId="7A5F7F5E" w:rsidR="00DE77AF" w:rsidRPr="00A021B7" w:rsidRDefault="00DE77AF" w:rsidP="1A8E6423">
            <w:pPr>
              <w:jc w:val="both"/>
              <w:rPr>
                <w:rFonts w:ascii="Arial" w:hAnsi="Arial" w:cs="Arial"/>
                <w:b/>
                <w:bCs/>
                <w:sz w:val="20"/>
                <w:szCs w:val="20"/>
                <w:lang w:val="sr-Cyrl-RS"/>
              </w:rPr>
            </w:pPr>
            <w:r w:rsidRPr="1A8E6423">
              <w:rPr>
                <w:rFonts w:ascii="Arial" w:hAnsi="Arial" w:cs="Arial"/>
                <w:b/>
                <w:bCs/>
                <w:sz w:val="20"/>
                <w:szCs w:val="20"/>
                <w:lang w:val="sr-Cyrl-RS"/>
              </w:rPr>
              <w:t>Степен међуопштинске сарадње у спровођењу послова локалне самоуправе у Републици Србији</w:t>
            </w:r>
          </w:p>
          <w:p w14:paraId="3ED7F80B" w14:textId="77777777" w:rsidR="00DE77AF" w:rsidRPr="00A021B7" w:rsidRDefault="00DE77AF" w:rsidP="00CB0C2B">
            <w:pPr>
              <w:jc w:val="both"/>
              <w:rPr>
                <w:rFonts w:ascii="Arial" w:hAnsi="Arial" w:cs="Arial"/>
                <w:b/>
                <w:color w:val="0070C0"/>
                <w:sz w:val="20"/>
                <w:szCs w:val="20"/>
                <w:lang w:val="sr-Cyrl-RS"/>
              </w:rPr>
            </w:pPr>
          </w:p>
        </w:tc>
      </w:tr>
      <w:tr w:rsidR="00DE77AF" w:rsidRPr="00A021B7" w14:paraId="52E9E2D1" w14:textId="77777777" w:rsidTr="1A8E6423">
        <w:trPr>
          <w:jc w:val="center"/>
        </w:trPr>
        <w:tc>
          <w:tcPr>
            <w:tcW w:w="3022" w:type="dxa"/>
            <w:shd w:val="clear" w:color="auto" w:fill="FFC000" w:themeFill="accent4"/>
          </w:tcPr>
          <w:p w14:paraId="69BAE9FA"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Одговарајући општи, посебни циљ или мера</w:t>
            </w:r>
          </w:p>
        </w:tc>
        <w:tc>
          <w:tcPr>
            <w:tcW w:w="10561" w:type="dxa"/>
            <w:gridSpan w:val="5"/>
            <w:shd w:val="clear" w:color="auto" w:fill="FFFFFF" w:themeFill="background1"/>
          </w:tcPr>
          <w:p w14:paraId="42AF1C9F" w14:textId="77777777" w:rsidR="00DE77AF" w:rsidRPr="00A021B7" w:rsidRDefault="00DE77AF" w:rsidP="00CB0C2B">
            <w:pPr>
              <w:jc w:val="both"/>
              <w:rPr>
                <w:rFonts w:ascii="Arial" w:hAnsi="Arial" w:cs="Arial"/>
                <w:b/>
                <w:bCs/>
                <w:sz w:val="20"/>
                <w:szCs w:val="20"/>
                <w:lang w:val="sr-Cyrl-RS"/>
              </w:rPr>
            </w:pPr>
            <w:r w:rsidRPr="00A021B7">
              <w:rPr>
                <w:rFonts w:ascii="Arial" w:hAnsi="Arial" w:cs="Arial"/>
                <w:color w:val="000000" w:themeColor="text1"/>
                <w:sz w:val="20"/>
                <w:szCs w:val="20"/>
                <w:lang w:val="sr-Cyrl-RS"/>
              </w:rPr>
              <w:t>Унапређење организације и капацитета локалне самоуправе</w:t>
            </w:r>
          </w:p>
        </w:tc>
      </w:tr>
      <w:tr w:rsidR="00DE77AF" w:rsidRPr="00A021B7" w14:paraId="075365E4" w14:textId="77777777" w:rsidTr="1A8E6423">
        <w:trPr>
          <w:jc w:val="center"/>
        </w:trPr>
        <w:tc>
          <w:tcPr>
            <w:tcW w:w="3022" w:type="dxa"/>
            <w:shd w:val="clear" w:color="auto" w:fill="FFC000" w:themeFill="accent4"/>
          </w:tcPr>
          <w:p w14:paraId="71AF4AB5"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color w:val="000000" w:themeColor="text1"/>
                <w:kern w:val="24"/>
                <w:sz w:val="20"/>
                <w:szCs w:val="20"/>
                <w:lang w:val="sr-Cyrl-RS"/>
              </w:rPr>
              <w:t>Тип и ниво показатеља</w:t>
            </w:r>
          </w:p>
        </w:tc>
        <w:tc>
          <w:tcPr>
            <w:tcW w:w="6476" w:type="dxa"/>
            <w:gridSpan w:val="3"/>
            <w:shd w:val="clear" w:color="auto" w:fill="FFFFFF" w:themeFill="background1"/>
          </w:tcPr>
          <w:p w14:paraId="6CD1F956" w14:textId="77777777" w:rsidR="00DE77AF" w:rsidRPr="00A021B7" w:rsidRDefault="00DE77AF" w:rsidP="00CB0C2B">
            <w:pPr>
              <w:tabs>
                <w:tab w:val="left" w:pos="182"/>
              </w:tabs>
              <w:rPr>
                <w:rFonts w:ascii="Arial" w:hAnsi="Arial" w:cs="Arial"/>
                <w:bCs/>
                <w:kern w:val="24"/>
                <w:sz w:val="20"/>
                <w:szCs w:val="20"/>
                <w:lang w:val="sr-Cyrl-RS"/>
              </w:rPr>
            </w:pPr>
            <w:r w:rsidRPr="00A021B7">
              <w:rPr>
                <w:rFonts w:ascii="Arial" w:hAnsi="Arial" w:cs="Arial"/>
                <w:bCs/>
                <w:kern w:val="24"/>
                <w:sz w:val="20"/>
                <w:szCs w:val="20"/>
                <w:lang w:val="sr-Cyrl-RS"/>
              </w:rPr>
              <w:t>Квантитативни</w:t>
            </w:r>
          </w:p>
        </w:tc>
        <w:tc>
          <w:tcPr>
            <w:tcW w:w="4085" w:type="dxa"/>
            <w:gridSpan w:val="2"/>
            <w:shd w:val="clear" w:color="auto" w:fill="FFFFFF" w:themeFill="background1"/>
          </w:tcPr>
          <w:p w14:paraId="4E57548C" w14:textId="77777777" w:rsidR="00DE77AF" w:rsidRPr="00A021B7" w:rsidRDefault="00DE77AF" w:rsidP="00CB0C2B">
            <w:pPr>
              <w:jc w:val="both"/>
              <w:rPr>
                <w:rFonts w:ascii="Arial" w:hAnsi="Arial" w:cs="Arial"/>
                <w:bCs/>
                <w:kern w:val="24"/>
                <w:sz w:val="20"/>
                <w:szCs w:val="20"/>
                <w:lang w:val="sr-Cyrl-RS"/>
              </w:rPr>
            </w:pPr>
            <w:r w:rsidRPr="00A021B7">
              <w:rPr>
                <w:rFonts w:ascii="Arial" w:hAnsi="Arial" w:cs="Arial"/>
                <w:bCs/>
                <w:kern w:val="24"/>
                <w:sz w:val="20"/>
                <w:szCs w:val="20"/>
                <w:lang w:val="sr-Cyrl-RS"/>
              </w:rPr>
              <w:t>Показатељ на нивоу посебног циља</w:t>
            </w:r>
          </w:p>
        </w:tc>
      </w:tr>
      <w:tr w:rsidR="00DE77AF" w:rsidRPr="00A021B7" w14:paraId="6A83CEC7" w14:textId="77777777" w:rsidTr="1A8E6423">
        <w:trPr>
          <w:trHeight w:val="373"/>
          <w:jc w:val="center"/>
        </w:trPr>
        <w:tc>
          <w:tcPr>
            <w:tcW w:w="3022" w:type="dxa"/>
            <w:shd w:val="clear" w:color="auto" w:fill="FFC000" w:themeFill="accent4"/>
          </w:tcPr>
          <w:p w14:paraId="257885F1" w14:textId="77777777" w:rsidR="00DE77AF" w:rsidRPr="00A021B7" w:rsidRDefault="00DE77AF" w:rsidP="00CB0C2B">
            <w:pPr>
              <w:rPr>
                <w:rFonts w:ascii="Arial" w:hAnsi="Arial" w:cs="Arial"/>
                <w:b/>
                <w:color w:val="000000" w:themeColor="text1"/>
                <w:kern w:val="24"/>
                <w:sz w:val="20"/>
                <w:szCs w:val="20"/>
                <w:lang w:val="sr-Cyrl-RS"/>
              </w:rPr>
            </w:pPr>
            <w:r w:rsidRPr="00A021B7">
              <w:rPr>
                <w:rFonts w:ascii="Arial" w:hAnsi="Arial" w:cs="Arial"/>
                <w:b/>
                <w:color w:val="000000" w:themeColor="text1"/>
                <w:kern w:val="24"/>
                <w:sz w:val="20"/>
                <w:szCs w:val="20"/>
                <w:lang w:val="sr-Cyrl-RS"/>
              </w:rPr>
              <w:t>Јединица мере и природа</w:t>
            </w:r>
          </w:p>
        </w:tc>
        <w:tc>
          <w:tcPr>
            <w:tcW w:w="6476" w:type="dxa"/>
            <w:gridSpan w:val="3"/>
            <w:shd w:val="clear" w:color="auto" w:fill="FFFFFF" w:themeFill="background1"/>
          </w:tcPr>
          <w:p w14:paraId="1BB7252D" w14:textId="77777777" w:rsidR="00DE77AF" w:rsidRPr="00A021B7" w:rsidRDefault="00DE77AF" w:rsidP="1A8E6423">
            <w:pPr>
              <w:tabs>
                <w:tab w:val="left" w:pos="182"/>
              </w:tabs>
              <w:rPr>
                <w:rFonts w:ascii="Arial" w:hAnsi="Arial" w:cs="Arial"/>
                <w:kern w:val="24"/>
                <w:sz w:val="20"/>
                <w:szCs w:val="20"/>
                <w:lang w:val="sr-Cyrl-RS"/>
              </w:rPr>
            </w:pPr>
            <w:r w:rsidRPr="1A8E6423">
              <w:rPr>
                <w:rFonts w:ascii="Arial" w:hAnsi="Arial" w:cs="Arial"/>
                <w:kern w:val="24"/>
                <w:sz w:val="20"/>
                <w:szCs w:val="20"/>
                <w:lang w:val="sr-Cyrl-RS"/>
              </w:rPr>
              <w:t>Просечан број споразума о МОС</w:t>
            </w:r>
          </w:p>
        </w:tc>
        <w:tc>
          <w:tcPr>
            <w:tcW w:w="4085" w:type="dxa"/>
            <w:gridSpan w:val="2"/>
            <w:shd w:val="clear" w:color="auto" w:fill="FFFFFF" w:themeFill="background1"/>
          </w:tcPr>
          <w:p w14:paraId="5C19F2C8" w14:textId="77777777" w:rsidR="00DE77AF" w:rsidRPr="00A021B7" w:rsidRDefault="00DE77AF" w:rsidP="00CB0C2B">
            <w:pPr>
              <w:pStyle w:val="NormalWeb"/>
              <w:spacing w:before="0" w:beforeAutospacing="0" w:after="0" w:afterAutospacing="0"/>
              <w:jc w:val="both"/>
              <w:rPr>
                <w:rFonts w:ascii="Arial" w:eastAsia="Arial" w:hAnsi="Arial" w:cs="Arial"/>
                <w:color w:val="000000" w:themeColor="dark1"/>
                <w:spacing w:val="-1"/>
                <w:kern w:val="24"/>
                <w:sz w:val="20"/>
                <w:szCs w:val="20"/>
                <w:lang w:val="sr-Cyrl-RS"/>
              </w:rPr>
            </w:pPr>
            <w:r w:rsidRPr="00A021B7">
              <w:rPr>
                <w:rFonts w:ascii="Arial" w:eastAsia="Arial" w:hAnsi="Arial" w:cs="Arial"/>
                <w:color w:val="000000" w:themeColor="dark1"/>
                <w:spacing w:val="-1"/>
                <w:kern w:val="24"/>
                <w:sz w:val="20"/>
                <w:szCs w:val="20"/>
                <w:lang w:val="sr-Cyrl-RS"/>
              </w:rPr>
              <w:t>Пожељна је већа вредност</w:t>
            </w:r>
          </w:p>
        </w:tc>
      </w:tr>
      <w:tr w:rsidR="00DE77AF" w:rsidRPr="00A021B7" w14:paraId="4B6C938E" w14:textId="77777777" w:rsidTr="1A8E6423">
        <w:trPr>
          <w:jc w:val="center"/>
        </w:trPr>
        <w:tc>
          <w:tcPr>
            <w:tcW w:w="3022" w:type="dxa"/>
            <w:shd w:val="clear" w:color="auto" w:fill="FFC000" w:themeFill="accent4"/>
          </w:tcPr>
          <w:p w14:paraId="5DA08640"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Извор података за праћење показатеља учинка</w:t>
            </w:r>
          </w:p>
        </w:tc>
        <w:tc>
          <w:tcPr>
            <w:tcW w:w="10561" w:type="dxa"/>
            <w:gridSpan w:val="5"/>
            <w:shd w:val="clear" w:color="auto" w:fill="FFFFFF" w:themeFill="background1"/>
          </w:tcPr>
          <w:p w14:paraId="724B3CE8" w14:textId="782B77F7" w:rsidR="00DE77AF" w:rsidRPr="00A021B7" w:rsidRDefault="00DE77AF" w:rsidP="00CB0C2B">
            <w:pPr>
              <w:rPr>
                <w:rFonts w:ascii="Arial" w:hAnsi="Arial" w:cs="Arial"/>
                <w:sz w:val="20"/>
                <w:szCs w:val="20"/>
                <w:lang w:val="sr-Cyrl-RS"/>
              </w:rPr>
            </w:pPr>
            <w:r w:rsidRPr="1A8E6423">
              <w:rPr>
                <w:rFonts w:ascii="Arial" w:hAnsi="Arial" w:cs="Arial"/>
                <w:sz w:val="20"/>
                <w:szCs w:val="20"/>
                <w:lang w:val="sr-Cyrl-RS"/>
              </w:rPr>
              <w:t>Подаци МДУЛС</w:t>
            </w:r>
          </w:p>
        </w:tc>
      </w:tr>
      <w:tr w:rsidR="00DE77AF" w:rsidRPr="00A021B7" w14:paraId="5F5AA60F" w14:textId="77777777" w:rsidTr="1A8E6423">
        <w:trPr>
          <w:jc w:val="center"/>
        </w:trPr>
        <w:tc>
          <w:tcPr>
            <w:tcW w:w="3022" w:type="dxa"/>
            <w:shd w:val="clear" w:color="auto" w:fill="FFC000" w:themeFill="accent4"/>
          </w:tcPr>
          <w:p w14:paraId="1F65916B"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носиоца прикупљања података</w:t>
            </w:r>
          </w:p>
        </w:tc>
        <w:tc>
          <w:tcPr>
            <w:tcW w:w="10561" w:type="dxa"/>
            <w:gridSpan w:val="5"/>
            <w:shd w:val="clear" w:color="auto" w:fill="FFFFFF" w:themeFill="background1"/>
          </w:tcPr>
          <w:p w14:paraId="16887FC1" w14:textId="6F8F6CFF" w:rsidR="00DE77AF" w:rsidRPr="00A021B7" w:rsidRDefault="00DE77AF" w:rsidP="1A8E6423">
            <w:pPr>
              <w:rPr>
                <w:rFonts w:ascii="Arial" w:eastAsiaTheme="minorEastAsia" w:hAnsi="Arial" w:cs="Arial"/>
                <w:sz w:val="20"/>
                <w:szCs w:val="20"/>
                <w:lang w:val="sr-Cyrl-RS"/>
              </w:rPr>
            </w:pPr>
            <w:r w:rsidRPr="1A8E6423">
              <w:rPr>
                <w:rFonts w:ascii="Arial" w:eastAsiaTheme="minorEastAsia" w:hAnsi="Arial" w:cs="Arial"/>
                <w:sz w:val="20"/>
                <w:szCs w:val="20"/>
                <w:lang w:val="sr-Cyrl-RS"/>
              </w:rPr>
              <w:t>МДУЛС, Сектор за систем локалне самоуправе, Душанка Јовановић</w:t>
            </w:r>
            <w:r w:rsidR="00E96350" w:rsidRPr="1A8E6423">
              <w:rPr>
                <w:rFonts w:ascii="Arial" w:eastAsiaTheme="minorEastAsia" w:hAnsi="Arial" w:cs="Arial"/>
                <w:sz w:val="20"/>
                <w:szCs w:val="20"/>
                <w:lang w:val="sr-Cyrl-RS"/>
              </w:rPr>
              <w:t>,</w:t>
            </w:r>
            <w:r w:rsidRPr="1A8E6423">
              <w:rPr>
                <w:rFonts w:ascii="Arial" w:eastAsiaTheme="minorEastAsia" w:hAnsi="Arial" w:cs="Arial"/>
                <w:sz w:val="20"/>
                <w:szCs w:val="20"/>
                <w:lang w:val="sr-Cyrl-RS"/>
              </w:rPr>
              <w:t xml:space="preserve"> </w:t>
            </w:r>
            <w:hyperlink r:id="rId40">
              <w:r w:rsidRPr="1A8E6423">
                <w:rPr>
                  <w:rStyle w:val="Hyperlink"/>
                  <w:rFonts w:ascii="Arial" w:eastAsiaTheme="minorEastAsia" w:hAnsi="Arial" w:cs="Arial"/>
                  <w:sz w:val="20"/>
                  <w:szCs w:val="20"/>
                  <w:lang w:val="sr-Cyrl-RS"/>
                </w:rPr>
                <w:t>dusanka.jovanovic@mduls.gov.rs</w:t>
              </w:r>
            </w:hyperlink>
          </w:p>
          <w:p w14:paraId="0D99C657" w14:textId="77777777" w:rsidR="00DE77AF" w:rsidRPr="00A021B7" w:rsidRDefault="00DE77AF" w:rsidP="00CB0C2B">
            <w:pPr>
              <w:jc w:val="both"/>
              <w:rPr>
                <w:rFonts w:ascii="Arial" w:hAnsi="Arial" w:cs="Arial"/>
                <w:sz w:val="20"/>
                <w:szCs w:val="20"/>
                <w:lang w:val="sr-Cyrl-RS"/>
              </w:rPr>
            </w:pPr>
          </w:p>
        </w:tc>
      </w:tr>
      <w:tr w:rsidR="00DE77AF" w:rsidRPr="00A021B7" w14:paraId="29F0FD6D" w14:textId="77777777" w:rsidTr="1A8E6423">
        <w:trPr>
          <w:jc w:val="center"/>
        </w:trPr>
        <w:tc>
          <w:tcPr>
            <w:tcW w:w="3022" w:type="dxa"/>
            <w:shd w:val="clear" w:color="auto" w:fill="FFC000" w:themeFill="accent4"/>
          </w:tcPr>
          <w:p w14:paraId="33A17EF7"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Учесталост прикупљања података</w:t>
            </w:r>
          </w:p>
        </w:tc>
        <w:tc>
          <w:tcPr>
            <w:tcW w:w="10561" w:type="dxa"/>
            <w:gridSpan w:val="5"/>
            <w:shd w:val="clear" w:color="auto" w:fill="FFFFFF" w:themeFill="background1"/>
          </w:tcPr>
          <w:p w14:paraId="5590AAB0" w14:textId="51D8BB96" w:rsidR="00DE77AF" w:rsidRPr="00A021B7" w:rsidRDefault="00DE77AF" w:rsidP="00CB0C2B">
            <w:pPr>
              <w:jc w:val="both"/>
              <w:rPr>
                <w:rFonts w:ascii="Arial" w:hAnsi="Arial" w:cs="Arial"/>
                <w:sz w:val="20"/>
                <w:szCs w:val="20"/>
                <w:lang w:val="sr-Cyrl-RS"/>
              </w:rPr>
            </w:pPr>
            <w:r w:rsidRPr="1A8E6423">
              <w:rPr>
                <w:rFonts w:ascii="Arial" w:hAnsi="Arial" w:cs="Arial"/>
                <w:sz w:val="20"/>
                <w:szCs w:val="20"/>
                <w:lang w:val="sr-Cyrl-RS"/>
              </w:rPr>
              <w:t>Подаци се прикупљају на годишњем нивоу, до 31. јануара за претходну годину</w:t>
            </w:r>
            <w:r w:rsidR="00E96350" w:rsidRPr="1A8E6423">
              <w:rPr>
                <w:rFonts w:ascii="Arial" w:hAnsi="Arial" w:cs="Arial"/>
                <w:sz w:val="20"/>
                <w:szCs w:val="20"/>
                <w:lang w:val="sr-Cyrl-RS"/>
              </w:rPr>
              <w:t>.</w:t>
            </w:r>
          </w:p>
        </w:tc>
      </w:tr>
      <w:tr w:rsidR="00DE77AF" w:rsidRPr="00A021B7" w14:paraId="6D0A1A97" w14:textId="77777777" w:rsidTr="1A8E6423">
        <w:trPr>
          <w:trHeight w:val="99"/>
          <w:jc w:val="center"/>
        </w:trPr>
        <w:tc>
          <w:tcPr>
            <w:tcW w:w="3022" w:type="dxa"/>
            <w:shd w:val="clear" w:color="auto" w:fill="FFC000" w:themeFill="accent4"/>
          </w:tcPr>
          <w:p w14:paraId="1D37101F" w14:textId="77777777" w:rsidR="00DE77AF" w:rsidRPr="00A021B7" w:rsidRDefault="00DE77AF" w:rsidP="00CB0C2B">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Кратак опис показатеља и методологије израчунавања</w:t>
            </w:r>
          </w:p>
          <w:p w14:paraId="647240B6" w14:textId="48731983" w:rsidR="00DE77AF" w:rsidRPr="00A021B7" w:rsidRDefault="00DE77AF" w:rsidP="00CB0C2B">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(формуле/једначине)</w:t>
            </w:r>
          </w:p>
        </w:tc>
        <w:tc>
          <w:tcPr>
            <w:tcW w:w="10561" w:type="dxa"/>
            <w:gridSpan w:val="5"/>
            <w:shd w:val="clear" w:color="auto" w:fill="FFFFFF" w:themeFill="background1"/>
          </w:tcPr>
          <w:p w14:paraId="0E2982F3" w14:textId="194AB9B3" w:rsidR="00DE77AF" w:rsidRPr="00A021B7" w:rsidRDefault="00DE77AF" w:rsidP="00CB0C2B">
            <w:pPr>
              <w:pStyle w:val="CommentText"/>
              <w:jc w:val="both"/>
              <w:rPr>
                <w:rFonts w:ascii="Arial" w:hAnsi="Arial" w:cs="Arial"/>
                <w:lang w:val="sr-Cyrl-RS"/>
              </w:rPr>
            </w:pPr>
            <w:r w:rsidRPr="1A8E6423">
              <w:rPr>
                <w:rFonts w:ascii="Arial" w:hAnsi="Arial" w:cs="Arial"/>
                <w:lang w:val="sr-Cyrl-RS"/>
              </w:rPr>
              <w:t>Овај показатељ мери колико је ЈЛС успоставило неки облик међуопштинске сарадње (МОС) у обављању послова локалне самоуправе као једног од кључних механизама за унапређење доступности и ефикасног остваривања функција локалне самоуправе за грађане Републике Србије. Под облицима МОС подразумева се сарадња коју градови и општине остварују у складу са одредбама Закона о локалној самоуправи (чл</w:t>
            </w:r>
            <w:r w:rsidR="00E96350" w:rsidRPr="1A8E6423">
              <w:rPr>
                <w:rFonts w:ascii="Arial" w:hAnsi="Arial" w:cs="Arial"/>
                <w:lang w:val="sr-Cyrl-RS"/>
              </w:rPr>
              <w:t>.</w:t>
            </w:r>
            <w:r w:rsidRPr="1A8E6423">
              <w:rPr>
                <w:rFonts w:ascii="Arial" w:hAnsi="Arial" w:cs="Arial"/>
                <w:lang w:val="sr-Cyrl-RS"/>
              </w:rPr>
              <w:t xml:space="preserve"> 88</w:t>
            </w:r>
            <w:r w:rsidR="00E96350" w:rsidRPr="1A8E6423">
              <w:rPr>
                <w:rFonts w:ascii="Arial" w:hAnsi="Arial" w:cs="Arial"/>
                <w:lang w:val="sr-Cyrl-RS"/>
              </w:rPr>
              <w:t>–</w:t>
            </w:r>
            <w:r w:rsidRPr="1A8E6423">
              <w:rPr>
                <w:rFonts w:ascii="Arial" w:hAnsi="Arial" w:cs="Arial"/>
                <w:lang w:val="sr-Cyrl-RS"/>
              </w:rPr>
              <w:t xml:space="preserve">89). У складу са ЗЛС, </w:t>
            </w:r>
            <w:r w:rsidR="00E96350" w:rsidRPr="1A8E6423">
              <w:rPr>
                <w:rFonts w:ascii="Arial" w:hAnsi="Arial" w:cs="Arial"/>
                <w:lang w:val="sr-Cyrl-RS"/>
              </w:rPr>
              <w:t>м</w:t>
            </w:r>
            <w:r w:rsidRPr="1A8E6423">
              <w:rPr>
                <w:rFonts w:ascii="Arial" w:hAnsi="Arial" w:cs="Arial"/>
                <w:lang w:val="sr-Cyrl-RS"/>
              </w:rPr>
              <w:t xml:space="preserve">инистарство надлежно за локалну самоуправу води евиденцију о закљученим споразумима о сарадњи и </w:t>
            </w:r>
            <w:r w:rsidR="00E96350" w:rsidRPr="1A8E6423">
              <w:rPr>
                <w:rFonts w:ascii="Arial" w:hAnsi="Arial" w:cs="Arial"/>
                <w:lang w:val="sr-Cyrl-RS"/>
              </w:rPr>
              <w:t>т</w:t>
            </w:r>
            <w:r w:rsidRPr="1A8E6423">
              <w:rPr>
                <w:rFonts w:ascii="Arial" w:hAnsi="Arial" w:cs="Arial"/>
                <w:lang w:val="sr-Cyrl-RS"/>
              </w:rPr>
              <w:t>а евиденција чини основу за праћење овог показатеља. Вредност показатеља се израчунава тако што се укупан број споразума о МОС који су у примени (где се за једну ЈЛС броји сваки посебан споразум који је закључила) дели са укупним бројем ЈЛС. Остварење показатеља се мери као процентуално увећање у односу на полазну вредност.</w:t>
            </w:r>
          </w:p>
          <w:p w14:paraId="69916F47" w14:textId="77777777" w:rsidR="00DE77AF" w:rsidRPr="00A021B7" w:rsidRDefault="00DE77AF" w:rsidP="00CB0C2B">
            <w:pPr>
              <w:pStyle w:val="CommentText"/>
              <w:jc w:val="both"/>
              <w:rPr>
                <w:rFonts w:ascii="Arial" w:hAnsi="Arial" w:cs="Arial"/>
                <w:lang w:val="sr-Cyrl-RS"/>
              </w:rPr>
            </w:pPr>
          </w:p>
          <w:p w14:paraId="0B66F02E" w14:textId="77777777" w:rsidR="00DE77AF" w:rsidRPr="00A021B7" w:rsidRDefault="00DE77AF" w:rsidP="00CB0C2B">
            <w:pPr>
              <w:rPr>
                <w:rFonts w:ascii="Arial" w:eastAsiaTheme="minorHAnsi" w:hAnsi="Arial" w:cs="Arial"/>
                <w:b/>
                <w:sz w:val="20"/>
                <w:szCs w:val="20"/>
                <w:lang w:val="sr-Cyrl-RS"/>
              </w:rPr>
            </w:pPr>
            <w:r w:rsidRPr="00A021B7">
              <w:rPr>
                <w:rFonts w:ascii="Arial" w:hAnsi="Arial" w:cs="Arial"/>
                <w:noProof/>
                <w:lang w:eastAsia="en-US"/>
              </w:rPr>
              <mc:AlternateContent>
                <mc:Choice Requires="wps">
                  <w:drawing>
                    <wp:anchor distT="0" distB="0" distL="114300" distR="114300" simplePos="0" relativeHeight="251658244" behindDoc="0" locked="0" layoutInCell="1" allowOverlap="1" wp14:anchorId="76EDBD68" wp14:editId="198845A8">
                      <wp:simplePos x="0" y="0"/>
                      <wp:positionH relativeFrom="column">
                        <wp:posOffset>1661795</wp:posOffset>
                      </wp:positionH>
                      <wp:positionV relativeFrom="paragraph">
                        <wp:posOffset>142045</wp:posOffset>
                      </wp:positionV>
                      <wp:extent cx="3348355" cy="264795"/>
                      <wp:effectExtent l="0" t="0" r="0" b="0"/>
                      <wp:wrapNone/>
                      <wp:docPr id="16" name="TextBox 2"/>
                      <wp:cNvGraphicFramePr/>
                      <a:graphic xmlns:a="http://schemas.openxmlformats.org/drawingml/2006/main">
                        <a:graphicData uri="http://schemas.microsoft.com/office/word/2010/wordprocessingShape">
                          <wps:wsp>
                            <wps:cNvSpPr txBox="1"/>
                            <wps:spPr>
                              <a:xfrm>
                                <a:off x="0" y="0"/>
                                <a:ext cx="334835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DA011DD" w14:textId="02A69B39" w:rsidR="007324B5" w:rsidRPr="004A3859" w:rsidRDefault="00FB2452" w:rsidP="00DE77AF">
                                  <w:pPr>
                                    <w:rPr>
                                      <w:rFonts w:asciiTheme="minorHAnsi" w:cstheme="minorBidi"/>
                                      <w:color w:val="000000" w:themeColor="text1"/>
                                      <w:lang w:val="sr-Latn-RS"/>
                                    </w:rPr>
                                  </w:pPr>
                                  <m:oMath>
                                    <m:f>
                                      <m:fPr>
                                        <m:ctrlPr>
                                          <w:rPr>
                                            <w:rFonts w:ascii="Cambria Math" w:eastAsiaTheme="minorEastAsia" w:hAnsi="Cambria Math" w:cstheme="minorBidi"/>
                                            <w:i/>
                                            <w:iCs/>
                                            <w:color w:val="000000" w:themeColor="text1"/>
                                            <w:sz w:val="28"/>
                                            <w:szCs w:val="28"/>
                                          </w:rPr>
                                        </m:ctrlPr>
                                      </m:fPr>
                                      <m:num>
                                        <m:r>
                                          <w:rPr>
                                            <w:rFonts w:ascii="Cambria Math" w:hAnsi="Cambria Math" w:cstheme="minorBidi"/>
                                            <w:color w:val="000000" w:themeColor="text1"/>
                                            <w:sz w:val="28"/>
                                            <w:szCs w:val="28"/>
                                            <w:lang w:val="sr-Latn-RS"/>
                                          </w:rPr>
                                          <m:t>Укупан број споразума о МОС који су у примени</m:t>
                                        </m:r>
                                      </m:num>
                                      <m:den>
                                        <m:r>
                                          <w:rPr>
                                            <w:rFonts w:ascii="Cambria Math" w:hAnsi="Cambria Math" w:cstheme="minorBidi"/>
                                            <w:color w:val="000000" w:themeColor="text1"/>
                                            <w:sz w:val="28"/>
                                            <w:szCs w:val="28"/>
                                            <w:lang w:val="sr-Latn-RS"/>
                                          </w:rPr>
                                          <m:t xml:space="preserve">Укупан број </m:t>
                                        </m:r>
                                        <m:r>
                                          <w:rPr>
                                            <w:rFonts w:ascii="Cambria Math" w:hAnsi="Cambria Math" w:cstheme="minorBidi"/>
                                            <w:color w:val="000000" w:themeColor="text1"/>
                                            <w:sz w:val="28"/>
                                            <w:szCs w:val="28"/>
                                            <w:lang w:val="sr-Cyrl-RS"/>
                                          </w:rPr>
                                          <m:t>Ј</m:t>
                                        </m:r>
                                        <m:r>
                                          <w:rPr>
                                            <w:rFonts w:ascii="Cambria Math" w:hAnsi="Cambria Math" w:cstheme="minorBidi"/>
                                            <w:color w:val="000000" w:themeColor="text1"/>
                                            <w:sz w:val="28"/>
                                            <w:szCs w:val="28"/>
                                            <w:lang w:val="sr-Latn-RS"/>
                                          </w:rPr>
                                          <m:t>ЛС</m:t>
                                        </m:r>
                                      </m:den>
                                    </m:f>
                                  </m:oMath>
                                  <w:r w:rsidR="007324B5">
                                    <w:rPr>
                                      <w:rFonts w:asciiTheme="minorHAnsi" w:cstheme="minorBidi"/>
                                      <w:color w:val="000000" w:themeColor="text1"/>
                                      <w:lang w:val="sr-Latn-RS"/>
                                    </w:rPr>
                                    <w:t xml:space="preserve"> </w:t>
                                  </w:r>
                                  <m:oMath>
                                    <m:r>
                                      <w:rPr>
                                        <w:rFonts w:ascii="Cambria Math" w:eastAsia="Cambria Math" w:hAnsi="Cambria Math" w:cstheme="minorBidi"/>
                                        <w:color w:val="000000" w:themeColor="text1"/>
                                        <w:lang w:val="sr-Latn-RS"/>
                                      </w:rPr>
                                      <m:t>×100</m:t>
                                    </m:r>
                                  </m:oMath>
                                </w:p>
                              </w:txbxContent>
                            </wps:txbx>
                            <wps:bodyPr vertOverflow="clip" horzOverflow="clip"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76EDBD68" id="_x0000_s1029" type="#_x0000_t202" style="position:absolute;margin-left:130.85pt;margin-top:11.2pt;width:263.65pt;height:20.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" filled="f" stroked="f">
                      <v:textbox style="mso-fit-shape-to-text:t" inset="0,0,0,0">
                        <w:txbxContent>
                          <w:p w14:paraId="6DA011DD" w14:textId="02A69B39" w:rsidR="007324B5" w:rsidRPr="004A3859" w:rsidRDefault="007324B5" w:rsidP="00DE77AF">
                            <w:pPr>
                              <w:rPr>
                                <w:rFonts w:asciiTheme="minorHAnsi" w:cstheme="minorBidi"/>
                                <w:color w:val="000000" w:themeColor="text1"/>
                                <w:lang w:val="sr-Latn-RS"/>
                              </w:rPr>
                            </w:pPr>
                            <m:oMath>
                              <m:f>
                                <m:fPr>
                                  <m:ctrlPr>
                                    <w:rPr>
                                      <w:rFonts w:ascii="Cambria Math" w:eastAsiaTheme="minorEastAsia" w:hAnsi="Cambria Math" w:cstheme="minorBidi"/>
                                      <w:i/>
                                      <w:iCs/>
                                      <w:color w:val="000000" w:themeColor="text1"/>
                                      <w:sz w:val="28"/>
                                      <w:szCs w:val="28"/>
                                    </w:rPr>
                                  </m:ctrlPr>
                                </m:fPr>
                                <m:num>
                                  <m:r>
                                    <w:rPr>
                                      <w:rFonts w:ascii="Cambria Math" w:hAnsi="Cambria Math" w:cstheme="minorBidi"/>
                                      <w:color w:val="000000" w:themeColor="text1"/>
                                      <w:sz w:val="28"/>
                                      <w:szCs w:val="28"/>
                                      <w:lang w:val="sr-Latn-RS"/>
                                    </w:rPr>
                                    <m:t>Укупан број споразума о МОС који су у примени</m:t>
                                  </m:r>
                                </m:num>
                                <m:den>
                                  <m:r>
                                    <w:rPr>
                                      <w:rFonts w:ascii="Cambria Math" w:hAnsi="Cambria Math" w:cstheme="minorBidi"/>
                                      <w:color w:val="000000" w:themeColor="text1"/>
                                      <w:sz w:val="28"/>
                                      <w:szCs w:val="28"/>
                                      <w:lang w:val="sr-Latn-RS"/>
                                    </w:rPr>
                                    <m:t xml:space="preserve">Укупан број </m:t>
                                  </m:r>
                                  <m:r>
                                    <w:rPr>
                                      <w:rFonts w:ascii="Cambria Math" w:hAnsi="Cambria Math" w:cstheme="minorBidi"/>
                                      <w:color w:val="000000" w:themeColor="text1"/>
                                      <w:sz w:val="28"/>
                                      <w:szCs w:val="28"/>
                                      <w:lang w:val="sr-Cyrl-RS"/>
                                    </w:rPr>
                                    <m:t>Ј</m:t>
                                  </m:r>
                                  <m:r>
                                    <w:rPr>
                                      <w:rFonts w:ascii="Cambria Math" w:hAnsi="Cambria Math" w:cstheme="minorBidi"/>
                                      <w:color w:val="000000" w:themeColor="text1"/>
                                      <w:sz w:val="28"/>
                                      <w:szCs w:val="28"/>
                                      <w:lang w:val="sr-Latn-RS"/>
                                    </w:rPr>
                                    <m:t>ЛС</m:t>
                                  </m:r>
                                </m:den>
                              </m:f>
                            </m:oMath>
                            <w:r>
                              <w:rPr>
                                <w:rFonts w:asciiTheme="minorHAnsi" w:cstheme="minorBidi"/>
                                <w:color w:val="000000" w:themeColor="text1"/>
                                <w:lang w:val="sr-Latn-RS"/>
                              </w:rPr>
                              <w:t xml:space="preserve"> </w:t>
                            </w:r>
                            <m:oMath>
                              <m:r>
                                <w:rPr>
                                  <w:rFonts w:ascii="Cambria Math" w:eastAsia="Cambria Math" w:hAnsi="Cambria Math" w:cstheme="minorBidi"/>
                                  <w:color w:val="000000" w:themeColor="text1"/>
                                  <w:lang w:val="sr-Latn-RS"/>
                                </w:rPr>
                                <m:t>×100</m:t>
                              </m:r>
                            </m:oMath>
                          </w:p>
                        </w:txbxContent>
                      </v:textbox>
                    </v:shape>
                  </w:pict>
                </mc:Fallback>
              </mc:AlternateContent>
            </w:r>
            <w:r w:rsidRPr="00A021B7">
              <w:rPr>
                <w:rFonts w:ascii="Arial" w:eastAsiaTheme="minorHAnsi" w:hAnsi="Arial" w:cs="Arial"/>
                <w:b/>
                <w:sz w:val="20"/>
                <w:szCs w:val="20"/>
                <w:lang w:val="sr-Cyrl-RS"/>
              </w:rPr>
              <w:t xml:space="preserve">                                                                  ФОРМУЛА/ЈЕДНАЧИНА</w:t>
            </w:r>
          </w:p>
          <w:p w14:paraId="0718D215" w14:textId="77777777" w:rsidR="00DE77AF" w:rsidRPr="00A021B7" w:rsidRDefault="00DE77AF" w:rsidP="00CB0C2B">
            <w:pPr>
              <w:pStyle w:val="CommentText"/>
              <w:jc w:val="both"/>
              <w:rPr>
                <w:rFonts w:ascii="Arial" w:hAnsi="Arial" w:cs="Arial"/>
                <w:color w:val="FF0000"/>
                <w:lang w:val="sr-Cyrl-RS"/>
              </w:rPr>
            </w:pPr>
          </w:p>
          <w:p w14:paraId="5E401A09" w14:textId="77777777" w:rsidR="00DE77AF" w:rsidRPr="00A021B7" w:rsidRDefault="00DE77AF" w:rsidP="00CB0C2B">
            <w:pPr>
              <w:pStyle w:val="CommentText"/>
              <w:jc w:val="both"/>
              <w:rPr>
                <w:rFonts w:ascii="Arial" w:hAnsi="Arial" w:cs="Arial"/>
                <w:color w:val="FF0000"/>
                <w:lang w:val="sr-Cyrl-RS"/>
              </w:rPr>
            </w:pPr>
          </w:p>
          <w:p w14:paraId="5C33C421" w14:textId="77777777" w:rsidR="00DE77AF" w:rsidRPr="00A021B7" w:rsidRDefault="00DE77AF" w:rsidP="00CB0C2B">
            <w:pPr>
              <w:pStyle w:val="CommentText"/>
              <w:jc w:val="both"/>
              <w:rPr>
                <w:rFonts w:ascii="Arial" w:hAnsi="Arial" w:cs="Arial"/>
                <w:color w:val="FF0000"/>
                <w:lang w:val="sr-Cyrl-RS"/>
              </w:rPr>
            </w:pPr>
          </w:p>
          <w:p w14:paraId="48F7FF4D" w14:textId="77777777" w:rsidR="00DE77AF" w:rsidRPr="00A021B7" w:rsidRDefault="00DE77AF" w:rsidP="00CB0C2B">
            <w:pPr>
              <w:pStyle w:val="CommentText"/>
              <w:jc w:val="both"/>
              <w:rPr>
                <w:rFonts w:ascii="Arial" w:hAnsi="Arial" w:cs="Arial"/>
                <w:color w:val="FF0000"/>
                <w:lang w:val="sr-Cyrl-RS"/>
              </w:rPr>
            </w:pPr>
          </w:p>
        </w:tc>
      </w:tr>
      <w:tr w:rsidR="00DE77AF" w:rsidRPr="00A021B7" w14:paraId="22AC7BB5" w14:textId="77777777" w:rsidTr="1A8E6423">
        <w:trPr>
          <w:trHeight w:val="265"/>
          <w:jc w:val="center"/>
        </w:trPr>
        <w:tc>
          <w:tcPr>
            <w:tcW w:w="3022" w:type="dxa"/>
            <w:vMerge w:val="restart"/>
            <w:shd w:val="clear" w:color="auto" w:fill="FFC000" w:themeFill="accent4"/>
          </w:tcPr>
          <w:p w14:paraId="37AB0918" w14:textId="7FC5A40C" w:rsidR="00DE77AF" w:rsidRPr="00A021B7" w:rsidRDefault="00DE77AF" w:rsidP="00CB0C2B">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 xml:space="preserve">Подаци о полазној вредности и години кад је </w:t>
            </w:r>
            <w:r w:rsidRPr="1A8E6423">
              <w:rPr>
                <w:rFonts w:ascii="Arial" w:hAnsi="Arial" w:cs="Arial"/>
                <w:b/>
                <w:bCs/>
                <w:color w:val="000000" w:themeColor="text1"/>
                <w:sz w:val="20"/>
                <w:szCs w:val="20"/>
                <w:lang w:val="sr-Cyrl-RS"/>
              </w:rPr>
              <w:lastRenderedPageBreak/>
              <w:t>измерена, као и тренду у прошлости</w:t>
            </w:r>
          </w:p>
        </w:tc>
        <w:tc>
          <w:tcPr>
            <w:tcW w:w="8319" w:type="dxa"/>
            <w:gridSpan w:val="4"/>
            <w:tcBorders>
              <w:bottom w:val="single" w:sz="4" w:space="0" w:color="auto"/>
            </w:tcBorders>
            <w:shd w:val="clear" w:color="auto" w:fill="FFFFFF" w:themeFill="background1"/>
            <w:vAlign w:val="center"/>
          </w:tcPr>
          <w:p w14:paraId="3788A979" w14:textId="77777777" w:rsidR="00DE77AF" w:rsidRPr="00A021B7" w:rsidRDefault="00DE77AF" w:rsidP="00CB0C2B">
            <w:pPr>
              <w:jc w:val="center"/>
              <w:rPr>
                <w:rFonts w:ascii="Arial" w:hAnsi="Arial" w:cs="Arial"/>
                <w:sz w:val="20"/>
                <w:szCs w:val="20"/>
                <w:lang w:val="sr-Cyrl-RS"/>
              </w:rPr>
            </w:pPr>
            <w:r w:rsidRPr="00A021B7">
              <w:rPr>
                <w:rFonts w:ascii="Arial" w:hAnsi="Arial" w:cs="Arial"/>
                <w:sz w:val="20"/>
                <w:szCs w:val="20"/>
                <w:lang w:val="sr-Cyrl-RS"/>
              </w:rPr>
              <w:lastRenderedPageBreak/>
              <w:t>Тренд у прошлости</w:t>
            </w:r>
          </w:p>
        </w:tc>
        <w:tc>
          <w:tcPr>
            <w:tcW w:w="2242" w:type="dxa"/>
            <w:shd w:val="clear" w:color="auto" w:fill="FFFFFF" w:themeFill="background1"/>
            <w:vAlign w:val="center"/>
          </w:tcPr>
          <w:p w14:paraId="10DA52F0" w14:textId="77777777" w:rsidR="00DE77AF" w:rsidRPr="00A021B7" w:rsidRDefault="00DE77AF" w:rsidP="00CB0C2B">
            <w:pPr>
              <w:jc w:val="center"/>
              <w:rPr>
                <w:rFonts w:ascii="Arial" w:hAnsi="Arial" w:cs="Arial"/>
                <w:sz w:val="20"/>
                <w:szCs w:val="20"/>
                <w:lang w:val="sr-Cyrl-RS"/>
              </w:rPr>
            </w:pPr>
            <w:r w:rsidRPr="00A021B7">
              <w:rPr>
                <w:rFonts w:ascii="Arial" w:hAnsi="Arial" w:cs="Arial"/>
                <w:sz w:val="20"/>
                <w:szCs w:val="20"/>
                <w:lang w:val="sr-Cyrl-RS"/>
              </w:rPr>
              <w:t>Полазна вредност</w:t>
            </w:r>
          </w:p>
        </w:tc>
      </w:tr>
      <w:tr w:rsidR="00DE77AF" w:rsidRPr="00A021B7" w14:paraId="73651B5D" w14:textId="77777777" w:rsidTr="1A8E6423">
        <w:trPr>
          <w:trHeight w:val="137"/>
          <w:jc w:val="center"/>
        </w:trPr>
        <w:tc>
          <w:tcPr>
            <w:tcW w:w="3022" w:type="dxa"/>
            <w:vMerge/>
          </w:tcPr>
          <w:p w14:paraId="4E12A346" w14:textId="77777777" w:rsidR="00DE77AF" w:rsidRPr="00A021B7" w:rsidRDefault="00DE77AF" w:rsidP="00CB0C2B">
            <w:pPr>
              <w:rPr>
                <w:rFonts w:ascii="Arial" w:hAnsi="Arial" w:cs="Arial"/>
                <w:b/>
                <w:bCs/>
                <w:color w:val="000000" w:themeColor="text1"/>
                <w:sz w:val="20"/>
                <w:szCs w:val="20"/>
                <w:lang w:val="sr-Cyrl-RS"/>
              </w:rPr>
            </w:pP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E8A13" w14:textId="6A01664B"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2016</w:t>
            </w:r>
            <w:r w:rsidR="00E96350" w:rsidRPr="1A8E6423">
              <w:rPr>
                <w:rFonts w:ascii="Arial" w:hAnsi="Arial" w:cs="Arial"/>
                <w:sz w:val="20"/>
                <w:szCs w:val="20"/>
                <w:lang w:val="sr-Cyrl-RS"/>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3C5FC" w14:textId="52BE46CD"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2017</w:t>
            </w:r>
            <w:r w:rsidR="00E96350" w:rsidRPr="1A8E6423">
              <w:rPr>
                <w:rFonts w:ascii="Arial" w:hAnsi="Arial" w:cs="Arial"/>
                <w:sz w:val="20"/>
                <w:szCs w:val="20"/>
                <w:lang w:val="sr-Cyrl-R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F082D" w14:textId="68AF1477"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2018</w:t>
            </w:r>
            <w:r w:rsidR="00E96350" w:rsidRPr="1A8E6423">
              <w:rPr>
                <w:rFonts w:ascii="Arial" w:hAnsi="Arial" w:cs="Arial"/>
                <w:sz w:val="20"/>
                <w:szCs w:val="20"/>
                <w:lang w:val="sr-Cyrl-RS"/>
              </w:rPr>
              <w:t>.</w:t>
            </w:r>
          </w:p>
        </w:tc>
        <w:tc>
          <w:tcPr>
            <w:tcW w:w="2242" w:type="dxa"/>
            <w:tcBorders>
              <w:left w:val="single" w:sz="4" w:space="0" w:color="auto"/>
            </w:tcBorders>
            <w:shd w:val="clear" w:color="auto" w:fill="FFFFFF" w:themeFill="background1"/>
            <w:vAlign w:val="center"/>
          </w:tcPr>
          <w:p w14:paraId="27C95F98" w14:textId="1FB10BF3"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2020</w:t>
            </w:r>
            <w:r w:rsidR="00E96350" w:rsidRPr="1A8E6423">
              <w:rPr>
                <w:rFonts w:ascii="Arial" w:hAnsi="Arial" w:cs="Arial"/>
                <w:sz w:val="20"/>
                <w:szCs w:val="20"/>
                <w:lang w:val="sr-Cyrl-RS"/>
              </w:rPr>
              <w:t>.</w:t>
            </w:r>
          </w:p>
        </w:tc>
      </w:tr>
      <w:tr w:rsidR="00DE77AF" w:rsidRPr="00A021B7" w14:paraId="15A55A89" w14:textId="77777777" w:rsidTr="1A8E6423">
        <w:trPr>
          <w:trHeight w:val="323"/>
          <w:jc w:val="center"/>
        </w:trPr>
        <w:tc>
          <w:tcPr>
            <w:tcW w:w="3022" w:type="dxa"/>
            <w:vMerge/>
          </w:tcPr>
          <w:p w14:paraId="08D7B420" w14:textId="77777777" w:rsidR="00DE77AF" w:rsidRPr="00A021B7" w:rsidRDefault="00DE77AF" w:rsidP="00CB0C2B">
            <w:pPr>
              <w:rPr>
                <w:rFonts w:ascii="Arial" w:hAnsi="Arial" w:cs="Arial"/>
                <w:b/>
                <w:bCs/>
                <w:color w:val="000000" w:themeColor="text1"/>
                <w:sz w:val="20"/>
                <w:szCs w:val="20"/>
                <w:lang w:val="sr-Cyrl-RS"/>
              </w:rPr>
            </w:pPr>
          </w:p>
        </w:tc>
        <w:tc>
          <w:tcPr>
            <w:tcW w:w="2082" w:type="dxa"/>
            <w:tcBorders>
              <w:top w:val="single" w:sz="4" w:space="0" w:color="auto"/>
            </w:tcBorders>
            <w:shd w:val="clear" w:color="auto" w:fill="FFFFFF" w:themeFill="background1"/>
            <w:vAlign w:val="center"/>
          </w:tcPr>
          <w:p w14:paraId="5625F47C" w14:textId="77777777" w:rsidR="00DE77AF" w:rsidRPr="00A021B7" w:rsidRDefault="00DE77AF" w:rsidP="00CB0C2B">
            <w:pPr>
              <w:jc w:val="center"/>
              <w:rPr>
                <w:rFonts w:ascii="Arial" w:hAnsi="Arial" w:cs="Arial"/>
                <w:sz w:val="20"/>
                <w:szCs w:val="20"/>
                <w:lang w:val="sr-Cyrl-RS"/>
              </w:rPr>
            </w:pPr>
            <w:r w:rsidRPr="00A021B7">
              <w:rPr>
                <w:rFonts w:ascii="Arial" w:hAnsi="Arial" w:cs="Arial"/>
                <w:sz w:val="20"/>
                <w:szCs w:val="20"/>
                <w:lang w:val="sr-Cyrl-RS"/>
              </w:rPr>
              <w:t>0</w:t>
            </w:r>
          </w:p>
        </w:tc>
        <w:tc>
          <w:tcPr>
            <w:tcW w:w="4394" w:type="dxa"/>
            <w:gridSpan w:val="2"/>
            <w:tcBorders>
              <w:top w:val="single" w:sz="4" w:space="0" w:color="auto"/>
            </w:tcBorders>
            <w:shd w:val="clear" w:color="auto" w:fill="FFFFFF" w:themeFill="background1"/>
            <w:vAlign w:val="center"/>
          </w:tcPr>
          <w:p w14:paraId="0921101E" w14:textId="77777777" w:rsidR="00DE77AF" w:rsidRPr="00A021B7" w:rsidRDefault="00DE77AF" w:rsidP="00CB0C2B">
            <w:pPr>
              <w:jc w:val="center"/>
              <w:rPr>
                <w:rFonts w:ascii="Arial" w:hAnsi="Arial" w:cs="Arial"/>
                <w:sz w:val="20"/>
                <w:szCs w:val="20"/>
                <w:lang w:val="sr-Cyrl-RS"/>
              </w:rPr>
            </w:pPr>
            <w:r w:rsidRPr="00A021B7">
              <w:rPr>
                <w:rFonts w:ascii="Arial" w:hAnsi="Arial" w:cs="Arial"/>
                <w:sz w:val="20"/>
                <w:szCs w:val="20"/>
                <w:lang w:val="sr-Cyrl-RS"/>
              </w:rPr>
              <w:t>0</w:t>
            </w:r>
          </w:p>
        </w:tc>
        <w:tc>
          <w:tcPr>
            <w:tcW w:w="1843" w:type="dxa"/>
            <w:tcBorders>
              <w:top w:val="single" w:sz="4" w:space="0" w:color="auto"/>
            </w:tcBorders>
            <w:shd w:val="clear" w:color="auto" w:fill="FFFFFF" w:themeFill="background1"/>
            <w:vAlign w:val="center"/>
          </w:tcPr>
          <w:p w14:paraId="547404EC" w14:textId="77777777" w:rsidR="00DE77AF" w:rsidRPr="00A021B7" w:rsidRDefault="00DE77AF" w:rsidP="00CB0C2B">
            <w:pPr>
              <w:jc w:val="center"/>
              <w:rPr>
                <w:rFonts w:ascii="Arial" w:hAnsi="Arial" w:cs="Arial"/>
                <w:sz w:val="20"/>
                <w:szCs w:val="20"/>
                <w:lang w:val="sr-Cyrl-RS"/>
              </w:rPr>
            </w:pPr>
            <w:r w:rsidRPr="00A021B7">
              <w:rPr>
                <w:rFonts w:ascii="Arial" w:hAnsi="Arial" w:cs="Arial"/>
                <w:sz w:val="20"/>
                <w:szCs w:val="20"/>
                <w:lang w:val="sr-Cyrl-RS"/>
              </w:rPr>
              <w:t>0</w:t>
            </w:r>
          </w:p>
        </w:tc>
        <w:tc>
          <w:tcPr>
            <w:tcW w:w="2242" w:type="dxa"/>
            <w:shd w:val="clear" w:color="auto" w:fill="FFFFFF" w:themeFill="background1"/>
            <w:vAlign w:val="center"/>
          </w:tcPr>
          <w:p w14:paraId="01EDAA27" w14:textId="5C5AD206" w:rsidR="00DE77AF" w:rsidRPr="00A021B7" w:rsidRDefault="00F03EFE" w:rsidP="00CB0C2B">
            <w:pPr>
              <w:jc w:val="center"/>
              <w:rPr>
                <w:rFonts w:ascii="Arial" w:hAnsi="Arial" w:cs="Arial"/>
                <w:color w:val="FF0000"/>
                <w:sz w:val="20"/>
                <w:szCs w:val="20"/>
                <w:lang w:val="sr-Cyrl-RS"/>
              </w:rPr>
            </w:pPr>
            <w:r w:rsidRPr="00A021B7">
              <w:rPr>
                <w:rFonts w:ascii="Arial" w:hAnsi="Arial" w:cs="Arial"/>
                <w:sz w:val="20"/>
                <w:szCs w:val="20"/>
                <w:lang w:val="sr-Cyrl-RS"/>
              </w:rPr>
              <w:t>4,83</w:t>
            </w:r>
            <w:r w:rsidR="00DE77AF" w:rsidRPr="00A021B7">
              <w:rPr>
                <w:rFonts w:ascii="Arial" w:hAnsi="Arial" w:cs="Arial"/>
                <w:sz w:val="20"/>
                <w:szCs w:val="20"/>
                <w:lang w:val="sr-Cyrl-RS"/>
              </w:rPr>
              <w:t>%</w:t>
            </w:r>
          </w:p>
        </w:tc>
      </w:tr>
      <w:tr w:rsidR="00DE77AF" w:rsidRPr="00A021B7" w14:paraId="241FF05D" w14:textId="77777777" w:rsidTr="1A8E6423">
        <w:trPr>
          <w:trHeight w:val="274"/>
          <w:jc w:val="center"/>
        </w:trPr>
        <w:tc>
          <w:tcPr>
            <w:tcW w:w="3022" w:type="dxa"/>
            <w:vMerge w:val="restart"/>
            <w:shd w:val="clear" w:color="auto" w:fill="FFC000" w:themeFill="accent4"/>
          </w:tcPr>
          <w:p w14:paraId="038EEE60"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Подаци о циљним вредностима</w:t>
            </w:r>
          </w:p>
        </w:tc>
        <w:tc>
          <w:tcPr>
            <w:tcW w:w="2082" w:type="dxa"/>
            <w:shd w:val="clear" w:color="auto" w:fill="FFFFFF" w:themeFill="background1"/>
            <w:vAlign w:val="center"/>
          </w:tcPr>
          <w:p w14:paraId="1D5B90A0" w14:textId="66242046"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2021</w:t>
            </w:r>
            <w:r w:rsidR="00E96350" w:rsidRPr="1A8E6423">
              <w:rPr>
                <w:rFonts w:ascii="Arial" w:hAnsi="Arial" w:cs="Arial"/>
                <w:sz w:val="20"/>
                <w:szCs w:val="20"/>
                <w:lang w:val="sr-Cyrl-RS"/>
              </w:rPr>
              <w:t>.</w:t>
            </w:r>
          </w:p>
        </w:tc>
        <w:tc>
          <w:tcPr>
            <w:tcW w:w="2126" w:type="dxa"/>
            <w:shd w:val="clear" w:color="auto" w:fill="FFFFFF" w:themeFill="background1"/>
            <w:vAlign w:val="center"/>
          </w:tcPr>
          <w:p w14:paraId="5CC802FF" w14:textId="12F703B6"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2022</w:t>
            </w:r>
            <w:r w:rsidR="00E96350" w:rsidRPr="1A8E6423">
              <w:rPr>
                <w:rFonts w:ascii="Arial" w:hAnsi="Arial" w:cs="Arial"/>
                <w:sz w:val="20"/>
                <w:szCs w:val="20"/>
                <w:lang w:val="sr-Cyrl-RS"/>
              </w:rPr>
              <w:t>.</w:t>
            </w:r>
          </w:p>
        </w:tc>
        <w:tc>
          <w:tcPr>
            <w:tcW w:w="2268" w:type="dxa"/>
            <w:shd w:val="clear" w:color="auto" w:fill="FFFFFF" w:themeFill="background1"/>
            <w:vAlign w:val="center"/>
          </w:tcPr>
          <w:p w14:paraId="0027C54F" w14:textId="29560E46"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2023</w:t>
            </w:r>
            <w:r w:rsidR="00E96350" w:rsidRPr="1A8E6423">
              <w:rPr>
                <w:rFonts w:ascii="Arial" w:hAnsi="Arial" w:cs="Arial"/>
                <w:sz w:val="20"/>
                <w:szCs w:val="20"/>
                <w:lang w:val="sr-Cyrl-RS"/>
              </w:rPr>
              <w:t>.</w:t>
            </w:r>
          </w:p>
        </w:tc>
        <w:tc>
          <w:tcPr>
            <w:tcW w:w="1843" w:type="dxa"/>
            <w:shd w:val="clear" w:color="auto" w:fill="FFFFFF" w:themeFill="background1"/>
            <w:vAlign w:val="center"/>
          </w:tcPr>
          <w:p w14:paraId="10C924EB" w14:textId="656E4CE6"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2024</w:t>
            </w:r>
            <w:r w:rsidR="00E96350" w:rsidRPr="1A8E6423">
              <w:rPr>
                <w:rFonts w:ascii="Arial" w:hAnsi="Arial" w:cs="Arial"/>
                <w:sz w:val="20"/>
                <w:szCs w:val="20"/>
                <w:lang w:val="sr-Cyrl-RS"/>
              </w:rPr>
              <w:t>.</w:t>
            </w:r>
          </w:p>
        </w:tc>
        <w:tc>
          <w:tcPr>
            <w:tcW w:w="2242" w:type="dxa"/>
            <w:shd w:val="clear" w:color="auto" w:fill="FFFFFF" w:themeFill="background1"/>
            <w:vAlign w:val="center"/>
          </w:tcPr>
          <w:p w14:paraId="0F9A0E36" w14:textId="5388F99B" w:rsidR="00DE77AF" w:rsidRPr="00A021B7" w:rsidRDefault="00DE77AF" w:rsidP="00CB0C2B">
            <w:pPr>
              <w:jc w:val="center"/>
              <w:rPr>
                <w:rFonts w:ascii="Arial" w:hAnsi="Arial" w:cs="Arial"/>
                <w:sz w:val="20"/>
                <w:szCs w:val="20"/>
                <w:lang w:val="sr-Cyrl-RS"/>
              </w:rPr>
            </w:pPr>
            <w:r w:rsidRPr="1A8E6423">
              <w:rPr>
                <w:rFonts w:ascii="Arial" w:hAnsi="Arial" w:cs="Arial"/>
                <w:sz w:val="20"/>
                <w:szCs w:val="20"/>
                <w:lang w:val="sr-Cyrl-RS"/>
              </w:rPr>
              <w:t>2025</w:t>
            </w:r>
            <w:r w:rsidR="00E96350" w:rsidRPr="1A8E6423">
              <w:rPr>
                <w:rFonts w:ascii="Arial" w:hAnsi="Arial" w:cs="Arial"/>
                <w:sz w:val="20"/>
                <w:szCs w:val="20"/>
                <w:lang w:val="sr-Cyrl-RS"/>
              </w:rPr>
              <w:t>.</w:t>
            </w:r>
          </w:p>
        </w:tc>
      </w:tr>
      <w:tr w:rsidR="00DE77AF" w:rsidRPr="00A021B7" w14:paraId="41786C8E" w14:textId="77777777" w:rsidTr="1A8E6423">
        <w:trPr>
          <w:trHeight w:val="160"/>
          <w:jc w:val="center"/>
        </w:trPr>
        <w:tc>
          <w:tcPr>
            <w:tcW w:w="3022" w:type="dxa"/>
            <w:vMerge/>
          </w:tcPr>
          <w:p w14:paraId="7854D50A" w14:textId="77777777" w:rsidR="00DE77AF" w:rsidRPr="00A021B7" w:rsidRDefault="00DE77AF" w:rsidP="00CB0C2B">
            <w:pPr>
              <w:rPr>
                <w:rFonts w:ascii="Arial" w:hAnsi="Arial" w:cs="Arial"/>
                <w:b/>
                <w:bCs/>
                <w:color w:val="000000" w:themeColor="text1"/>
                <w:sz w:val="20"/>
                <w:szCs w:val="20"/>
                <w:lang w:val="sr-Cyrl-RS"/>
              </w:rPr>
            </w:pPr>
          </w:p>
        </w:tc>
        <w:tc>
          <w:tcPr>
            <w:tcW w:w="2082" w:type="dxa"/>
            <w:shd w:val="clear" w:color="auto" w:fill="FFFFFF" w:themeFill="background1"/>
          </w:tcPr>
          <w:p w14:paraId="697DC7F5" w14:textId="7FBC7239" w:rsidR="00DE77AF" w:rsidRPr="00A021B7" w:rsidRDefault="00F03EFE" w:rsidP="00CB0C2B">
            <w:pPr>
              <w:jc w:val="center"/>
              <w:rPr>
                <w:rFonts w:ascii="Arial" w:hAnsi="Arial" w:cs="Arial"/>
                <w:sz w:val="20"/>
                <w:szCs w:val="20"/>
                <w:lang w:val="sr-Cyrl-RS"/>
              </w:rPr>
            </w:pPr>
            <w:r w:rsidRPr="00A021B7">
              <w:rPr>
                <w:rFonts w:ascii="Arial" w:hAnsi="Arial" w:cs="Arial"/>
                <w:sz w:val="20"/>
                <w:szCs w:val="20"/>
                <w:lang w:val="sr-Cyrl-RS"/>
              </w:rPr>
              <w:t>8,28</w:t>
            </w:r>
            <w:r w:rsidR="00DE77AF" w:rsidRPr="00A021B7">
              <w:rPr>
                <w:rFonts w:ascii="Arial" w:hAnsi="Arial" w:cs="Arial"/>
                <w:sz w:val="20"/>
                <w:szCs w:val="20"/>
                <w:lang w:val="sr-Cyrl-RS"/>
              </w:rPr>
              <w:t>%</w:t>
            </w:r>
          </w:p>
        </w:tc>
        <w:tc>
          <w:tcPr>
            <w:tcW w:w="2126" w:type="dxa"/>
            <w:shd w:val="clear" w:color="auto" w:fill="FFFFFF" w:themeFill="background1"/>
          </w:tcPr>
          <w:p w14:paraId="196CEE6E" w14:textId="2A725852" w:rsidR="00DE77AF" w:rsidRPr="00A021B7" w:rsidRDefault="00F03EFE" w:rsidP="00CB0C2B">
            <w:pPr>
              <w:jc w:val="center"/>
              <w:rPr>
                <w:rFonts w:ascii="Arial" w:hAnsi="Arial" w:cs="Arial"/>
                <w:sz w:val="20"/>
                <w:szCs w:val="20"/>
                <w:lang w:val="sr-Cyrl-RS"/>
              </w:rPr>
            </w:pPr>
            <w:r w:rsidRPr="00A021B7">
              <w:rPr>
                <w:rFonts w:ascii="Arial" w:hAnsi="Arial" w:cs="Arial"/>
                <w:sz w:val="20"/>
                <w:szCs w:val="20"/>
                <w:lang w:val="sr-Cyrl-RS"/>
              </w:rPr>
              <w:t>17,24</w:t>
            </w:r>
            <w:r w:rsidR="00DE77AF" w:rsidRPr="00A021B7">
              <w:rPr>
                <w:rFonts w:ascii="Arial" w:hAnsi="Arial" w:cs="Arial"/>
                <w:sz w:val="20"/>
                <w:szCs w:val="20"/>
                <w:lang w:val="sr-Cyrl-RS"/>
              </w:rPr>
              <w:t>%</w:t>
            </w:r>
          </w:p>
        </w:tc>
        <w:tc>
          <w:tcPr>
            <w:tcW w:w="2268" w:type="dxa"/>
            <w:shd w:val="clear" w:color="auto" w:fill="FFFFFF" w:themeFill="background1"/>
          </w:tcPr>
          <w:p w14:paraId="03039F12" w14:textId="673AF7F2" w:rsidR="00DE77AF" w:rsidRPr="00A021B7" w:rsidRDefault="00F03EFE" w:rsidP="00CB0C2B">
            <w:pPr>
              <w:jc w:val="center"/>
              <w:rPr>
                <w:rFonts w:ascii="Arial" w:hAnsi="Arial" w:cs="Arial"/>
                <w:sz w:val="20"/>
                <w:szCs w:val="20"/>
                <w:lang w:val="sr-Cyrl-RS"/>
              </w:rPr>
            </w:pPr>
            <w:r w:rsidRPr="00A021B7">
              <w:rPr>
                <w:rFonts w:ascii="Arial" w:hAnsi="Arial" w:cs="Arial"/>
                <w:sz w:val="20"/>
                <w:szCs w:val="20"/>
                <w:lang w:val="sr-Cyrl-RS"/>
              </w:rPr>
              <w:t>24,14</w:t>
            </w:r>
            <w:r w:rsidR="00DE77AF" w:rsidRPr="00A021B7">
              <w:rPr>
                <w:rFonts w:ascii="Arial" w:hAnsi="Arial" w:cs="Arial"/>
                <w:sz w:val="20"/>
                <w:szCs w:val="20"/>
                <w:lang w:val="sr-Cyrl-RS"/>
              </w:rPr>
              <w:t>%</w:t>
            </w:r>
          </w:p>
        </w:tc>
        <w:tc>
          <w:tcPr>
            <w:tcW w:w="1843" w:type="dxa"/>
            <w:shd w:val="clear" w:color="auto" w:fill="FFFFFF" w:themeFill="background1"/>
          </w:tcPr>
          <w:p w14:paraId="3CFA365A" w14:textId="306E918C" w:rsidR="00DE77AF" w:rsidRPr="00A021B7" w:rsidRDefault="00F03EFE" w:rsidP="00CB0C2B">
            <w:pPr>
              <w:jc w:val="center"/>
              <w:rPr>
                <w:rFonts w:ascii="Arial" w:hAnsi="Arial" w:cs="Arial"/>
                <w:sz w:val="20"/>
                <w:szCs w:val="20"/>
                <w:lang w:val="sr-Cyrl-RS"/>
              </w:rPr>
            </w:pPr>
            <w:r w:rsidRPr="00A021B7">
              <w:rPr>
                <w:rFonts w:ascii="Arial" w:hAnsi="Arial" w:cs="Arial"/>
                <w:sz w:val="20"/>
                <w:szCs w:val="20"/>
                <w:lang w:val="sr-Cyrl-RS"/>
              </w:rPr>
              <w:t>34,48</w:t>
            </w:r>
            <w:r w:rsidR="00DE77AF" w:rsidRPr="00A021B7">
              <w:rPr>
                <w:rFonts w:ascii="Arial" w:hAnsi="Arial" w:cs="Arial"/>
                <w:sz w:val="20"/>
                <w:szCs w:val="20"/>
                <w:lang w:val="sr-Cyrl-RS"/>
              </w:rPr>
              <w:t>%</w:t>
            </w:r>
          </w:p>
        </w:tc>
        <w:tc>
          <w:tcPr>
            <w:tcW w:w="2242" w:type="dxa"/>
            <w:shd w:val="clear" w:color="auto" w:fill="FFFFFF" w:themeFill="background1"/>
          </w:tcPr>
          <w:p w14:paraId="6603F91B" w14:textId="409D5992" w:rsidR="00DE77AF" w:rsidRPr="00A021B7" w:rsidRDefault="00F03EFE" w:rsidP="00F03EFE">
            <w:pPr>
              <w:jc w:val="center"/>
              <w:rPr>
                <w:rFonts w:ascii="Arial" w:hAnsi="Arial" w:cs="Arial"/>
                <w:sz w:val="20"/>
                <w:szCs w:val="20"/>
                <w:lang w:val="sr-Cyrl-RS"/>
              </w:rPr>
            </w:pPr>
            <w:r w:rsidRPr="00A021B7">
              <w:rPr>
                <w:rFonts w:ascii="Arial" w:hAnsi="Arial" w:cs="Arial"/>
                <w:sz w:val="20"/>
                <w:szCs w:val="20"/>
                <w:lang w:val="sr-Cyrl-RS"/>
              </w:rPr>
              <w:t>41,38</w:t>
            </w:r>
            <w:r w:rsidR="00DE77AF" w:rsidRPr="00A021B7">
              <w:rPr>
                <w:rFonts w:ascii="Arial" w:hAnsi="Arial" w:cs="Arial"/>
                <w:sz w:val="20"/>
                <w:szCs w:val="20"/>
                <w:lang w:val="sr-Cyrl-RS"/>
              </w:rPr>
              <w:t>%</w:t>
            </w:r>
          </w:p>
        </w:tc>
      </w:tr>
      <w:tr w:rsidR="00DE77AF" w:rsidRPr="00A021B7" w14:paraId="3769914E" w14:textId="77777777" w:rsidTr="1A8E6423">
        <w:trPr>
          <w:trHeight w:val="160"/>
          <w:jc w:val="center"/>
        </w:trPr>
        <w:tc>
          <w:tcPr>
            <w:tcW w:w="3022" w:type="dxa"/>
            <w:shd w:val="clear" w:color="auto" w:fill="FFC000" w:themeFill="accent4"/>
          </w:tcPr>
          <w:p w14:paraId="43E96511" w14:textId="77777777" w:rsidR="00DE77AF" w:rsidRPr="00A021B7" w:rsidRDefault="00DE77AF" w:rsidP="00CB0C2B">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Процена успешности</w:t>
            </w:r>
          </w:p>
        </w:tc>
        <w:tc>
          <w:tcPr>
            <w:tcW w:w="10561" w:type="dxa"/>
            <w:gridSpan w:val="5"/>
            <w:shd w:val="clear" w:color="auto" w:fill="FFFFFF" w:themeFill="background1"/>
            <w:vAlign w:val="center"/>
          </w:tcPr>
          <w:p w14:paraId="6BD72313" w14:textId="54323B4B" w:rsidR="00DE77AF" w:rsidRPr="00A021B7" w:rsidRDefault="00DE77AF" w:rsidP="00CB0C2B">
            <w:pPr>
              <w:jc w:val="both"/>
              <w:rPr>
                <w:rFonts w:ascii="Arial" w:hAnsi="Arial" w:cs="Arial"/>
                <w:sz w:val="20"/>
                <w:szCs w:val="20"/>
                <w:lang w:val="sr-Cyrl-RS"/>
              </w:rPr>
            </w:pPr>
            <w:r w:rsidRPr="1A8E6423">
              <w:rPr>
                <w:rFonts w:ascii="Arial" w:hAnsi="Arial" w:cs="Arial"/>
                <w:sz w:val="20"/>
                <w:szCs w:val="20"/>
                <w:lang w:val="sr-Cyrl-RS"/>
              </w:rPr>
              <w:t xml:space="preserve">Прихватљиво је одступање до 20% од планираног процентуалног увећања у односу на полазну вредност током периода </w:t>
            </w:r>
            <w:r w:rsidR="009D1EF9">
              <w:rPr>
                <w:rFonts w:ascii="Arial" w:hAnsi="Arial" w:cs="Arial"/>
                <w:sz w:val="20"/>
                <w:szCs w:val="20"/>
                <w:lang w:val="sr-Cyrl-RS"/>
              </w:rPr>
              <w:t xml:space="preserve">спровођења </w:t>
            </w:r>
            <w:r w:rsidRPr="1A8E6423">
              <w:rPr>
                <w:rFonts w:ascii="Arial" w:hAnsi="Arial" w:cs="Arial"/>
                <w:sz w:val="20"/>
                <w:szCs w:val="20"/>
                <w:lang w:val="sr-Cyrl-RS"/>
              </w:rPr>
              <w:t>Стратегије</w:t>
            </w:r>
            <w:r w:rsidR="00E96350" w:rsidRPr="1A8E6423">
              <w:rPr>
                <w:rFonts w:ascii="Arial" w:hAnsi="Arial" w:cs="Arial"/>
                <w:sz w:val="20"/>
                <w:szCs w:val="20"/>
                <w:lang w:val="sr-Cyrl-RS"/>
              </w:rPr>
              <w:t>,</w:t>
            </w:r>
            <w:r w:rsidRPr="1A8E6423">
              <w:rPr>
                <w:rFonts w:ascii="Arial" w:hAnsi="Arial" w:cs="Arial"/>
                <w:sz w:val="20"/>
                <w:szCs w:val="20"/>
                <w:lang w:val="sr-Cyrl-RS"/>
              </w:rPr>
              <w:t xml:space="preserve"> односно на крају 2030. године</w:t>
            </w:r>
            <w:r w:rsidR="00E96350" w:rsidRPr="1A8E6423">
              <w:rPr>
                <w:rFonts w:ascii="Arial" w:hAnsi="Arial" w:cs="Arial"/>
                <w:sz w:val="20"/>
                <w:szCs w:val="20"/>
                <w:lang w:val="sr-Cyrl-RS"/>
              </w:rPr>
              <w:t>.</w:t>
            </w:r>
          </w:p>
        </w:tc>
      </w:tr>
    </w:tbl>
    <w:p w14:paraId="67F82B7C" w14:textId="77777777" w:rsidR="00DE77AF" w:rsidRPr="00A021B7" w:rsidRDefault="00DE77AF" w:rsidP="00DE77AF">
      <w:pPr>
        <w:jc w:val="both"/>
        <w:rPr>
          <w:rFonts w:ascii="Arial" w:hAnsi="Arial" w:cs="Arial"/>
          <w:b/>
          <w:bCs/>
          <w:color w:val="2F5496" w:themeColor="accent1" w:themeShade="BF"/>
          <w:sz w:val="20"/>
          <w:szCs w:val="20"/>
          <w:lang w:val="sr-Cyrl-RS"/>
        </w:rPr>
      </w:pPr>
    </w:p>
    <w:tbl>
      <w:tblPr>
        <w:tblW w:w="13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2360"/>
        <w:gridCol w:w="2410"/>
        <w:gridCol w:w="2126"/>
        <w:gridCol w:w="1843"/>
        <w:gridCol w:w="1827"/>
      </w:tblGrid>
      <w:tr w:rsidR="00813968" w:rsidRPr="00A021B7" w14:paraId="05A0E38C" w14:textId="77777777" w:rsidTr="1A8E6423">
        <w:trPr>
          <w:trHeight w:val="323"/>
          <w:jc w:val="center"/>
        </w:trPr>
        <w:tc>
          <w:tcPr>
            <w:tcW w:w="3022" w:type="dxa"/>
            <w:shd w:val="clear" w:color="auto" w:fill="FFC000" w:themeFill="accent4"/>
          </w:tcPr>
          <w:p w14:paraId="36A91F32" w14:textId="77777777" w:rsidR="00813968" w:rsidRPr="00A021B7" w:rsidRDefault="00813968" w:rsidP="00813968">
            <w:pPr>
              <w:rPr>
                <w:rFonts w:ascii="Arial" w:hAnsi="Arial" w:cs="Arial"/>
                <w:b/>
                <w:bCs/>
                <w:color w:val="000000" w:themeColor="text1"/>
                <w:sz w:val="20"/>
                <w:szCs w:val="20"/>
                <w:lang w:val="sr-Cyrl-RS"/>
              </w:rPr>
            </w:pPr>
          </w:p>
          <w:p w14:paraId="111E9144"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показатеља</w:t>
            </w:r>
          </w:p>
        </w:tc>
        <w:tc>
          <w:tcPr>
            <w:tcW w:w="10566" w:type="dxa"/>
            <w:gridSpan w:val="5"/>
            <w:shd w:val="clear" w:color="auto" w:fill="FFFFFF" w:themeFill="background1"/>
          </w:tcPr>
          <w:p w14:paraId="69995298" w14:textId="77777777" w:rsidR="00813968" w:rsidRPr="0034419C" w:rsidRDefault="00813968" w:rsidP="00813968">
            <w:pPr>
              <w:jc w:val="both"/>
              <w:rPr>
                <w:rFonts w:ascii="Arial" w:hAnsi="Arial" w:cs="Arial"/>
                <w:b/>
                <w:sz w:val="20"/>
                <w:szCs w:val="20"/>
                <w:lang w:val="sr-Cyrl-RS"/>
              </w:rPr>
            </w:pPr>
          </w:p>
          <w:p w14:paraId="35F15043" w14:textId="78091A6E" w:rsidR="00813968" w:rsidRPr="00A021B7" w:rsidRDefault="00813968" w:rsidP="00813968">
            <w:pPr>
              <w:jc w:val="both"/>
              <w:rPr>
                <w:rFonts w:ascii="Arial" w:hAnsi="Arial" w:cs="Arial"/>
                <w:b/>
                <w:color w:val="0070C0"/>
                <w:sz w:val="20"/>
                <w:szCs w:val="20"/>
                <w:lang w:val="sr-Cyrl-RS"/>
              </w:rPr>
            </w:pPr>
            <w:r>
              <w:rPr>
                <w:rFonts w:ascii="Arial" w:hAnsi="Arial" w:cs="Arial"/>
                <w:b/>
                <w:bCs/>
                <w:sz w:val="20"/>
                <w:szCs w:val="20"/>
                <w:lang w:val="sr-Cyrl-RS"/>
              </w:rPr>
              <w:t xml:space="preserve">Удео ЈЛС које имају усвојен </w:t>
            </w:r>
            <w:r w:rsidRPr="006710FF">
              <w:rPr>
                <w:rFonts w:ascii="Arial" w:hAnsi="Arial" w:cs="Arial"/>
                <w:b/>
                <w:bCs/>
                <w:sz w:val="20"/>
                <w:szCs w:val="20"/>
                <w:lang w:val="sr-Cyrl-RS"/>
              </w:rPr>
              <w:t>средњорочни пл</w:t>
            </w:r>
            <w:r>
              <w:rPr>
                <w:rFonts w:ascii="Arial" w:hAnsi="Arial" w:cs="Arial"/>
                <w:b/>
                <w:bCs/>
                <w:sz w:val="20"/>
                <w:szCs w:val="20"/>
                <w:lang w:val="sr-Cyrl-RS"/>
              </w:rPr>
              <w:t>ан</w:t>
            </w:r>
          </w:p>
        </w:tc>
      </w:tr>
      <w:tr w:rsidR="00813968" w:rsidRPr="00A021B7" w14:paraId="3ED2637C" w14:textId="77777777" w:rsidTr="1A8E6423">
        <w:trPr>
          <w:trHeight w:val="251"/>
          <w:jc w:val="center"/>
        </w:trPr>
        <w:tc>
          <w:tcPr>
            <w:tcW w:w="3022" w:type="dxa"/>
            <w:shd w:val="clear" w:color="auto" w:fill="FFC000" w:themeFill="accent4"/>
          </w:tcPr>
          <w:p w14:paraId="08463719"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Одговарајући општи, посебни циљ или мера</w:t>
            </w:r>
          </w:p>
        </w:tc>
        <w:tc>
          <w:tcPr>
            <w:tcW w:w="10566" w:type="dxa"/>
            <w:gridSpan w:val="5"/>
            <w:shd w:val="clear" w:color="auto" w:fill="FFFFFF" w:themeFill="background1"/>
          </w:tcPr>
          <w:p w14:paraId="08BC6744" w14:textId="77777777" w:rsidR="00813968" w:rsidRPr="00A021B7" w:rsidRDefault="00813968" w:rsidP="00813968">
            <w:pPr>
              <w:jc w:val="both"/>
              <w:rPr>
                <w:rFonts w:ascii="Arial" w:hAnsi="Arial" w:cs="Arial"/>
                <w:b/>
                <w:bCs/>
                <w:sz w:val="20"/>
                <w:szCs w:val="20"/>
                <w:lang w:val="sr-Cyrl-RS"/>
              </w:rPr>
            </w:pPr>
            <w:r w:rsidRPr="00A021B7">
              <w:rPr>
                <w:rFonts w:ascii="Arial" w:hAnsi="Arial" w:cs="Arial"/>
                <w:color w:val="000000" w:themeColor="text1"/>
                <w:sz w:val="20"/>
                <w:szCs w:val="20"/>
                <w:lang w:val="sr-Cyrl-RS"/>
              </w:rPr>
              <w:t>Унапређење организације и капацитета локалне самоуправе</w:t>
            </w:r>
          </w:p>
        </w:tc>
      </w:tr>
      <w:tr w:rsidR="00813968" w:rsidRPr="00A021B7" w14:paraId="58E67240" w14:textId="77777777" w:rsidTr="1A8E6423">
        <w:trPr>
          <w:jc w:val="center"/>
        </w:trPr>
        <w:tc>
          <w:tcPr>
            <w:tcW w:w="3022" w:type="dxa"/>
            <w:shd w:val="clear" w:color="auto" w:fill="FFC000" w:themeFill="accent4"/>
          </w:tcPr>
          <w:p w14:paraId="283F6656"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color w:val="000000" w:themeColor="text1"/>
                <w:kern w:val="24"/>
                <w:sz w:val="20"/>
                <w:szCs w:val="20"/>
                <w:lang w:val="sr-Cyrl-RS"/>
              </w:rPr>
              <w:t>Тип и ниво показатеља</w:t>
            </w:r>
          </w:p>
        </w:tc>
        <w:tc>
          <w:tcPr>
            <w:tcW w:w="6896" w:type="dxa"/>
            <w:gridSpan w:val="3"/>
            <w:shd w:val="clear" w:color="auto" w:fill="FFFFFF" w:themeFill="background1"/>
          </w:tcPr>
          <w:p w14:paraId="2345C65D" w14:textId="77777777" w:rsidR="00813968" w:rsidRPr="00A021B7" w:rsidRDefault="00813968" w:rsidP="00813968">
            <w:pPr>
              <w:tabs>
                <w:tab w:val="left" w:pos="182"/>
              </w:tabs>
              <w:rPr>
                <w:rFonts w:ascii="Arial" w:hAnsi="Arial" w:cs="Arial"/>
                <w:bCs/>
                <w:kern w:val="24"/>
                <w:sz w:val="20"/>
                <w:szCs w:val="20"/>
                <w:lang w:val="sr-Cyrl-RS"/>
              </w:rPr>
            </w:pPr>
            <w:r w:rsidRPr="00A021B7">
              <w:rPr>
                <w:rFonts w:ascii="Arial" w:hAnsi="Arial" w:cs="Arial"/>
                <w:bCs/>
                <w:kern w:val="24"/>
                <w:sz w:val="20"/>
                <w:szCs w:val="20"/>
                <w:lang w:val="sr-Cyrl-RS"/>
              </w:rPr>
              <w:t>Квантитативни</w:t>
            </w:r>
          </w:p>
        </w:tc>
        <w:tc>
          <w:tcPr>
            <w:tcW w:w="3670" w:type="dxa"/>
            <w:gridSpan w:val="2"/>
            <w:shd w:val="clear" w:color="auto" w:fill="FFFFFF" w:themeFill="background1"/>
          </w:tcPr>
          <w:p w14:paraId="46D79E73" w14:textId="77777777" w:rsidR="00813968" w:rsidRPr="00A021B7" w:rsidRDefault="00813968" w:rsidP="00813968">
            <w:pPr>
              <w:jc w:val="both"/>
              <w:rPr>
                <w:rFonts w:ascii="Arial" w:hAnsi="Arial" w:cs="Arial"/>
                <w:bCs/>
                <w:kern w:val="24"/>
                <w:sz w:val="20"/>
                <w:szCs w:val="20"/>
                <w:lang w:val="sr-Cyrl-RS"/>
              </w:rPr>
            </w:pPr>
            <w:r w:rsidRPr="00A021B7">
              <w:rPr>
                <w:rFonts w:ascii="Arial" w:hAnsi="Arial" w:cs="Arial"/>
                <w:bCs/>
                <w:kern w:val="24"/>
                <w:sz w:val="20"/>
                <w:szCs w:val="20"/>
                <w:lang w:val="sr-Cyrl-RS"/>
              </w:rPr>
              <w:t>Показатељ на нивоу посебног циља</w:t>
            </w:r>
          </w:p>
        </w:tc>
      </w:tr>
      <w:tr w:rsidR="00813968" w:rsidRPr="00A021B7" w14:paraId="4672A391" w14:textId="77777777" w:rsidTr="1A8E6423">
        <w:trPr>
          <w:trHeight w:val="373"/>
          <w:jc w:val="center"/>
        </w:trPr>
        <w:tc>
          <w:tcPr>
            <w:tcW w:w="3022" w:type="dxa"/>
            <w:shd w:val="clear" w:color="auto" w:fill="FFC000" w:themeFill="accent4"/>
          </w:tcPr>
          <w:p w14:paraId="1BB9DE3D" w14:textId="77777777" w:rsidR="00813968" w:rsidRPr="00A021B7" w:rsidRDefault="00813968" w:rsidP="00813968">
            <w:pPr>
              <w:rPr>
                <w:rFonts w:ascii="Arial" w:hAnsi="Arial" w:cs="Arial"/>
                <w:b/>
                <w:color w:val="000000" w:themeColor="text1"/>
                <w:kern w:val="24"/>
                <w:sz w:val="20"/>
                <w:szCs w:val="20"/>
                <w:lang w:val="sr-Cyrl-RS"/>
              </w:rPr>
            </w:pPr>
            <w:r w:rsidRPr="00A021B7">
              <w:rPr>
                <w:rFonts w:ascii="Arial" w:hAnsi="Arial" w:cs="Arial"/>
                <w:b/>
                <w:color w:val="000000" w:themeColor="text1"/>
                <w:kern w:val="24"/>
                <w:sz w:val="20"/>
                <w:szCs w:val="20"/>
                <w:lang w:val="sr-Cyrl-RS"/>
              </w:rPr>
              <w:t>Јединица мере и природа</w:t>
            </w:r>
          </w:p>
        </w:tc>
        <w:tc>
          <w:tcPr>
            <w:tcW w:w="6896" w:type="dxa"/>
            <w:gridSpan w:val="3"/>
            <w:shd w:val="clear" w:color="auto" w:fill="FFFFFF" w:themeFill="background1"/>
          </w:tcPr>
          <w:p w14:paraId="448F8D98" w14:textId="4093C6FB" w:rsidR="00813968" w:rsidRPr="00A021B7" w:rsidRDefault="00813968" w:rsidP="00813968">
            <w:pPr>
              <w:tabs>
                <w:tab w:val="left" w:pos="182"/>
              </w:tabs>
              <w:rPr>
                <w:rFonts w:ascii="Arial" w:hAnsi="Arial" w:cs="Arial"/>
                <w:bCs/>
                <w:kern w:val="24"/>
                <w:sz w:val="20"/>
                <w:szCs w:val="20"/>
                <w:lang w:val="sr-Cyrl-RS"/>
              </w:rPr>
            </w:pPr>
            <w:r w:rsidRPr="00A021B7">
              <w:rPr>
                <w:rFonts w:ascii="Arial" w:hAnsi="Arial" w:cs="Arial"/>
                <w:bCs/>
                <w:kern w:val="24"/>
                <w:sz w:val="20"/>
                <w:szCs w:val="20"/>
                <w:lang w:val="sr-Cyrl-RS"/>
              </w:rPr>
              <w:t xml:space="preserve">% </w:t>
            </w:r>
          </w:p>
        </w:tc>
        <w:tc>
          <w:tcPr>
            <w:tcW w:w="3670" w:type="dxa"/>
            <w:gridSpan w:val="2"/>
            <w:shd w:val="clear" w:color="auto" w:fill="FFFFFF" w:themeFill="background1"/>
          </w:tcPr>
          <w:p w14:paraId="5237EC57" w14:textId="77777777" w:rsidR="00813968" w:rsidRPr="00A021B7" w:rsidRDefault="00813968" w:rsidP="00813968">
            <w:pPr>
              <w:pStyle w:val="NormalWeb"/>
              <w:spacing w:before="0" w:beforeAutospacing="0" w:after="0" w:afterAutospacing="0"/>
              <w:jc w:val="both"/>
              <w:rPr>
                <w:rFonts w:ascii="Arial" w:eastAsia="Arial" w:hAnsi="Arial" w:cs="Arial"/>
                <w:color w:val="000000" w:themeColor="dark1"/>
                <w:spacing w:val="-1"/>
                <w:kern w:val="24"/>
                <w:sz w:val="20"/>
                <w:szCs w:val="20"/>
                <w:lang w:val="sr-Cyrl-RS"/>
              </w:rPr>
            </w:pPr>
            <w:r w:rsidRPr="00A021B7">
              <w:rPr>
                <w:rFonts w:ascii="Arial" w:eastAsia="Arial" w:hAnsi="Arial" w:cs="Arial"/>
                <w:color w:val="000000" w:themeColor="dark1"/>
                <w:spacing w:val="-1"/>
                <w:kern w:val="24"/>
                <w:sz w:val="20"/>
                <w:szCs w:val="20"/>
                <w:lang w:val="sr-Cyrl-RS"/>
              </w:rPr>
              <w:t>Пожељна је већа вредност</w:t>
            </w:r>
          </w:p>
        </w:tc>
      </w:tr>
      <w:tr w:rsidR="00813968" w:rsidRPr="00A021B7" w14:paraId="05DD9E11" w14:textId="77777777" w:rsidTr="1A8E6423">
        <w:trPr>
          <w:jc w:val="center"/>
        </w:trPr>
        <w:tc>
          <w:tcPr>
            <w:tcW w:w="3022" w:type="dxa"/>
            <w:shd w:val="clear" w:color="auto" w:fill="FFC000" w:themeFill="accent4"/>
          </w:tcPr>
          <w:p w14:paraId="36F9C2F9"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Извор података за праћење показатеља учинка</w:t>
            </w:r>
          </w:p>
        </w:tc>
        <w:tc>
          <w:tcPr>
            <w:tcW w:w="10566" w:type="dxa"/>
            <w:gridSpan w:val="5"/>
            <w:shd w:val="clear" w:color="auto" w:fill="FFFFFF" w:themeFill="background1"/>
          </w:tcPr>
          <w:p w14:paraId="26B9A75F" w14:textId="7038105F" w:rsidR="00813968" w:rsidRPr="00A021B7" w:rsidRDefault="00813968" w:rsidP="00813968">
            <w:pPr>
              <w:jc w:val="both"/>
              <w:rPr>
                <w:rFonts w:ascii="Arial" w:hAnsi="Arial" w:cs="Arial"/>
                <w:sz w:val="20"/>
                <w:szCs w:val="20"/>
                <w:lang w:val="sr-Cyrl-RS"/>
              </w:rPr>
            </w:pPr>
            <w:r w:rsidRPr="1A8E6423">
              <w:rPr>
                <w:rFonts w:ascii="Arial" w:hAnsi="Arial" w:cs="Arial"/>
                <w:sz w:val="20"/>
                <w:szCs w:val="20"/>
                <w:lang w:val="sr-Cyrl-RS"/>
              </w:rPr>
              <w:t>Јединствени информациони систем (ЈИС) за управљање јавним политикама; интернет странице ЈЛС</w:t>
            </w:r>
          </w:p>
          <w:p w14:paraId="3B56A3FB" w14:textId="77777777" w:rsidR="00813968" w:rsidRPr="00A021B7" w:rsidRDefault="00813968" w:rsidP="00813968">
            <w:pPr>
              <w:rPr>
                <w:rFonts w:ascii="Arial" w:hAnsi="Arial" w:cs="Arial"/>
                <w:sz w:val="20"/>
                <w:szCs w:val="20"/>
                <w:lang w:val="sr-Cyrl-RS"/>
              </w:rPr>
            </w:pPr>
          </w:p>
        </w:tc>
      </w:tr>
      <w:tr w:rsidR="00813968" w:rsidRPr="00A021B7" w14:paraId="2860CD7D" w14:textId="77777777" w:rsidTr="1A8E6423">
        <w:trPr>
          <w:jc w:val="center"/>
        </w:trPr>
        <w:tc>
          <w:tcPr>
            <w:tcW w:w="3022" w:type="dxa"/>
            <w:shd w:val="clear" w:color="auto" w:fill="FFC000" w:themeFill="accent4"/>
          </w:tcPr>
          <w:p w14:paraId="2205A966"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Назив носиоца прикупљања података</w:t>
            </w:r>
          </w:p>
        </w:tc>
        <w:tc>
          <w:tcPr>
            <w:tcW w:w="10566" w:type="dxa"/>
            <w:gridSpan w:val="5"/>
            <w:shd w:val="clear" w:color="auto" w:fill="FFFFFF" w:themeFill="background1"/>
          </w:tcPr>
          <w:p w14:paraId="208C133F" w14:textId="77777777" w:rsidR="00813968" w:rsidRPr="009420D7" w:rsidRDefault="00813968" w:rsidP="00813968">
            <w:pPr>
              <w:jc w:val="both"/>
              <w:rPr>
                <w:rFonts w:ascii="Arial" w:hAnsi="Arial" w:cs="Arial"/>
                <w:sz w:val="20"/>
                <w:szCs w:val="20"/>
                <w:lang w:val="en-GB"/>
              </w:rPr>
            </w:pPr>
            <w:r w:rsidRPr="009420D7">
              <w:rPr>
                <w:rFonts w:ascii="Arial" w:hAnsi="Arial" w:cs="Arial"/>
                <w:sz w:val="20"/>
                <w:szCs w:val="20"/>
                <w:lang w:val="sr-Cyrl-RS"/>
              </w:rPr>
              <w:t>РСЈП, Александар Ђорђевић, aleksandar.djodjevic@rsjp.gov.rs;</w:t>
            </w:r>
          </w:p>
          <w:p w14:paraId="1BE99688" w14:textId="77777777" w:rsidR="00813968" w:rsidRPr="00A021B7" w:rsidRDefault="00813968" w:rsidP="00813968">
            <w:pPr>
              <w:jc w:val="both"/>
              <w:rPr>
                <w:rFonts w:ascii="Arial" w:hAnsi="Arial" w:cs="Arial"/>
                <w:color w:val="000000" w:themeColor="text1"/>
                <w:sz w:val="20"/>
                <w:szCs w:val="20"/>
                <w:lang w:val="sr-Cyrl-RS"/>
              </w:rPr>
            </w:pPr>
          </w:p>
          <w:p w14:paraId="6B4099FF" w14:textId="552FCFE0" w:rsidR="00813968" w:rsidRPr="00A021B7" w:rsidRDefault="00813968" w:rsidP="00813968">
            <w:pPr>
              <w:jc w:val="both"/>
              <w:rPr>
                <w:rFonts w:ascii="Arial" w:hAnsi="Arial" w:cs="Arial"/>
                <w:color w:val="FF0000"/>
                <w:sz w:val="20"/>
                <w:szCs w:val="20"/>
                <w:lang w:val="sr-Cyrl-RS"/>
              </w:rPr>
            </w:pPr>
            <w:r w:rsidRPr="1A8E6423">
              <w:rPr>
                <w:rFonts w:ascii="Arial" w:hAnsi="Arial" w:cs="Arial"/>
                <w:color w:val="000000" w:themeColor="text1"/>
                <w:sz w:val="20"/>
                <w:szCs w:val="20"/>
                <w:lang w:val="sr-Cyrl-RS"/>
              </w:rPr>
              <w:t xml:space="preserve">СКГО, Милена Радомировић, </w:t>
            </w:r>
            <w:hyperlink r:id="rId41">
              <w:r w:rsidRPr="1A8E6423">
                <w:rPr>
                  <w:rStyle w:val="Hyperlink"/>
                  <w:rFonts w:ascii="Arial" w:hAnsi="Arial" w:cs="Arial"/>
                  <w:sz w:val="20"/>
                  <w:szCs w:val="20"/>
                  <w:lang w:val="sr-Cyrl-RS"/>
                </w:rPr>
                <w:t>milena.radomirovic@skgo.org</w:t>
              </w:r>
            </w:hyperlink>
          </w:p>
        </w:tc>
      </w:tr>
      <w:tr w:rsidR="00813968" w:rsidRPr="00A021B7" w14:paraId="0C5B7D28" w14:textId="77777777" w:rsidTr="1A8E6423">
        <w:trPr>
          <w:jc w:val="center"/>
        </w:trPr>
        <w:tc>
          <w:tcPr>
            <w:tcW w:w="3022" w:type="dxa"/>
            <w:shd w:val="clear" w:color="auto" w:fill="FFC000" w:themeFill="accent4"/>
          </w:tcPr>
          <w:p w14:paraId="24B80602"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Учесталост прикупљања података</w:t>
            </w:r>
          </w:p>
        </w:tc>
        <w:tc>
          <w:tcPr>
            <w:tcW w:w="10566" w:type="dxa"/>
            <w:gridSpan w:val="5"/>
            <w:shd w:val="clear" w:color="auto" w:fill="FFFFFF" w:themeFill="background1"/>
          </w:tcPr>
          <w:p w14:paraId="42CB4D26" w14:textId="77777777" w:rsidR="00813968" w:rsidRPr="00A021B7" w:rsidRDefault="00813968" w:rsidP="00813968">
            <w:pPr>
              <w:jc w:val="both"/>
              <w:rPr>
                <w:rFonts w:ascii="Arial" w:hAnsi="Arial" w:cs="Arial"/>
                <w:sz w:val="20"/>
                <w:szCs w:val="20"/>
                <w:lang w:val="sr-Cyrl-RS"/>
              </w:rPr>
            </w:pPr>
            <w:r w:rsidRPr="00A021B7">
              <w:rPr>
                <w:rFonts w:ascii="Arial" w:hAnsi="Arial" w:cs="Arial"/>
                <w:sz w:val="20"/>
                <w:szCs w:val="20"/>
                <w:lang w:val="sr-Cyrl-RS"/>
              </w:rPr>
              <w:t xml:space="preserve">Подаци се прикупљају на годишњем нивоу, </w:t>
            </w:r>
            <w:r w:rsidRPr="00A021B7">
              <w:rPr>
                <w:rFonts w:ascii="Arial" w:hAnsi="Arial" w:cs="Arial"/>
                <w:color w:val="000000" w:themeColor="text1"/>
                <w:sz w:val="20"/>
                <w:szCs w:val="20"/>
                <w:lang w:val="sr-Cyrl-RS"/>
              </w:rPr>
              <w:t>тј., ЈЛС до 31. јануара објављују усвојене средњорочне планове за текућу годину (који садрже и пројекције за наредне две године) на својим интернет страницама, а прикупљање података о објављеним средњорочним плановима обавља се до краја првог квартала те (текуће) године прегледањем интернет страница ЈЛС (до аутоматизације уноса кроз ЈИС)</w:t>
            </w:r>
          </w:p>
        </w:tc>
      </w:tr>
      <w:tr w:rsidR="00813968" w:rsidRPr="00A021B7" w14:paraId="778B31B3" w14:textId="77777777" w:rsidTr="1A8E6423">
        <w:trPr>
          <w:trHeight w:val="1111"/>
          <w:jc w:val="center"/>
        </w:trPr>
        <w:tc>
          <w:tcPr>
            <w:tcW w:w="3022" w:type="dxa"/>
            <w:shd w:val="clear" w:color="auto" w:fill="FFC000" w:themeFill="accent4"/>
          </w:tcPr>
          <w:p w14:paraId="2CDD0C8C" w14:textId="77777777" w:rsidR="00813968" w:rsidRPr="00A021B7" w:rsidRDefault="00813968" w:rsidP="00813968">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Кратак опис показатеља и методологије израчунавања</w:t>
            </w:r>
          </w:p>
          <w:p w14:paraId="3737265C" w14:textId="2261CB4D" w:rsidR="00813968" w:rsidRPr="00A021B7" w:rsidRDefault="00813968" w:rsidP="00813968">
            <w:pPr>
              <w:rPr>
                <w:rFonts w:ascii="Arial" w:hAnsi="Arial" w:cs="Arial"/>
                <w:b/>
                <w:color w:val="000000" w:themeColor="text1"/>
                <w:sz w:val="20"/>
                <w:szCs w:val="20"/>
                <w:lang w:val="sr-Cyrl-RS"/>
              </w:rPr>
            </w:pPr>
            <w:r w:rsidRPr="00A021B7">
              <w:rPr>
                <w:rFonts w:ascii="Arial" w:hAnsi="Arial" w:cs="Arial"/>
                <w:b/>
                <w:color w:val="000000" w:themeColor="text1"/>
                <w:sz w:val="20"/>
                <w:szCs w:val="20"/>
                <w:lang w:val="sr-Cyrl-RS"/>
              </w:rPr>
              <w:t>(формуле/једначине)</w:t>
            </w:r>
          </w:p>
        </w:tc>
        <w:tc>
          <w:tcPr>
            <w:tcW w:w="10566" w:type="dxa"/>
            <w:gridSpan w:val="5"/>
            <w:shd w:val="clear" w:color="auto" w:fill="FFFFFF" w:themeFill="background1"/>
          </w:tcPr>
          <w:p w14:paraId="59C7668B" w14:textId="2116C52A" w:rsidR="00813968" w:rsidRPr="00A021B7" w:rsidRDefault="00813968" w:rsidP="00813968">
            <w:pPr>
              <w:pStyle w:val="CommentText"/>
              <w:jc w:val="both"/>
              <w:rPr>
                <w:rFonts w:ascii="Arial" w:hAnsi="Arial" w:cs="Arial"/>
                <w:lang w:val="sr-Cyrl-RS"/>
              </w:rPr>
            </w:pPr>
            <w:r w:rsidRPr="1A8E6423">
              <w:rPr>
                <w:rFonts w:ascii="Arial" w:hAnsi="Arial" w:cs="Arial"/>
                <w:lang w:val="sr-Cyrl-RS"/>
              </w:rPr>
              <w:t>Средњорочни план јесте свеобухватан плански документ који се доноси на годишњем нивоу за период од три године и који омогућава повезивање јавних политика са средњорочним оквиром расхода. Усвајање локалних средњорочних планова развоја је обавеза ЈЛС по Закону о планском систему. Вредност показатеља се израчунава тако што се број усвојених средњорочних планова дели укупним бројем ЈЛС.</w:t>
            </w:r>
          </w:p>
          <w:p w14:paraId="51B5DB81" w14:textId="77777777" w:rsidR="00813968" w:rsidRPr="00A021B7" w:rsidRDefault="00813968" w:rsidP="00813968">
            <w:pPr>
              <w:pStyle w:val="CommentText"/>
              <w:jc w:val="both"/>
              <w:rPr>
                <w:rFonts w:ascii="Arial" w:hAnsi="Arial" w:cs="Arial"/>
                <w:lang w:val="sr-Cyrl-RS"/>
              </w:rPr>
            </w:pPr>
          </w:p>
          <w:p w14:paraId="48B2CB1D" w14:textId="77777777" w:rsidR="00813968" w:rsidRPr="00A021B7" w:rsidRDefault="00813968" w:rsidP="00813968">
            <w:pPr>
              <w:pStyle w:val="CommentText"/>
              <w:jc w:val="both"/>
              <w:rPr>
                <w:rFonts w:ascii="Arial" w:hAnsi="Arial" w:cs="Arial"/>
                <w:lang w:val="sr-Cyrl-RS"/>
              </w:rPr>
            </w:pPr>
            <w:r w:rsidRPr="00A021B7">
              <w:rPr>
                <w:rFonts w:ascii="Arial" w:eastAsiaTheme="minorHAnsi" w:hAnsi="Arial" w:cs="Arial"/>
                <w:b/>
                <w:color w:val="000000" w:themeColor="text1"/>
                <w:lang w:val="sr-Cyrl-RS"/>
              </w:rPr>
              <w:t xml:space="preserve">                                                             ФОРМУЛА/ЈЕДНАЧИНА</w:t>
            </w:r>
          </w:p>
          <w:p w14:paraId="0E26FCEB" w14:textId="77777777" w:rsidR="00813968" w:rsidRPr="00A021B7" w:rsidRDefault="00813968" w:rsidP="00813968">
            <w:pPr>
              <w:pStyle w:val="CommentText"/>
              <w:jc w:val="both"/>
              <w:rPr>
                <w:rFonts w:ascii="Arial" w:hAnsi="Arial" w:cs="Arial"/>
                <w:lang w:val="sr-Cyrl-RS"/>
              </w:rPr>
            </w:pPr>
            <w:r w:rsidRPr="00A021B7">
              <w:rPr>
                <w:rFonts w:ascii="Arial" w:hAnsi="Arial" w:cs="Arial"/>
                <w:noProof/>
                <w:color w:val="000000" w:themeColor="text1"/>
                <w:lang w:eastAsia="en-US"/>
              </w:rPr>
              <mc:AlternateContent>
                <mc:Choice Requires="wps">
                  <w:drawing>
                    <wp:anchor distT="0" distB="0" distL="114300" distR="114300" simplePos="0" relativeHeight="251662345" behindDoc="0" locked="0" layoutInCell="1" allowOverlap="1" wp14:anchorId="1BE4EFB6" wp14:editId="00C479C4">
                      <wp:simplePos x="0" y="0"/>
                      <wp:positionH relativeFrom="column">
                        <wp:posOffset>1827725</wp:posOffset>
                      </wp:positionH>
                      <wp:positionV relativeFrom="paragraph">
                        <wp:posOffset>37172</wp:posOffset>
                      </wp:positionV>
                      <wp:extent cx="2758831" cy="264816"/>
                      <wp:effectExtent l="0" t="0" r="0" b="0"/>
                      <wp:wrapNone/>
                      <wp:docPr id="17" name="TextBox 2"/>
                      <wp:cNvGraphicFramePr/>
                      <a:graphic xmlns:a="http://schemas.openxmlformats.org/drawingml/2006/main">
                        <a:graphicData uri="http://schemas.microsoft.com/office/word/2010/wordprocessingShape">
                          <wps:wsp>
                            <wps:cNvSpPr txBox="1"/>
                            <wps:spPr>
                              <a:xfrm>
                                <a:off x="0" y="0"/>
                                <a:ext cx="2758831" cy="26481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1EB120" w14:textId="77777777" w:rsidR="00813968" w:rsidRPr="001D7352" w:rsidRDefault="00FB2452" w:rsidP="00DE77AF">
                                  <w:pPr>
                                    <w:rPr>
                                      <w:rFonts w:ascii="Arial" w:hAnsi="Arial" w:cs="Arial"/>
                                    </w:rPr>
                                  </w:pPr>
                                  <m:oMath>
                                    <m:f>
                                      <m:fPr>
                                        <m:ctrlPr>
                                          <w:rPr>
                                            <w:rFonts w:ascii="Cambria Math" w:eastAsiaTheme="minorEastAsia" w:hAnsi="Cambria Math" w:cs="Arial"/>
                                            <w:i/>
                                            <w:iCs/>
                                            <w:color w:val="000000" w:themeColor="text1"/>
                                            <w:sz w:val="28"/>
                                            <w:szCs w:val="28"/>
                                          </w:rPr>
                                        </m:ctrlPr>
                                      </m:fPr>
                                      <m:num>
                                        <m:r>
                                          <w:rPr>
                                            <w:rFonts w:ascii="Cambria Math" w:hAnsi="Cambria Math" w:cs="Arial"/>
                                            <w:color w:val="000000" w:themeColor="text1"/>
                                            <w:sz w:val="28"/>
                                            <w:szCs w:val="28"/>
                                            <w:lang w:val="sr-Latn-RS"/>
                                          </w:rPr>
                                          <m:t>Број ЈЛС који имају средњорочни план</m:t>
                                        </m:r>
                                      </m:num>
                                      <m:den>
                                        <m:r>
                                          <w:rPr>
                                            <w:rFonts w:ascii="Cambria Math" w:hAnsi="Cambria Math" w:cs="Arial"/>
                                            <w:color w:val="000000" w:themeColor="text1"/>
                                            <w:sz w:val="28"/>
                                            <w:szCs w:val="28"/>
                                            <w:lang w:val="sr-Latn-RS"/>
                                          </w:rPr>
                                          <m:t>Укупан број ЈЛС</m:t>
                                        </m:r>
                                      </m:den>
                                    </m:f>
                                  </m:oMath>
                                  <w:r w:rsidR="00813968" w:rsidRPr="001D7352">
                                    <w:rPr>
                                      <w:rFonts w:ascii="Arial" w:hAnsi="Arial" w:cs="Arial"/>
                                      <w:color w:val="000000" w:themeColor="text1"/>
                                      <w:lang w:val="sr-Latn-RS"/>
                                    </w:rPr>
                                    <w:t xml:space="preserve"> </w:t>
                                  </w:r>
                                  <m:oMath>
                                    <m:r>
                                      <w:rPr>
                                        <w:rFonts w:ascii="Cambria Math" w:eastAsia="Cambria Math" w:hAnsi="Cambria Math" w:cs="Arial"/>
                                        <w:color w:val="000000" w:themeColor="text1"/>
                                        <w:lang w:val="sr-Latn-RS"/>
                                      </w:rPr>
                                      <m:t>×100</m:t>
                                    </m:r>
                                  </m:oMath>
                                </w:p>
                              </w:txbxContent>
                            </wps:txbx>
                            <wps:bodyPr vertOverflow="clip" horzOverflow="clip" wrap="square" lIns="0" tIns="0" rIns="0" bIns="0" rtlCol="0" anchor="t">
                              <a:spAutoFit/>
                            </wps:bodyPr>
                          </wps:wsp>
                        </a:graphicData>
                      </a:graphic>
                      <wp14:sizeRelH relativeFrom="margin">
                        <wp14:pctWidth>0</wp14:pctWidth>
                      </wp14:sizeRelH>
                    </wp:anchor>
                  </w:drawing>
                </mc:Choice>
                <mc:Fallback>
                  <w:pict>
                    <v:shape w14:anchorId="1BE4EFB6" id="_x0000_s1030" type="#_x0000_t202" style="position:absolute;left:0;text-align:left;margin-left:143.9pt;margin-top:2.95pt;width:217.25pt;height:20.85pt;z-index:2516623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" filled="f" stroked="f">
                      <v:textbox style="mso-fit-shape-to-text:t" inset="0,0,0,0">
                        <w:txbxContent>
                          <w:p w14:paraId="411EB120" w14:textId="77777777" w:rsidR="00813968" w:rsidRPr="001D7352" w:rsidRDefault="00813968" w:rsidP="00DE77AF">
                            <w:pPr>
                              <w:rPr>
                                <w:rFonts w:ascii="Arial" w:hAnsi="Arial" w:cs="Arial"/>
                              </w:rPr>
                            </w:pPr>
                            <m:oMath>
                              <m:f>
                                <m:fPr>
                                  <m:ctrlPr>
                                    <w:rPr>
                                      <w:rFonts w:ascii="Cambria Math" w:eastAsiaTheme="minorEastAsia" w:hAnsi="Cambria Math" w:cs="Arial"/>
                                      <w:i/>
                                      <w:iCs/>
                                      <w:color w:val="000000" w:themeColor="text1"/>
                                      <w:sz w:val="28"/>
                                      <w:szCs w:val="28"/>
                                    </w:rPr>
                                  </m:ctrlPr>
                                </m:fPr>
                                <m:num>
                                  <m:r>
                                    <w:rPr>
                                      <w:rFonts w:ascii="Cambria Math" w:hAnsi="Cambria Math" w:cs="Arial"/>
                                      <w:color w:val="000000" w:themeColor="text1"/>
                                      <w:sz w:val="28"/>
                                      <w:szCs w:val="28"/>
                                      <w:lang w:val="sr-Latn-RS"/>
                                    </w:rPr>
                                    <m:t>Број ЈЛС који имају средњорочни план</m:t>
                                  </m:r>
                                </m:num>
                                <m:den>
                                  <m:r>
                                    <w:rPr>
                                      <w:rFonts w:ascii="Cambria Math" w:hAnsi="Cambria Math" w:cs="Arial"/>
                                      <w:color w:val="000000" w:themeColor="text1"/>
                                      <w:sz w:val="28"/>
                                      <w:szCs w:val="28"/>
                                      <w:lang w:val="sr-Latn-RS"/>
                                    </w:rPr>
                                    <m:t>Укупан број ЈЛС</m:t>
                                  </m:r>
                                </m:den>
                              </m:f>
                            </m:oMath>
                            <w:r w:rsidRPr="001D7352">
                              <w:rPr>
                                <w:rFonts w:ascii="Arial" w:hAnsi="Arial" w:cs="Arial"/>
                                <w:color w:val="000000" w:themeColor="text1"/>
                                <w:lang w:val="sr-Latn-RS"/>
                              </w:rPr>
                              <w:t xml:space="preserve"> </w:t>
                            </w:r>
                            <m:oMath>
                              <m:r>
                                <w:rPr>
                                  <w:rFonts w:ascii="Cambria Math" w:eastAsia="Cambria Math" w:hAnsi="Cambria Math" w:cs="Arial"/>
                                  <w:color w:val="000000" w:themeColor="text1"/>
                                  <w:lang w:val="sr-Latn-RS"/>
                                </w:rPr>
                                <m:t>×100</m:t>
                              </m:r>
                            </m:oMath>
                          </w:p>
                        </w:txbxContent>
                      </v:textbox>
                    </v:shape>
                  </w:pict>
                </mc:Fallback>
              </mc:AlternateContent>
            </w:r>
          </w:p>
          <w:p w14:paraId="08C16DA2" w14:textId="77777777" w:rsidR="00813968" w:rsidRPr="00A021B7" w:rsidRDefault="00813968" w:rsidP="00813968">
            <w:pPr>
              <w:pStyle w:val="CommentText"/>
              <w:jc w:val="both"/>
              <w:rPr>
                <w:rFonts w:ascii="Arial" w:hAnsi="Arial" w:cs="Arial"/>
                <w:lang w:val="sr-Cyrl-RS"/>
              </w:rPr>
            </w:pPr>
          </w:p>
          <w:p w14:paraId="7F97A468" w14:textId="77777777" w:rsidR="00813968" w:rsidRPr="00A021B7" w:rsidRDefault="00813968" w:rsidP="00813968">
            <w:pPr>
              <w:pStyle w:val="CommentText"/>
              <w:jc w:val="both"/>
              <w:rPr>
                <w:rFonts w:ascii="Arial" w:hAnsi="Arial" w:cs="Arial"/>
                <w:lang w:val="sr-Cyrl-RS"/>
              </w:rPr>
            </w:pPr>
          </w:p>
        </w:tc>
      </w:tr>
      <w:tr w:rsidR="00813968" w:rsidRPr="00A021B7" w14:paraId="33EBAABC" w14:textId="77777777" w:rsidTr="1A8E6423">
        <w:trPr>
          <w:trHeight w:val="265"/>
          <w:jc w:val="center"/>
        </w:trPr>
        <w:tc>
          <w:tcPr>
            <w:tcW w:w="3022" w:type="dxa"/>
            <w:vMerge w:val="restart"/>
            <w:shd w:val="clear" w:color="auto" w:fill="FFC000" w:themeFill="accent4"/>
          </w:tcPr>
          <w:p w14:paraId="31FE8D0D" w14:textId="25EAAE29" w:rsidR="00813968" w:rsidRPr="00A021B7" w:rsidRDefault="00813968" w:rsidP="00813968">
            <w:pPr>
              <w:rPr>
                <w:rFonts w:ascii="Arial" w:hAnsi="Arial" w:cs="Arial"/>
                <w:b/>
                <w:bCs/>
                <w:color w:val="000000" w:themeColor="text1"/>
                <w:sz w:val="20"/>
                <w:szCs w:val="20"/>
                <w:lang w:val="sr-Cyrl-RS"/>
              </w:rPr>
            </w:pPr>
            <w:r w:rsidRPr="1A8E6423">
              <w:rPr>
                <w:rFonts w:ascii="Arial" w:hAnsi="Arial" w:cs="Arial"/>
                <w:b/>
                <w:bCs/>
                <w:color w:val="000000" w:themeColor="text1"/>
                <w:sz w:val="20"/>
                <w:szCs w:val="20"/>
                <w:lang w:val="sr-Cyrl-RS"/>
              </w:rPr>
              <w:t>Подаци о полазној вредности и години кад је измерена, као и тренду у прошлости</w:t>
            </w:r>
          </w:p>
        </w:tc>
        <w:tc>
          <w:tcPr>
            <w:tcW w:w="8739" w:type="dxa"/>
            <w:gridSpan w:val="4"/>
            <w:tcBorders>
              <w:bottom w:val="single" w:sz="4" w:space="0" w:color="auto"/>
            </w:tcBorders>
            <w:shd w:val="clear" w:color="auto" w:fill="FFFFFF" w:themeFill="background1"/>
            <w:vAlign w:val="center"/>
          </w:tcPr>
          <w:p w14:paraId="0D75EA4B" w14:textId="77777777" w:rsidR="00813968" w:rsidRPr="00A021B7" w:rsidRDefault="00813968" w:rsidP="00813968">
            <w:pPr>
              <w:jc w:val="center"/>
              <w:rPr>
                <w:rFonts w:ascii="Arial" w:hAnsi="Arial" w:cs="Arial"/>
                <w:sz w:val="20"/>
                <w:szCs w:val="20"/>
                <w:lang w:val="sr-Cyrl-RS"/>
              </w:rPr>
            </w:pPr>
            <w:r w:rsidRPr="00A021B7">
              <w:rPr>
                <w:rFonts w:ascii="Arial" w:hAnsi="Arial" w:cs="Arial"/>
                <w:sz w:val="20"/>
                <w:szCs w:val="20"/>
                <w:lang w:val="sr-Cyrl-RS"/>
              </w:rPr>
              <w:t>Тренд у прошлости</w:t>
            </w:r>
          </w:p>
        </w:tc>
        <w:tc>
          <w:tcPr>
            <w:tcW w:w="1827" w:type="dxa"/>
            <w:shd w:val="clear" w:color="auto" w:fill="FFFFFF" w:themeFill="background1"/>
            <w:vAlign w:val="center"/>
          </w:tcPr>
          <w:p w14:paraId="7FA9E60E" w14:textId="77777777" w:rsidR="00813968" w:rsidRPr="00A021B7" w:rsidRDefault="00813968" w:rsidP="00813968">
            <w:pPr>
              <w:jc w:val="center"/>
              <w:rPr>
                <w:rFonts w:ascii="Arial" w:hAnsi="Arial" w:cs="Arial"/>
                <w:sz w:val="20"/>
                <w:szCs w:val="20"/>
                <w:lang w:val="sr-Cyrl-RS"/>
              </w:rPr>
            </w:pPr>
            <w:r w:rsidRPr="00A021B7">
              <w:rPr>
                <w:rFonts w:ascii="Arial" w:hAnsi="Arial" w:cs="Arial"/>
                <w:sz w:val="20"/>
                <w:szCs w:val="20"/>
                <w:lang w:val="sr-Cyrl-RS"/>
              </w:rPr>
              <w:t>Полазна вредност</w:t>
            </w:r>
          </w:p>
        </w:tc>
      </w:tr>
      <w:tr w:rsidR="00813968" w:rsidRPr="00A021B7" w14:paraId="7D55487B" w14:textId="77777777" w:rsidTr="1A8E6423">
        <w:trPr>
          <w:trHeight w:val="137"/>
          <w:jc w:val="center"/>
        </w:trPr>
        <w:tc>
          <w:tcPr>
            <w:tcW w:w="3022" w:type="dxa"/>
            <w:vMerge/>
          </w:tcPr>
          <w:p w14:paraId="7301CDAE" w14:textId="77777777" w:rsidR="00813968" w:rsidRPr="00A021B7" w:rsidRDefault="00813968" w:rsidP="00813968">
            <w:pPr>
              <w:rPr>
                <w:rFonts w:ascii="Arial" w:hAnsi="Arial" w:cs="Arial"/>
                <w:b/>
                <w:bCs/>
                <w:color w:val="000000" w:themeColor="text1"/>
                <w:sz w:val="20"/>
                <w:szCs w:val="20"/>
                <w:lang w:val="sr-Cyrl-RS"/>
              </w:rPr>
            </w:pPr>
          </w:p>
        </w:tc>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C6ED2" w14:textId="7741D446" w:rsidR="00813968" w:rsidRPr="00A021B7" w:rsidRDefault="00D27AA0" w:rsidP="00813968">
            <w:pPr>
              <w:jc w:val="center"/>
              <w:rPr>
                <w:rFonts w:ascii="Arial" w:hAnsi="Arial" w:cs="Arial"/>
                <w:sz w:val="20"/>
                <w:szCs w:val="20"/>
                <w:lang w:val="sr-Cyrl-RS"/>
              </w:rPr>
            </w:pPr>
            <w:r>
              <w:rPr>
                <w:rFonts w:ascii="Arial" w:hAnsi="Arial" w:cs="Arial"/>
                <w:sz w:val="20"/>
                <w:szCs w:val="20"/>
                <w:lang w:val="sr-Cyrl-RS"/>
              </w:rPr>
              <w:t>2017</w:t>
            </w:r>
            <w:r w:rsidR="00813968" w:rsidRPr="1A8E6423">
              <w:rPr>
                <w:rFonts w:ascii="Arial" w:hAnsi="Arial" w:cs="Arial"/>
                <w:sz w:val="20"/>
                <w:szCs w:val="20"/>
                <w:lang w:val="sr-Cyrl-RS"/>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42343" w14:textId="16D1BF9B" w:rsidR="00813968" w:rsidRPr="00A021B7" w:rsidRDefault="00D27AA0" w:rsidP="00813968">
            <w:pPr>
              <w:jc w:val="center"/>
              <w:rPr>
                <w:rFonts w:ascii="Arial" w:hAnsi="Arial" w:cs="Arial"/>
                <w:sz w:val="20"/>
                <w:szCs w:val="20"/>
                <w:lang w:val="sr-Cyrl-RS"/>
              </w:rPr>
            </w:pPr>
            <w:r>
              <w:rPr>
                <w:rFonts w:ascii="Arial" w:hAnsi="Arial" w:cs="Arial"/>
                <w:sz w:val="20"/>
                <w:szCs w:val="20"/>
                <w:lang w:val="sr-Cyrl-RS"/>
              </w:rPr>
              <w:t>2018</w:t>
            </w:r>
            <w:r w:rsidR="00813968" w:rsidRPr="1A8E6423">
              <w:rPr>
                <w:rFonts w:ascii="Arial" w:hAnsi="Arial" w:cs="Arial"/>
                <w:sz w:val="20"/>
                <w:szCs w:val="20"/>
                <w:lang w:val="sr-Cyrl-R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9AB4B" w14:textId="4B0339E1" w:rsidR="00813968" w:rsidRPr="00A021B7" w:rsidRDefault="00D27AA0" w:rsidP="00813968">
            <w:pPr>
              <w:jc w:val="center"/>
              <w:rPr>
                <w:rFonts w:ascii="Arial" w:hAnsi="Arial" w:cs="Arial"/>
                <w:sz w:val="20"/>
                <w:szCs w:val="20"/>
                <w:lang w:val="sr-Cyrl-RS"/>
              </w:rPr>
            </w:pPr>
            <w:r>
              <w:rPr>
                <w:rFonts w:ascii="Arial" w:hAnsi="Arial" w:cs="Arial"/>
                <w:sz w:val="20"/>
                <w:szCs w:val="20"/>
                <w:lang w:val="sr-Cyrl-RS"/>
              </w:rPr>
              <w:t>2019</w:t>
            </w:r>
            <w:r w:rsidR="00813968" w:rsidRPr="1A8E6423">
              <w:rPr>
                <w:rFonts w:ascii="Arial" w:hAnsi="Arial" w:cs="Arial"/>
                <w:sz w:val="20"/>
                <w:szCs w:val="20"/>
                <w:lang w:val="sr-Cyrl-RS"/>
              </w:rPr>
              <w:t>.</w:t>
            </w:r>
          </w:p>
        </w:tc>
        <w:tc>
          <w:tcPr>
            <w:tcW w:w="1827" w:type="dxa"/>
            <w:tcBorders>
              <w:left w:val="single" w:sz="4" w:space="0" w:color="auto"/>
            </w:tcBorders>
            <w:shd w:val="clear" w:color="auto" w:fill="FFFFFF" w:themeFill="background1"/>
            <w:vAlign w:val="center"/>
          </w:tcPr>
          <w:p w14:paraId="04AD0995" w14:textId="31601882" w:rsidR="00813968" w:rsidRPr="00A021B7" w:rsidRDefault="00385C66" w:rsidP="00813968">
            <w:pPr>
              <w:jc w:val="center"/>
              <w:rPr>
                <w:rFonts w:ascii="Arial" w:hAnsi="Arial" w:cs="Arial"/>
                <w:sz w:val="20"/>
                <w:szCs w:val="20"/>
                <w:lang w:val="sr-Cyrl-RS"/>
              </w:rPr>
            </w:pPr>
            <w:r>
              <w:rPr>
                <w:rFonts w:ascii="Arial" w:hAnsi="Arial" w:cs="Arial"/>
                <w:sz w:val="20"/>
                <w:szCs w:val="20"/>
                <w:lang w:val="sr-Cyrl-RS"/>
              </w:rPr>
              <w:t>2020</w:t>
            </w:r>
            <w:r w:rsidR="00813968" w:rsidRPr="1A8E6423">
              <w:rPr>
                <w:rFonts w:ascii="Arial" w:hAnsi="Arial" w:cs="Arial"/>
                <w:sz w:val="20"/>
                <w:szCs w:val="20"/>
                <w:lang w:val="sr-Cyrl-RS"/>
              </w:rPr>
              <w:t>.</w:t>
            </w:r>
          </w:p>
        </w:tc>
      </w:tr>
      <w:tr w:rsidR="00813968" w:rsidRPr="00A021B7" w14:paraId="1D180242" w14:textId="77777777" w:rsidTr="1A8E6423">
        <w:trPr>
          <w:trHeight w:val="323"/>
          <w:jc w:val="center"/>
        </w:trPr>
        <w:tc>
          <w:tcPr>
            <w:tcW w:w="3022" w:type="dxa"/>
            <w:vMerge/>
          </w:tcPr>
          <w:p w14:paraId="4BCA8F18" w14:textId="77777777" w:rsidR="00813968" w:rsidRPr="00A021B7" w:rsidRDefault="00813968" w:rsidP="00813968">
            <w:pPr>
              <w:rPr>
                <w:rFonts w:ascii="Arial" w:hAnsi="Arial" w:cs="Arial"/>
                <w:b/>
                <w:bCs/>
                <w:color w:val="000000" w:themeColor="text1"/>
                <w:sz w:val="20"/>
                <w:szCs w:val="20"/>
                <w:lang w:val="sr-Cyrl-RS"/>
              </w:rPr>
            </w:pPr>
          </w:p>
        </w:tc>
        <w:tc>
          <w:tcPr>
            <w:tcW w:w="2360" w:type="dxa"/>
            <w:tcBorders>
              <w:top w:val="single" w:sz="4" w:space="0" w:color="auto"/>
            </w:tcBorders>
            <w:shd w:val="clear" w:color="auto" w:fill="FFFFFF" w:themeFill="background1"/>
            <w:vAlign w:val="center"/>
          </w:tcPr>
          <w:p w14:paraId="34E061AA" w14:textId="77777777" w:rsidR="00813968" w:rsidRPr="00A021B7" w:rsidRDefault="00813968" w:rsidP="00813968">
            <w:pPr>
              <w:jc w:val="center"/>
              <w:rPr>
                <w:rFonts w:ascii="Arial" w:hAnsi="Arial" w:cs="Arial"/>
                <w:sz w:val="20"/>
                <w:szCs w:val="20"/>
                <w:lang w:val="sr-Cyrl-RS"/>
              </w:rPr>
            </w:pPr>
            <w:r w:rsidRPr="00A021B7">
              <w:rPr>
                <w:rFonts w:ascii="Arial" w:hAnsi="Arial" w:cs="Arial"/>
                <w:sz w:val="20"/>
                <w:szCs w:val="20"/>
                <w:lang w:val="sr-Cyrl-RS"/>
              </w:rPr>
              <w:t>/</w:t>
            </w:r>
          </w:p>
        </w:tc>
        <w:tc>
          <w:tcPr>
            <w:tcW w:w="4536" w:type="dxa"/>
            <w:gridSpan w:val="2"/>
            <w:tcBorders>
              <w:top w:val="single" w:sz="4" w:space="0" w:color="auto"/>
            </w:tcBorders>
            <w:shd w:val="clear" w:color="auto" w:fill="FFFFFF" w:themeFill="background1"/>
            <w:vAlign w:val="center"/>
          </w:tcPr>
          <w:p w14:paraId="1F0F7759" w14:textId="77777777" w:rsidR="00813968" w:rsidRPr="00A021B7" w:rsidRDefault="00813968" w:rsidP="00813968">
            <w:pPr>
              <w:jc w:val="center"/>
              <w:rPr>
                <w:rFonts w:ascii="Arial" w:hAnsi="Arial" w:cs="Arial"/>
                <w:sz w:val="20"/>
                <w:szCs w:val="20"/>
                <w:lang w:val="sr-Cyrl-RS"/>
              </w:rPr>
            </w:pPr>
            <w:r w:rsidRPr="00A021B7">
              <w:rPr>
                <w:rFonts w:ascii="Arial" w:hAnsi="Arial" w:cs="Arial"/>
                <w:sz w:val="20"/>
                <w:szCs w:val="20"/>
                <w:lang w:val="sr-Cyrl-RS"/>
              </w:rPr>
              <w:t>/</w:t>
            </w:r>
          </w:p>
        </w:tc>
        <w:tc>
          <w:tcPr>
            <w:tcW w:w="1843" w:type="dxa"/>
            <w:tcBorders>
              <w:top w:val="single" w:sz="4" w:space="0" w:color="auto"/>
            </w:tcBorders>
            <w:shd w:val="clear" w:color="auto" w:fill="FFFFFF" w:themeFill="background1"/>
            <w:vAlign w:val="center"/>
          </w:tcPr>
          <w:p w14:paraId="2F625AD7" w14:textId="77777777" w:rsidR="00813968" w:rsidRPr="00A021B7" w:rsidRDefault="00813968" w:rsidP="00813968">
            <w:pPr>
              <w:jc w:val="center"/>
              <w:rPr>
                <w:rFonts w:ascii="Arial" w:hAnsi="Arial" w:cs="Arial"/>
                <w:sz w:val="20"/>
                <w:szCs w:val="20"/>
                <w:lang w:val="sr-Cyrl-RS"/>
              </w:rPr>
            </w:pPr>
            <w:r w:rsidRPr="00A021B7">
              <w:rPr>
                <w:rFonts w:ascii="Arial" w:hAnsi="Arial" w:cs="Arial"/>
                <w:sz w:val="20"/>
                <w:szCs w:val="20"/>
                <w:lang w:val="sr-Cyrl-RS"/>
              </w:rPr>
              <w:t>/</w:t>
            </w:r>
          </w:p>
        </w:tc>
        <w:tc>
          <w:tcPr>
            <w:tcW w:w="1827" w:type="dxa"/>
            <w:shd w:val="clear" w:color="auto" w:fill="FFFFFF" w:themeFill="background1"/>
            <w:vAlign w:val="center"/>
          </w:tcPr>
          <w:p w14:paraId="6B43A4D9" w14:textId="77777777" w:rsidR="00813968" w:rsidRPr="00A021B7" w:rsidRDefault="00813968" w:rsidP="00813968">
            <w:pPr>
              <w:jc w:val="center"/>
              <w:rPr>
                <w:rFonts w:ascii="Arial" w:hAnsi="Arial" w:cs="Arial"/>
                <w:sz w:val="20"/>
                <w:szCs w:val="20"/>
                <w:lang w:val="sr-Cyrl-RS"/>
              </w:rPr>
            </w:pPr>
            <w:r w:rsidRPr="00A021B7">
              <w:rPr>
                <w:rFonts w:ascii="Arial" w:hAnsi="Arial" w:cs="Arial"/>
                <w:sz w:val="20"/>
                <w:szCs w:val="20"/>
                <w:lang w:val="sr-Cyrl-RS"/>
              </w:rPr>
              <w:t>0</w:t>
            </w:r>
          </w:p>
        </w:tc>
      </w:tr>
      <w:tr w:rsidR="00813968" w:rsidRPr="00A021B7" w14:paraId="7A9B69AC" w14:textId="77777777" w:rsidTr="1A8E6423">
        <w:trPr>
          <w:trHeight w:val="274"/>
          <w:jc w:val="center"/>
        </w:trPr>
        <w:tc>
          <w:tcPr>
            <w:tcW w:w="3022" w:type="dxa"/>
            <w:vMerge w:val="restart"/>
            <w:shd w:val="clear" w:color="auto" w:fill="FFC000" w:themeFill="accent4"/>
          </w:tcPr>
          <w:p w14:paraId="3D1B6755"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Подаци о циљним вредностима</w:t>
            </w:r>
          </w:p>
        </w:tc>
        <w:tc>
          <w:tcPr>
            <w:tcW w:w="2360" w:type="dxa"/>
            <w:shd w:val="clear" w:color="auto" w:fill="FFFFFF" w:themeFill="background1"/>
            <w:vAlign w:val="center"/>
          </w:tcPr>
          <w:p w14:paraId="5F57FB0C" w14:textId="57D32176" w:rsidR="00813968" w:rsidRPr="00A021B7" w:rsidRDefault="00813968" w:rsidP="00813968">
            <w:pPr>
              <w:jc w:val="center"/>
              <w:rPr>
                <w:rFonts w:ascii="Arial" w:hAnsi="Arial" w:cs="Arial"/>
                <w:sz w:val="20"/>
                <w:szCs w:val="20"/>
                <w:lang w:val="sr-Cyrl-RS"/>
              </w:rPr>
            </w:pPr>
            <w:r w:rsidRPr="1A8E6423">
              <w:rPr>
                <w:rFonts w:ascii="Arial" w:hAnsi="Arial" w:cs="Arial"/>
                <w:sz w:val="20"/>
                <w:szCs w:val="20"/>
                <w:lang w:val="sr-Cyrl-RS"/>
              </w:rPr>
              <w:t>2021.</w:t>
            </w:r>
          </w:p>
        </w:tc>
        <w:tc>
          <w:tcPr>
            <w:tcW w:w="2410" w:type="dxa"/>
            <w:shd w:val="clear" w:color="auto" w:fill="FFFFFF" w:themeFill="background1"/>
            <w:vAlign w:val="center"/>
          </w:tcPr>
          <w:p w14:paraId="4D46ED06" w14:textId="59B78FD2" w:rsidR="00813968" w:rsidRPr="00A021B7" w:rsidRDefault="00813968" w:rsidP="00813968">
            <w:pPr>
              <w:jc w:val="center"/>
              <w:rPr>
                <w:rFonts w:ascii="Arial" w:hAnsi="Arial" w:cs="Arial"/>
                <w:sz w:val="20"/>
                <w:szCs w:val="20"/>
                <w:lang w:val="sr-Cyrl-RS"/>
              </w:rPr>
            </w:pPr>
            <w:r w:rsidRPr="1A8E6423">
              <w:rPr>
                <w:rFonts w:ascii="Arial" w:hAnsi="Arial" w:cs="Arial"/>
                <w:sz w:val="20"/>
                <w:szCs w:val="20"/>
                <w:lang w:val="sr-Cyrl-RS"/>
              </w:rPr>
              <w:t>2022.</w:t>
            </w:r>
          </w:p>
        </w:tc>
        <w:tc>
          <w:tcPr>
            <w:tcW w:w="2126" w:type="dxa"/>
            <w:shd w:val="clear" w:color="auto" w:fill="FFFFFF" w:themeFill="background1"/>
            <w:vAlign w:val="center"/>
          </w:tcPr>
          <w:p w14:paraId="34FFEE13" w14:textId="721550F7" w:rsidR="00813968" w:rsidRPr="00A021B7" w:rsidRDefault="00813968" w:rsidP="00813968">
            <w:pPr>
              <w:jc w:val="center"/>
              <w:rPr>
                <w:rFonts w:ascii="Arial" w:hAnsi="Arial" w:cs="Arial"/>
                <w:sz w:val="20"/>
                <w:szCs w:val="20"/>
                <w:lang w:val="sr-Cyrl-RS"/>
              </w:rPr>
            </w:pPr>
            <w:r w:rsidRPr="1A8E6423">
              <w:rPr>
                <w:rFonts w:ascii="Arial" w:hAnsi="Arial" w:cs="Arial"/>
                <w:sz w:val="20"/>
                <w:szCs w:val="20"/>
                <w:lang w:val="sr-Cyrl-RS"/>
              </w:rPr>
              <w:t>2023.</w:t>
            </w:r>
          </w:p>
        </w:tc>
        <w:tc>
          <w:tcPr>
            <w:tcW w:w="1843" w:type="dxa"/>
            <w:shd w:val="clear" w:color="auto" w:fill="FFFFFF" w:themeFill="background1"/>
            <w:vAlign w:val="center"/>
          </w:tcPr>
          <w:p w14:paraId="595D2225" w14:textId="36D0003A" w:rsidR="00813968" w:rsidRPr="00A021B7" w:rsidRDefault="00813968" w:rsidP="00813968">
            <w:pPr>
              <w:jc w:val="center"/>
              <w:rPr>
                <w:rFonts w:ascii="Arial" w:hAnsi="Arial" w:cs="Arial"/>
                <w:sz w:val="20"/>
                <w:szCs w:val="20"/>
                <w:lang w:val="sr-Cyrl-RS"/>
              </w:rPr>
            </w:pPr>
            <w:r w:rsidRPr="1A8E6423">
              <w:rPr>
                <w:rFonts w:ascii="Arial" w:hAnsi="Arial" w:cs="Arial"/>
                <w:sz w:val="20"/>
                <w:szCs w:val="20"/>
                <w:lang w:val="sr-Cyrl-RS"/>
              </w:rPr>
              <w:t>2024.</w:t>
            </w:r>
          </w:p>
        </w:tc>
        <w:tc>
          <w:tcPr>
            <w:tcW w:w="1827" w:type="dxa"/>
            <w:shd w:val="clear" w:color="auto" w:fill="FFFFFF" w:themeFill="background1"/>
            <w:vAlign w:val="center"/>
          </w:tcPr>
          <w:p w14:paraId="64F3DE13" w14:textId="64A58B82" w:rsidR="00813968" w:rsidRPr="00A021B7" w:rsidRDefault="00813968" w:rsidP="00813968">
            <w:pPr>
              <w:jc w:val="center"/>
              <w:rPr>
                <w:rFonts w:ascii="Arial" w:hAnsi="Arial" w:cs="Arial"/>
                <w:sz w:val="20"/>
                <w:szCs w:val="20"/>
                <w:lang w:val="sr-Cyrl-RS"/>
              </w:rPr>
            </w:pPr>
            <w:r w:rsidRPr="1A8E6423">
              <w:rPr>
                <w:rFonts w:ascii="Arial" w:hAnsi="Arial" w:cs="Arial"/>
                <w:sz w:val="20"/>
                <w:szCs w:val="20"/>
                <w:lang w:val="sr-Cyrl-RS"/>
              </w:rPr>
              <w:t>2025.</w:t>
            </w:r>
          </w:p>
        </w:tc>
      </w:tr>
      <w:tr w:rsidR="00813968" w:rsidRPr="00A021B7" w14:paraId="69E7BFB0" w14:textId="77777777" w:rsidTr="1A8E6423">
        <w:trPr>
          <w:trHeight w:val="160"/>
          <w:jc w:val="center"/>
        </w:trPr>
        <w:tc>
          <w:tcPr>
            <w:tcW w:w="3022" w:type="dxa"/>
            <w:vMerge/>
          </w:tcPr>
          <w:p w14:paraId="3731E578" w14:textId="77777777" w:rsidR="00813968" w:rsidRPr="00A021B7" w:rsidRDefault="00813968" w:rsidP="00813968">
            <w:pPr>
              <w:rPr>
                <w:rFonts w:ascii="Arial" w:hAnsi="Arial" w:cs="Arial"/>
                <w:b/>
                <w:bCs/>
                <w:color w:val="000000" w:themeColor="text1"/>
                <w:sz w:val="20"/>
                <w:szCs w:val="20"/>
                <w:lang w:val="sr-Cyrl-RS"/>
              </w:rPr>
            </w:pPr>
          </w:p>
        </w:tc>
        <w:tc>
          <w:tcPr>
            <w:tcW w:w="2360" w:type="dxa"/>
            <w:shd w:val="clear" w:color="auto" w:fill="FFFFFF" w:themeFill="background1"/>
          </w:tcPr>
          <w:p w14:paraId="103CFB59" w14:textId="3CA9A611" w:rsidR="00813968" w:rsidRPr="00A021B7" w:rsidRDefault="00385C66" w:rsidP="00813968">
            <w:pPr>
              <w:jc w:val="center"/>
              <w:rPr>
                <w:rFonts w:ascii="Arial" w:hAnsi="Arial" w:cs="Arial"/>
                <w:color w:val="000000" w:themeColor="text1"/>
                <w:sz w:val="20"/>
                <w:szCs w:val="20"/>
                <w:lang w:val="sr-Cyrl-RS"/>
              </w:rPr>
            </w:pPr>
            <w:r>
              <w:rPr>
                <w:rFonts w:ascii="Arial" w:hAnsi="Arial" w:cs="Arial"/>
                <w:color w:val="000000" w:themeColor="text1"/>
                <w:sz w:val="20"/>
                <w:szCs w:val="20"/>
                <w:lang w:val="sr-Cyrl-RS"/>
              </w:rPr>
              <w:t>0</w:t>
            </w:r>
            <w:r w:rsidR="00813968" w:rsidRPr="00A021B7">
              <w:rPr>
                <w:rFonts w:ascii="Arial" w:hAnsi="Arial" w:cs="Arial"/>
                <w:color w:val="000000" w:themeColor="text1"/>
                <w:sz w:val="20"/>
                <w:szCs w:val="20"/>
                <w:lang w:val="sr-Cyrl-RS"/>
              </w:rPr>
              <w:t>%</w:t>
            </w:r>
          </w:p>
        </w:tc>
        <w:tc>
          <w:tcPr>
            <w:tcW w:w="2410" w:type="dxa"/>
            <w:shd w:val="clear" w:color="auto" w:fill="FFFFFF" w:themeFill="background1"/>
          </w:tcPr>
          <w:p w14:paraId="0E833524" w14:textId="4B285AF2" w:rsidR="00813968" w:rsidRPr="00A021B7" w:rsidRDefault="00385C66" w:rsidP="00813968">
            <w:pPr>
              <w:jc w:val="center"/>
              <w:rPr>
                <w:rFonts w:ascii="Arial" w:hAnsi="Arial" w:cs="Arial"/>
                <w:color w:val="000000" w:themeColor="text1"/>
                <w:sz w:val="20"/>
                <w:szCs w:val="20"/>
                <w:lang w:val="sr-Cyrl-RS"/>
              </w:rPr>
            </w:pPr>
            <w:r>
              <w:rPr>
                <w:rFonts w:ascii="Arial" w:hAnsi="Arial" w:cs="Arial"/>
                <w:color w:val="000000" w:themeColor="text1"/>
                <w:sz w:val="20"/>
                <w:szCs w:val="20"/>
                <w:lang w:val="sr-Cyrl-RS"/>
              </w:rPr>
              <w:t>15</w:t>
            </w:r>
            <w:r w:rsidR="00813968" w:rsidRPr="00A021B7">
              <w:rPr>
                <w:rFonts w:ascii="Arial" w:hAnsi="Arial" w:cs="Arial"/>
                <w:color w:val="000000" w:themeColor="text1"/>
                <w:sz w:val="20"/>
                <w:szCs w:val="20"/>
                <w:lang w:val="sr-Cyrl-RS"/>
              </w:rPr>
              <w:t>%</w:t>
            </w:r>
          </w:p>
        </w:tc>
        <w:tc>
          <w:tcPr>
            <w:tcW w:w="2126" w:type="dxa"/>
            <w:shd w:val="clear" w:color="auto" w:fill="FFFFFF" w:themeFill="background1"/>
          </w:tcPr>
          <w:p w14:paraId="5A9A5535" w14:textId="77777777" w:rsidR="00813968" w:rsidRPr="00A021B7" w:rsidRDefault="00813968" w:rsidP="00813968">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40%</w:t>
            </w:r>
          </w:p>
        </w:tc>
        <w:tc>
          <w:tcPr>
            <w:tcW w:w="1843" w:type="dxa"/>
            <w:shd w:val="clear" w:color="auto" w:fill="FFFFFF" w:themeFill="background1"/>
          </w:tcPr>
          <w:p w14:paraId="6DC3B5C2" w14:textId="77777777" w:rsidR="00813968" w:rsidRPr="00A021B7" w:rsidRDefault="00813968" w:rsidP="00813968">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50%</w:t>
            </w:r>
          </w:p>
        </w:tc>
        <w:tc>
          <w:tcPr>
            <w:tcW w:w="1827" w:type="dxa"/>
            <w:shd w:val="clear" w:color="auto" w:fill="FFFFFF" w:themeFill="background1"/>
          </w:tcPr>
          <w:p w14:paraId="0820B5B6" w14:textId="77777777" w:rsidR="00813968" w:rsidRPr="00A021B7" w:rsidRDefault="00813968" w:rsidP="00813968">
            <w:pPr>
              <w:jc w:val="center"/>
              <w:rPr>
                <w:rFonts w:ascii="Arial" w:hAnsi="Arial" w:cs="Arial"/>
                <w:color w:val="000000" w:themeColor="text1"/>
                <w:sz w:val="20"/>
                <w:szCs w:val="20"/>
                <w:lang w:val="sr-Cyrl-RS"/>
              </w:rPr>
            </w:pPr>
            <w:r w:rsidRPr="00A021B7">
              <w:rPr>
                <w:rFonts w:ascii="Arial" w:hAnsi="Arial" w:cs="Arial"/>
                <w:color w:val="000000" w:themeColor="text1"/>
                <w:sz w:val="20"/>
                <w:szCs w:val="20"/>
                <w:lang w:val="sr-Cyrl-RS"/>
              </w:rPr>
              <w:t>70%</w:t>
            </w:r>
          </w:p>
        </w:tc>
      </w:tr>
      <w:tr w:rsidR="00813968" w:rsidRPr="00A021B7" w14:paraId="3D07EE6F" w14:textId="77777777" w:rsidTr="1A8E6423">
        <w:trPr>
          <w:trHeight w:val="160"/>
          <w:jc w:val="center"/>
        </w:trPr>
        <w:tc>
          <w:tcPr>
            <w:tcW w:w="3022" w:type="dxa"/>
            <w:shd w:val="clear" w:color="auto" w:fill="FFC000" w:themeFill="accent4"/>
          </w:tcPr>
          <w:p w14:paraId="7AB1A218" w14:textId="77777777" w:rsidR="00813968" w:rsidRPr="00A021B7" w:rsidRDefault="00813968" w:rsidP="00813968">
            <w:pPr>
              <w:rPr>
                <w:rFonts w:ascii="Arial" w:hAnsi="Arial" w:cs="Arial"/>
                <w:b/>
                <w:bCs/>
                <w:color w:val="000000" w:themeColor="text1"/>
                <w:sz w:val="20"/>
                <w:szCs w:val="20"/>
                <w:lang w:val="sr-Cyrl-RS"/>
              </w:rPr>
            </w:pPr>
            <w:r w:rsidRPr="00A021B7">
              <w:rPr>
                <w:rFonts w:ascii="Arial" w:hAnsi="Arial" w:cs="Arial"/>
                <w:b/>
                <w:bCs/>
                <w:color w:val="000000" w:themeColor="text1"/>
                <w:sz w:val="20"/>
                <w:szCs w:val="20"/>
                <w:lang w:val="sr-Cyrl-RS"/>
              </w:rPr>
              <w:t>Процена успешности</w:t>
            </w:r>
          </w:p>
        </w:tc>
        <w:tc>
          <w:tcPr>
            <w:tcW w:w="10566" w:type="dxa"/>
            <w:gridSpan w:val="5"/>
            <w:shd w:val="clear" w:color="auto" w:fill="FFFFFF" w:themeFill="background1"/>
            <w:vAlign w:val="center"/>
          </w:tcPr>
          <w:p w14:paraId="0BA466C9" w14:textId="26CAE619" w:rsidR="00813968" w:rsidRPr="00A021B7" w:rsidRDefault="00813968" w:rsidP="00813968">
            <w:pPr>
              <w:jc w:val="both"/>
              <w:rPr>
                <w:rFonts w:ascii="Arial" w:hAnsi="Arial" w:cs="Arial"/>
                <w:color w:val="000000" w:themeColor="text1"/>
                <w:sz w:val="20"/>
                <w:szCs w:val="20"/>
                <w:lang w:val="sr-Cyrl-RS"/>
              </w:rPr>
            </w:pPr>
            <w:r w:rsidRPr="1A8E6423">
              <w:rPr>
                <w:rFonts w:ascii="Arial" w:hAnsi="Arial" w:cs="Arial"/>
                <w:color w:val="000000" w:themeColor="text1"/>
                <w:sz w:val="20"/>
                <w:szCs w:val="20"/>
                <w:lang w:val="sr-Cyrl-RS"/>
              </w:rPr>
              <w:t>Прихватљиво је одступање до 10% од циљане процентуалне вредности.</w:t>
            </w:r>
          </w:p>
        </w:tc>
      </w:tr>
    </w:tbl>
    <w:p w14:paraId="7452E1C0" w14:textId="77777777" w:rsidR="00DE77AF" w:rsidRPr="00A021B7" w:rsidRDefault="00DE77AF" w:rsidP="00DE77AF">
      <w:pPr>
        <w:jc w:val="both"/>
        <w:rPr>
          <w:rFonts w:ascii="Arial" w:hAnsi="Arial" w:cs="Arial"/>
          <w:b/>
          <w:bCs/>
          <w:color w:val="2F5496" w:themeColor="accent1" w:themeShade="BF"/>
          <w:sz w:val="20"/>
          <w:szCs w:val="20"/>
          <w:lang w:val="sr-Cyrl-RS"/>
        </w:rPr>
      </w:pPr>
    </w:p>
    <w:p w14:paraId="2AAB8341" w14:textId="77777777" w:rsidR="00DE77AF" w:rsidRPr="00A021B7" w:rsidRDefault="00DE77AF" w:rsidP="00DE77AF">
      <w:pPr>
        <w:jc w:val="both"/>
        <w:rPr>
          <w:rFonts w:ascii="Arial" w:hAnsi="Arial" w:cs="Arial"/>
          <w:b/>
          <w:bCs/>
          <w:color w:val="2F5496" w:themeColor="accent1" w:themeShade="BF"/>
          <w:sz w:val="20"/>
          <w:szCs w:val="20"/>
          <w:lang w:val="sr-Cyrl-RS"/>
        </w:rPr>
      </w:pPr>
    </w:p>
    <w:p w14:paraId="10D71BE0" w14:textId="378D09FA" w:rsidR="00DE77AF" w:rsidRPr="00A021B7" w:rsidRDefault="00DE77AF" w:rsidP="004D4848">
      <w:pPr>
        <w:pStyle w:val="Heading4"/>
        <w:rPr>
          <w:lang w:val="sr-Cyrl-RS"/>
        </w:rPr>
      </w:pPr>
      <w:r w:rsidRPr="1A8E6423">
        <w:rPr>
          <w:lang w:val="sr-Cyrl-RS"/>
        </w:rPr>
        <w:t>ПОСЕБАН ЦИЉ 4: УНАПРЕЂЕЊЕ КВАЛИТЕТА И ДОСТУПНОСТИ УПРАВНИХ</w:t>
      </w:r>
      <w:r w:rsidR="00E96350" w:rsidRPr="1A8E6423">
        <w:rPr>
          <w:lang w:val="sr-Cyrl-RS"/>
        </w:rPr>
        <w:t xml:space="preserve"> И</w:t>
      </w:r>
      <w:r w:rsidRPr="1A8E6423">
        <w:rPr>
          <w:lang w:val="sr-Cyrl-RS"/>
        </w:rPr>
        <w:t xml:space="preserve"> КОМУНАЛНИХ</w:t>
      </w:r>
      <w:r w:rsidR="00E96350" w:rsidRPr="1A8E6423">
        <w:rPr>
          <w:lang w:val="sr-Cyrl-RS"/>
        </w:rPr>
        <w:t xml:space="preserve"> УСЛУГА</w:t>
      </w:r>
      <w:r w:rsidRPr="1A8E6423">
        <w:rPr>
          <w:lang w:val="sr-Cyrl-RS"/>
        </w:rPr>
        <w:t xml:space="preserve"> И УСЛУГА ЈАВНИХ УСТАНОВА ЛОКАЛНЕ САМОУПРАВЕ</w:t>
      </w:r>
    </w:p>
    <w:p w14:paraId="275509E3" w14:textId="46FA1994" w:rsidR="00DE77AF" w:rsidRPr="00A021B7" w:rsidRDefault="00DE77AF" w:rsidP="00DE77AF">
      <w:pPr>
        <w:rPr>
          <w:rFonts w:ascii="Arial" w:hAnsi="Arial" w:cs="Arial"/>
          <w:b/>
          <w:bCs/>
          <w:color w:val="FFC000"/>
          <w:sz w:val="20"/>
          <w:szCs w:val="20"/>
          <w:lang w:val="sr-Cyrl-RS"/>
        </w:rPr>
      </w:pPr>
    </w:p>
    <w:p w14:paraId="03B42C32" w14:textId="32101D15" w:rsidR="00E63120" w:rsidRPr="00A021B7" w:rsidRDefault="00E63120" w:rsidP="00DE77AF">
      <w:pPr>
        <w:rPr>
          <w:rFonts w:ascii="Arial" w:hAnsi="Arial" w:cs="Arial"/>
          <w:b/>
          <w:bCs/>
          <w:color w:val="FFC000"/>
          <w:sz w:val="20"/>
          <w:szCs w:val="20"/>
          <w:lang w:val="sr-Cyrl-RS"/>
        </w:rPr>
      </w:pPr>
    </w:p>
    <w:tbl>
      <w:tblPr>
        <w:tblW w:w="5000" w:type="pct"/>
        <w:tblLook w:val="04A0" w:firstRow="1" w:lastRow="0" w:firstColumn="1" w:lastColumn="0" w:noHBand="0" w:noVBand="1"/>
      </w:tblPr>
      <w:tblGrid>
        <w:gridCol w:w="7368"/>
        <w:gridCol w:w="2508"/>
        <w:gridCol w:w="4232"/>
      </w:tblGrid>
      <w:tr w:rsidR="0076782D" w:rsidRPr="00A021B7" w14:paraId="2BBBB88B" w14:textId="77777777" w:rsidTr="1A8E6423">
        <w:trPr>
          <w:trHeight w:val="1200"/>
        </w:trPr>
        <w:tc>
          <w:tcPr>
            <w:tcW w:w="2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7D965" w14:textId="77777777" w:rsidR="0076782D" w:rsidRPr="00A021B7" w:rsidRDefault="0076782D">
            <w:pPr>
              <w:jc w:val="center"/>
              <w:rPr>
                <w:rFonts w:ascii="Arial" w:hAnsi="Arial" w:cs="Arial"/>
                <w:color w:val="000000"/>
                <w:lang w:val="sr-Cyrl-RS"/>
              </w:rPr>
            </w:pPr>
            <w:r w:rsidRPr="00A021B7">
              <w:rPr>
                <w:rFonts w:ascii="Arial" w:hAnsi="Arial" w:cs="Arial"/>
                <w:color w:val="000000"/>
                <w:lang w:val="sr-Cyrl-RS"/>
              </w:rPr>
              <w:t>Показатељ(и) на нивоу посебног циља (показатељ исхода)</w:t>
            </w:r>
          </w:p>
        </w:tc>
        <w:tc>
          <w:tcPr>
            <w:tcW w:w="8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7BAB3E" w14:textId="25F95A4C" w:rsidR="0076782D" w:rsidRPr="00A021B7" w:rsidRDefault="00E96350">
            <w:pPr>
              <w:jc w:val="center"/>
              <w:rPr>
                <w:rFonts w:ascii="Arial" w:hAnsi="Arial" w:cs="Arial"/>
                <w:color w:val="000000"/>
                <w:lang w:val="sr-Cyrl-RS"/>
              </w:rPr>
            </w:pPr>
            <w:r w:rsidRPr="00A021B7">
              <w:rPr>
                <w:rFonts w:ascii="Arial" w:hAnsi="Arial" w:cs="Arial"/>
                <w:color w:val="000000"/>
                <w:lang w:val="sr-Cyrl-RS"/>
              </w:rPr>
              <w:t>Јединица</w:t>
            </w:r>
            <w:r w:rsidR="0076782D" w:rsidRPr="00A021B7">
              <w:rPr>
                <w:rFonts w:ascii="Arial" w:hAnsi="Arial" w:cs="Arial"/>
                <w:color w:val="000000"/>
                <w:lang w:val="sr-Cyrl-RS"/>
              </w:rPr>
              <w:t xml:space="preserve"> мере</w:t>
            </w:r>
          </w:p>
        </w:tc>
        <w:tc>
          <w:tcPr>
            <w:tcW w:w="1500" w:type="pct"/>
            <w:tcBorders>
              <w:top w:val="single" w:sz="4" w:space="0" w:color="auto"/>
              <w:left w:val="nil"/>
              <w:bottom w:val="nil"/>
              <w:right w:val="single" w:sz="4" w:space="0" w:color="auto"/>
            </w:tcBorders>
            <w:shd w:val="clear" w:color="auto" w:fill="D9D9D9" w:themeFill="background1" w:themeFillShade="D9"/>
            <w:vAlign w:val="center"/>
            <w:hideMark/>
          </w:tcPr>
          <w:p w14:paraId="6DBA1680" w14:textId="252659CE" w:rsidR="0076782D" w:rsidRPr="00A021B7" w:rsidRDefault="793851C6">
            <w:pPr>
              <w:jc w:val="center"/>
              <w:rPr>
                <w:rFonts w:ascii="Arial" w:hAnsi="Arial" w:cs="Arial"/>
                <w:color w:val="000000"/>
                <w:lang w:val="sr-Cyrl-RS"/>
              </w:rPr>
            </w:pPr>
            <w:r w:rsidRPr="1A8E6423">
              <w:rPr>
                <w:rFonts w:ascii="Arial" w:hAnsi="Arial" w:cs="Arial"/>
                <w:color w:val="000000" w:themeColor="text1"/>
                <w:lang w:val="sr-Cyrl-RS"/>
              </w:rPr>
              <w:t xml:space="preserve">Планирани рок израде </w:t>
            </w:r>
          </w:p>
        </w:tc>
      </w:tr>
      <w:tr w:rsidR="0076782D" w:rsidRPr="00A021B7" w14:paraId="6B6F78CB" w14:textId="77777777" w:rsidTr="1A8E6423">
        <w:trPr>
          <w:trHeight w:val="744"/>
        </w:trPr>
        <w:tc>
          <w:tcPr>
            <w:tcW w:w="2611" w:type="pct"/>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5BA367D7" w14:textId="628D5F1B" w:rsidR="0076782D" w:rsidRPr="00A021B7" w:rsidRDefault="749A78A8" w:rsidP="1A8E6423">
            <w:pPr>
              <w:rPr>
                <w:rFonts w:ascii="Arial" w:hAnsi="Arial" w:cs="Arial"/>
                <w:i/>
                <w:iCs/>
                <w:color w:val="000000"/>
                <w:lang w:val="sr-Cyrl-RS"/>
              </w:rPr>
            </w:pPr>
            <w:r w:rsidRPr="1A8E6423">
              <w:rPr>
                <w:rFonts w:ascii="Arial" w:hAnsi="Arial" w:cs="Arial"/>
                <w:i/>
                <w:iCs/>
                <w:color w:val="000000" w:themeColor="text1"/>
                <w:lang w:val="sr-Cyrl-RS"/>
              </w:rPr>
              <w:t xml:space="preserve">Доступност и квалитет </w:t>
            </w:r>
            <w:r w:rsidR="00E96350" w:rsidRPr="1A8E6423">
              <w:rPr>
                <w:rFonts w:ascii="Arial" w:hAnsi="Arial" w:cs="Arial"/>
                <w:i/>
                <w:iCs/>
                <w:color w:val="000000" w:themeColor="text1"/>
                <w:lang w:val="sr-Cyrl-RS"/>
              </w:rPr>
              <w:t xml:space="preserve">пружања </w:t>
            </w:r>
            <w:r w:rsidRPr="1A8E6423">
              <w:rPr>
                <w:rFonts w:ascii="Arial" w:hAnsi="Arial" w:cs="Arial"/>
                <w:i/>
                <w:iCs/>
                <w:color w:val="000000" w:themeColor="text1"/>
                <w:lang w:val="sr-Cyrl-RS"/>
              </w:rPr>
              <w:t>приоритетних управних услуга локалне самоуправе</w:t>
            </w:r>
          </w:p>
        </w:tc>
        <w:tc>
          <w:tcPr>
            <w:tcW w:w="889" w:type="pct"/>
            <w:tcBorders>
              <w:top w:val="nil"/>
              <w:left w:val="nil"/>
              <w:bottom w:val="single" w:sz="4" w:space="0" w:color="auto"/>
              <w:right w:val="single" w:sz="4" w:space="0" w:color="auto"/>
            </w:tcBorders>
            <w:shd w:val="clear" w:color="auto" w:fill="FFFFFF" w:themeFill="background1"/>
            <w:vAlign w:val="center"/>
            <w:hideMark/>
          </w:tcPr>
          <w:p w14:paraId="26D3778D" w14:textId="77777777" w:rsidR="0076782D" w:rsidRPr="00A021B7" w:rsidRDefault="0076782D">
            <w:pPr>
              <w:jc w:val="center"/>
              <w:rPr>
                <w:rFonts w:ascii="Arial" w:hAnsi="Arial" w:cs="Arial"/>
                <w:color w:val="000000"/>
                <w:lang w:val="sr-Cyrl-RS"/>
              </w:rPr>
            </w:pPr>
            <w:r w:rsidRPr="00A021B7">
              <w:rPr>
                <w:rFonts w:ascii="Arial" w:hAnsi="Arial" w:cs="Arial"/>
                <w:color w:val="000000"/>
                <w:lang w:val="sr-Cyrl-RS"/>
              </w:rPr>
              <w:t>Индекс обављања послова ЈЛС</w:t>
            </w:r>
          </w:p>
        </w:tc>
        <w:tc>
          <w:tcPr>
            <w:tcW w:w="1500"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A187C8" w14:textId="6A09D213" w:rsidR="0076782D" w:rsidRPr="00A021B7" w:rsidRDefault="793851C6" w:rsidP="004C0AF6">
            <w:pPr>
              <w:jc w:val="center"/>
              <w:rPr>
                <w:rFonts w:ascii="Arial" w:hAnsi="Arial" w:cs="Arial"/>
                <w:color w:val="000000"/>
                <w:lang w:val="sr-Cyrl-RS"/>
              </w:rPr>
            </w:pPr>
            <w:r w:rsidRPr="1A8E6423">
              <w:rPr>
                <w:rFonts w:ascii="Arial" w:hAnsi="Arial" w:cs="Arial"/>
                <w:color w:val="000000" w:themeColor="text1"/>
                <w:lang w:val="sr-Cyrl-RS"/>
              </w:rPr>
              <w:t>2022</w:t>
            </w:r>
            <w:r w:rsidR="00E96350" w:rsidRPr="1A8E6423">
              <w:rPr>
                <w:rFonts w:ascii="Arial" w:hAnsi="Arial" w:cs="Arial"/>
                <w:color w:val="000000" w:themeColor="text1"/>
                <w:lang w:val="sr-Cyrl-RS"/>
              </w:rPr>
              <w:t>.</w:t>
            </w:r>
          </w:p>
        </w:tc>
      </w:tr>
      <w:tr w:rsidR="004C0AF6" w:rsidRPr="00A021B7" w14:paraId="1694ACB3" w14:textId="77777777" w:rsidTr="1A8E6423">
        <w:trPr>
          <w:trHeight w:val="556"/>
        </w:trPr>
        <w:tc>
          <w:tcPr>
            <w:tcW w:w="2611" w:type="pct"/>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2E79E72D" w14:textId="5B462844" w:rsidR="004C0AF6" w:rsidRPr="00A021B7" w:rsidRDefault="793851C6" w:rsidP="1A8E6423">
            <w:pPr>
              <w:rPr>
                <w:rFonts w:ascii="Arial" w:hAnsi="Arial" w:cs="Arial"/>
                <w:i/>
                <w:iCs/>
                <w:color w:val="000000"/>
                <w:lang w:val="sr-Cyrl-RS"/>
              </w:rPr>
            </w:pPr>
            <w:r w:rsidRPr="1A8E6423">
              <w:rPr>
                <w:rFonts w:ascii="Arial" w:hAnsi="Arial" w:cs="Arial"/>
                <w:i/>
                <w:iCs/>
                <w:color w:val="000000" w:themeColor="text1"/>
                <w:lang w:val="sr-Cyrl-RS"/>
              </w:rPr>
              <w:t xml:space="preserve">Доступност и квалитет </w:t>
            </w:r>
            <w:r w:rsidR="00E96350" w:rsidRPr="1A8E6423">
              <w:rPr>
                <w:rFonts w:ascii="Arial" w:hAnsi="Arial" w:cs="Arial"/>
                <w:i/>
                <w:iCs/>
                <w:color w:val="000000" w:themeColor="text1"/>
                <w:lang w:val="sr-Cyrl-RS"/>
              </w:rPr>
              <w:t xml:space="preserve">пружања </w:t>
            </w:r>
            <w:r w:rsidRPr="1A8E6423">
              <w:rPr>
                <w:rFonts w:ascii="Arial" w:hAnsi="Arial" w:cs="Arial"/>
                <w:i/>
                <w:iCs/>
                <w:color w:val="000000" w:themeColor="text1"/>
                <w:lang w:val="sr-Cyrl-RS"/>
              </w:rPr>
              <w:t>приоритетних услуга јавних установа локалне самоуправе</w:t>
            </w:r>
          </w:p>
        </w:tc>
        <w:tc>
          <w:tcPr>
            <w:tcW w:w="889" w:type="pct"/>
            <w:tcBorders>
              <w:top w:val="nil"/>
              <w:left w:val="nil"/>
              <w:bottom w:val="single" w:sz="4" w:space="0" w:color="auto"/>
              <w:right w:val="single" w:sz="4" w:space="0" w:color="auto"/>
            </w:tcBorders>
            <w:shd w:val="clear" w:color="auto" w:fill="FFFFFF" w:themeFill="background1"/>
            <w:vAlign w:val="center"/>
            <w:hideMark/>
          </w:tcPr>
          <w:p w14:paraId="15A684B0" w14:textId="77777777" w:rsidR="004C0AF6" w:rsidRPr="00A021B7" w:rsidRDefault="004C0AF6" w:rsidP="004C0AF6">
            <w:pPr>
              <w:jc w:val="center"/>
              <w:rPr>
                <w:rFonts w:ascii="Arial" w:hAnsi="Arial" w:cs="Arial"/>
                <w:color w:val="000000"/>
                <w:lang w:val="sr-Cyrl-RS"/>
              </w:rPr>
            </w:pPr>
            <w:r w:rsidRPr="00A021B7">
              <w:rPr>
                <w:rFonts w:ascii="Arial" w:hAnsi="Arial" w:cs="Arial"/>
                <w:color w:val="000000"/>
                <w:lang w:val="sr-Cyrl-RS"/>
              </w:rPr>
              <w:t>Индекс обављања послова ЈЛС</w:t>
            </w:r>
          </w:p>
        </w:tc>
        <w:tc>
          <w:tcPr>
            <w:tcW w:w="1500" w:type="pct"/>
            <w:tcBorders>
              <w:top w:val="nil"/>
              <w:left w:val="nil"/>
              <w:bottom w:val="single" w:sz="4" w:space="0" w:color="auto"/>
              <w:right w:val="single" w:sz="4" w:space="0" w:color="auto"/>
            </w:tcBorders>
            <w:shd w:val="clear" w:color="auto" w:fill="FFFFFF" w:themeFill="background1"/>
            <w:vAlign w:val="center"/>
            <w:hideMark/>
          </w:tcPr>
          <w:p w14:paraId="3377E2A6" w14:textId="15CD1326" w:rsidR="004C0AF6" w:rsidRPr="00A021B7" w:rsidRDefault="793851C6" w:rsidP="004C0AF6">
            <w:pPr>
              <w:jc w:val="center"/>
              <w:rPr>
                <w:rFonts w:ascii="Arial" w:hAnsi="Arial" w:cs="Arial"/>
                <w:color w:val="000000"/>
                <w:lang w:val="sr-Cyrl-RS"/>
              </w:rPr>
            </w:pPr>
            <w:r w:rsidRPr="1A8E6423">
              <w:rPr>
                <w:rFonts w:ascii="Arial" w:hAnsi="Arial" w:cs="Arial"/>
                <w:color w:val="000000" w:themeColor="text1"/>
                <w:lang w:val="sr-Cyrl-RS"/>
              </w:rPr>
              <w:t>2022</w:t>
            </w:r>
            <w:r w:rsidR="00E96350" w:rsidRPr="1A8E6423">
              <w:rPr>
                <w:rFonts w:ascii="Arial" w:hAnsi="Arial" w:cs="Arial"/>
                <w:color w:val="000000" w:themeColor="text1"/>
                <w:lang w:val="sr-Cyrl-RS"/>
              </w:rPr>
              <w:t>.</w:t>
            </w:r>
          </w:p>
        </w:tc>
      </w:tr>
      <w:tr w:rsidR="004C0AF6" w:rsidRPr="00A021B7" w14:paraId="292D01C3" w14:textId="77777777" w:rsidTr="1A8E6423">
        <w:trPr>
          <w:trHeight w:val="564"/>
        </w:trPr>
        <w:tc>
          <w:tcPr>
            <w:tcW w:w="2611" w:type="pct"/>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60B209C5" w14:textId="4C302307" w:rsidR="004C0AF6" w:rsidRPr="00A021B7" w:rsidRDefault="793851C6" w:rsidP="1A8E6423">
            <w:pPr>
              <w:rPr>
                <w:rFonts w:ascii="Arial" w:hAnsi="Arial" w:cs="Arial"/>
                <w:i/>
                <w:iCs/>
                <w:color w:val="000000"/>
                <w:lang w:val="sr-Cyrl-RS"/>
              </w:rPr>
            </w:pPr>
            <w:r w:rsidRPr="1A8E6423">
              <w:rPr>
                <w:rFonts w:ascii="Arial" w:hAnsi="Arial" w:cs="Arial"/>
                <w:i/>
                <w:iCs/>
                <w:color w:val="000000" w:themeColor="text1"/>
                <w:lang w:val="sr-Cyrl-RS"/>
              </w:rPr>
              <w:t xml:space="preserve">Доступност и квалитет </w:t>
            </w:r>
            <w:r w:rsidR="00E96350" w:rsidRPr="1A8E6423">
              <w:rPr>
                <w:rFonts w:ascii="Arial" w:hAnsi="Arial" w:cs="Arial"/>
                <w:i/>
                <w:iCs/>
                <w:color w:val="000000" w:themeColor="text1"/>
                <w:lang w:val="sr-Cyrl-RS"/>
              </w:rPr>
              <w:t xml:space="preserve">пружања </w:t>
            </w:r>
            <w:r w:rsidRPr="1A8E6423">
              <w:rPr>
                <w:rFonts w:ascii="Arial" w:hAnsi="Arial" w:cs="Arial"/>
                <w:i/>
                <w:iCs/>
                <w:color w:val="000000" w:themeColor="text1"/>
                <w:lang w:val="sr-Cyrl-RS"/>
              </w:rPr>
              <w:t>приоритетних комуналних услуга локалне самоуправе</w:t>
            </w:r>
          </w:p>
        </w:tc>
        <w:tc>
          <w:tcPr>
            <w:tcW w:w="889" w:type="pct"/>
            <w:tcBorders>
              <w:top w:val="nil"/>
              <w:left w:val="nil"/>
              <w:bottom w:val="single" w:sz="4" w:space="0" w:color="auto"/>
              <w:right w:val="single" w:sz="4" w:space="0" w:color="auto"/>
            </w:tcBorders>
            <w:shd w:val="clear" w:color="auto" w:fill="FFFFFF" w:themeFill="background1"/>
            <w:vAlign w:val="center"/>
            <w:hideMark/>
          </w:tcPr>
          <w:p w14:paraId="292DB3FE" w14:textId="77777777" w:rsidR="004C0AF6" w:rsidRPr="00A021B7" w:rsidRDefault="004C0AF6" w:rsidP="004C0AF6">
            <w:pPr>
              <w:jc w:val="center"/>
              <w:rPr>
                <w:rFonts w:ascii="Arial" w:hAnsi="Arial" w:cs="Arial"/>
                <w:color w:val="000000"/>
                <w:lang w:val="sr-Cyrl-RS"/>
              </w:rPr>
            </w:pPr>
            <w:r w:rsidRPr="00A021B7">
              <w:rPr>
                <w:rFonts w:ascii="Arial" w:hAnsi="Arial" w:cs="Arial"/>
                <w:color w:val="000000"/>
                <w:lang w:val="sr-Cyrl-RS"/>
              </w:rPr>
              <w:t>Индекс обављања послова ЈЛС</w:t>
            </w:r>
          </w:p>
        </w:tc>
        <w:tc>
          <w:tcPr>
            <w:tcW w:w="1500" w:type="pct"/>
            <w:tcBorders>
              <w:top w:val="nil"/>
              <w:left w:val="nil"/>
              <w:bottom w:val="single" w:sz="4" w:space="0" w:color="auto"/>
              <w:right w:val="single" w:sz="4" w:space="0" w:color="auto"/>
            </w:tcBorders>
            <w:shd w:val="clear" w:color="auto" w:fill="FFFFFF" w:themeFill="background1"/>
            <w:vAlign w:val="center"/>
            <w:hideMark/>
          </w:tcPr>
          <w:p w14:paraId="7B1FE5D3" w14:textId="77645006" w:rsidR="004C0AF6" w:rsidRPr="00A021B7" w:rsidRDefault="793851C6" w:rsidP="004C0AF6">
            <w:pPr>
              <w:jc w:val="center"/>
              <w:rPr>
                <w:rFonts w:ascii="Arial" w:hAnsi="Arial" w:cs="Arial"/>
                <w:color w:val="000000"/>
                <w:lang w:val="sr-Cyrl-RS"/>
              </w:rPr>
            </w:pPr>
            <w:r w:rsidRPr="1A8E6423">
              <w:rPr>
                <w:rFonts w:ascii="Arial" w:hAnsi="Arial" w:cs="Arial"/>
                <w:color w:val="000000" w:themeColor="text1"/>
                <w:lang w:val="sr-Cyrl-RS"/>
              </w:rPr>
              <w:t>2022</w:t>
            </w:r>
            <w:r w:rsidR="00E96350" w:rsidRPr="1A8E6423">
              <w:rPr>
                <w:rFonts w:ascii="Arial" w:hAnsi="Arial" w:cs="Arial"/>
                <w:color w:val="000000" w:themeColor="text1"/>
                <w:lang w:val="sr-Cyrl-RS"/>
              </w:rPr>
              <w:t>.</w:t>
            </w:r>
          </w:p>
        </w:tc>
      </w:tr>
      <w:tr w:rsidR="004C0AF6" w:rsidRPr="00A021B7" w14:paraId="54E6CD44" w14:textId="77777777" w:rsidTr="1A8E6423">
        <w:trPr>
          <w:trHeight w:val="700"/>
        </w:trPr>
        <w:tc>
          <w:tcPr>
            <w:tcW w:w="2611" w:type="pct"/>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3EA9536E" w14:textId="77777777" w:rsidR="004C0AF6" w:rsidRPr="00A021B7" w:rsidRDefault="004C0AF6" w:rsidP="004C0AF6">
            <w:pPr>
              <w:rPr>
                <w:rFonts w:ascii="Arial" w:hAnsi="Arial" w:cs="Arial"/>
                <w:i/>
                <w:iCs/>
                <w:color w:val="000000"/>
                <w:lang w:val="sr-Cyrl-RS"/>
              </w:rPr>
            </w:pPr>
            <w:r w:rsidRPr="00A021B7">
              <w:rPr>
                <w:rFonts w:ascii="Arial" w:hAnsi="Arial" w:cs="Arial"/>
                <w:i/>
                <w:iCs/>
                <w:color w:val="000000"/>
                <w:lang w:val="sr-Cyrl-RS"/>
              </w:rPr>
              <w:t>Степен задовољства корисника пруженим услугама локалне самоуправе</w:t>
            </w:r>
          </w:p>
        </w:tc>
        <w:tc>
          <w:tcPr>
            <w:tcW w:w="889" w:type="pct"/>
            <w:tcBorders>
              <w:top w:val="nil"/>
              <w:left w:val="nil"/>
              <w:bottom w:val="single" w:sz="4" w:space="0" w:color="auto"/>
              <w:right w:val="single" w:sz="4" w:space="0" w:color="auto"/>
            </w:tcBorders>
            <w:shd w:val="clear" w:color="auto" w:fill="FFFFFF" w:themeFill="background1"/>
            <w:vAlign w:val="center"/>
            <w:hideMark/>
          </w:tcPr>
          <w:p w14:paraId="00F288A5" w14:textId="77777777" w:rsidR="004C0AF6" w:rsidRPr="00A021B7" w:rsidRDefault="004C0AF6" w:rsidP="004C0AF6">
            <w:pPr>
              <w:jc w:val="center"/>
              <w:rPr>
                <w:rFonts w:ascii="Arial" w:hAnsi="Arial" w:cs="Arial"/>
                <w:color w:val="000000"/>
                <w:lang w:val="sr-Cyrl-RS"/>
              </w:rPr>
            </w:pPr>
            <w:r w:rsidRPr="00A021B7">
              <w:rPr>
                <w:rFonts w:ascii="Arial" w:hAnsi="Arial" w:cs="Arial"/>
                <w:color w:val="000000"/>
                <w:lang w:val="sr-Cyrl-RS"/>
              </w:rPr>
              <w:t>Индекс обављања послова ЈЛС</w:t>
            </w:r>
          </w:p>
        </w:tc>
        <w:tc>
          <w:tcPr>
            <w:tcW w:w="1500" w:type="pct"/>
            <w:tcBorders>
              <w:top w:val="nil"/>
              <w:left w:val="nil"/>
              <w:bottom w:val="single" w:sz="4" w:space="0" w:color="auto"/>
              <w:right w:val="single" w:sz="4" w:space="0" w:color="auto"/>
            </w:tcBorders>
            <w:shd w:val="clear" w:color="auto" w:fill="FFFFFF" w:themeFill="background1"/>
            <w:vAlign w:val="center"/>
            <w:hideMark/>
          </w:tcPr>
          <w:p w14:paraId="25957310" w14:textId="5E5EF15C" w:rsidR="004C0AF6" w:rsidRPr="00A021B7" w:rsidRDefault="793851C6" w:rsidP="004C0AF6">
            <w:pPr>
              <w:jc w:val="center"/>
              <w:rPr>
                <w:rFonts w:ascii="Arial" w:hAnsi="Arial" w:cs="Arial"/>
                <w:color w:val="000000"/>
                <w:lang w:val="sr-Cyrl-RS"/>
              </w:rPr>
            </w:pPr>
            <w:r w:rsidRPr="1A8E6423">
              <w:rPr>
                <w:rFonts w:ascii="Arial" w:hAnsi="Arial" w:cs="Arial"/>
                <w:color w:val="000000" w:themeColor="text1"/>
                <w:lang w:val="sr-Cyrl-RS"/>
              </w:rPr>
              <w:t>2022</w:t>
            </w:r>
            <w:r w:rsidR="00E96350" w:rsidRPr="1A8E6423">
              <w:rPr>
                <w:rFonts w:ascii="Arial" w:hAnsi="Arial" w:cs="Arial"/>
                <w:color w:val="000000" w:themeColor="text1"/>
                <w:lang w:val="sr-Cyrl-RS"/>
              </w:rPr>
              <w:t>.</w:t>
            </w:r>
          </w:p>
        </w:tc>
      </w:tr>
    </w:tbl>
    <w:p w14:paraId="2F387AD5" w14:textId="77777777" w:rsidR="00E63120" w:rsidRPr="00A021B7" w:rsidRDefault="00E63120" w:rsidP="00DE77AF">
      <w:pPr>
        <w:rPr>
          <w:rFonts w:ascii="Arial" w:hAnsi="Arial" w:cs="Arial"/>
          <w:b/>
          <w:bCs/>
          <w:color w:val="FFC000"/>
          <w:sz w:val="20"/>
          <w:szCs w:val="20"/>
          <w:lang w:val="sr-Cyrl-RS"/>
        </w:rPr>
      </w:pPr>
    </w:p>
    <w:p w14:paraId="20DD6078" w14:textId="3501D21D" w:rsidR="00DE77AF" w:rsidRPr="00A021B7" w:rsidRDefault="00DE77AF" w:rsidP="006B5347">
      <w:pPr>
        <w:jc w:val="both"/>
        <w:rPr>
          <w:rFonts w:ascii="Arial" w:hAnsi="Arial" w:cs="Arial"/>
          <w:sz w:val="28"/>
          <w:szCs w:val="28"/>
          <w:lang w:val="sr-Cyrl-RS"/>
        </w:rPr>
        <w:sectPr w:rsidR="00DE77AF" w:rsidRPr="00A021B7" w:rsidSect="00FD3263">
          <w:pgSz w:w="16817" w:h="11901" w:orient="landscape"/>
          <w:pgMar w:top="1440" w:right="1440" w:bottom="1440" w:left="1259" w:header="539" w:footer="709" w:gutter="0"/>
          <w:cols w:space="708"/>
          <w:docGrid w:linePitch="360"/>
        </w:sectPr>
      </w:pPr>
    </w:p>
    <w:p w14:paraId="6FD5D0BD" w14:textId="77777777" w:rsidR="00FA58E1" w:rsidRPr="00A021B7" w:rsidRDefault="00FA58E1" w:rsidP="0015429D">
      <w:pPr>
        <w:jc w:val="both"/>
        <w:rPr>
          <w:rFonts w:ascii="Arial" w:hAnsi="Arial" w:cs="Arial"/>
          <w:sz w:val="28"/>
          <w:szCs w:val="28"/>
          <w:lang w:val="sr-Cyrl-RS"/>
        </w:rPr>
      </w:pPr>
    </w:p>
    <w:sectPr w:rsidR="00FA58E1" w:rsidRPr="00A021B7" w:rsidSect="003B7C4D">
      <w:pgSz w:w="11900" w:h="16840"/>
      <w:pgMar w:top="1260" w:right="1440" w:bottom="144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9A729" w14:textId="77777777" w:rsidR="00FB2452" w:rsidRDefault="00FB2452" w:rsidP="00AC170A">
      <w:r>
        <w:separator/>
      </w:r>
    </w:p>
  </w:endnote>
  <w:endnote w:type="continuationSeparator" w:id="0">
    <w:p w14:paraId="45CE6F62" w14:textId="77777777" w:rsidR="00FB2452" w:rsidRDefault="00FB2452" w:rsidP="00AC170A">
      <w:r>
        <w:continuationSeparator/>
      </w:r>
    </w:p>
  </w:endnote>
  <w:endnote w:type="continuationNotice" w:id="1">
    <w:p w14:paraId="143758CF" w14:textId="77777777" w:rsidR="00FB2452" w:rsidRDefault="00FB2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9217325"/>
      <w:docPartObj>
        <w:docPartGallery w:val="Page Numbers (Bottom of Page)"/>
        <w:docPartUnique/>
      </w:docPartObj>
    </w:sdtPr>
    <w:sdtEndPr>
      <w:rPr>
        <w:rStyle w:val="PageNumber"/>
      </w:rPr>
    </w:sdtEndPr>
    <w:sdtContent>
      <w:p w14:paraId="0D1E518D" w14:textId="77777777" w:rsidR="007324B5" w:rsidRDefault="007324B5" w:rsidP="006B7D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B3E8D" w14:textId="77777777" w:rsidR="007324B5" w:rsidRDefault="007324B5" w:rsidP="0005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2435002"/>
      <w:docPartObj>
        <w:docPartGallery w:val="Page Numbers (Bottom of Page)"/>
        <w:docPartUnique/>
      </w:docPartObj>
    </w:sdtPr>
    <w:sdtEndPr>
      <w:rPr>
        <w:rStyle w:val="PageNumber"/>
      </w:rPr>
    </w:sdtEndPr>
    <w:sdtContent>
      <w:p w14:paraId="6A4BEA02" w14:textId="6AF2897D" w:rsidR="007324B5" w:rsidRDefault="007324B5" w:rsidP="006B7D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3DAC">
          <w:rPr>
            <w:rStyle w:val="PageNumber"/>
            <w:noProof/>
          </w:rPr>
          <w:t>21</w:t>
        </w:r>
        <w:r>
          <w:rPr>
            <w:rStyle w:val="PageNumber"/>
          </w:rPr>
          <w:fldChar w:fldCharType="end"/>
        </w:r>
      </w:p>
    </w:sdtContent>
  </w:sdt>
  <w:tbl>
    <w:tblPr>
      <w:tblW w:w="0" w:type="auto"/>
      <w:tblLayout w:type="fixed"/>
      <w:tblLook w:val="06A0" w:firstRow="1" w:lastRow="0" w:firstColumn="1" w:lastColumn="0" w:noHBand="1" w:noVBand="1"/>
    </w:tblPr>
    <w:tblGrid>
      <w:gridCol w:w="3007"/>
      <w:gridCol w:w="3007"/>
      <w:gridCol w:w="3007"/>
    </w:tblGrid>
    <w:tr w:rsidR="007324B5" w14:paraId="31083C30" w14:textId="77777777" w:rsidTr="0073491F">
      <w:tc>
        <w:tcPr>
          <w:tcW w:w="3007" w:type="dxa"/>
        </w:tcPr>
        <w:p w14:paraId="7D5D3394" w14:textId="77777777" w:rsidR="007324B5" w:rsidRDefault="007324B5" w:rsidP="0073491F">
          <w:pPr>
            <w:pStyle w:val="Header"/>
            <w:ind w:left="-115" w:right="360"/>
          </w:pPr>
        </w:p>
      </w:tc>
      <w:tc>
        <w:tcPr>
          <w:tcW w:w="3007" w:type="dxa"/>
        </w:tcPr>
        <w:p w14:paraId="7B90A155" w14:textId="77777777" w:rsidR="007324B5" w:rsidRDefault="007324B5" w:rsidP="0073491F">
          <w:pPr>
            <w:pStyle w:val="Header"/>
            <w:jc w:val="center"/>
          </w:pPr>
        </w:p>
      </w:tc>
      <w:tc>
        <w:tcPr>
          <w:tcW w:w="3007" w:type="dxa"/>
        </w:tcPr>
        <w:p w14:paraId="768A41B9" w14:textId="77777777" w:rsidR="007324B5" w:rsidRDefault="007324B5" w:rsidP="0073491F">
          <w:pPr>
            <w:pStyle w:val="Header"/>
            <w:ind w:right="-115"/>
            <w:jc w:val="right"/>
          </w:pPr>
        </w:p>
      </w:tc>
    </w:tr>
  </w:tbl>
  <w:p w14:paraId="23F9B928" w14:textId="77777777" w:rsidR="007324B5" w:rsidRDefault="007324B5" w:rsidP="00385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FE47" w14:textId="77777777" w:rsidR="007324B5" w:rsidRPr="00990100" w:rsidRDefault="007324B5" w:rsidP="00CB0C2B">
    <w:pPr>
      <w:pStyle w:val="Footer"/>
      <w:tabs>
        <w:tab w:val="clear" w:pos="4680"/>
        <w:tab w:val="clear" w:pos="9360"/>
        <w:tab w:val="left" w:pos="8330"/>
      </w:tabs>
      <w:rPr>
        <w:rFonts w:ascii="Arial Narrow" w:hAnsi="Arial Narrow"/>
        <w:color w:val="ED7D31" w:themeColor="accent2"/>
      </w:rPr>
    </w:pPr>
    <w:r>
      <w:rPr>
        <w:rFonts w:ascii="Arial Narrow" w:hAnsi="Arial Narrow"/>
        <w:color w:val="ED7D31" w:themeColor="accent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752C" w14:textId="77777777" w:rsidR="00FB2452" w:rsidRDefault="00FB2452" w:rsidP="00AC170A">
      <w:r>
        <w:separator/>
      </w:r>
    </w:p>
  </w:footnote>
  <w:footnote w:type="continuationSeparator" w:id="0">
    <w:p w14:paraId="30025833" w14:textId="77777777" w:rsidR="00FB2452" w:rsidRDefault="00FB2452" w:rsidP="00AC170A">
      <w:r>
        <w:continuationSeparator/>
      </w:r>
    </w:p>
  </w:footnote>
  <w:footnote w:type="continuationNotice" w:id="1">
    <w:p w14:paraId="0FF052C2" w14:textId="77777777" w:rsidR="00FB2452" w:rsidRDefault="00FB2452"/>
  </w:footnote>
  <w:footnote w:id="2">
    <w:p w14:paraId="4FECF679" w14:textId="1CE2D859" w:rsidR="007324B5" w:rsidRPr="008D683B" w:rsidRDefault="007324B5" w:rsidP="00DD29A7">
      <w:pPr>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Међународни пакт о грађанским и политичким правима је усвојен и отворен за потписивање и ратификацију Резолуцијом Генералне скупштине УН 16. децембра 1966. године, а ступио је на снагу 23. марта 1976. СФРЈ је </w:t>
      </w:r>
      <w:r w:rsidRPr="008D683B">
        <w:rPr>
          <w:rFonts w:ascii="Arial" w:hAnsi="Arial" w:cs="Arial"/>
          <w:color w:val="000000" w:themeColor="text1"/>
          <w:sz w:val="16"/>
          <w:szCs w:val="16"/>
          <w:shd w:val="clear" w:color="auto" w:fill="FFFFFF"/>
          <w:lang w:val="sr-Cyrl-RS"/>
        </w:rPr>
        <w:t xml:space="preserve">ратификовала Пакт законом од 30. јануара 1971. године </w:t>
      </w:r>
      <w:r w:rsidRPr="008D683B">
        <w:rPr>
          <w:rFonts w:ascii="Arial" w:hAnsi="Arial" w:cs="Arial"/>
          <w:bCs/>
          <w:color w:val="000000" w:themeColor="text1"/>
          <w:sz w:val="16"/>
          <w:szCs w:val="16"/>
          <w:shd w:val="clear" w:color="auto" w:fill="FFFFFF"/>
          <w:lang w:val="sr-Cyrl-RS"/>
        </w:rPr>
        <w:t>(„Службени лист СФРЈ”, број 7/71).</w:t>
      </w:r>
      <w:r w:rsidRPr="008D683B">
        <w:rPr>
          <w:rFonts w:ascii="Arial" w:hAnsi="Arial" w:cs="Arial"/>
          <w:color w:val="000000" w:themeColor="text1"/>
          <w:sz w:val="16"/>
          <w:szCs w:val="16"/>
          <w:shd w:val="clear" w:color="auto" w:fill="FFFFFF"/>
          <w:lang w:val="sr-Cyrl-RS"/>
        </w:rPr>
        <w:t xml:space="preserve"> Уз Пакт су усвојена и два протокола, и то Опциони протокол уз Међународни пакт о грађанским и политичким правима, који је ступио на снагу 23. марта 1976. године, и Други опциони протокол уз Међународни пакт о грађанским и политичким правима, који је ступио на снагу 11. јула 1991. године. Савезна Република Југославија је оба протокола ратификовала 2001. године („Службени лист СРЈ – Међународни уговори”, број 4/01).</w:t>
      </w:r>
    </w:p>
  </w:footnote>
  <w:footnote w:id="3">
    <w:p w14:paraId="53700016" w14:textId="4592A254" w:rsidR="007324B5" w:rsidRPr="008D683B" w:rsidRDefault="007324B5" w:rsidP="00DD29A7">
      <w:pPr>
        <w:pStyle w:val="FootnoteText"/>
        <w:jc w:val="both"/>
        <w:rPr>
          <w:rFonts w:ascii="Arial" w:hAnsi="Arial" w:cs="Arial"/>
          <w:color w:val="000000" w:themeColor="text1"/>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Нису ратификоване следеће одредбе: члан 4. ст. 3. и 5; члан 6; члан 7. став 2; и члан 8. став 3.</w:t>
      </w:r>
    </w:p>
  </w:footnote>
  <w:footnote w:id="4">
    <w:p w14:paraId="0AC03425" w14:textId="77777777" w:rsidR="007324B5" w:rsidRPr="008D683B" w:rsidRDefault="007324B5" w:rsidP="00DD29A7">
      <w:pPr>
        <w:pStyle w:val="Foote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Нпр. Закон о комуналној милицији (</w:t>
      </w:r>
      <w:r w:rsidRPr="008D683B">
        <w:rPr>
          <w:rFonts w:ascii="Arial" w:hAnsi="Arial" w:cs="Arial"/>
          <w:color w:val="333333"/>
          <w:sz w:val="16"/>
          <w:szCs w:val="16"/>
          <w:shd w:val="clear" w:color="auto" w:fill="FFFFFF"/>
          <w:lang w:val="sr-Cyrl-RS"/>
        </w:rPr>
        <w:t>„Службени гласник РС", број 49/19).</w:t>
      </w:r>
    </w:p>
  </w:footnote>
  <w:footnote w:id="5">
    <w:p w14:paraId="4C14833A" w14:textId="756C0ECA"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Закону о потврђивању ЕПЛС постоји један број неадекватно преведених термина са енглеског језика, што намеће потребу за измен</w:t>
      </w:r>
      <w:r>
        <w:rPr>
          <w:rFonts w:ascii="Arial" w:hAnsi="Arial" w:cs="Arial"/>
          <w:sz w:val="16"/>
          <w:szCs w:val="16"/>
          <w:lang w:val="sr-Cyrl-RS"/>
        </w:rPr>
        <w:t>ом</w:t>
      </w:r>
      <w:r w:rsidRPr="008D683B">
        <w:rPr>
          <w:rFonts w:ascii="Arial" w:hAnsi="Arial" w:cs="Arial"/>
          <w:sz w:val="16"/>
          <w:szCs w:val="16"/>
          <w:lang w:val="sr-Cyrl-RS"/>
        </w:rPr>
        <w:t xml:space="preserve"> овог закона. На пример, термин </w:t>
      </w:r>
      <w:r w:rsidRPr="0091649E">
        <w:rPr>
          <w:rFonts w:ascii="Arial" w:hAnsi="Arial" w:cs="Arial"/>
          <w:i/>
          <w:iCs/>
          <w:sz w:val="16"/>
          <w:szCs w:val="16"/>
          <w:lang w:val="sr-Cyrl-RS"/>
        </w:rPr>
        <w:t>statute</w:t>
      </w:r>
      <w:r w:rsidRPr="008D683B">
        <w:rPr>
          <w:rFonts w:ascii="Arial" w:hAnsi="Arial" w:cs="Arial"/>
          <w:sz w:val="16"/>
          <w:szCs w:val="16"/>
          <w:lang w:val="sr-Cyrl-RS"/>
        </w:rPr>
        <w:t xml:space="preserve"> означава законски акт, док је у овом закону задржан термин </w:t>
      </w:r>
      <w:r w:rsidRPr="0091649E">
        <w:rPr>
          <w:rFonts w:ascii="Arial" w:hAnsi="Arial" w:cs="Arial"/>
          <w:i/>
          <w:iCs/>
          <w:sz w:val="16"/>
          <w:szCs w:val="16"/>
          <w:lang w:val="sr-Cyrl-RS"/>
        </w:rPr>
        <w:t>статут</w:t>
      </w:r>
      <w:r w:rsidRPr="008D683B">
        <w:rPr>
          <w:rFonts w:ascii="Arial" w:hAnsi="Arial" w:cs="Arial"/>
          <w:sz w:val="16"/>
          <w:szCs w:val="16"/>
          <w:lang w:val="sr-Cyrl-RS"/>
        </w:rPr>
        <w:t>, иако он не представља закон већ општи акт који доносе аутономне покрајине и јединице локалне самоуправе.</w:t>
      </w:r>
    </w:p>
  </w:footnote>
  <w:footnote w:id="6">
    <w:p w14:paraId="49FB377D"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Да би се држава сматрала потписницом ЕПЛС, потребно је да прихвати одређени број ставова, односно одредаба овог уговора. Тако на пример, Словачка (није прихватила 10 одредби), Аустрија (није прихватила шест одредби), Чешка Република (није прихватила шест одредби), Швајцарска (није прихватила шест одредби), Белгија (није прихватила пет одредби) или Холандија (није прихватила четири одредбе, а једну је прихватила уз резерву). Са друге стране, велики број земаља је у потпуности прихватио ЕПЛС (међу њима су Словенија, Хрватска, Ирска, Италија, Бугарска или Шведска).</w:t>
      </w:r>
    </w:p>
  </w:footnote>
  <w:footnote w:id="7">
    <w:p w14:paraId="458C9412" w14:textId="517FD7D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 енглеском језику ова одредба гласи: </w:t>
      </w:r>
      <w:r w:rsidRPr="009C4314">
        <w:rPr>
          <w:rFonts w:ascii="Arial" w:hAnsi="Arial" w:cs="Arial"/>
          <w:sz w:val="16"/>
          <w:szCs w:val="16"/>
          <w:lang w:val="en-GB"/>
        </w:rPr>
        <w:t>„Public responsibilities shall generally be exercised, in preference, by those authorities which are closest to the citizen. Allocation of responsibility to another authority should weigh up the extent and nature of the task and requirements of efficiency and economy.</w:t>
      </w:r>
      <w:r>
        <w:rPr>
          <w:rFonts w:ascii="Arial" w:hAnsi="Arial" w:cs="Arial"/>
          <w:sz w:val="16"/>
          <w:szCs w:val="16"/>
        </w:rPr>
        <w:t>”</w:t>
      </w:r>
      <w:r w:rsidRPr="008D683B">
        <w:rPr>
          <w:rFonts w:ascii="Arial" w:hAnsi="Arial" w:cs="Arial"/>
          <w:sz w:val="16"/>
          <w:szCs w:val="16"/>
          <w:lang w:val="sr-Cyrl-RS"/>
        </w:rPr>
        <w:t xml:space="preserve"> И код ове одредбе се може утврдити разлика у односу на превод на српски језик.</w:t>
      </w:r>
    </w:p>
  </w:footnote>
  <w:footnote w:id="8">
    <w:p w14:paraId="3D195254" w14:textId="30891034" w:rsidR="007324B5" w:rsidRPr="00C10A77" w:rsidRDefault="007324B5" w:rsidP="00DD29A7">
      <w:pPr>
        <w:pStyle w:val="FootnoteText"/>
        <w:jc w:val="both"/>
        <w:rPr>
          <w:rFonts w:ascii="Arial" w:hAnsi="Arial" w:cs="Arial"/>
          <w:sz w:val="16"/>
          <w:szCs w:val="16"/>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 енглеском језику ова одредба гласи: </w:t>
      </w:r>
      <w:r w:rsidRPr="009C4314">
        <w:rPr>
          <w:rFonts w:ascii="Arial" w:hAnsi="Arial" w:cs="Arial"/>
          <w:sz w:val="16"/>
          <w:szCs w:val="16"/>
          <w:lang w:val="en-GB"/>
        </w:rPr>
        <w:t>„They shall allow for appropriate financial compensation for expenses incurred in the exercise of the office in question as well as, where appropriate, compensation for loss of earnings or remuneration for work done and corresponding social welfare protection.</w:t>
      </w:r>
      <w:r>
        <w:rPr>
          <w:rFonts w:ascii="Arial" w:hAnsi="Arial" w:cs="Arial"/>
          <w:sz w:val="16"/>
          <w:szCs w:val="16"/>
        </w:rPr>
        <w:t>”</w:t>
      </w:r>
    </w:p>
  </w:footnote>
  <w:footnote w:id="9">
    <w:p w14:paraId="0F78278D" w14:textId="7A0FCEEC"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Видети више на: </w:t>
      </w:r>
      <w:hyperlink r:id="rId1" w:history="1">
        <w:r w:rsidRPr="0014408A">
          <w:rPr>
            <w:rStyle w:val="Hyperlink"/>
            <w:rFonts w:ascii="Arial" w:hAnsi="Arial" w:cs="Arial"/>
            <w:sz w:val="16"/>
            <w:szCs w:val="16"/>
            <w:lang w:val="sr-Cyrl-RS"/>
          </w:rPr>
          <w:t>https://www.congress-monitoring.eu/en/45-pays.html</w:t>
        </w:r>
      </w:hyperlink>
      <w:r>
        <w:rPr>
          <w:rFonts w:ascii="Arial" w:hAnsi="Arial" w:cs="Arial"/>
          <w:sz w:val="16"/>
          <w:szCs w:val="16"/>
          <w:lang w:val="sr-Cyrl-RS"/>
        </w:rPr>
        <w:t>.</w:t>
      </w:r>
    </w:p>
  </w:footnote>
  <w:footnote w:id="10">
    <w:p w14:paraId="0F920732" w14:textId="153F6958"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Под типологијом локалне самоуправе подразумевамо категорисање или груписање ЈЛС по неком критеријуму које служи адекватнијем дефинисању и расподели надлежности, организацији и начинима формирања локалне власти или систему финансирања. Најчешћи критеријуми класификовања општина су величина на основу броја становника (мале, средње, велике општине), тип насеља (урбане, руралне, мешовите) и рељеф (планинске, равничарске). Између ових категорија постоје и одређене правилности. Мале општине (по броју становника) обично</w:t>
      </w:r>
      <w:r>
        <w:rPr>
          <w:rFonts w:ascii="Arial" w:hAnsi="Arial" w:cs="Arial"/>
          <w:sz w:val="16"/>
          <w:szCs w:val="16"/>
          <w:lang w:val="sr-Cyrl-RS"/>
        </w:rPr>
        <w:t xml:space="preserve"> су</w:t>
      </w:r>
      <w:r w:rsidRPr="008D683B">
        <w:rPr>
          <w:rFonts w:ascii="Arial" w:hAnsi="Arial" w:cs="Arial"/>
          <w:sz w:val="16"/>
          <w:szCs w:val="16"/>
          <w:lang w:val="sr-Cyrl-RS"/>
        </w:rPr>
        <w:t xml:space="preserve"> руралне, а често и планинске, док су веће и насељеније општине по правилу урбаније.</w:t>
      </w:r>
    </w:p>
  </w:footnote>
  <w:footnote w:id="11">
    <w:p w14:paraId="702ABAC4" w14:textId="12775D9E"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Потребно је, међутим, имати у виду да просечне вредности представљају рачунски резултат на који утичу изразито велики градови, на једној, и изразито мале општине, на другој страни. У погледу величине територије, на једном полу су мале општине</w:t>
      </w:r>
      <w:r>
        <w:rPr>
          <w:rFonts w:ascii="Arial" w:hAnsi="Arial" w:cs="Arial"/>
          <w:sz w:val="16"/>
          <w:szCs w:val="16"/>
          <w:lang w:val="sr-Cyrl-RS"/>
        </w:rPr>
        <w:t>,</w:t>
      </w:r>
      <w:r w:rsidRPr="008D683B">
        <w:rPr>
          <w:rFonts w:ascii="Arial" w:hAnsi="Arial" w:cs="Arial"/>
          <w:sz w:val="16"/>
          <w:szCs w:val="16"/>
          <w:lang w:val="sr-Cyrl-RS"/>
        </w:rPr>
        <w:t xml:space="preserve"> какве су Сремски Карловци са 51 </w:t>
      </w:r>
      <w:r>
        <w:rPr>
          <w:rFonts w:ascii="Arial" w:hAnsi="Arial" w:cs="Arial"/>
          <w:sz w:val="16"/>
          <w:szCs w:val="16"/>
        </w:rPr>
        <w:t>km</w:t>
      </w:r>
      <w:r w:rsidRPr="008D683B">
        <w:rPr>
          <w:rFonts w:ascii="Arial" w:hAnsi="Arial" w:cs="Arial"/>
          <w:sz w:val="16"/>
          <w:szCs w:val="16"/>
          <w:lang w:val="sr-Cyrl-RS"/>
        </w:rPr>
        <w:t xml:space="preserve">² и Лапово са 55 </w:t>
      </w:r>
      <w:r>
        <w:rPr>
          <w:rFonts w:ascii="Arial" w:hAnsi="Arial" w:cs="Arial"/>
          <w:sz w:val="16"/>
          <w:szCs w:val="16"/>
        </w:rPr>
        <w:t>km</w:t>
      </w:r>
      <w:r w:rsidRPr="008D683B">
        <w:rPr>
          <w:rFonts w:ascii="Arial" w:hAnsi="Arial" w:cs="Arial"/>
          <w:sz w:val="16"/>
          <w:szCs w:val="16"/>
          <w:lang w:val="sr-Cyrl-RS"/>
        </w:rPr>
        <w:t>², а на другом Београд са 3234</w:t>
      </w:r>
      <w:r>
        <w:rPr>
          <w:rFonts w:ascii="Arial" w:hAnsi="Arial" w:cs="Arial"/>
          <w:sz w:val="16"/>
          <w:szCs w:val="16"/>
        </w:rPr>
        <w:t xml:space="preserve"> km</w:t>
      </w:r>
      <w:r w:rsidRPr="008D683B">
        <w:rPr>
          <w:rFonts w:ascii="Arial" w:hAnsi="Arial" w:cs="Arial"/>
          <w:sz w:val="16"/>
          <w:szCs w:val="16"/>
          <w:lang w:val="sr-Cyrl-RS"/>
        </w:rPr>
        <w:t xml:space="preserve">², Краљево са 1530 </w:t>
      </w:r>
      <w:r>
        <w:rPr>
          <w:rFonts w:ascii="Arial" w:hAnsi="Arial" w:cs="Arial"/>
          <w:sz w:val="16"/>
          <w:szCs w:val="16"/>
        </w:rPr>
        <w:t>km</w:t>
      </w:r>
      <w:r w:rsidRPr="008D683B">
        <w:rPr>
          <w:rFonts w:ascii="Arial" w:hAnsi="Arial" w:cs="Arial"/>
          <w:sz w:val="16"/>
          <w:szCs w:val="16"/>
          <w:lang w:val="sr-Cyrl-RS"/>
        </w:rPr>
        <w:t xml:space="preserve">² и Зрењанин са 1327 </w:t>
      </w:r>
      <w:r>
        <w:rPr>
          <w:rFonts w:ascii="Arial" w:hAnsi="Arial" w:cs="Arial"/>
          <w:sz w:val="16"/>
          <w:szCs w:val="16"/>
        </w:rPr>
        <w:t>km</w:t>
      </w:r>
      <w:r w:rsidRPr="008D683B">
        <w:rPr>
          <w:rFonts w:ascii="Arial" w:hAnsi="Arial" w:cs="Arial"/>
          <w:sz w:val="16"/>
          <w:szCs w:val="16"/>
          <w:lang w:val="sr-Cyrl-RS"/>
        </w:rPr>
        <w:t xml:space="preserve">². Слично је и са бројем становника који се креће у распону од 1600 у Црној Трави до преко 1.600.000 у Београду. Ако се рачуна просечан број становника у ЈЛС без града Београда, тај број пада на приближно 38.000, а ако се рачуна само просечан број становника у општинама (без градова), тај број износи приближно 22.000. </w:t>
      </w:r>
      <w:r w:rsidRPr="008D683B">
        <w:rPr>
          <w:rFonts w:ascii="Arial" w:hAnsi="Arial" w:cs="Arial"/>
          <w:color w:val="000000" w:themeColor="text1"/>
          <w:sz w:val="16"/>
          <w:szCs w:val="16"/>
          <w:lang w:val="sr-Cyrl-RS"/>
        </w:rPr>
        <w:t xml:space="preserve">Мање од 10.000 становника има 19 општина, а преко 50.000 становника свега 14 јединица локалне самоуправе. Тако велике разлике постоје и у погледу броја насеља (Сремски Карловци имају </w:t>
      </w:r>
      <w:r w:rsidRPr="008D683B">
        <w:rPr>
          <w:rFonts w:ascii="Arial" w:hAnsi="Arial" w:cs="Arial"/>
          <w:sz w:val="16"/>
          <w:szCs w:val="16"/>
          <w:lang w:val="sr-Cyrl-RS"/>
        </w:rPr>
        <w:t>једно насељено место, Лапово два, а Лесковац 144 и Београд 157).</w:t>
      </w:r>
    </w:p>
  </w:footnote>
  <w:footnote w:id="12">
    <w:p w14:paraId="324BD47C" w14:textId="084F23CF"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Подаци се односе на градове и општине без територије Аутономне </w:t>
      </w:r>
      <w:r>
        <w:rPr>
          <w:rFonts w:ascii="Arial" w:hAnsi="Arial" w:cs="Arial"/>
          <w:sz w:val="16"/>
          <w:szCs w:val="16"/>
          <w:lang w:val="sr-Cyrl-RS"/>
        </w:rPr>
        <w:t>П</w:t>
      </w:r>
      <w:r w:rsidRPr="008D683B">
        <w:rPr>
          <w:rFonts w:ascii="Arial" w:hAnsi="Arial" w:cs="Arial"/>
          <w:sz w:val="16"/>
          <w:szCs w:val="16"/>
          <w:lang w:val="sr-Cyrl-RS"/>
        </w:rPr>
        <w:t>окрајине Косово и Метохија и засновани су на процени Републичког завода за статистику о броју становника у 2020. години.</w:t>
      </w:r>
    </w:p>
  </w:footnote>
  <w:footnote w:id="13">
    <w:p w14:paraId="22DF0CDF" w14:textId="07BF4C9C" w:rsidR="007324B5" w:rsidRPr="008D683B" w:rsidRDefault="007324B5" w:rsidP="00DD29A7">
      <w:pPr>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Поједине анализе показују да Србија спада и групу земаља у којима значајан део становништва живу у главном граду (просек на нивоу ЕУ је око 17%, а у Србији око 23%). Видети: NALAS (2018) </w:t>
      </w:r>
      <w:r w:rsidRPr="0091649E">
        <w:rPr>
          <w:rFonts w:ascii="Arial" w:hAnsi="Arial" w:cs="Arial"/>
          <w:i/>
          <w:color w:val="000000" w:themeColor="text1"/>
          <w:sz w:val="16"/>
          <w:szCs w:val="16"/>
          <w:lang w:val="sr-Cyrl-RS"/>
        </w:rPr>
        <w:t>Fiscal Decentralization Indicators for South-East Europe: 2006–2017</w:t>
      </w:r>
      <w:r>
        <w:rPr>
          <w:rFonts w:ascii="Arial" w:hAnsi="Arial" w:cs="Arial"/>
          <w:iCs/>
          <w:color w:val="000000" w:themeColor="text1"/>
          <w:sz w:val="16"/>
          <w:szCs w:val="16"/>
          <w:lang w:val="sr-Cyrl-RS"/>
        </w:rPr>
        <w:t>,</w:t>
      </w:r>
      <w:r w:rsidRPr="008D683B">
        <w:rPr>
          <w:rFonts w:ascii="Arial" w:hAnsi="Arial" w:cs="Arial"/>
          <w:iCs/>
          <w:color w:val="000000" w:themeColor="text1"/>
          <w:sz w:val="16"/>
          <w:szCs w:val="16"/>
          <w:lang w:val="sr-Cyrl-RS"/>
        </w:rPr>
        <w:t xml:space="preserve"> </w:t>
      </w:r>
      <w:hyperlink r:id="rId2" w:history="1">
        <w:r w:rsidRPr="0014408A">
          <w:rPr>
            <w:rStyle w:val="Hyperlink"/>
            <w:rFonts w:ascii="Arial" w:hAnsi="Arial" w:cs="Arial"/>
            <w:iCs/>
            <w:sz w:val="16"/>
            <w:szCs w:val="16"/>
            <w:lang w:val="sr-Cyrl-RS"/>
          </w:rPr>
          <w:t>http://www.nalas.eu/Publications/Books/FDReport_18</w:t>
        </w:r>
      </w:hyperlink>
      <w:r>
        <w:rPr>
          <w:rFonts w:ascii="Arial" w:hAnsi="Arial" w:cs="Arial"/>
          <w:iCs/>
          <w:color w:val="000000" w:themeColor="text1"/>
          <w:sz w:val="16"/>
          <w:szCs w:val="16"/>
          <w:lang w:val="sr-Cyrl-RS"/>
        </w:rPr>
        <w:t>.</w:t>
      </w:r>
    </w:p>
  </w:footnote>
  <w:footnote w:id="14">
    <w:p w14:paraId="431E159B" w14:textId="50EAAC8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првој фази реформи потребно је имати у виду границе предвиђене одредбом члана 190. Устава о „гарантованој” надлежности ЈЛС. Са евентуалном променом Устава, прерасподела послова могла би се утврдити у складу са наведеним критеријумима, Европском повељом о локалној самоуправи, уз евентуално другачији круг гарантованих сопствених послова у складу са </w:t>
      </w:r>
      <w:r>
        <w:rPr>
          <w:rFonts w:ascii="Arial" w:hAnsi="Arial" w:cs="Arial"/>
          <w:sz w:val="16"/>
          <w:szCs w:val="16"/>
          <w:lang w:val="sr-Cyrl-RS"/>
        </w:rPr>
        <w:t>начелима</w:t>
      </w:r>
      <w:r w:rsidRPr="008D683B">
        <w:rPr>
          <w:rFonts w:ascii="Arial" w:hAnsi="Arial" w:cs="Arial"/>
          <w:sz w:val="16"/>
          <w:szCs w:val="16"/>
          <w:lang w:val="sr-Cyrl-RS"/>
        </w:rPr>
        <w:t xml:space="preserve"> монотипности или политипности, односно једностепености или двостепености.</w:t>
      </w:r>
    </w:p>
  </w:footnote>
  <w:footnote w:id="15">
    <w:p w14:paraId="742FAE40" w14:textId="55EA79AF"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Одлука Уставног суда, („Службени гласник РС”, број 28/11)</w:t>
      </w:r>
      <w:r>
        <w:rPr>
          <w:rFonts w:ascii="Arial" w:hAnsi="Arial" w:cs="Arial"/>
          <w:sz w:val="16"/>
          <w:szCs w:val="16"/>
          <w:lang w:val="sr-Cyrl-RS"/>
        </w:rPr>
        <w:t>.</w:t>
      </w:r>
    </w:p>
  </w:footnote>
  <w:footnote w:id="16">
    <w:p w14:paraId="643CD05F" w14:textId="1F4B0DF6"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Овакве уставне одредбе отвориле су, између осталог, и дебату </w:t>
      </w:r>
      <w:r>
        <w:rPr>
          <w:rFonts w:ascii="Arial" w:hAnsi="Arial" w:cs="Arial"/>
          <w:sz w:val="16"/>
          <w:szCs w:val="16"/>
          <w:lang w:val="sr-Cyrl-RS"/>
        </w:rPr>
        <w:t xml:space="preserve">о томе </w:t>
      </w:r>
      <w:r w:rsidRPr="008D683B">
        <w:rPr>
          <w:rFonts w:ascii="Arial" w:hAnsi="Arial" w:cs="Arial"/>
          <w:sz w:val="16"/>
          <w:szCs w:val="16"/>
          <w:lang w:val="sr-Cyrl-RS"/>
        </w:rPr>
        <w:t xml:space="preserve">да ли је избор председника општина непосредно забрањен или је уређивање те материје препуштено закону, односно да ли постоји могућност непосредног избора градоначелника, пошто се у наведеним ставовима избор извршних органа </w:t>
      </w:r>
      <w:r>
        <w:rPr>
          <w:rFonts w:ascii="Arial" w:hAnsi="Arial" w:cs="Arial"/>
          <w:sz w:val="16"/>
          <w:szCs w:val="16"/>
          <w:lang w:val="sr-Cyrl-RS"/>
        </w:rPr>
        <w:t>Г</w:t>
      </w:r>
      <w:r w:rsidRPr="008D683B">
        <w:rPr>
          <w:rFonts w:ascii="Arial" w:hAnsi="Arial" w:cs="Arial"/>
          <w:sz w:val="16"/>
          <w:szCs w:val="16"/>
          <w:lang w:val="sr-Cyrl-RS"/>
        </w:rPr>
        <w:t>рада Београда уређује законом.</w:t>
      </w:r>
    </w:p>
  </w:footnote>
  <w:footnote w:id="17">
    <w:p w14:paraId="0C12C7EC" w14:textId="1D63529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Закон о политичким странкама („Службени гласник РС”, бр. 36/09 и 61/15</w:t>
      </w:r>
      <w:r>
        <w:rPr>
          <w:rFonts w:ascii="Arial" w:hAnsi="Arial" w:cs="Arial"/>
          <w:sz w:val="16"/>
          <w:szCs w:val="16"/>
          <w:lang w:val="sr-Cyrl-RS"/>
        </w:rPr>
        <w:t xml:space="preserve"> – </w:t>
      </w:r>
      <w:r w:rsidRPr="008D683B">
        <w:rPr>
          <w:rFonts w:ascii="Arial" w:hAnsi="Arial" w:cs="Arial"/>
          <w:sz w:val="16"/>
          <w:szCs w:val="16"/>
          <w:lang w:val="sr-Cyrl-RS"/>
        </w:rPr>
        <w:t>Одлука УС), Закон о јединственом бирачком списку („Службени гласник РС”, бр. 104/09 и 99/11).</w:t>
      </w:r>
    </w:p>
  </w:footnote>
  <w:footnote w:id="18">
    <w:p w14:paraId="478C626E" w14:textId="77FC9564" w:rsidR="007324B5" w:rsidRPr="008D683B" w:rsidRDefault="007324B5" w:rsidP="00DD29A7">
      <w:pPr>
        <w:contextualSpacing/>
        <w:jc w:val="both"/>
        <w:rPr>
          <w:rFonts w:ascii="Arial" w:hAnsi="Arial" w:cs="Arial"/>
          <w:bCs/>
          <w:color w:val="000000"/>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Овде треба имати у виду члан 6. став 1. ЕПЛС који гласи</w:t>
      </w:r>
      <w:r>
        <w:rPr>
          <w:rFonts w:ascii="Arial" w:hAnsi="Arial" w:cs="Arial"/>
          <w:sz w:val="16"/>
          <w:szCs w:val="16"/>
          <w:lang w:val="sr-Cyrl-RS"/>
        </w:rPr>
        <w:t>:</w:t>
      </w:r>
      <w:r w:rsidRPr="008D683B">
        <w:rPr>
          <w:rFonts w:ascii="Arial" w:hAnsi="Arial" w:cs="Arial"/>
          <w:sz w:val="16"/>
          <w:szCs w:val="16"/>
          <w:lang w:val="sr-Cyrl-RS"/>
        </w:rPr>
        <w:t xml:space="preserve"> „Не доводећи у питање општије статутарне (законске) одредбе, локалне власти могу да одреде сопствену унутрашњу административну структуру како би је прилагодили локалним потребама и обезбедиле ефикасну управу.” Овај члан Република Србија није ратификовала и </w:t>
      </w:r>
      <w:r>
        <w:rPr>
          <w:rFonts w:ascii="Arial" w:hAnsi="Arial" w:cs="Arial"/>
          <w:sz w:val="16"/>
          <w:szCs w:val="16"/>
          <w:lang w:val="sr-Cyrl-RS"/>
        </w:rPr>
        <w:t>његова примена</w:t>
      </w:r>
      <w:r w:rsidRPr="008D683B">
        <w:rPr>
          <w:rFonts w:ascii="Arial" w:hAnsi="Arial" w:cs="Arial"/>
          <w:sz w:val="16"/>
          <w:szCs w:val="16"/>
          <w:lang w:val="sr-Cyrl-RS"/>
        </w:rPr>
        <w:t xml:space="preserve"> није обавезн</w:t>
      </w:r>
      <w:r>
        <w:rPr>
          <w:rFonts w:ascii="Arial" w:hAnsi="Arial" w:cs="Arial"/>
          <w:sz w:val="16"/>
          <w:szCs w:val="16"/>
          <w:lang w:val="sr-Cyrl-RS"/>
        </w:rPr>
        <w:t>а</w:t>
      </w:r>
      <w:r w:rsidRPr="008D683B">
        <w:rPr>
          <w:rFonts w:ascii="Arial" w:hAnsi="Arial" w:cs="Arial"/>
          <w:sz w:val="16"/>
          <w:szCs w:val="16"/>
          <w:lang w:val="sr-Cyrl-RS"/>
        </w:rPr>
        <w:t>.</w:t>
      </w:r>
    </w:p>
  </w:footnote>
  <w:footnote w:id="19">
    <w:p w14:paraId="7E35397B" w14:textId="6C67AA3B"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Функционална анализа је урађена у оквиру </w:t>
      </w:r>
      <w:r w:rsidRPr="008D683B">
        <w:rPr>
          <w:rFonts w:ascii="Arial" w:hAnsi="Arial" w:cs="Arial"/>
          <w:bCs/>
          <w:color w:val="000000"/>
          <w:sz w:val="16"/>
          <w:szCs w:val="16"/>
          <w:lang w:val="sr-Cyrl-RS"/>
        </w:rPr>
        <w:t>пројекта „Подршка спровођењу Акционог плана Стратегије реформе јавне управе – реформе локалне самоуправе 2016</w:t>
      </w:r>
      <w:r>
        <w:rPr>
          <w:rFonts w:ascii="Arial" w:hAnsi="Arial" w:cs="Arial"/>
          <w:bCs/>
          <w:color w:val="000000"/>
          <w:sz w:val="16"/>
          <w:szCs w:val="16"/>
          <w:lang w:val="sr-Cyrl-RS"/>
        </w:rPr>
        <w:t>–</w:t>
      </w:r>
      <w:r w:rsidRPr="008D683B">
        <w:rPr>
          <w:rFonts w:ascii="Arial" w:hAnsi="Arial" w:cs="Arial"/>
          <w:bCs/>
          <w:color w:val="000000"/>
          <w:sz w:val="16"/>
          <w:szCs w:val="16"/>
          <w:lang w:val="sr-Cyrl-RS"/>
        </w:rPr>
        <w:t>2019”, који реализује Министарство за државну управу и локалну самоуправу (МДУЛС), уз подршку Швајцарске Владе. МДУЛС је за реализацију овог пројектног задатка ангажова</w:t>
      </w:r>
      <w:r>
        <w:rPr>
          <w:rFonts w:ascii="Arial" w:hAnsi="Arial" w:cs="Arial"/>
          <w:bCs/>
          <w:color w:val="000000"/>
          <w:sz w:val="16"/>
          <w:szCs w:val="16"/>
          <w:lang w:val="sr-Cyrl-RS"/>
        </w:rPr>
        <w:t>л</w:t>
      </w:r>
      <w:r w:rsidRPr="008D683B">
        <w:rPr>
          <w:rFonts w:ascii="Arial" w:hAnsi="Arial" w:cs="Arial"/>
          <w:bCs/>
          <w:color w:val="000000"/>
          <w:sz w:val="16"/>
          <w:szCs w:val="16"/>
          <w:lang w:val="sr-Cyrl-RS"/>
        </w:rPr>
        <w:t xml:space="preserve">о конзорцијум </w:t>
      </w:r>
      <w:r w:rsidRPr="00AA4CD6">
        <w:rPr>
          <w:rFonts w:ascii="Arial" w:hAnsi="Arial" w:cs="Arial"/>
          <w:bCs/>
          <w:i/>
          <w:iCs/>
          <w:color w:val="000000"/>
          <w:sz w:val="16"/>
          <w:szCs w:val="16"/>
          <w:lang w:val="sr-Cyrl-RS"/>
        </w:rPr>
        <w:t>Change Management Consultants – OPTIMUS – Центар за добро управљање</w:t>
      </w:r>
      <w:r w:rsidRPr="008D683B">
        <w:rPr>
          <w:rFonts w:ascii="Arial" w:hAnsi="Arial" w:cs="Arial"/>
          <w:bCs/>
          <w:color w:val="000000"/>
          <w:sz w:val="16"/>
          <w:szCs w:val="16"/>
          <w:lang w:val="sr-Cyrl-RS"/>
        </w:rPr>
        <w:t>.</w:t>
      </w:r>
    </w:p>
  </w:footnote>
  <w:footnote w:id="20">
    <w:p w14:paraId="09E0AC63" w14:textId="1C905AEB" w:rsidR="007324B5" w:rsidRPr="008D683B" w:rsidRDefault="007324B5" w:rsidP="00DD29A7">
      <w:pPr>
        <w:contextualSpacing/>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функционалној анализи су </w:t>
      </w:r>
      <w:r w:rsidRPr="008D683B">
        <w:rPr>
          <w:rFonts w:ascii="Arial" w:hAnsi="Arial" w:cs="Arial"/>
          <w:bCs/>
          <w:sz w:val="16"/>
          <w:szCs w:val="16"/>
          <w:lang w:val="sr-Cyrl-RS"/>
        </w:rPr>
        <w:t>примећене и девијације у погледу броја запослених на одређено време, као и постојање запослених на несистематизованим радним местима, што указује на потребе за стручним кадро</w:t>
      </w:r>
      <w:r>
        <w:rPr>
          <w:rFonts w:ascii="Arial" w:hAnsi="Arial" w:cs="Arial"/>
          <w:bCs/>
          <w:sz w:val="16"/>
          <w:szCs w:val="16"/>
          <w:lang w:val="sr-Cyrl-RS"/>
        </w:rPr>
        <w:t>ви</w:t>
      </w:r>
      <w:r w:rsidRPr="008D683B">
        <w:rPr>
          <w:rFonts w:ascii="Arial" w:hAnsi="Arial" w:cs="Arial"/>
          <w:bCs/>
          <w:sz w:val="16"/>
          <w:szCs w:val="16"/>
          <w:lang w:val="sr-Cyrl-RS"/>
        </w:rPr>
        <w:t>м</w:t>
      </w:r>
      <w:r>
        <w:rPr>
          <w:rFonts w:ascii="Arial" w:hAnsi="Arial" w:cs="Arial"/>
          <w:bCs/>
          <w:sz w:val="16"/>
          <w:szCs w:val="16"/>
          <w:lang w:val="sr-Cyrl-RS"/>
        </w:rPr>
        <w:t>а</w:t>
      </w:r>
      <w:r w:rsidRPr="008D683B">
        <w:rPr>
          <w:rFonts w:ascii="Arial" w:hAnsi="Arial" w:cs="Arial"/>
          <w:bCs/>
          <w:sz w:val="16"/>
          <w:szCs w:val="16"/>
          <w:lang w:val="sr-Cyrl-RS"/>
        </w:rPr>
        <w:t xml:space="preserve"> на одређеним радним местима, односно </w:t>
      </w:r>
      <w:r>
        <w:rPr>
          <w:rFonts w:ascii="Arial" w:hAnsi="Arial" w:cs="Arial"/>
          <w:bCs/>
          <w:sz w:val="16"/>
          <w:szCs w:val="16"/>
          <w:lang w:val="sr-Cyrl-RS"/>
        </w:rPr>
        <w:t xml:space="preserve">на </w:t>
      </w:r>
      <w:r w:rsidRPr="008D683B">
        <w:rPr>
          <w:rFonts w:ascii="Arial" w:hAnsi="Arial" w:cs="Arial"/>
          <w:bCs/>
          <w:sz w:val="16"/>
          <w:szCs w:val="16"/>
          <w:lang w:val="sr-Cyrl-RS"/>
        </w:rPr>
        <w:t>неусаглашеност правилника о систематизацији са стварним потребама и ситуацијом.</w:t>
      </w:r>
    </w:p>
  </w:footnote>
  <w:footnote w:id="21">
    <w:p w14:paraId="7C8A4C3B" w14:textId="5FFA8AB9"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Области: рударства и енергетике, саобраћаја, електронских комуникација, издавања службеног гласила Републике Србије и издавања уџбеника, нуклеарних објеката, наоружања и војне опреме, коришћења, заштите, уређивања и унапређивања добара од општег интереса и добара у општој употреби (воде, путеви, шуме, пловне реке, језера, обале, бање, дивљач, заштићена подручја и др)</w:t>
      </w:r>
      <w:r>
        <w:rPr>
          <w:rFonts w:ascii="Arial" w:hAnsi="Arial" w:cs="Arial"/>
          <w:sz w:val="16"/>
          <w:szCs w:val="16"/>
          <w:lang w:val="sr-Cyrl-RS"/>
        </w:rPr>
        <w:t xml:space="preserve"> и управљања њима</w:t>
      </w:r>
      <w:r w:rsidRPr="008D683B">
        <w:rPr>
          <w:rFonts w:ascii="Arial" w:hAnsi="Arial" w:cs="Arial"/>
          <w:sz w:val="16"/>
          <w:szCs w:val="16"/>
          <w:lang w:val="sr-Cyrl-RS"/>
        </w:rPr>
        <w:t>, управљања отпадом и друге.</w:t>
      </w:r>
    </w:p>
  </w:footnote>
  <w:footnote w:id="22">
    <w:p w14:paraId="3BFB909A" w14:textId="29A8CDA0" w:rsidR="007324B5" w:rsidRPr="008D683B" w:rsidRDefault="007324B5" w:rsidP="00DD29A7">
      <w:pPr>
        <w:pStyle w:val="FootnoteText"/>
        <w:jc w:val="both"/>
        <w:rPr>
          <w:rFonts w:ascii="Arial" w:hAnsi="Arial" w:cs="Arial"/>
          <w:color w:val="000000" w:themeColor="text1"/>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color w:val="000000" w:themeColor="text1"/>
          <w:sz w:val="16"/>
          <w:szCs w:val="16"/>
          <w:lang w:val="sr-Cyrl-RS"/>
        </w:rPr>
        <w:t xml:space="preserve">У сарадњи са </w:t>
      </w:r>
      <w:r>
        <w:rPr>
          <w:rFonts w:ascii="Arial" w:hAnsi="Arial" w:cs="Arial"/>
          <w:color w:val="000000" w:themeColor="text1"/>
          <w:sz w:val="16"/>
          <w:szCs w:val="16"/>
          <w:lang w:val="sr-Cyrl-RS"/>
        </w:rPr>
        <w:t xml:space="preserve">пројектом </w:t>
      </w:r>
      <w:r w:rsidRPr="008D683B">
        <w:rPr>
          <w:rFonts w:ascii="Arial" w:hAnsi="Arial" w:cs="Arial"/>
          <w:color w:val="000000" w:themeColor="text1"/>
          <w:sz w:val="16"/>
          <w:szCs w:val="16"/>
          <w:lang w:val="sr-Cyrl-RS"/>
        </w:rPr>
        <w:t>РЕЛОФ2</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који финансира Влада Швајцарске, Министарство привреде развија и тренутно тестира софтвер за надзор над пословањем јавних предузећа. Софтвер ће такође бити коришћен у планирању и извештавању о раду јавних предузећа.</w:t>
      </w:r>
    </w:p>
  </w:footnote>
  <w:footnote w:id="23">
    <w:p w14:paraId="113EC050" w14:textId="4BE5349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складу са законом, на републичком нивоу основани су: Републички геодетски завод, Републички завод за заштиту споменика културе, Републички фонд за здравствено осигурање Србије, Републички завод за статистику, Сеизмолошки завод Србије, Хидрометеоролошки завод Србије и Завод за интелектуалну својину. На локалном нивоу: заводи за изградњу, пројектовање и сличне послове су јавна предузећа, док заводи за заштиту споменика културе јесу установе.</w:t>
      </w:r>
    </w:p>
  </w:footnote>
  <w:footnote w:id="24">
    <w:p w14:paraId="2F6466CD"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Законом о буџетском систему прописано је да је буџетски фонд евиденциони рачун како би се поједини приходи, расходи и издаци водили одвојено.</w:t>
      </w:r>
    </w:p>
  </w:footnote>
  <w:footnote w:id="25">
    <w:p w14:paraId="39C8809E" w14:textId="30AE1A81"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Када се постави питање којим прописом би требало уредити организационе облике у ЈЛС, природно се намеће одговор да је то ЗЛС. Њиме је прописано (члан 20) да „општина, преко својих органа, у складу са уставом и законом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 Уређивање овог питања може бити урађено у самом закону или </w:t>
      </w:r>
      <w:r>
        <w:rPr>
          <w:rFonts w:ascii="Arial" w:hAnsi="Arial" w:cs="Arial"/>
          <w:sz w:val="16"/>
          <w:szCs w:val="16"/>
          <w:lang w:val="sr-Cyrl-RS"/>
        </w:rPr>
        <w:t>може</w:t>
      </w:r>
      <w:r w:rsidRPr="008D683B">
        <w:rPr>
          <w:rFonts w:ascii="Arial" w:hAnsi="Arial" w:cs="Arial"/>
          <w:sz w:val="16"/>
          <w:szCs w:val="16"/>
          <w:lang w:val="sr-Cyrl-RS"/>
        </w:rPr>
        <w:t xml:space="preserve"> на основу цитираног члана </w:t>
      </w:r>
      <w:r>
        <w:rPr>
          <w:rFonts w:ascii="Arial" w:hAnsi="Arial" w:cs="Arial"/>
          <w:sz w:val="16"/>
          <w:szCs w:val="16"/>
          <w:lang w:val="sr-Cyrl-RS"/>
        </w:rPr>
        <w:t>бити</w:t>
      </w:r>
      <w:r w:rsidRPr="008D683B">
        <w:rPr>
          <w:rFonts w:ascii="Arial" w:hAnsi="Arial" w:cs="Arial"/>
          <w:sz w:val="16"/>
          <w:szCs w:val="16"/>
          <w:lang w:val="sr-Cyrl-RS"/>
        </w:rPr>
        <w:t xml:space="preserve"> предвиђено доношење подзаконског акта – уредбе која би регулиса</w:t>
      </w:r>
      <w:r>
        <w:rPr>
          <w:rFonts w:ascii="Arial" w:hAnsi="Arial" w:cs="Arial"/>
          <w:sz w:val="16"/>
          <w:szCs w:val="16"/>
          <w:lang w:val="sr-Cyrl-RS"/>
        </w:rPr>
        <w:t>л</w:t>
      </w:r>
      <w:r w:rsidRPr="008D683B">
        <w:rPr>
          <w:rFonts w:ascii="Arial" w:hAnsi="Arial" w:cs="Arial"/>
          <w:sz w:val="16"/>
          <w:szCs w:val="16"/>
          <w:lang w:val="sr-Cyrl-RS"/>
        </w:rPr>
        <w:t>а ова питања.</w:t>
      </w:r>
    </w:p>
  </w:footnote>
  <w:footnote w:id="26">
    <w:p w14:paraId="232E5765" w14:textId="7B0A08DC"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Основне надлежности локалне самоуправе дефинисане су Уставом и Законом о локалној самоуправи (члан 20). Тако члан 190. Устава уређује да општина, преко својих органа, у складу са законом:</w:t>
      </w:r>
      <w:r>
        <w:rPr>
          <w:rFonts w:ascii="Arial" w:hAnsi="Arial" w:cs="Arial"/>
          <w:sz w:val="16"/>
          <w:szCs w:val="16"/>
          <w:lang w:val="sr-Cyrl-RS"/>
        </w:rPr>
        <w:t xml:space="preserve"> </w:t>
      </w:r>
      <w:r w:rsidRPr="008D683B">
        <w:rPr>
          <w:rFonts w:ascii="Arial" w:hAnsi="Arial" w:cs="Arial"/>
          <w:sz w:val="16"/>
          <w:szCs w:val="16"/>
          <w:lang w:val="sr-Cyrl-RS"/>
        </w:rPr>
        <w:t>1. уређује и обезбеђује обављање и развој комуналних делатности; 2. уређује и обезбеђује коришћење грађевинског земљишта и пословног простора; 3. стара се о изградњи, реконструкцији, одржавању и коришћењу локалних путева и улица и других јавних објеката од општинског значаја; уређује и обезбеђује локални превоз; 4. стара се о задовољавању потреба грађана у области просвете, културе, здравствене и социјалне заштите, дечије заштите, спорта и физичке културе; 5. стара се о развоју и унапређењу туризма, занатства, угоститељства и трговине; 6. стара се о заштити животне средине, заштити од елементарних и других непогода; заштити културних добара од значаја за општину; 7. заштити, унапређењу и коришћењу пољопривредног земљишта; 8. обавља и друге послове одређене законом.</w:t>
      </w:r>
      <w:r>
        <w:rPr>
          <w:rFonts w:ascii="Arial" w:hAnsi="Arial" w:cs="Arial"/>
          <w:sz w:val="16"/>
          <w:szCs w:val="16"/>
          <w:lang w:val="sr-Cyrl-RS"/>
        </w:rPr>
        <w:t xml:space="preserve"> </w:t>
      </w:r>
      <w:r w:rsidRPr="008D683B">
        <w:rPr>
          <w:rFonts w:ascii="Arial" w:hAnsi="Arial" w:cs="Arial"/>
          <w:sz w:val="16"/>
          <w:szCs w:val="16"/>
          <w:lang w:val="sr-Cyrl-RS"/>
        </w:rPr>
        <w:t>Такође, општина самостално, у складу са законом, доноси свој буџет и завршни рачун, урбанистички план и програм развоја општине, утврђује симболе општине и њихову употребу. Општина се стара и о остваривању, заштити и унапређењу људских и мањинских права, као и о јавном информисању у општини. Општина самостално управља општинском имовином и прописује прекршаје за повреде општинских прописа.</w:t>
      </w:r>
    </w:p>
  </w:footnote>
  <w:footnote w:id="27">
    <w:p w14:paraId="43DB82ED"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ЗЛС, члан 21. став 1.</w:t>
      </w:r>
    </w:p>
  </w:footnote>
  <w:footnote w:id="28">
    <w:p w14:paraId="573A91A4"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ЗЛС, члан 21. став 2.</w:t>
      </w:r>
    </w:p>
  </w:footnote>
  <w:footnote w:id="29">
    <w:p w14:paraId="7CF22EB8" w14:textId="334C786C"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Видети више на: </w:t>
      </w:r>
      <w:hyperlink r:id="rId3" w:history="1">
        <w:r w:rsidRPr="0014408A">
          <w:rPr>
            <w:rStyle w:val="Hyperlink"/>
            <w:rFonts w:ascii="Arial" w:hAnsi="Arial" w:cs="Arial"/>
            <w:sz w:val="16"/>
            <w:szCs w:val="16"/>
            <w:lang w:val="sr-Cyrl-RS"/>
          </w:rPr>
          <w:t>http://mduls.gov.rs/obavestenja/jedinstveni-popis-poslova-na-loklanom-nivou-vlasti</w:t>
        </w:r>
      </w:hyperlink>
      <w:r>
        <w:rPr>
          <w:rFonts w:ascii="Arial" w:hAnsi="Arial" w:cs="Arial"/>
          <w:sz w:val="16"/>
          <w:szCs w:val="16"/>
          <w:lang w:val="sr-Cyrl-RS"/>
        </w:rPr>
        <w:t>.</w:t>
      </w:r>
    </w:p>
  </w:footnote>
  <w:footnote w:id="30">
    <w:p w14:paraId="33881E96" w14:textId="683959BB"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4826D6">
        <w:rPr>
          <w:rFonts w:ascii="Arial" w:hAnsi="Arial" w:cs="Arial"/>
          <w:sz w:val="16"/>
          <w:szCs w:val="16"/>
          <w:lang w:val="sr-Cyrl-RS"/>
        </w:rPr>
        <w:t xml:space="preserve">Управо у циљу подршке локалним властима, Републички секретаријат за јавне политике објавио је </w:t>
      </w:r>
      <w:r w:rsidRPr="004826D6">
        <w:rPr>
          <w:rFonts w:ascii="Arial" w:hAnsi="Arial" w:cs="Arial"/>
          <w:iCs/>
          <w:sz w:val="16"/>
          <w:szCs w:val="16"/>
          <w:lang w:val="sr-Cyrl-RS"/>
        </w:rPr>
        <w:t>Смернице за израду планова развоја ЈЛС</w:t>
      </w:r>
      <w:r w:rsidRPr="004826D6">
        <w:rPr>
          <w:rFonts w:ascii="Arial" w:hAnsi="Arial" w:cs="Arial"/>
          <w:sz w:val="16"/>
          <w:szCs w:val="16"/>
          <w:lang w:val="sr-Cyrl-RS"/>
        </w:rPr>
        <w:t xml:space="preserve">. Видети </w:t>
      </w:r>
      <w:r w:rsidRPr="008D683B">
        <w:rPr>
          <w:rFonts w:ascii="Arial" w:hAnsi="Arial" w:cs="Arial"/>
          <w:sz w:val="16"/>
          <w:szCs w:val="16"/>
          <w:lang w:val="sr-Cyrl-RS"/>
        </w:rPr>
        <w:t xml:space="preserve">више на: </w:t>
      </w:r>
      <w:hyperlink r:id="rId4" w:history="1">
        <w:r w:rsidRPr="008D683B">
          <w:rPr>
            <w:rStyle w:val="Hyperlink"/>
            <w:rFonts w:ascii="Arial" w:hAnsi="Arial" w:cs="Arial"/>
            <w:color w:val="auto"/>
            <w:sz w:val="16"/>
            <w:szCs w:val="16"/>
            <w:lang w:val="sr-Cyrl-RS"/>
          </w:rPr>
          <w:t>https://rsjp.gov.rs/wp-content/uploads/Prirucnik-za-lokalnu-samoupravu-web_final.pdf</w:t>
        </w:r>
      </w:hyperlink>
      <w:r>
        <w:rPr>
          <w:rStyle w:val="Hyperlink"/>
          <w:rFonts w:ascii="Arial" w:hAnsi="Arial" w:cs="Arial"/>
          <w:color w:val="auto"/>
          <w:sz w:val="16"/>
          <w:szCs w:val="16"/>
          <w:lang w:val="sr-Cyrl-RS"/>
        </w:rPr>
        <w:t>.</w:t>
      </w:r>
    </w:p>
  </w:footnote>
  <w:footnote w:id="31">
    <w:p w14:paraId="080A33D1" w14:textId="7B34439B"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Фискални савет Републике Србије (2019)</w:t>
      </w:r>
      <w:r>
        <w:rPr>
          <w:rFonts w:ascii="Arial" w:hAnsi="Arial" w:cs="Arial"/>
          <w:sz w:val="16"/>
          <w:szCs w:val="16"/>
          <w:lang w:val="sr-Cyrl-RS"/>
        </w:rPr>
        <w:t>,</w:t>
      </w:r>
      <w:r w:rsidRPr="008D683B">
        <w:rPr>
          <w:rFonts w:ascii="Arial" w:hAnsi="Arial" w:cs="Arial"/>
          <w:sz w:val="16"/>
          <w:szCs w:val="16"/>
          <w:lang w:val="sr-Cyrl-RS"/>
        </w:rPr>
        <w:t xml:space="preserve"> </w:t>
      </w:r>
      <w:r w:rsidRPr="00AA4CD6">
        <w:rPr>
          <w:rFonts w:ascii="Arial" w:hAnsi="Arial" w:cs="Arial"/>
          <w:i/>
          <w:iCs/>
          <w:sz w:val="16"/>
          <w:szCs w:val="16"/>
          <w:lang w:val="sr-Cyrl-RS"/>
        </w:rPr>
        <w:t>Инвестиције у заштиту животне средине: друштвени и фискални приоритет</w:t>
      </w:r>
      <w:r w:rsidRPr="008D683B">
        <w:rPr>
          <w:rFonts w:ascii="Arial" w:hAnsi="Arial" w:cs="Arial"/>
          <w:sz w:val="16"/>
          <w:szCs w:val="16"/>
          <w:lang w:val="sr-Cyrl-RS"/>
        </w:rPr>
        <w:t>.</w:t>
      </w:r>
    </w:p>
  </w:footnote>
  <w:footnote w:id="32">
    <w:p w14:paraId="0A728BCE" w14:textId="24F810B0"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Агенција за заштиту животне средине (2019)</w:t>
      </w:r>
      <w:r>
        <w:rPr>
          <w:rFonts w:ascii="Arial" w:hAnsi="Arial" w:cs="Arial"/>
          <w:sz w:val="16"/>
          <w:szCs w:val="16"/>
          <w:lang w:val="sr-Cyrl-RS"/>
        </w:rPr>
        <w:t>,</w:t>
      </w:r>
      <w:r w:rsidRPr="008D683B">
        <w:rPr>
          <w:rFonts w:ascii="Arial" w:hAnsi="Arial" w:cs="Arial"/>
          <w:sz w:val="16"/>
          <w:szCs w:val="16"/>
          <w:lang w:val="sr-Cyrl-RS"/>
        </w:rPr>
        <w:t xml:space="preserve"> </w:t>
      </w:r>
      <w:r w:rsidRPr="00AA4CD6">
        <w:rPr>
          <w:rFonts w:ascii="Arial" w:hAnsi="Arial" w:cs="Arial"/>
          <w:i/>
          <w:iCs/>
          <w:sz w:val="16"/>
          <w:szCs w:val="16"/>
          <w:lang w:val="sr-Cyrl-RS"/>
        </w:rPr>
        <w:t>Управљање отпадом у Републици Србији у периоду 2011–2018. године</w:t>
      </w:r>
      <w:r w:rsidRPr="008D683B">
        <w:rPr>
          <w:rFonts w:ascii="Arial" w:hAnsi="Arial" w:cs="Arial"/>
          <w:sz w:val="16"/>
          <w:szCs w:val="16"/>
          <w:lang w:val="sr-Cyrl-RS"/>
        </w:rPr>
        <w:t>.</w:t>
      </w:r>
    </w:p>
  </w:footnote>
  <w:footnote w:id="33">
    <w:p w14:paraId="676A1E1F" w14:textId="48031935"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НАЛАС (2020)</w:t>
      </w:r>
      <w:r>
        <w:rPr>
          <w:rFonts w:ascii="Arial" w:hAnsi="Arial" w:cs="Arial"/>
          <w:sz w:val="16"/>
          <w:szCs w:val="16"/>
          <w:lang w:val="sr-Cyrl-RS"/>
        </w:rPr>
        <w:t>,</w:t>
      </w:r>
      <w:r w:rsidRPr="008D683B">
        <w:rPr>
          <w:rFonts w:ascii="Arial" w:hAnsi="Arial" w:cs="Arial"/>
          <w:sz w:val="16"/>
          <w:szCs w:val="16"/>
          <w:lang w:val="sr-Cyrl-RS"/>
        </w:rPr>
        <w:t xml:space="preserve"> </w:t>
      </w:r>
      <w:r w:rsidRPr="00AA4CD6">
        <w:rPr>
          <w:rFonts w:ascii="Arial" w:hAnsi="Arial" w:cs="Arial"/>
          <w:i/>
          <w:iCs/>
          <w:sz w:val="16"/>
          <w:szCs w:val="16"/>
          <w:lang w:val="sr-Cyrl-RS"/>
        </w:rPr>
        <w:t>2019 Benchmarking Report on Solid Waste Management in SEE</w:t>
      </w:r>
      <w:r w:rsidRPr="008D683B">
        <w:rPr>
          <w:rFonts w:ascii="Arial" w:hAnsi="Arial" w:cs="Arial"/>
          <w:sz w:val="16"/>
          <w:szCs w:val="16"/>
          <w:lang w:val="sr-Cyrl-RS"/>
        </w:rPr>
        <w:t>.</w:t>
      </w:r>
    </w:p>
  </w:footnote>
  <w:footnote w:id="34">
    <w:p w14:paraId="6D12859E" w14:textId="6355A168"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Фискални савет је истакао предвиђање да је потребно око 5</w:t>
      </w:r>
      <w:r>
        <w:rPr>
          <w:rFonts w:ascii="Arial" w:hAnsi="Arial" w:cs="Arial"/>
          <w:sz w:val="16"/>
          <w:szCs w:val="16"/>
          <w:lang w:val="sr-Cyrl-RS"/>
        </w:rPr>
        <w:t>,</w:t>
      </w:r>
      <w:r w:rsidRPr="008D683B">
        <w:rPr>
          <w:rFonts w:ascii="Arial" w:hAnsi="Arial" w:cs="Arial"/>
          <w:sz w:val="16"/>
          <w:szCs w:val="16"/>
          <w:lang w:val="sr-Cyrl-RS"/>
        </w:rPr>
        <w:t>8 милијарди у сектору вода и 1</w:t>
      </w:r>
      <w:r>
        <w:rPr>
          <w:rFonts w:ascii="Arial" w:hAnsi="Arial" w:cs="Arial"/>
          <w:sz w:val="16"/>
          <w:szCs w:val="16"/>
          <w:lang w:val="sr-Cyrl-RS"/>
        </w:rPr>
        <w:t>,</w:t>
      </w:r>
      <w:r w:rsidRPr="008D683B">
        <w:rPr>
          <w:rFonts w:ascii="Arial" w:hAnsi="Arial" w:cs="Arial"/>
          <w:sz w:val="16"/>
          <w:szCs w:val="16"/>
          <w:lang w:val="sr-Cyrl-RS"/>
        </w:rPr>
        <w:t>5. милијарди у сектору отпада. Видети више у извештају Фискалног савета</w:t>
      </w:r>
      <w:r>
        <w:rPr>
          <w:rFonts w:ascii="Arial" w:hAnsi="Arial" w:cs="Arial"/>
          <w:sz w:val="16"/>
          <w:szCs w:val="16"/>
          <w:lang w:val="sr-Cyrl-RS"/>
        </w:rPr>
        <w:t xml:space="preserve"> доступном на:</w:t>
      </w:r>
      <w:r w:rsidRPr="008D683B">
        <w:rPr>
          <w:rFonts w:ascii="Arial" w:hAnsi="Arial" w:cs="Arial"/>
          <w:sz w:val="16"/>
          <w:szCs w:val="16"/>
          <w:lang w:val="sr-Cyrl-RS"/>
        </w:rPr>
        <w:t xml:space="preserve"> </w:t>
      </w:r>
      <w:hyperlink r:id="rId5" w:history="1">
        <w:r w:rsidRPr="008D683B">
          <w:rPr>
            <w:rStyle w:val="Hyperlink"/>
            <w:rFonts w:ascii="Arial" w:hAnsi="Arial" w:cs="Arial"/>
            <w:color w:val="auto"/>
            <w:sz w:val="16"/>
            <w:szCs w:val="16"/>
            <w:lang w:val="sr-Cyrl-RS"/>
          </w:rPr>
          <w:t>http://www.fiskalnisavet.rs/doc/analize-stavovi-predlozi/FS-Rezime-Investicije-u-zastitu-zivotne-sredine.pdf</w:t>
        </w:r>
      </w:hyperlink>
      <w:r>
        <w:rPr>
          <w:rStyle w:val="Hyperlink"/>
          <w:rFonts w:ascii="Arial" w:hAnsi="Arial" w:cs="Arial"/>
          <w:color w:val="auto"/>
          <w:sz w:val="16"/>
          <w:szCs w:val="16"/>
          <w:lang w:val="sr-Cyrl-RS"/>
        </w:rPr>
        <w:t>.</w:t>
      </w:r>
    </w:p>
    <w:p w14:paraId="7A9CEFFD" w14:textId="00F3CF7E" w:rsidR="007324B5" w:rsidRPr="008D683B" w:rsidRDefault="007324B5" w:rsidP="00DD29A7">
      <w:pPr>
        <w:jc w:val="both"/>
        <w:rPr>
          <w:rFonts w:ascii="Arial" w:hAnsi="Arial" w:cs="Arial"/>
          <w:sz w:val="16"/>
          <w:szCs w:val="16"/>
          <w:lang w:val="sr-Cyrl-RS"/>
        </w:rPr>
      </w:pPr>
      <w:r w:rsidRPr="008D683B">
        <w:rPr>
          <w:rFonts w:ascii="Arial" w:hAnsi="Arial" w:cs="Arial"/>
          <w:sz w:val="16"/>
          <w:szCs w:val="16"/>
          <w:lang w:val="sr-Cyrl-RS"/>
        </w:rPr>
        <w:t>Национална стратегија за апроксимацију у области животне средине указује на потребе од око 10</w:t>
      </w:r>
      <w:r>
        <w:rPr>
          <w:rFonts w:ascii="Arial" w:hAnsi="Arial" w:cs="Arial"/>
          <w:sz w:val="16"/>
          <w:szCs w:val="16"/>
          <w:lang w:val="sr-Cyrl-RS"/>
        </w:rPr>
        <w:t>,</w:t>
      </w:r>
      <w:r w:rsidRPr="008D683B">
        <w:rPr>
          <w:rFonts w:ascii="Arial" w:hAnsi="Arial" w:cs="Arial"/>
          <w:sz w:val="16"/>
          <w:szCs w:val="16"/>
          <w:lang w:val="sr-Cyrl-RS"/>
        </w:rPr>
        <w:t xml:space="preserve">6 милијарди </w:t>
      </w:r>
      <w:r>
        <w:rPr>
          <w:rFonts w:ascii="Arial" w:hAnsi="Arial" w:cs="Arial"/>
          <w:sz w:val="16"/>
          <w:szCs w:val="16"/>
        </w:rPr>
        <w:t>EUR</w:t>
      </w:r>
      <w:r w:rsidRPr="008D683B">
        <w:rPr>
          <w:rFonts w:ascii="Arial" w:hAnsi="Arial" w:cs="Arial"/>
          <w:sz w:val="16"/>
          <w:szCs w:val="16"/>
          <w:lang w:val="sr-Cyrl-RS"/>
        </w:rPr>
        <w:t xml:space="preserve"> за сектор вода и отпада</w:t>
      </w:r>
      <w:r>
        <w:rPr>
          <w:rFonts w:ascii="Arial" w:hAnsi="Arial" w:cs="Arial"/>
          <w:sz w:val="16"/>
          <w:szCs w:val="16"/>
        </w:rPr>
        <w:t>.</w:t>
      </w:r>
      <w:r w:rsidRPr="008D683B">
        <w:rPr>
          <w:rFonts w:ascii="Arial" w:hAnsi="Arial" w:cs="Arial"/>
          <w:sz w:val="16"/>
          <w:szCs w:val="16"/>
          <w:lang w:val="sr-Cyrl-RS"/>
        </w:rPr>
        <w:t xml:space="preserve"> </w:t>
      </w:r>
      <w:r>
        <w:rPr>
          <w:rFonts w:ascii="Arial" w:hAnsi="Arial" w:cs="Arial"/>
          <w:sz w:val="16"/>
          <w:szCs w:val="16"/>
          <w:lang w:val="sr-Cyrl-RS"/>
        </w:rPr>
        <w:t>В</w:t>
      </w:r>
      <w:r w:rsidRPr="008D683B">
        <w:rPr>
          <w:rFonts w:ascii="Arial" w:hAnsi="Arial" w:cs="Arial"/>
          <w:sz w:val="16"/>
          <w:szCs w:val="16"/>
          <w:lang w:val="sr-Cyrl-RS"/>
        </w:rPr>
        <w:t xml:space="preserve">идети више </w:t>
      </w:r>
      <w:r>
        <w:rPr>
          <w:rFonts w:ascii="Arial" w:hAnsi="Arial" w:cs="Arial"/>
          <w:sz w:val="16"/>
          <w:szCs w:val="16"/>
          <w:lang w:val="sr-Cyrl-RS"/>
        </w:rPr>
        <w:t>на:</w:t>
      </w:r>
      <w:r w:rsidRPr="008D683B">
        <w:rPr>
          <w:rFonts w:ascii="Arial" w:hAnsi="Arial" w:cs="Arial"/>
          <w:sz w:val="16"/>
          <w:szCs w:val="16"/>
          <w:lang w:val="sr-Cyrl-RS"/>
        </w:rPr>
        <w:t xml:space="preserve"> </w:t>
      </w:r>
      <w:hyperlink r:id="rId6" w:tooltip="http://www.pravno-informacioni-sistem.rs/SlGlasnikPortal/eli/rep/sgrs/vlada/strategija/2011/80/1/reg" w:history="1">
        <w:r w:rsidRPr="008D683B">
          <w:rPr>
            <w:rFonts w:ascii="Arial" w:hAnsi="Arial" w:cs="Arial"/>
            <w:sz w:val="16"/>
            <w:szCs w:val="16"/>
            <w:u w:val="single"/>
            <w:lang w:val="sr-Cyrl-RS"/>
          </w:rPr>
          <w:t>http://www.pravno-informacioni-sistem.rs/SlGlasnikPortal/eli/rep/sgrs/vlada/strategija/2011/80/1/reg</w:t>
        </w:r>
      </w:hyperlink>
      <w:r w:rsidRPr="008D683B">
        <w:rPr>
          <w:rFonts w:ascii="Arial" w:hAnsi="Arial" w:cs="Arial"/>
          <w:sz w:val="16"/>
          <w:szCs w:val="16"/>
          <w:u w:val="single"/>
          <w:lang w:val="sr-Cyrl-RS"/>
        </w:rPr>
        <w:t>.</w:t>
      </w:r>
    </w:p>
    <w:p w14:paraId="71AFA4D5" w14:textId="53AF2ACA" w:rsidR="007324B5" w:rsidRPr="008D683B" w:rsidRDefault="007324B5" w:rsidP="00DD29A7">
      <w:pPr>
        <w:jc w:val="both"/>
        <w:rPr>
          <w:rFonts w:ascii="Arial" w:hAnsi="Arial" w:cs="Arial"/>
          <w:sz w:val="16"/>
          <w:szCs w:val="16"/>
          <w:lang w:val="sr-Cyrl-RS"/>
        </w:rPr>
      </w:pPr>
      <w:r w:rsidRPr="008D683B">
        <w:rPr>
          <w:rFonts w:ascii="Arial" w:hAnsi="Arial" w:cs="Arial"/>
          <w:sz w:val="16"/>
          <w:szCs w:val="16"/>
          <w:lang w:val="sr-Cyrl-RS"/>
        </w:rPr>
        <w:t xml:space="preserve">Коначно, у последњих неколико година на различитим јавним скуповима од стране представника националних институција помињани су износи који иду и до 15 милијарди </w:t>
      </w:r>
      <w:r>
        <w:rPr>
          <w:rFonts w:ascii="Arial" w:hAnsi="Arial" w:cs="Arial"/>
          <w:sz w:val="16"/>
          <w:szCs w:val="16"/>
        </w:rPr>
        <w:t>EUR</w:t>
      </w:r>
      <w:r w:rsidRPr="008D683B">
        <w:rPr>
          <w:rFonts w:ascii="Arial" w:hAnsi="Arial" w:cs="Arial"/>
          <w:sz w:val="16"/>
          <w:szCs w:val="16"/>
          <w:lang w:val="sr-Cyrl-RS"/>
        </w:rPr>
        <w:t>.</w:t>
      </w:r>
    </w:p>
  </w:footnote>
  <w:footnote w:id="35">
    <w:p w14:paraId="7A537D2E"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Према истраживању СКГО о капацитетима за ЛЕР из 2018. године које је обухватило 50 ЈЛС, велики број ЈЛЕР успостављен је као део управе или секретаријат (одељење, служба или одсек у оквиру секретаријата или управе).</w:t>
      </w:r>
    </w:p>
  </w:footnote>
  <w:footnote w:id="36">
    <w:p w14:paraId="6FF64D03" w14:textId="5376374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Градови и општине немају довољно искуства у развоју политике директне подршке привреди у складу са Законом о контроли државне помоћи и Законом о улагањима</w:t>
      </w:r>
      <w:r>
        <w:rPr>
          <w:rFonts w:ascii="Arial" w:hAnsi="Arial" w:cs="Arial"/>
          <w:sz w:val="16"/>
          <w:szCs w:val="16"/>
          <w:lang w:val="sr-Cyrl-RS"/>
        </w:rPr>
        <w:t>,</w:t>
      </w:r>
      <w:r w:rsidRPr="008D683B">
        <w:rPr>
          <w:rFonts w:ascii="Arial" w:hAnsi="Arial" w:cs="Arial"/>
          <w:sz w:val="16"/>
          <w:szCs w:val="16"/>
          <w:lang w:val="sr-Cyrl-RS"/>
        </w:rPr>
        <w:t xml:space="preserve"> који уређује да локална самоуправа доноси различите схеме државне помоћи, према којим</w:t>
      </w:r>
      <w:r>
        <w:rPr>
          <w:rFonts w:ascii="Arial" w:hAnsi="Arial" w:cs="Arial"/>
          <w:sz w:val="16"/>
          <w:szCs w:val="16"/>
          <w:lang w:val="sr-Cyrl-RS"/>
        </w:rPr>
        <w:t>а</w:t>
      </w:r>
      <w:r w:rsidRPr="008D683B">
        <w:rPr>
          <w:rFonts w:ascii="Arial" w:hAnsi="Arial" w:cs="Arial"/>
          <w:sz w:val="16"/>
          <w:szCs w:val="16"/>
          <w:lang w:val="sr-Cyrl-RS"/>
        </w:rPr>
        <w:t xml:space="preserve"> се ближе одређују критеријуми за доделу подстицаја. До марта 2020. године само седам ЈЛС је развило програм ЛЕР-а као схему државне помоћи у складу са Законом. Већина ЈЛС нема довољно праксе у спровођењу ових програма, а ни довољно информација и знања о </w:t>
      </w:r>
      <w:r>
        <w:rPr>
          <w:rFonts w:ascii="Arial" w:hAnsi="Arial" w:cs="Arial"/>
          <w:sz w:val="16"/>
          <w:szCs w:val="16"/>
          <w:lang w:val="sr-Cyrl-RS"/>
        </w:rPr>
        <w:t>њиховом</w:t>
      </w:r>
      <w:r w:rsidRPr="008D683B">
        <w:rPr>
          <w:rFonts w:ascii="Arial" w:hAnsi="Arial" w:cs="Arial"/>
          <w:sz w:val="16"/>
          <w:szCs w:val="16"/>
          <w:lang w:val="sr-Cyrl-RS"/>
        </w:rPr>
        <w:t xml:space="preserve"> спровођењу, те су били чести случајеви прављења грешака у коришћењу овог инструмента подршке локалном економском развоју. Између осталог</w:t>
      </w:r>
      <w:r>
        <w:rPr>
          <w:rFonts w:ascii="Arial" w:hAnsi="Arial" w:cs="Arial"/>
          <w:sz w:val="16"/>
          <w:szCs w:val="16"/>
          <w:lang w:val="sr-Cyrl-RS"/>
        </w:rPr>
        <w:t>,</w:t>
      </w:r>
      <w:r w:rsidRPr="008D683B">
        <w:rPr>
          <w:rFonts w:ascii="Arial" w:hAnsi="Arial" w:cs="Arial"/>
          <w:sz w:val="16"/>
          <w:szCs w:val="16"/>
          <w:lang w:val="sr-Cyrl-RS"/>
        </w:rPr>
        <w:t xml:space="preserve"> из тих разлога је СКГО израдила </w:t>
      </w:r>
      <w:r w:rsidRPr="00AA4CD6">
        <w:rPr>
          <w:rFonts w:ascii="Arial" w:hAnsi="Arial" w:cs="Arial"/>
          <w:i/>
          <w:iCs/>
          <w:sz w:val="16"/>
          <w:szCs w:val="16"/>
          <w:lang w:val="sr-Cyrl-RS"/>
        </w:rPr>
        <w:t>Приручник за израду и реализацију Програма ЛЕР-а</w:t>
      </w:r>
      <w:r>
        <w:rPr>
          <w:rFonts w:ascii="Arial" w:hAnsi="Arial" w:cs="Arial"/>
          <w:sz w:val="16"/>
          <w:szCs w:val="16"/>
          <w:lang w:val="sr-Cyrl-RS"/>
        </w:rPr>
        <w:t>, доступан на:</w:t>
      </w:r>
      <w:r w:rsidRPr="008D683B">
        <w:rPr>
          <w:rFonts w:ascii="Arial" w:hAnsi="Arial" w:cs="Arial"/>
          <w:sz w:val="16"/>
          <w:szCs w:val="16"/>
          <w:lang w:val="sr-Cyrl-RS"/>
        </w:rPr>
        <w:t xml:space="preserve"> </w:t>
      </w:r>
      <w:hyperlink r:id="rId7" w:history="1">
        <w:r w:rsidRPr="008D683B">
          <w:rPr>
            <w:rStyle w:val="Hyperlink"/>
            <w:rFonts w:ascii="Arial" w:hAnsi="Arial" w:cs="Arial"/>
            <w:color w:val="auto"/>
            <w:sz w:val="16"/>
            <w:szCs w:val="16"/>
            <w:lang w:val="sr-Cyrl-RS"/>
          </w:rPr>
          <w:t>www.skgo.org/storage/app/uploads/public/155/179/186/1551791863_Priruccnik%20LER%202019%2018022019%20web.pdf</w:t>
        </w:r>
      </w:hyperlink>
      <w:r>
        <w:rPr>
          <w:rStyle w:val="Hyperlink"/>
          <w:rFonts w:ascii="Arial" w:hAnsi="Arial" w:cs="Arial"/>
          <w:color w:val="auto"/>
          <w:sz w:val="16"/>
          <w:szCs w:val="16"/>
          <w:lang w:val="sr-Cyrl-RS"/>
        </w:rPr>
        <w:t>.</w:t>
      </w:r>
    </w:p>
  </w:footnote>
  <w:footnote w:id="37">
    <w:p w14:paraId="56F55D4E" w14:textId="6CA13B24"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Према подацима истраживања СКГО из 2018. године, од испитаних 50 ЈЛС, само </w:t>
      </w:r>
      <w:r>
        <w:rPr>
          <w:rFonts w:ascii="Arial" w:hAnsi="Arial" w:cs="Arial"/>
          <w:sz w:val="16"/>
          <w:szCs w:val="16"/>
          <w:lang w:val="sr-Cyrl-RS"/>
        </w:rPr>
        <w:t xml:space="preserve">њих </w:t>
      </w:r>
      <w:r w:rsidRPr="008D683B">
        <w:rPr>
          <w:rFonts w:ascii="Arial" w:hAnsi="Arial" w:cs="Arial"/>
          <w:sz w:val="16"/>
          <w:szCs w:val="16"/>
          <w:lang w:val="sr-Cyrl-RS"/>
        </w:rPr>
        <w:t>седам има функционални пословни савет (савет који се редовно састаје, дискутује о кључним проблемима везаним за пословно окружење, има иницијативе за измену локалних прописа које су размотрен</w:t>
      </w:r>
      <w:r>
        <w:rPr>
          <w:rFonts w:ascii="Arial" w:hAnsi="Arial" w:cs="Arial"/>
          <w:sz w:val="16"/>
          <w:szCs w:val="16"/>
          <w:lang w:val="sr-Cyrl-RS"/>
        </w:rPr>
        <w:t>е</w:t>
      </w:r>
      <w:r w:rsidRPr="008D683B">
        <w:rPr>
          <w:rFonts w:ascii="Arial" w:hAnsi="Arial" w:cs="Arial"/>
          <w:sz w:val="16"/>
          <w:szCs w:val="16"/>
          <w:lang w:val="sr-Cyrl-RS"/>
        </w:rPr>
        <w:t xml:space="preserve"> и довеле до промена), четири </w:t>
      </w:r>
      <w:r>
        <w:rPr>
          <w:rFonts w:ascii="Arial" w:hAnsi="Arial" w:cs="Arial"/>
          <w:sz w:val="16"/>
          <w:szCs w:val="16"/>
          <w:lang w:val="sr-Cyrl-RS"/>
        </w:rPr>
        <w:t xml:space="preserve">ЈЛС </w:t>
      </w:r>
      <w:r w:rsidRPr="008D683B">
        <w:rPr>
          <w:rFonts w:ascii="Arial" w:hAnsi="Arial" w:cs="Arial"/>
          <w:sz w:val="16"/>
          <w:szCs w:val="16"/>
          <w:lang w:val="sr-Cyrl-RS"/>
        </w:rPr>
        <w:t>има</w:t>
      </w:r>
      <w:r>
        <w:rPr>
          <w:rFonts w:ascii="Arial" w:hAnsi="Arial" w:cs="Arial"/>
          <w:sz w:val="16"/>
          <w:szCs w:val="16"/>
          <w:lang w:val="sr-Cyrl-RS"/>
        </w:rPr>
        <w:t>ју</w:t>
      </w:r>
      <w:r w:rsidRPr="008D683B">
        <w:rPr>
          <w:rFonts w:ascii="Arial" w:hAnsi="Arial" w:cs="Arial"/>
          <w:sz w:val="16"/>
          <w:szCs w:val="16"/>
          <w:lang w:val="sr-Cyrl-RS"/>
        </w:rPr>
        <w:t xml:space="preserve"> савете који се не састају редовно, а 15 </w:t>
      </w:r>
      <w:r>
        <w:rPr>
          <w:rFonts w:ascii="Arial" w:hAnsi="Arial" w:cs="Arial"/>
          <w:sz w:val="16"/>
          <w:szCs w:val="16"/>
          <w:lang w:val="sr-Cyrl-RS"/>
        </w:rPr>
        <w:t xml:space="preserve">ЈЛС </w:t>
      </w:r>
      <w:r w:rsidRPr="008D683B">
        <w:rPr>
          <w:rFonts w:ascii="Arial" w:hAnsi="Arial" w:cs="Arial"/>
          <w:sz w:val="16"/>
          <w:szCs w:val="16"/>
          <w:lang w:val="sr-Cyrl-RS"/>
        </w:rPr>
        <w:t xml:space="preserve">има савет који се не састаје уопште, </w:t>
      </w:r>
      <w:r>
        <w:rPr>
          <w:rFonts w:ascii="Arial" w:hAnsi="Arial" w:cs="Arial"/>
          <w:sz w:val="16"/>
          <w:szCs w:val="16"/>
          <w:lang w:val="sr-Cyrl-RS"/>
        </w:rPr>
        <w:t xml:space="preserve">њих </w:t>
      </w:r>
      <w:r w:rsidRPr="008D683B">
        <w:rPr>
          <w:rFonts w:ascii="Arial" w:hAnsi="Arial" w:cs="Arial"/>
          <w:sz w:val="16"/>
          <w:szCs w:val="16"/>
          <w:lang w:val="sr-Cyrl-RS"/>
        </w:rPr>
        <w:t xml:space="preserve">10 нема формиран савет, али сарађује са привредом привремено, а 14 </w:t>
      </w:r>
      <w:r>
        <w:rPr>
          <w:rFonts w:ascii="Arial" w:hAnsi="Arial" w:cs="Arial"/>
          <w:sz w:val="16"/>
          <w:szCs w:val="16"/>
          <w:lang w:val="sr-Cyrl-RS"/>
        </w:rPr>
        <w:t xml:space="preserve">ЈЛС </w:t>
      </w:r>
      <w:r w:rsidRPr="008D683B">
        <w:rPr>
          <w:rFonts w:ascii="Arial" w:hAnsi="Arial" w:cs="Arial"/>
          <w:sz w:val="16"/>
          <w:szCs w:val="16"/>
          <w:lang w:val="sr-Cyrl-RS"/>
        </w:rPr>
        <w:t>нема савет и локално руководство се не састаје са привредницима.</w:t>
      </w:r>
    </w:p>
  </w:footnote>
  <w:footnote w:id="38">
    <w:p w14:paraId="1E0964DC" w14:textId="0066C84C" w:rsidR="007324B5" w:rsidRPr="008D683B" w:rsidRDefault="007324B5" w:rsidP="00DD29A7">
      <w:pPr>
        <w:pStyle w:val="FootnoteText"/>
        <w:jc w:val="both"/>
        <w:rPr>
          <w:rFonts w:ascii="Arial" w:hAnsi="Arial" w:cs="Arial"/>
          <w:bCs/>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bCs/>
          <w:sz w:val="16"/>
          <w:szCs w:val="16"/>
          <w:lang w:val="sr-Cyrl-RS"/>
        </w:rPr>
        <w:t xml:space="preserve"> Видети више у: СКГО (2019)</w:t>
      </w:r>
      <w:r>
        <w:rPr>
          <w:rFonts w:ascii="Arial" w:hAnsi="Arial" w:cs="Arial"/>
          <w:bCs/>
          <w:sz w:val="16"/>
          <w:szCs w:val="16"/>
          <w:lang w:val="sr-Cyrl-RS"/>
        </w:rPr>
        <w:t>,</w:t>
      </w:r>
      <w:r w:rsidRPr="008D683B">
        <w:rPr>
          <w:rFonts w:ascii="Arial" w:hAnsi="Arial" w:cs="Arial"/>
          <w:bCs/>
          <w:sz w:val="16"/>
          <w:szCs w:val="16"/>
          <w:lang w:val="sr-Cyrl-RS"/>
        </w:rPr>
        <w:t xml:space="preserve"> </w:t>
      </w:r>
      <w:r w:rsidRPr="00AA4CD6">
        <w:rPr>
          <w:rFonts w:ascii="Arial" w:hAnsi="Arial" w:cs="Arial"/>
          <w:bCs/>
          <w:i/>
          <w:iCs/>
          <w:sz w:val="16"/>
          <w:szCs w:val="16"/>
          <w:lang w:val="sr-Cyrl-RS"/>
        </w:rPr>
        <w:t>Квалитативна анализа ЛЕР</w:t>
      </w:r>
      <w:r w:rsidRPr="008D683B">
        <w:rPr>
          <w:rFonts w:ascii="Arial" w:hAnsi="Arial" w:cs="Arial"/>
          <w:bCs/>
          <w:sz w:val="16"/>
          <w:szCs w:val="16"/>
          <w:lang w:val="sr-Cyrl-RS"/>
        </w:rPr>
        <w:t>; СКГО (2018)</w:t>
      </w:r>
      <w:r>
        <w:rPr>
          <w:rFonts w:ascii="Arial" w:hAnsi="Arial" w:cs="Arial"/>
          <w:bCs/>
          <w:sz w:val="16"/>
          <w:szCs w:val="16"/>
          <w:lang w:val="sr-Cyrl-RS"/>
        </w:rPr>
        <w:t>,</w:t>
      </w:r>
      <w:r w:rsidRPr="008D683B">
        <w:rPr>
          <w:rFonts w:ascii="Arial" w:hAnsi="Arial" w:cs="Arial"/>
          <w:bCs/>
          <w:sz w:val="16"/>
          <w:szCs w:val="16"/>
          <w:lang w:val="sr-Cyrl-RS"/>
        </w:rPr>
        <w:t xml:space="preserve"> </w:t>
      </w:r>
      <w:r w:rsidRPr="00AA4CD6">
        <w:rPr>
          <w:rFonts w:ascii="Arial" w:hAnsi="Arial" w:cs="Arial"/>
          <w:bCs/>
          <w:i/>
          <w:iCs/>
          <w:sz w:val="16"/>
          <w:szCs w:val="16"/>
          <w:lang w:val="sr-Cyrl-RS"/>
        </w:rPr>
        <w:t>Анализа капацитета ЈЛС у области ЛЕР-а</w:t>
      </w:r>
      <w:r w:rsidRPr="008D683B">
        <w:rPr>
          <w:rFonts w:ascii="Arial" w:hAnsi="Arial" w:cs="Arial"/>
          <w:bCs/>
          <w:sz w:val="16"/>
          <w:szCs w:val="16"/>
          <w:lang w:val="sr-Cyrl-RS"/>
        </w:rPr>
        <w:t>; НАЛЕД (2018)</w:t>
      </w:r>
      <w:r>
        <w:rPr>
          <w:rFonts w:ascii="Arial" w:hAnsi="Arial" w:cs="Arial"/>
          <w:bCs/>
          <w:sz w:val="16"/>
          <w:szCs w:val="16"/>
          <w:lang w:val="sr-Cyrl-RS"/>
        </w:rPr>
        <w:t>,</w:t>
      </w:r>
      <w:r w:rsidRPr="008D683B">
        <w:rPr>
          <w:rFonts w:ascii="Arial" w:hAnsi="Arial" w:cs="Arial"/>
          <w:bCs/>
          <w:sz w:val="16"/>
          <w:szCs w:val="16"/>
          <w:lang w:val="sr-Cyrl-RS"/>
        </w:rPr>
        <w:t xml:space="preserve"> </w:t>
      </w:r>
      <w:r w:rsidRPr="00AA4CD6">
        <w:rPr>
          <w:rFonts w:ascii="Arial" w:hAnsi="Arial" w:cs="Arial"/>
          <w:bCs/>
          <w:i/>
          <w:iCs/>
          <w:sz w:val="16"/>
          <w:szCs w:val="16"/>
          <w:lang w:val="sr-Cyrl-RS"/>
        </w:rPr>
        <w:t>Истраживање капацитета за ЛЕР у Србији</w:t>
      </w:r>
      <w:r w:rsidRPr="008D683B">
        <w:rPr>
          <w:rFonts w:ascii="Arial" w:hAnsi="Arial" w:cs="Arial"/>
          <w:bCs/>
          <w:sz w:val="16"/>
          <w:szCs w:val="16"/>
          <w:lang w:val="sr-Cyrl-RS"/>
        </w:rPr>
        <w:t>; Центрир (2016)</w:t>
      </w:r>
      <w:r>
        <w:rPr>
          <w:rFonts w:ascii="Arial" w:hAnsi="Arial" w:cs="Arial"/>
          <w:bCs/>
          <w:sz w:val="16"/>
          <w:szCs w:val="16"/>
          <w:lang w:val="sr-Cyrl-RS"/>
        </w:rPr>
        <w:t>,</w:t>
      </w:r>
      <w:r w:rsidRPr="008D683B">
        <w:rPr>
          <w:rFonts w:ascii="Arial" w:hAnsi="Arial" w:cs="Arial"/>
          <w:bCs/>
          <w:sz w:val="16"/>
          <w:szCs w:val="16"/>
          <w:lang w:val="sr-Cyrl-RS"/>
        </w:rPr>
        <w:t xml:space="preserve"> </w:t>
      </w:r>
      <w:r w:rsidRPr="00AA4CD6">
        <w:rPr>
          <w:rFonts w:ascii="Arial" w:hAnsi="Arial" w:cs="Arial"/>
          <w:bCs/>
          <w:i/>
          <w:iCs/>
          <w:sz w:val="16"/>
          <w:szCs w:val="16"/>
          <w:lang w:val="sr-Cyrl-RS"/>
        </w:rPr>
        <w:t>Мапирање канцеларија за ЛЕР</w:t>
      </w:r>
      <w:r w:rsidRPr="008D683B">
        <w:rPr>
          <w:rFonts w:ascii="Arial" w:hAnsi="Arial" w:cs="Arial"/>
          <w:bCs/>
          <w:sz w:val="16"/>
          <w:szCs w:val="16"/>
          <w:lang w:val="sr-Cyrl-RS"/>
        </w:rPr>
        <w:t>; ИнТер (2012)</w:t>
      </w:r>
      <w:r>
        <w:rPr>
          <w:rFonts w:ascii="Arial" w:hAnsi="Arial" w:cs="Arial"/>
          <w:bCs/>
          <w:sz w:val="16"/>
          <w:szCs w:val="16"/>
          <w:lang w:val="sr-Cyrl-RS"/>
        </w:rPr>
        <w:t>,</w:t>
      </w:r>
      <w:r w:rsidRPr="008D683B">
        <w:rPr>
          <w:rFonts w:ascii="Arial" w:hAnsi="Arial" w:cs="Arial"/>
          <w:bCs/>
          <w:sz w:val="16"/>
          <w:szCs w:val="16"/>
          <w:lang w:val="sr-Cyrl-RS"/>
        </w:rPr>
        <w:t xml:space="preserve"> </w:t>
      </w:r>
      <w:r w:rsidRPr="00AA4CD6">
        <w:rPr>
          <w:rFonts w:ascii="Arial" w:hAnsi="Arial" w:cs="Arial"/>
          <w:bCs/>
          <w:i/>
          <w:iCs/>
          <w:sz w:val="16"/>
          <w:szCs w:val="16"/>
          <w:lang w:val="sr-Cyrl-RS"/>
        </w:rPr>
        <w:t>Резултати иницијатива за ЛЕР у Србији</w:t>
      </w:r>
      <w:r w:rsidRPr="008D683B">
        <w:rPr>
          <w:rFonts w:ascii="Arial" w:hAnsi="Arial" w:cs="Arial"/>
          <w:bCs/>
          <w:sz w:val="16"/>
          <w:szCs w:val="16"/>
          <w:lang w:val="sr-Cyrl-RS"/>
        </w:rPr>
        <w:t>.</w:t>
      </w:r>
    </w:p>
  </w:footnote>
  <w:footnote w:id="39">
    <w:p w14:paraId="696F187F" w14:textId="63F3F8D4"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Pr>
          <w:rFonts w:ascii="Arial" w:hAnsi="Arial" w:cs="Arial"/>
          <w:sz w:val="16"/>
          <w:szCs w:val="16"/>
          <w:lang w:val="sr-Cyrl-RS"/>
        </w:rPr>
        <w:t xml:space="preserve"> </w:t>
      </w:r>
      <w:r w:rsidRPr="008D683B">
        <w:rPr>
          <w:rFonts w:ascii="Arial" w:hAnsi="Arial" w:cs="Arial"/>
          <w:sz w:val="16"/>
          <w:szCs w:val="16"/>
          <w:lang w:val="sr-Cyrl-RS"/>
        </w:rPr>
        <w:t xml:space="preserve">Према доступним подацима, у 118 ЈЛС постоје инфраструктурно опремљене индустријске зоне, тј. индустријске локације. Према подацима из </w:t>
      </w:r>
      <w:r w:rsidRPr="00AA4CD6">
        <w:rPr>
          <w:rFonts w:ascii="Arial" w:hAnsi="Arial" w:cs="Arial"/>
          <w:i/>
          <w:iCs/>
          <w:sz w:val="16"/>
          <w:szCs w:val="16"/>
          <w:lang w:val="sr-Cyrl-RS"/>
        </w:rPr>
        <w:t>Студије о пословним инкубаторима у Србији</w:t>
      </w:r>
      <w:r w:rsidRPr="008D683B">
        <w:rPr>
          <w:rFonts w:ascii="Arial" w:hAnsi="Arial" w:cs="Arial"/>
          <w:sz w:val="16"/>
          <w:szCs w:val="16"/>
          <w:lang w:val="sr-Cyrl-RS"/>
        </w:rPr>
        <w:t xml:space="preserve"> из 2019.</w:t>
      </w:r>
      <w:r>
        <w:rPr>
          <w:rFonts w:ascii="Arial" w:hAnsi="Arial" w:cs="Arial"/>
          <w:sz w:val="16"/>
          <w:szCs w:val="16"/>
          <w:lang w:val="sr-Cyrl-RS"/>
        </w:rPr>
        <w:t xml:space="preserve"> године</w:t>
      </w:r>
      <w:r w:rsidRPr="008D683B">
        <w:rPr>
          <w:rFonts w:ascii="Arial" w:hAnsi="Arial" w:cs="Arial"/>
          <w:sz w:val="16"/>
          <w:szCs w:val="16"/>
          <w:lang w:val="sr-Cyrl-RS"/>
        </w:rPr>
        <w:t xml:space="preserve">, коју је припремио </w:t>
      </w:r>
      <w:r>
        <w:rPr>
          <w:rFonts w:ascii="Arial" w:hAnsi="Arial" w:cs="Arial"/>
          <w:sz w:val="16"/>
          <w:szCs w:val="16"/>
          <w:lang w:val="sr-Cyrl-RS"/>
        </w:rPr>
        <w:t xml:space="preserve">пројекат </w:t>
      </w:r>
      <w:r w:rsidRPr="008D683B">
        <w:rPr>
          <w:rFonts w:ascii="Arial" w:hAnsi="Arial" w:cs="Arial"/>
          <w:sz w:val="16"/>
          <w:szCs w:val="16"/>
          <w:lang w:val="sr-Cyrl-RS"/>
        </w:rPr>
        <w:t>ЕУБИД, у Србији је оперативно укупно 40 пословних инкубатора. Већина је основана на иницијативу ЈЛС уз подршку донаторских програма или националних фондова. У поменутој студији је закључено да од 2006. постоји тренд повећања броја пословних инкубатора и приватних иницијатива, па се тако од пет пословних инкубатора</w:t>
      </w:r>
      <w:r>
        <w:rPr>
          <w:rFonts w:ascii="Arial" w:hAnsi="Arial" w:cs="Arial"/>
          <w:sz w:val="16"/>
          <w:szCs w:val="16"/>
          <w:lang w:val="sr-Cyrl-RS"/>
        </w:rPr>
        <w:t>,</w:t>
      </w:r>
      <w:r w:rsidRPr="008D683B">
        <w:rPr>
          <w:rFonts w:ascii="Arial" w:hAnsi="Arial" w:cs="Arial"/>
          <w:sz w:val="16"/>
          <w:szCs w:val="16"/>
          <w:lang w:val="sr-Cyrl-RS"/>
        </w:rPr>
        <w:t xml:space="preserve"> колико их је било оперативно 2006</w:t>
      </w:r>
      <w:r>
        <w:rPr>
          <w:rFonts w:ascii="Arial" w:hAnsi="Arial" w:cs="Arial"/>
          <w:sz w:val="16"/>
          <w:szCs w:val="16"/>
          <w:lang w:val="sr-Cyrl-RS"/>
        </w:rPr>
        <w:t>,</w:t>
      </w:r>
      <w:r w:rsidRPr="008D683B">
        <w:rPr>
          <w:rFonts w:ascii="Arial" w:hAnsi="Arial" w:cs="Arial"/>
          <w:sz w:val="16"/>
          <w:szCs w:val="16"/>
          <w:lang w:val="sr-Cyrl-RS"/>
        </w:rPr>
        <w:t xml:space="preserve"> дошло до 40 у 2019. години. Један број ЈЛС већ годинама улаже значајне напоре на реформисању рада и стварању повољног пословног окружења које треба да помогне и подстакне развој привреде, реформисању административних поступак</w:t>
      </w:r>
      <w:r>
        <w:rPr>
          <w:rFonts w:ascii="Arial" w:hAnsi="Arial" w:cs="Arial"/>
          <w:sz w:val="16"/>
          <w:szCs w:val="16"/>
          <w:lang w:val="sr-Cyrl-RS"/>
        </w:rPr>
        <w:t>а</w:t>
      </w:r>
      <w:r w:rsidRPr="008D683B">
        <w:rPr>
          <w:rFonts w:ascii="Arial" w:hAnsi="Arial" w:cs="Arial"/>
          <w:sz w:val="16"/>
          <w:szCs w:val="16"/>
          <w:lang w:val="sr-Cyrl-RS"/>
        </w:rPr>
        <w:t xml:space="preserve"> и рада своје администрације, како би локалне услуге учиниле ефикаснијим за локалну привреду. У вези са тим</w:t>
      </w:r>
      <w:r>
        <w:rPr>
          <w:rFonts w:ascii="Arial" w:hAnsi="Arial" w:cs="Arial"/>
          <w:sz w:val="16"/>
          <w:szCs w:val="16"/>
          <w:lang w:val="sr-Cyrl-RS"/>
        </w:rPr>
        <w:t>,</w:t>
      </w:r>
      <w:r w:rsidRPr="008D683B">
        <w:rPr>
          <w:rFonts w:ascii="Arial" w:hAnsi="Arial" w:cs="Arial"/>
          <w:sz w:val="16"/>
          <w:szCs w:val="16"/>
          <w:lang w:val="sr-Cyrl-RS"/>
        </w:rPr>
        <w:t xml:space="preserve"> веома су битне и реформе јавне управе које воде виши нивои власти (нпр. реформа издавања грађевинских дозвола, реформа инспекција или дигитализација рада локалне пореске управе), као и реформски процеси засновани на локалним иницијативама и сарадњи локалног и националног нивоа (нпр. реформа административних поступака према пословном сектору у складу </w:t>
      </w:r>
      <w:r>
        <w:rPr>
          <w:rFonts w:ascii="Arial" w:hAnsi="Arial" w:cs="Arial"/>
          <w:sz w:val="16"/>
          <w:szCs w:val="16"/>
          <w:lang w:val="sr-Cyrl-RS"/>
        </w:rPr>
        <w:t xml:space="preserve">са </w:t>
      </w:r>
      <w:r w:rsidRPr="008D683B">
        <w:rPr>
          <w:rFonts w:ascii="Arial" w:hAnsi="Arial" w:cs="Arial"/>
          <w:sz w:val="16"/>
          <w:szCs w:val="16"/>
          <w:lang w:val="sr-Cyrl-RS"/>
        </w:rPr>
        <w:t>моделима који су израђени у сарадњи СКГО, МДУЛС и других ресорних националних институција). На важност тога указује и чињеница да је мерење повољности локалног окружења, најпре развијено у Србији, данас као идеја и методологија присутно у целом региону кроз програм сертификације општина са повољним пословним окружењем (БФЦ СЕЕ)</w:t>
      </w:r>
      <w:r>
        <w:rPr>
          <w:rFonts w:ascii="Arial" w:hAnsi="Arial" w:cs="Arial"/>
          <w:sz w:val="16"/>
          <w:szCs w:val="16"/>
          <w:lang w:val="sr-Cyrl-RS"/>
        </w:rPr>
        <w:t>,</w:t>
      </w:r>
      <w:r w:rsidRPr="008D683B">
        <w:rPr>
          <w:rFonts w:ascii="Arial" w:hAnsi="Arial" w:cs="Arial"/>
          <w:sz w:val="16"/>
          <w:szCs w:val="16"/>
          <w:lang w:val="sr-Cyrl-RS"/>
        </w:rPr>
        <w:t xml:space="preserve"> који као регионални програм у југоисточној Европи, на бази својих ранијих искустава из Србије</w:t>
      </w:r>
      <w:r>
        <w:rPr>
          <w:rFonts w:ascii="Arial" w:hAnsi="Arial" w:cs="Arial"/>
          <w:sz w:val="16"/>
          <w:szCs w:val="16"/>
          <w:lang w:val="sr-Cyrl-RS"/>
        </w:rPr>
        <w:t>,</w:t>
      </w:r>
      <w:r w:rsidRPr="008D683B">
        <w:rPr>
          <w:rFonts w:ascii="Arial" w:hAnsi="Arial" w:cs="Arial"/>
          <w:sz w:val="16"/>
          <w:szCs w:val="16"/>
          <w:lang w:val="sr-Cyrl-RS"/>
        </w:rPr>
        <w:t xml:space="preserve"> води НАЛЕД. У складу са овим програмом</w:t>
      </w:r>
      <w:r>
        <w:rPr>
          <w:rFonts w:ascii="Arial" w:hAnsi="Arial" w:cs="Arial"/>
          <w:sz w:val="16"/>
          <w:szCs w:val="16"/>
          <w:lang w:val="sr-Cyrl-RS"/>
        </w:rPr>
        <w:t>,</w:t>
      </w:r>
      <w:r w:rsidRPr="008D683B">
        <w:rPr>
          <w:rFonts w:ascii="Arial" w:hAnsi="Arial" w:cs="Arial"/>
          <w:sz w:val="16"/>
          <w:szCs w:val="16"/>
          <w:lang w:val="sr-Cyrl-RS"/>
        </w:rPr>
        <w:t xml:space="preserve"> тренутно 10 ЈЛС у Србији има овај сертификат, а шест је у процесу </w:t>
      </w:r>
      <w:r>
        <w:rPr>
          <w:rFonts w:ascii="Arial" w:hAnsi="Arial" w:cs="Arial"/>
          <w:sz w:val="16"/>
          <w:szCs w:val="16"/>
          <w:lang w:val="sr-Cyrl-RS"/>
        </w:rPr>
        <w:t>ц</w:t>
      </w:r>
      <w:r w:rsidRPr="008D683B">
        <w:rPr>
          <w:rFonts w:ascii="Arial" w:hAnsi="Arial" w:cs="Arial"/>
          <w:sz w:val="16"/>
          <w:szCs w:val="16"/>
          <w:lang w:val="sr-Cyrl-RS"/>
        </w:rPr>
        <w:t>ертификовања. Видети више</w:t>
      </w:r>
      <w:r>
        <w:rPr>
          <w:rFonts w:ascii="Arial" w:hAnsi="Arial" w:cs="Arial"/>
          <w:sz w:val="16"/>
          <w:szCs w:val="16"/>
          <w:lang w:val="sr-Cyrl-RS"/>
        </w:rPr>
        <w:t xml:space="preserve"> на:</w:t>
      </w:r>
      <w:r w:rsidRPr="008D683B">
        <w:rPr>
          <w:rFonts w:ascii="Arial" w:hAnsi="Arial" w:cs="Arial"/>
          <w:sz w:val="16"/>
          <w:szCs w:val="16"/>
          <w:lang w:val="sr-Cyrl-RS"/>
        </w:rPr>
        <w:t xml:space="preserve"> </w:t>
      </w:r>
      <w:hyperlink r:id="rId8" w:history="1">
        <w:r w:rsidRPr="008D683B">
          <w:rPr>
            <w:rFonts w:ascii="Arial" w:hAnsi="Arial" w:cs="Arial"/>
            <w:sz w:val="16"/>
            <w:szCs w:val="16"/>
            <w:u w:val="single"/>
            <w:lang w:val="sr-Cyrl-RS"/>
          </w:rPr>
          <w:t>http://bfc-see.org/</w:t>
        </w:r>
      </w:hyperlink>
      <w:r w:rsidRPr="008D683B">
        <w:rPr>
          <w:rFonts w:ascii="Arial" w:hAnsi="Arial" w:cs="Arial"/>
          <w:sz w:val="16"/>
          <w:szCs w:val="16"/>
          <w:u w:val="single"/>
          <w:lang w:val="sr-Cyrl-RS"/>
        </w:rPr>
        <w:t>.</w:t>
      </w:r>
    </w:p>
  </w:footnote>
  <w:footnote w:id="40">
    <w:p w14:paraId="660BB266" w14:textId="2B5F09B5"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Члан 91. Устава РС говори о томе да се средства из којих се финансирају надлежности ЈЛС обезбеђују из пореза и других прихода утврђених законом. Члан 92. Устава РС институционализује буџет који приказује приходе и расходе којима се финансирају надлежности ЈЛС. Законом се утврђују рокови у којима буџет мора бити усвојен, као и начин евентуалног привременог финансирања. Члан 188. Устава РС прописује да се послови локалне самоуправе финансирају из изворних прихода ЈЛС, буџета РС, у складу са законом, и буџета аутономне покрајине, када је АП поверила ЈЛС обављање послова из своје надлежности. Према члану 191</w:t>
      </w:r>
      <w:r>
        <w:rPr>
          <w:rFonts w:ascii="Arial" w:hAnsi="Arial" w:cs="Arial"/>
          <w:sz w:val="16"/>
          <w:szCs w:val="16"/>
          <w:lang w:val="sr-Cyrl-RS"/>
        </w:rPr>
        <w:t>,</w:t>
      </w:r>
      <w:r w:rsidRPr="008D683B">
        <w:rPr>
          <w:rFonts w:ascii="Arial" w:hAnsi="Arial" w:cs="Arial"/>
          <w:sz w:val="16"/>
          <w:szCs w:val="16"/>
          <w:lang w:val="sr-Cyrl-RS"/>
        </w:rPr>
        <w:t xml:space="preserve"> највиши правни акт општине је статут и доноси га скупштина. Скупштина општине доноси опште акте из своје надлежности, усваја буџет и завршни рачун општине и врши друге послове одређене законом и статутом. У члану 191. Устава прописано је да се приходи ЈЛС уређују законом.</w:t>
      </w:r>
    </w:p>
  </w:footnote>
  <w:footnote w:id="41">
    <w:p w14:paraId="37D2DC18" w14:textId="77777777" w:rsidR="007324B5" w:rsidRPr="008D683B" w:rsidRDefault="007324B5" w:rsidP="00DD29A7">
      <w:pPr>
        <w:pStyle w:val="FootnoteText"/>
        <w:jc w:val="both"/>
        <w:rPr>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bCs/>
          <w:sz w:val="16"/>
          <w:szCs w:val="16"/>
          <w:lang w:val="sr-Cyrl-RS"/>
        </w:rPr>
        <w:t>Члан 9. тачка 4. ЕПЛС</w:t>
      </w:r>
    </w:p>
  </w:footnote>
  <w:footnote w:id="42">
    <w:p w14:paraId="2F524CF3"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Накнада за заштиту и унапређење животне средине, накнада за коришћење јавне површине и накнада за коришћење природног лековитог фактора.</w:t>
      </w:r>
    </w:p>
  </w:footnote>
  <w:footnote w:id="43">
    <w:p w14:paraId="035EE404"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Накнада за промену намене пољопривредног земљишта, накнада за загађивање животне средине, накнада за коришћење ресурса и резерви минералних сировина и накнада за коришћење дрвета.</w:t>
      </w:r>
    </w:p>
  </w:footnote>
  <w:footnote w:id="44">
    <w:p w14:paraId="6A5E29D8" w14:textId="553231B5"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Обрачун на основу податка из </w:t>
      </w:r>
      <w:r w:rsidRPr="00932A63">
        <w:rPr>
          <w:rFonts w:ascii="Arial" w:hAnsi="Arial" w:cs="Arial"/>
          <w:i/>
          <w:iCs/>
          <w:sz w:val="16"/>
          <w:szCs w:val="16"/>
          <w:lang w:val="sr-Cyrl-RS"/>
        </w:rPr>
        <w:t>Билтена јавних финансија</w:t>
      </w:r>
      <w:r>
        <w:rPr>
          <w:rFonts w:ascii="Arial" w:hAnsi="Arial" w:cs="Arial"/>
          <w:sz w:val="16"/>
          <w:szCs w:val="16"/>
          <w:lang w:val="sr-Cyrl-RS"/>
        </w:rPr>
        <w:t>,</w:t>
      </w:r>
      <w:r w:rsidRPr="008D683B">
        <w:rPr>
          <w:rFonts w:ascii="Arial" w:hAnsi="Arial" w:cs="Arial"/>
          <w:sz w:val="16"/>
          <w:szCs w:val="16"/>
          <w:lang w:val="sr-Cyrl-RS"/>
        </w:rPr>
        <w:t xml:space="preserve"> број 184.</w:t>
      </w:r>
    </w:p>
  </w:footnote>
  <w:footnote w:id="45">
    <w:p w14:paraId="39782CBE" w14:textId="558902E6" w:rsidR="007324B5" w:rsidRPr="00FF2F95"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Члан 60. ЗОФЛС: </w:t>
      </w:r>
      <w:r w:rsidRPr="00932A63">
        <w:rPr>
          <w:rFonts w:ascii="Arial" w:hAnsi="Arial" w:cs="Arial"/>
          <w:iCs/>
          <w:sz w:val="16"/>
          <w:szCs w:val="16"/>
          <w:lang w:val="sr-Cyrl-RS"/>
        </w:rPr>
        <w:t>„Јединица локалне самоуправе у целости утврђује, наплаћује и контролише јавне приходе из члана 6. овог закона почев од 1. јануара 2007. године</w:t>
      </w:r>
      <w:r>
        <w:rPr>
          <w:rFonts w:ascii="Arial" w:hAnsi="Arial" w:cs="Arial"/>
          <w:iCs/>
          <w:sz w:val="16"/>
          <w:szCs w:val="16"/>
          <w:lang w:val="sr-Cyrl-RS"/>
        </w:rPr>
        <w:t>.</w:t>
      </w:r>
      <w:r>
        <w:rPr>
          <w:rFonts w:ascii="Arial" w:hAnsi="Arial" w:cs="Arial"/>
          <w:iCs/>
          <w:sz w:val="16"/>
          <w:szCs w:val="16"/>
        </w:rPr>
        <w:t>”</w:t>
      </w:r>
    </w:p>
  </w:footnote>
  <w:footnote w:id="46">
    <w:p w14:paraId="525956BB"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Аналитички конто 713120.</w:t>
      </w:r>
    </w:p>
  </w:footnote>
  <w:footnote w:id="47">
    <w:p w14:paraId="48611861" w14:textId="50365E2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Други значајни изворни приходи су</w:t>
      </w:r>
      <w:r>
        <w:rPr>
          <w:rFonts w:ascii="Arial" w:hAnsi="Arial" w:cs="Arial"/>
          <w:sz w:val="16"/>
          <w:szCs w:val="16"/>
          <w:lang w:val="sr-Cyrl-RS"/>
        </w:rPr>
        <w:t>,</w:t>
      </w:r>
      <w:r w:rsidRPr="008D683B">
        <w:rPr>
          <w:rFonts w:ascii="Arial" w:hAnsi="Arial" w:cs="Arial"/>
          <w:sz w:val="16"/>
          <w:szCs w:val="16"/>
          <w:lang w:val="sr-Cyrl-RS"/>
        </w:rPr>
        <w:t xml:space="preserve"> посматрани збирно</w:t>
      </w:r>
      <w:r>
        <w:rPr>
          <w:rFonts w:ascii="Arial" w:hAnsi="Arial" w:cs="Arial"/>
          <w:sz w:val="16"/>
          <w:szCs w:val="16"/>
          <w:lang w:val="sr-Cyrl-RS"/>
        </w:rPr>
        <w:t>,</w:t>
      </w:r>
      <w:r w:rsidRPr="008D683B">
        <w:rPr>
          <w:rFonts w:ascii="Arial" w:hAnsi="Arial" w:cs="Arial"/>
          <w:sz w:val="16"/>
          <w:szCs w:val="16"/>
          <w:lang w:val="sr-Cyrl-RS"/>
        </w:rPr>
        <w:t xml:space="preserve"> допринос и накнада за уређивање грађевинског земљишта (процена је са око 15% учешћа у изворним приходима)</w:t>
      </w:r>
      <w:r>
        <w:rPr>
          <w:rFonts w:ascii="Arial" w:hAnsi="Arial" w:cs="Arial"/>
          <w:sz w:val="16"/>
          <w:szCs w:val="16"/>
          <w:lang w:val="sr-Cyrl-RS"/>
        </w:rPr>
        <w:t>,</w:t>
      </w:r>
      <w:r w:rsidRPr="008D683B">
        <w:rPr>
          <w:rFonts w:ascii="Arial" w:hAnsi="Arial" w:cs="Arial"/>
          <w:sz w:val="16"/>
          <w:szCs w:val="16"/>
          <w:lang w:val="sr-Cyrl-RS"/>
        </w:rPr>
        <w:t xml:space="preserve"> а трећи су мешовити и неодређени приходи (процена је са учешћем између 13%</w:t>
      </w:r>
      <w:r>
        <w:rPr>
          <w:rFonts w:ascii="Arial" w:hAnsi="Arial" w:cs="Arial"/>
          <w:sz w:val="16"/>
          <w:szCs w:val="16"/>
          <w:lang w:val="sr-Cyrl-RS"/>
        </w:rPr>
        <w:t xml:space="preserve"> и </w:t>
      </w:r>
      <w:r w:rsidRPr="008D683B">
        <w:rPr>
          <w:rFonts w:ascii="Arial" w:hAnsi="Arial" w:cs="Arial"/>
          <w:sz w:val="16"/>
          <w:szCs w:val="16"/>
          <w:lang w:val="sr-Cyrl-RS"/>
        </w:rPr>
        <w:t>15% у изворним приходима).</w:t>
      </w:r>
    </w:p>
  </w:footnote>
  <w:footnote w:id="48">
    <w:p w14:paraId="4FF10FEA"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Група 713000.</w:t>
      </w:r>
    </w:p>
  </w:footnote>
  <w:footnote w:id="49">
    <w:p w14:paraId="6DFC5334"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Аналитички конто 711190.</w:t>
      </w:r>
    </w:p>
  </w:footnote>
  <w:footnote w:id="50">
    <w:p w14:paraId="0410F1DF"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Аналитички конто 711120.</w:t>
      </w:r>
    </w:p>
  </w:footnote>
  <w:footnote w:id="51">
    <w:p w14:paraId="191BB4C8" w14:textId="77777777" w:rsidR="007324B5" w:rsidRPr="008D683B" w:rsidRDefault="007324B5" w:rsidP="00DD29A7">
      <w:pPr>
        <w:pStyle w:val="FootnoteText"/>
        <w:jc w:val="both"/>
        <w:rPr>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Збирно обухваћени синтетички конто 713300 и 713400.</w:t>
      </w:r>
    </w:p>
  </w:footnote>
  <w:footnote w:id="52">
    <w:p w14:paraId="56F31C0B" w14:textId="5AFBE2B2"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складу са чланом 38</w:t>
      </w:r>
      <w:r>
        <w:rPr>
          <w:rFonts w:ascii="Arial" w:hAnsi="Arial" w:cs="Arial"/>
          <w:sz w:val="16"/>
          <w:szCs w:val="16"/>
          <w:lang w:val="sr-Cyrl-RS"/>
        </w:rPr>
        <w:t>.</w:t>
      </w:r>
      <w:r w:rsidRPr="008D683B">
        <w:rPr>
          <w:rFonts w:ascii="Arial" w:hAnsi="Arial" w:cs="Arial"/>
          <w:sz w:val="16"/>
          <w:szCs w:val="16"/>
          <w:lang w:val="sr-Cyrl-RS"/>
        </w:rPr>
        <w:t xml:space="preserve"> Закона о буџету РС за 2019. годину.</w:t>
      </w:r>
    </w:p>
  </w:footnote>
  <w:footnote w:id="53">
    <w:p w14:paraId="4787C576" w14:textId="50C6E63E"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Део текућих трансфера чине и други трансфери од Републике и Аутономне </w:t>
      </w:r>
      <w:r>
        <w:rPr>
          <w:rFonts w:ascii="Arial" w:hAnsi="Arial" w:cs="Arial"/>
          <w:sz w:val="16"/>
          <w:szCs w:val="16"/>
          <w:lang w:val="sr-Cyrl-RS"/>
        </w:rPr>
        <w:t>П</w:t>
      </w:r>
      <w:r w:rsidRPr="008D683B">
        <w:rPr>
          <w:rFonts w:ascii="Arial" w:hAnsi="Arial" w:cs="Arial"/>
          <w:sz w:val="16"/>
          <w:szCs w:val="16"/>
          <w:lang w:val="sr-Cyrl-RS"/>
        </w:rPr>
        <w:t>окрајине (субаналитичка конта 733142, 733144, 733146, 733148, 733152, 733154, 733156 и 733158)</w:t>
      </w:r>
      <w:r>
        <w:rPr>
          <w:rFonts w:ascii="Arial" w:hAnsi="Arial" w:cs="Arial"/>
          <w:sz w:val="16"/>
          <w:szCs w:val="16"/>
          <w:lang w:val="sr-Cyrl-RS"/>
        </w:rPr>
        <w:t>.</w:t>
      </w:r>
    </w:p>
  </w:footnote>
  <w:footnote w:id="54">
    <w:p w14:paraId="3EAF162F"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Субаналитичка конта 733241, 733242, 733251 и 733252.</w:t>
      </w:r>
    </w:p>
  </w:footnote>
  <w:footnote w:id="55">
    <w:p w14:paraId="5DF2EC81" w14:textId="797BBDD3"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 основу података из </w:t>
      </w:r>
      <w:r w:rsidRPr="00932A63">
        <w:rPr>
          <w:rFonts w:ascii="Arial" w:hAnsi="Arial" w:cs="Arial"/>
          <w:i/>
          <w:iCs/>
          <w:sz w:val="16"/>
          <w:szCs w:val="16"/>
          <w:lang w:val="sr-Cyrl-RS"/>
        </w:rPr>
        <w:t>Билтена јавних финансија</w:t>
      </w:r>
      <w:r>
        <w:rPr>
          <w:rFonts w:ascii="Arial" w:hAnsi="Arial" w:cs="Arial"/>
          <w:sz w:val="16"/>
          <w:szCs w:val="16"/>
          <w:lang w:val="sr-Cyrl-RS"/>
        </w:rPr>
        <w:t>,</w:t>
      </w:r>
      <w:r w:rsidRPr="008D683B">
        <w:rPr>
          <w:rFonts w:ascii="Arial" w:hAnsi="Arial" w:cs="Arial"/>
          <w:sz w:val="16"/>
          <w:szCs w:val="16"/>
          <w:lang w:val="sr-Cyrl-RS"/>
        </w:rPr>
        <w:t xml:space="preserve"> бр</w:t>
      </w:r>
      <w:r>
        <w:rPr>
          <w:rFonts w:ascii="Arial" w:hAnsi="Arial" w:cs="Arial"/>
          <w:sz w:val="16"/>
          <w:szCs w:val="16"/>
          <w:lang w:val="sr-Cyrl-RS"/>
        </w:rPr>
        <w:t>ој</w:t>
      </w:r>
      <w:r w:rsidRPr="008D683B">
        <w:rPr>
          <w:rFonts w:ascii="Arial" w:hAnsi="Arial" w:cs="Arial"/>
          <w:sz w:val="16"/>
          <w:szCs w:val="16"/>
          <w:lang w:val="sr-Cyrl-RS"/>
        </w:rPr>
        <w:t xml:space="preserve"> 184.</w:t>
      </w:r>
    </w:p>
  </w:footnote>
  <w:footnote w:id="56">
    <w:p w14:paraId="4B67EC20" w14:textId="30362E50"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складу са чланом 36. став 3. ЗЈД, износ неизмиреног дугорочног задужења за капиталне инвестиционе расходе може бити већи од 50% остварених текућих прихода буџета локалне власти у претходној години у случајевима када се ради о дугорочном задуживању (рок отплате најмање пет година, не рачунајући период мировања). Исти члан ЗЈД у ставу 5</w:t>
      </w:r>
      <w:r>
        <w:rPr>
          <w:rFonts w:ascii="Arial" w:hAnsi="Arial" w:cs="Arial"/>
          <w:sz w:val="16"/>
          <w:szCs w:val="16"/>
          <w:lang w:val="sr-Cyrl-RS"/>
        </w:rPr>
        <w:t>.</w:t>
      </w:r>
      <w:r w:rsidRPr="008D683B">
        <w:rPr>
          <w:rFonts w:ascii="Arial" w:hAnsi="Arial" w:cs="Arial"/>
          <w:sz w:val="16"/>
          <w:szCs w:val="16"/>
          <w:lang w:val="sr-Cyrl-RS"/>
        </w:rPr>
        <w:t xml:space="preserve"> прописује да износ главнице и камате који доспева у свакој години на сва неизмирена дугорочна задуживања може да буде већи од 15% у случају да две трећине текућег суфицита у односу на остварене текуће приходе чини удео већи од 15%.</w:t>
      </w:r>
    </w:p>
  </w:footnote>
  <w:footnote w:id="57">
    <w:p w14:paraId="6CDA6A9A" w14:textId="299B78F9"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Обрачун на основу података из </w:t>
      </w:r>
      <w:r w:rsidRPr="00932A63">
        <w:rPr>
          <w:rFonts w:ascii="Arial" w:hAnsi="Arial" w:cs="Arial"/>
          <w:i/>
          <w:iCs/>
          <w:sz w:val="16"/>
          <w:szCs w:val="16"/>
          <w:lang w:val="sr-Cyrl-RS"/>
        </w:rPr>
        <w:t>Билтена јавних финансија</w:t>
      </w:r>
      <w:r>
        <w:rPr>
          <w:rFonts w:ascii="Arial" w:hAnsi="Arial" w:cs="Arial"/>
          <w:sz w:val="16"/>
          <w:szCs w:val="16"/>
          <w:lang w:val="sr-Cyrl-RS"/>
        </w:rPr>
        <w:t>,</w:t>
      </w:r>
      <w:r w:rsidRPr="008D683B">
        <w:rPr>
          <w:rFonts w:ascii="Arial" w:hAnsi="Arial" w:cs="Arial"/>
          <w:sz w:val="16"/>
          <w:szCs w:val="16"/>
          <w:lang w:val="sr-Cyrl-RS"/>
        </w:rPr>
        <w:t xml:space="preserve"> бр</w:t>
      </w:r>
      <w:r>
        <w:rPr>
          <w:rFonts w:ascii="Arial" w:hAnsi="Arial" w:cs="Arial"/>
          <w:sz w:val="16"/>
          <w:szCs w:val="16"/>
          <w:lang w:val="sr-Cyrl-RS"/>
        </w:rPr>
        <w:t>ој</w:t>
      </w:r>
      <w:r w:rsidRPr="008D683B">
        <w:rPr>
          <w:rFonts w:ascii="Arial" w:hAnsi="Arial" w:cs="Arial"/>
          <w:sz w:val="16"/>
          <w:szCs w:val="16"/>
          <w:lang w:val="sr-Cyrl-RS"/>
        </w:rPr>
        <w:t>184.</w:t>
      </w:r>
    </w:p>
  </w:footnote>
  <w:footnote w:id="58">
    <w:p w14:paraId="12389421"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милијардама РСД.</w:t>
      </w:r>
    </w:p>
  </w:footnote>
  <w:footnote w:id="59">
    <w:p w14:paraId="1F9764F8" w14:textId="0467580C"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Обрачун на основу податка из </w:t>
      </w:r>
      <w:r w:rsidRPr="00932A63">
        <w:rPr>
          <w:rFonts w:ascii="Arial" w:hAnsi="Arial" w:cs="Arial"/>
          <w:i/>
          <w:iCs/>
          <w:sz w:val="16"/>
          <w:szCs w:val="16"/>
          <w:lang w:val="sr-Cyrl-RS"/>
        </w:rPr>
        <w:t>Билтена јавних финансија</w:t>
      </w:r>
      <w:r>
        <w:rPr>
          <w:rFonts w:ascii="Arial" w:hAnsi="Arial" w:cs="Arial"/>
          <w:sz w:val="16"/>
          <w:szCs w:val="16"/>
          <w:lang w:val="sr-Cyrl-RS"/>
        </w:rPr>
        <w:t>,</w:t>
      </w:r>
      <w:r w:rsidRPr="008D683B">
        <w:rPr>
          <w:rFonts w:ascii="Arial" w:hAnsi="Arial" w:cs="Arial"/>
          <w:sz w:val="16"/>
          <w:szCs w:val="16"/>
          <w:lang w:val="sr-Cyrl-RS"/>
        </w:rPr>
        <w:t xml:space="preserve"> број 184.</w:t>
      </w:r>
    </w:p>
  </w:footnote>
  <w:footnote w:id="60">
    <w:p w14:paraId="0E0953AA" w14:textId="4C7CADF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Капитални издаци су издаци извршени и евидентирани на класи 5, и не обухватају капиталне трансфере (конто 4632) нити расходе за образовање.</w:t>
      </w:r>
    </w:p>
  </w:footnote>
  <w:footnote w:id="61">
    <w:p w14:paraId="16DB64DF" w14:textId="35651E2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Укупни капитални расходи, према </w:t>
      </w:r>
      <w:r w:rsidRPr="00932A63">
        <w:rPr>
          <w:rFonts w:ascii="Arial" w:hAnsi="Arial" w:cs="Arial"/>
          <w:i/>
          <w:iCs/>
          <w:sz w:val="16"/>
          <w:szCs w:val="16"/>
          <w:lang w:val="sr-Cyrl-RS"/>
        </w:rPr>
        <w:t>Билтену јавних финансија</w:t>
      </w:r>
      <w:r w:rsidRPr="008D683B">
        <w:rPr>
          <w:rFonts w:ascii="Arial" w:hAnsi="Arial" w:cs="Arial"/>
          <w:sz w:val="16"/>
          <w:szCs w:val="16"/>
          <w:lang w:val="sr-Cyrl-RS"/>
        </w:rPr>
        <w:t xml:space="preserve">, исказани су као збир капиталних расхода централног (Буџет Републике, ПИО ФОНД, РФЗО, Национална служба за запошљавање, ФОНД СОВО, ЈП </w:t>
      </w:r>
      <w:r>
        <w:rPr>
          <w:rFonts w:ascii="Arial" w:hAnsi="Arial" w:cs="Arial"/>
          <w:sz w:val="16"/>
          <w:szCs w:val="16"/>
          <w:lang w:val="sr-Cyrl-RS"/>
        </w:rPr>
        <w:t>„</w:t>
      </w:r>
      <w:r w:rsidRPr="008D683B">
        <w:rPr>
          <w:rFonts w:ascii="Arial" w:hAnsi="Arial" w:cs="Arial"/>
          <w:sz w:val="16"/>
          <w:szCs w:val="16"/>
          <w:lang w:val="sr-Cyrl-RS"/>
        </w:rPr>
        <w:t xml:space="preserve">Путеви Србије” и ЈП </w:t>
      </w:r>
      <w:r>
        <w:rPr>
          <w:rFonts w:ascii="Arial" w:hAnsi="Arial" w:cs="Arial"/>
          <w:sz w:val="16"/>
          <w:szCs w:val="16"/>
          <w:lang w:val="sr-Cyrl-RS"/>
        </w:rPr>
        <w:t>„</w:t>
      </w:r>
      <w:r w:rsidRPr="008D683B">
        <w:rPr>
          <w:rFonts w:ascii="Arial" w:hAnsi="Arial" w:cs="Arial"/>
          <w:sz w:val="16"/>
          <w:szCs w:val="16"/>
          <w:lang w:val="sr-Cyrl-RS"/>
        </w:rPr>
        <w:t>Коридори Србије”) и локалног нивоа власти (ЈЛС и АП).</w:t>
      </w:r>
    </w:p>
  </w:footnote>
  <w:footnote w:id="62">
    <w:p w14:paraId="79B976C1" w14:textId="03438024" w:rsidR="007324B5" w:rsidRPr="00D5565F"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932A63">
        <w:rPr>
          <w:rFonts w:ascii="Arial" w:hAnsi="Arial" w:cs="Arial"/>
          <w:i/>
          <w:iCs/>
          <w:sz w:val="16"/>
          <w:szCs w:val="16"/>
        </w:rPr>
        <w:t>World Observatory on Subnational Government – Finance and Investment, Country Profiles, 2019 Report</w:t>
      </w:r>
      <w:r>
        <w:rPr>
          <w:rFonts w:ascii="Arial" w:hAnsi="Arial" w:cs="Arial"/>
          <w:sz w:val="16"/>
          <w:szCs w:val="16"/>
          <w:lang w:val="sr-Cyrl-RS"/>
        </w:rPr>
        <w:t>,</w:t>
      </w:r>
      <w:r w:rsidRPr="00D5565F">
        <w:rPr>
          <w:rFonts w:ascii="Arial" w:hAnsi="Arial" w:cs="Arial"/>
          <w:sz w:val="16"/>
          <w:szCs w:val="16"/>
        </w:rPr>
        <w:t xml:space="preserve"> </w:t>
      </w:r>
      <w:hyperlink r:id="rId9" w:history="1">
        <w:r w:rsidRPr="0014408A">
          <w:rPr>
            <w:rStyle w:val="Hyperlink"/>
            <w:rFonts w:ascii="Arial" w:hAnsi="Arial" w:cs="Arial"/>
            <w:sz w:val="16"/>
            <w:szCs w:val="16"/>
          </w:rPr>
          <w:t>http://www.sng-wofi.org/reports/SNGWOFI_2019_report_country_profiles_DEC2019_UPDATES.pdf</w:t>
        </w:r>
      </w:hyperlink>
      <w:r>
        <w:rPr>
          <w:rFonts w:ascii="Arial" w:hAnsi="Arial" w:cs="Arial"/>
          <w:sz w:val="16"/>
          <w:szCs w:val="16"/>
          <w:lang w:val="sr-Cyrl-RS"/>
        </w:rPr>
        <w:t>.</w:t>
      </w:r>
    </w:p>
  </w:footnote>
  <w:footnote w:id="63">
    <w:p w14:paraId="5B0DCFB6" w14:textId="4F9785BF" w:rsidR="007324B5" w:rsidRPr="008D683B" w:rsidRDefault="007324B5" w:rsidP="00DD29A7">
      <w:pPr>
        <w:pStyle w:val="FootnoteText"/>
        <w:jc w:val="both"/>
        <w:rPr>
          <w:rFonts w:ascii="Arial" w:eastAsia="Arial" w:hAnsi="Arial" w:cs="Arial"/>
          <w:sz w:val="16"/>
          <w:szCs w:val="16"/>
          <w:lang w:val="sr-Cyrl-RS"/>
        </w:rPr>
      </w:pPr>
      <w:r w:rsidRPr="008D683B">
        <w:rPr>
          <w:rStyle w:val="FootnoteReference"/>
          <w:rFonts w:ascii="Arial" w:eastAsia="Arial" w:hAnsi="Arial" w:cs="Arial"/>
          <w:sz w:val="16"/>
          <w:szCs w:val="16"/>
          <w:lang w:val="sr-Cyrl-RS"/>
        </w:rPr>
        <w:footnoteRef/>
      </w:r>
      <w:r w:rsidRPr="008D683B">
        <w:rPr>
          <w:rFonts w:ascii="Arial" w:eastAsia="Arial" w:hAnsi="Arial" w:cs="Arial"/>
          <w:sz w:val="16"/>
          <w:szCs w:val="16"/>
          <w:lang w:val="sr-Cyrl-RS"/>
        </w:rPr>
        <w:t xml:space="preserve"> Према подацима ОЕЦД</w:t>
      </w:r>
      <w:r>
        <w:rPr>
          <w:rFonts w:ascii="Arial" w:eastAsia="Arial" w:hAnsi="Arial" w:cs="Arial"/>
          <w:sz w:val="16"/>
          <w:szCs w:val="16"/>
          <w:lang w:val="sr-Cyrl-RS"/>
        </w:rPr>
        <w:t>-а</w:t>
      </w:r>
      <w:r w:rsidRPr="008D683B">
        <w:rPr>
          <w:rFonts w:ascii="Arial" w:eastAsia="Arial" w:hAnsi="Arial" w:cs="Arial"/>
          <w:sz w:val="16"/>
          <w:szCs w:val="16"/>
          <w:lang w:val="sr-Cyrl-RS"/>
        </w:rPr>
        <w:t>, удео пореских прихода у ЕУ28 износио је 42%. Видети: Key data on Local and Regional Governments in the European Union, OECD, 2018</w:t>
      </w:r>
      <w:r>
        <w:rPr>
          <w:rFonts w:ascii="Arial" w:eastAsia="Arial" w:hAnsi="Arial" w:cs="Arial"/>
          <w:sz w:val="16"/>
          <w:szCs w:val="16"/>
          <w:lang w:val="sr-Cyrl-RS"/>
        </w:rPr>
        <w:t>,</w:t>
      </w:r>
      <w:r w:rsidRPr="008D683B">
        <w:rPr>
          <w:rFonts w:ascii="Arial" w:eastAsia="Arial" w:hAnsi="Arial" w:cs="Arial"/>
          <w:sz w:val="16"/>
          <w:szCs w:val="16"/>
          <w:lang w:val="sr-Cyrl-RS"/>
        </w:rPr>
        <w:t xml:space="preserve"> </w:t>
      </w:r>
      <w:hyperlink r:id="rId10" w:history="1">
        <w:r w:rsidRPr="0014408A">
          <w:rPr>
            <w:rStyle w:val="Hyperlink"/>
            <w:rFonts w:ascii="Arial" w:eastAsia="Arial" w:hAnsi="Arial" w:cs="Arial"/>
            <w:sz w:val="16"/>
            <w:szCs w:val="16"/>
            <w:lang w:val="sr-Cyrl-RS"/>
          </w:rPr>
          <w:t>http://www.oecd.org/regional/EU-Local-government-key-data.pdf</w:t>
        </w:r>
      </w:hyperlink>
      <w:r>
        <w:rPr>
          <w:rFonts w:ascii="Arial" w:eastAsia="Arial" w:hAnsi="Arial" w:cs="Arial"/>
          <w:sz w:val="16"/>
          <w:szCs w:val="16"/>
          <w:lang w:val="sr-Cyrl-RS"/>
        </w:rPr>
        <w:t>.</w:t>
      </w:r>
    </w:p>
  </w:footnote>
  <w:footnote w:id="64">
    <w:p w14:paraId="3BE64DDD" w14:textId="00F6E673" w:rsidR="007324B5" w:rsidRPr="008D683B" w:rsidRDefault="007324B5" w:rsidP="00DD29A7">
      <w:pPr>
        <w:pStyle w:val="FootnoteText"/>
        <w:jc w:val="both"/>
        <w:rPr>
          <w:rFonts w:ascii="Arial" w:eastAsia="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Најнижи удео трансфера у текућим приходима у ЕУ, према подацима ОЕЦД-а, има Финска – 29</w:t>
      </w:r>
      <w:r>
        <w:rPr>
          <w:rFonts w:ascii="Arial" w:hAnsi="Arial" w:cs="Arial"/>
          <w:sz w:val="16"/>
          <w:szCs w:val="16"/>
          <w:lang w:val="sr-Cyrl-RS"/>
        </w:rPr>
        <w:t>,</w:t>
      </w:r>
      <w:r w:rsidRPr="008D683B">
        <w:rPr>
          <w:rFonts w:ascii="Arial" w:hAnsi="Arial" w:cs="Arial"/>
          <w:sz w:val="16"/>
          <w:szCs w:val="16"/>
          <w:lang w:val="sr-Cyrl-RS"/>
        </w:rPr>
        <w:t xml:space="preserve">1%, док је просек за ЕУ28 </w:t>
      </w:r>
      <w:r>
        <w:rPr>
          <w:rFonts w:ascii="Arial" w:hAnsi="Arial" w:cs="Arial"/>
          <w:sz w:val="16"/>
          <w:szCs w:val="16"/>
          <w:lang w:val="sr-Cyrl-RS"/>
        </w:rPr>
        <w:t>–</w:t>
      </w:r>
      <w:r w:rsidRPr="008D683B">
        <w:rPr>
          <w:rFonts w:ascii="Arial" w:hAnsi="Arial" w:cs="Arial"/>
          <w:sz w:val="16"/>
          <w:szCs w:val="16"/>
          <w:lang w:val="sr-Cyrl-RS"/>
        </w:rPr>
        <w:t xml:space="preserve"> 47</w:t>
      </w:r>
      <w:r>
        <w:rPr>
          <w:rFonts w:ascii="Arial" w:hAnsi="Arial" w:cs="Arial"/>
          <w:sz w:val="16"/>
          <w:szCs w:val="16"/>
          <w:lang w:val="sr-Cyrl-RS"/>
        </w:rPr>
        <w:t>,</w:t>
      </w:r>
      <w:r w:rsidRPr="008D683B">
        <w:rPr>
          <w:rFonts w:ascii="Arial" w:hAnsi="Arial" w:cs="Arial"/>
          <w:sz w:val="16"/>
          <w:szCs w:val="16"/>
          <w:lang w:val="sr-Cyrl-RS"/>
        </w:rPr>
        <w:t>4% (2017).</w:t>
      </w:r>
      <w:r w:rsidRPr="008D683B">
        <w:rPr>
          <w:rFonts w:ascii="Arial" w:eastAsia="Arial" w:hAnsi="Arial" w:cs="Arial"/>
          <w:sz w:val="16"/>
          <w:szCs w:val="16"/>
          <w:lang w:val="sr-Cyrl-RS"/>
        </w:rPr>
        <w:t xml:space="preserve"> Видети: Key data on Local and Regional Governments in the European Union, OECD, 2018</w:t>
      </w:r>
      <w:r>
        <w:rPr>
          <w:rFonts w:ascii="Arial" w:eastAsia="Arial" w:hAnsi="Arial" w:cs="Arial"/>
          <w:sz w:val="16"/>
          <w:szCs w:val="16"/>
          <w:lang w:val="sr-Cyrl-RS"/>
        </w:rPr>
        <w:t>,</w:t>
      </w:r>
      <w:r w:rsidRPr="008D683B">
        <w:rPr>
          <w:rFonts w:ascii="Arial" w:eastAsia="Arial" w:hAnsi="Arial" w:cs="Arial"/>
          <w:sz w:val="16"/>
          <w:szCs w:val="16"/>
          <w:lang w:val="sr-Cyrl-RS"/>
        </w:rPr>
        <w:t xml:space="preserve"> </w:t>
      </w:r>
      <w:hyperlink r:id="rId11" w:history="1">
        <w:r w:rsidRPr="0014408A">
          <w:rPr>
            <w:rStyle w:val="Hyperlink"/>
            <w:rFonts w:ascii="Arial" w:eastAsia="Arial" w:hAnsi="Arial" w:cs="Arial"/>
            <w:sz w:val="16"/>
            <w:szCs w:val="16"/>
            <w:lang w:val="sr-Cyrl-RS"/>
          </w:rPr>
          <w:t>http://www.oecd.org/regional/EU-Local-government-key-data.pdf</w:t>
        </w:r>
      </w:hyperlink>
      <w:r>
        <w:rPr>
          <w:rFonts w:ascii="Arial" w:eastAsia="Arial" w:hAnsi="Arial" w:cs="Arial"/>
          <w:sz w:val="16"/>
          <w:szCs w:val="16"/>
          <w:lang w:val="sr-Cyrl-RS"/>
        </w:rPr>
        <w:t>.</w:t>
      </w:r>
    </w:p>
  </w:footnote>
  <w:footnote w:id="65">
    <w:p w14:paraId="0D45DB79" w14:textId="1AF385A6"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932A63">
        <w:rPr>
          <w:rFonts w:ascii="Arial" w:hAnsi="Arial" w:cs="Arial"/>
          <w:i/>
          <w:iCs/>
          <w:sz w:val="16"/>
          <w:szCs w:val="16"/>
          <w:lang w:val="sr-Cyrl-RS"/>
        </w:rPr>
        <w:t>World Observatory on Subnational Government – Finance and Investment, Country Profiles, 2019 Report</w:t>
      </w:r>
      <w:r>
        <w:rPr>
          <w:rFonts w:ascii="Arial" w:hAnsi="Arial" w:cs="Arial"/>
          <w:sz w:val="16"/>
          <w:szCs w:val="16"/>
          <w:lang w:val="sr-Cyrl-RS"/>
        </w:rPr>
        <w:t>,</w:t>
      </w:r>
      <w:r w:rsidRPr="008D683B">
        <w:rPr>
          <w:rFonts w:ascii="Arial" w:hAnsi="Arial" w:cs="Arial"/>
          <w:sz w:val="16"/>
          <w:szCs w:val="16"/>
          <w:lang w:val="sr-Cyrl-RS"/>
        </w:rPr>
        <w:t xml:space="preserve"> </w:t>
      </w:r>
      <w:hyperlink r:id="rId12" w:history="1">
        <w:r w:rsidRPr="0014408A">
          <w:rPr>
            <w:rStyle w:val="Hyperlink"/>
            <w:rFonts w:ascii="Arial" w:hAnsi="Arial" w:cs="Arial"/>
            <w:sz w:val="16"/>
            <w:szCs w:val="16"/>
            <w:lang w:val="sr-Cyrl-RS"/>
          </w:rPr>
          <w:t>http://www.sng-wofi.org/reports/SNGWOFI_2019_report_country_profiles_DEC2019_UPDATES.pdf</w:t>
        </w:r>
      </w:hyperlink>
      <w:r>
        <w:rPr>
          <w:rFonts w:ascii="Arial" w:hAnsi="Arial" w:cs="Arial"/>
          <w:sz w:val="16"/>
          <w:szCs w:val="16"/>
          <w:lang w:val="sr-Cyrl-RS"/>
        </w:rPr>
        <w:t>.</w:t>
      </w:r>
    </w:p>
  </w:footnote>
  <w:footnote w:id="66">
    <w:p w14:paraId="4C016FAC" w14:textId="0B5AE9CE"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SNG-WOFI Database, </w:t>
      </w:r>
      <w:hyperlink r:id="rId13" w:history="1">
        <w:r w:rsidRPr="008D683B">
          <w:rPr>
            <w:rStyle w:val="Hyperlink"/>
            <w:rFonts w:ascii="Arial" w:hAnsi="Arial" w:cs="Arial"/>
            <w:color w:val="auto"/>
            <w:sz w:val="16"/>
            <w:szCs w:val="16"/>
            <w:lang w:val="sr-Cyrl-RS"/>
          </w:rPr>
          <w:t>http://www.sng-wofi.org/data/</w:t>
        </w:r>
      </w:hyperlink>
      <w:r>
        <w:rPr>
          <w:rStyle w:val="Hyperlink"/>
          <w:rFonts w:ascii="Arial" w:hAnsi="Arial" w:cs="Arial"/>
          <w:color w:val="auto"/>
          <w:sz w:val="16"/>
          <w:szCs w:val="16"/>
          <w:lang w:val="sr-Cyrl-RS"/>
        </w:rPr>
        <w:t>.</w:t>
      </w:r>
    </w:p>
  </w:footnote>
  <w:footnote w:id="67">
    <w:p w14:paraId="6E25F498" w14:textId="39C8412A" w:rsidR="007324B5" w:rsidRPr="008D683B" w:rsidRDefault="007324B5" w:rsidP="00DD29A7">
      <w:pPr>
        <w:pStyle w:val="FootnoteText"/>
        <w:jc w:val="both"/>
        <w:rPr>
          <w:rFonts w:ascii="Arial" w:eastAsia="Arial" w:hAnsi="Arial" w:cs="Arial"/>
          <w:sz w:val="16"/>
          <w:szCs w:val="16"/>
          <w:lang w:val="sr-Cyrl-RS"/>
        </w:rPr>
      </w:pPr>
      <w:r w:rsidRPr="008D683B">
        <w:rPr>
          <w:rStyle w:val="FootnoteReference"/>
          <w:rFonts w:ascii="Arial" w:eastAsia="Arial" w:hAnsi="Arial" w:cs="Arial"/>
          <w:sz w:val="16"/>
          <w:szCs w:val="16"/>
          <w:lang w:val="sr-Cyrl-RS"/>
        </w:rPr>
        <w:footnoteRef/>
      </w:r>
      <w:r w:rsidRPr="008D683B">
        <w:rPr>
          <w:rFonts w:ascii="Arial" w:eastAsia="Arial" w:hAnsi="Arial" w:cs="Arial"/>
          <w:sz w:val="16"/>
          <w:szCs w:val="16"/>
          <w:lang w:val="sr-Cyrl-RS"/>
        </w:rPr>
        <w:t xml:space="preserve"> Видети: </w:t>
      </w:r>
      <w:r w:rsidRPr="00932A63">
        <w:rPr>
          <w:rFonts w:ascii="Arial" w:eastAsia="Arial" w:hAnsi="Arial" w:cs="Arial"/>
          <w:i/>
          <w:iCs/>
          <w:sz w:val="16"/>
          <w:szCs w:val="16"/>
          <w:lang w:val="sr-Cyrl-RS"/>
        </w:rPr>
        <w:t>Key data on Local and Regional Governments in the European Union, OECD, 2018</w:t>
      </w:r>
      <w:r>
        <w:rPr>
          <w:rFonts w:ascii="Arial" w:eastAsia="Arial" w:hAnsi="Arial" w:cs="Arial"/>
          <w:sz w:val="16"/>
          <w:szCs w:val="16"/>
          <w:lang w:val="sr-Cyrl-RS"/>
        </w:rPr>
        <w:t>,</w:t>
      </w:r>
      <w:r w:rsidRPr="008D683B">
        <w:rPr>
          <w:rFonts w:ascii="Arial" w:eastAsia="Arial" w:hAnsi="Arial" w:cs="Arial"/>
          <w:sz w:val="16"/>
          <w:szCs w:val="16"/>
          <w:lang w:val="sr-Cyrl-RS"/>
        </w:rPr>
        <w:t xml:space="preserve"> </w:t>
      </w:r>
      <w:hyperlink r:id="rId14" w:history="1">
        <w:r w:rsidRPr="0014408A">
          <w:rPr>
            <w:rStyle w:val="Hyperlink"/>
            <w:rFonts w:ascii="Arial" w:eastAsia="Arial" w:hAnsi="Arial" w:cs="Arial"/>
            <w:sz w:val="16"/>
            <w:szCs w:val="16"/>
            <w:lang w:val="sr-Cyrl-RS"/>
          </w:rPr>
          <w:t>http://www.oecd.org/regional/EU-Local-government-key-data.pdf</w:t>
        </w:r>
      </w:hyperlink>
      <w:r>
        <w:rPr>
          <w:rFonts w:ascii="Arial" w:eastAsia="Arial" w:hAnsi="Arial" w:cs="Arial"/>
          <w:sz w:val="16"/>
          <w:szCs w:val="16"/>
          <w:lang w:val="sr-Cyrl-RS"/>
        </w:rPr>
        <w:t>.</w:t>
      </w:r>
    </w:p>
  </w:footnote>
  <w:footnote w:id="68">
    <w:p w14:paraId="412566A0" w14:textId="6538C855"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932A63">
        <w:rPr>
          <w:rFonts w:ascii="Arial" w:hAnsi="Arial" w:cs="Arial"/>
          <w:i/>
          <w:iCs/>
          <w:sz w:val="16"/>
          <w:szCs w:val="16"/>
          <w:lang w:val="sr-Cyrl-RS"/>
        </w:rPr>
        <w:t>SNG-WOFI Database</w:t>
      </w:r>
      <w:r w:rsidRPr="008D683B">
        <w:rPr>
          <w:rFonts w:ascii="Arial" w:hAnsi="Arial" w:cs="Arial"/>
          <w:sz w:val="16"/>
          <w:szCs w:val="16"/>
          <w:lang w:val="sr-Cyrl-RS"/>
        </w:rPr>
        <w:t xml:space="preserve">, </w:t>
      </w:r>
      <w:hyperlink r:id="rId15" w:history="1">
        <w:r w:rsidRPr="008D683B">
          <w:rPr>
            <w:rStyle w:val="Hyperlink"/>
            <w:rFonts w:ascii="Arial" w:hAnsi="Arial" w:cs="Arial"/>
            <w:color w:val="auto"/>
            <w:sz w:val="16"/>
            <w:szCs w:val="16"/>
            <w:lang w:val="sr-Cyrl-RS"/>
          </w:rPr>
          <w:t>http://www.sng-wofi.org/data/</w:t>
        </w:r>
      </w:hyperlink>
      <w:r>
        <w:rPr>
          <w:rStyle w:val="Hyperlink"/>
          <w:rFonts w:ascii="Arial" w:hAnsi="Arial" w:cs="Arial"/>
          <w:color w:val="auto"/>
          <w:sz w:val="16"/>
          <w:szCs w:val="16"/>
          <w:lang w:val="sr-Cyrl-RS"/>
        </w:rPr>
        <w:t>.</w:t>
      </w:r>
    </w:p>
  </w:footnote>
  <w:footnote w:id="69">
    <w:p w14:paraId="52DEE842" w14:textId="7EB96F44"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Style w:val="FootnoteReference"/>
          <w:rFonts w:ascii="Arial" w:hAnsi="Arial" w:cs="Arial"/>
          <w:sz w:val="16"/>
          <w:szCs w:val="16"/>
          <w:lang w:val="sr-Cyrl-RS"/>
        </w:rPr>
        <w:t xml:space="preserve"> </w:t>
      </w:r>
      <w:r w:rsidRPr="008D683B">
        <w:rPr>
          <w:rFonts w:ascii="Arial" w:hAnsi="Arial" w:cs="Arial"/>
          <w:sz w:val="16"/>
          <w:szCs w:val="16"/>
          <w:lang w:val="sr-Cyrl-RS"/>
        </w:rPr>
        <w:t xml:space="preserve">У складу са дефиницијом ОЕЦД из 2009: </w:t>
      </w:r>
      <w:hyperlink r:id="rId16" w:history="1">
        <w:r w:rsidRPr="008D683B">
          <w:rPr>
            <w:rStyle w:val="Hyperlink"/>
            <w:rFonts w:ascii="Arial" w:hAnsi="Arial" w:cs="Arial"/>
            <w:color w:val="auto"/>
            <w:sz w:val="16"/>
            <w:szCs w:val="16"/>
            <w:lang w:val="sr-Cyrl-RS"/>
          </w:rPr>
          <w:t>https://www.pempal.org/sites/pempal/files/event/attachments/oesdsbo_d2-am-session-7-k.klaas-oecd-sigma-implementing-pfm-reforma-ganeda-bcs.pdf</w:t>
        </w:r>
      </w:hyperlink>
      <w:r>
        <w:rPr>
          <w:rStyle w:val="Hyperlink"/>
          <w:rFonts w:ascii="Arial" w:hAnsi="Arial" w:cs="Arial"/>
          <w:color w:val="auto"/>
          <w:sz w:val="16"/>
          <w:szCs w:val="16"/>
          <w:lang w:val="sr-Cyrl-RS"/>
        </w:rPr>
        <w:t>.</w:t>
      </w:r>
    </w:p>
  </w:footnote>
  <w:footnote w:id="70">
    <w:p w14:paraId="4C81078A" w14:textId="3B9A0009"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Адресирајући главне подсистеме управљања јавним финансијама које је потребно реформисати, ПРУЈФ је фокусиран на стварање боље балансираног и одрживог буџета, уз смањење нивоа јавног дуга, као и јачање финансијског управљања и контроле и унапређење процеса ревизорске контроле. Реформа јавних финансија је један од кључних стубова реформе јавне управе (РЈУ) у Републици Србији и, као таква, уграђена је у кровну Стратегију РЈУ и пратеће акционе планове. Са друге стране, ПРУЈФ је у већини подобласти подржан ужим планским документима</w:t>
      </w:r>
      <w:r>
        <w:rPr>
          <w:rFonts w:ascii="Arial" w:hAnsi="Arial" w:cs="Arial"/>
          <w:sz w:val="16"/>
          <w:szCs w:val="16"/>
          <w:lang w:val="sr-Cyrl-RS"/>
        </w:rPr>
        <w:t>,</w:t>
      </w:r>
      <w:r w:rsidRPr="008D683B">
        <w:rPr>
          <w:rFonts w:ascii="Arial" w:hAnsi="Arial" w:cs="Arial"/>
          <w:sz w:val="16"/>
          <w:szCs w:val="16"/>
          <w:lang w:val="sr-Cyrl-RS"/>
        </w:rPr>
        <w:t xml:space="preserve"> попут Стратегије развоја јавних набавки у Републици Србији, Стратегије развоја интерне финансијске контроле у јавном сектору у Републици Србији итд. Ово је плански контекст у којем су у претходним годинама постављене референтне тачке и за реформисање управљања јавним финансијама на локалном нивоу, било експлицитно самим документима јавних политика или кроз надоградњу нормативног оквира који ЈЛС непосредно примењују.</w:t>
      </w:r>
    </w:p>
  </w:footnote>
  <w:footnote w:id="71">
    <w:p w14:paraId="0DE07F4A" w14:textId="55974F66" w:rsidR="007324B5" w:rsidRPr="008D683B" w:rsidRDefault="007324B5">
      <w:pPr>
        <w:pStyle w:val="FootnoteText"/>
        <w:rPr>
          <w:rFonts w:ascii="Arial" w:hAnsi="Arial" w:cs="Arial"/>
          <w:sz w:val="16"/>
          <w:szCs w:val="16"/>
          <w:highlight w:val="yellow"/>
          <w:lang w:val="sr-Cyrl-RS"/>
        </w:rPr>
      </w:pPr>
      <w:r w:rsidRPr="008D683B">
        <w:rPr>
          <w:rStyle w:val="FootnoteReference"/>
          <w:lang w:val="sr-Cyrl-RS"/>
        </w:rPr>
        <w:footnoteRef/>
      </w:r>
      <w:r w:rsidRPr="008D683B">
        <w:rPr>
          <w:lang w:val="sr-Cyrl-RS"/>
        </w:rPr>
        <w:t xml:space="preserve"> </w:t>
      </w:r>
      <w:r w:rsidRPr="00932A63">
        <w:rPr>
          <w:rFonts w:ascii="Arial" w:hAnsi="Arial" w:cs="Arial"/>
          <w:i/>
          <w:iCs/>
          <w:sz w:val="16"/>
          <w:szCs w:val="16"/>
          <w:lang w:val="sr-Cyrl-RS"/>
        </w:rPr>
        <w:t>Индекс транспарентности ЛС 2020</w:t>
      </w:r>
      <w:r w:rsidRPr="008D683B">
        <w:rPr>
          <w:rFonts w:ascii="Arial" w:hAnsi="Arial" w:cs="Arial"/>
          <w:sz w:val="16"/>
          <w:szCs w:val="16"/>
          <w:lang w:val="sr-Cyrl-RS"/>
        </w:rPr>
        <w:t xml:space="preserve">: </w:t>
      </w:r>
      <w:hyperlink r:id="rId17" w:history="1">
        <w:r w:rsidRPr="0014408A">
          <w:rPr>
            <w:rStyle w:val="Hyperlink"/>
            <w:rFonts w:ascii="Arial" w:hAnsi="Arial" w:cs="Arial"/>
            <w:sz w:val="16"/>
            <w:szCs w:val="16"/>
            <w:lang w:val="sr-Cyrl-RS"/>
          </w:rPr>
          <w:t>https://www.transparentnost.org.rs/images/dokumenti_uz_vesti/LTI_2020izvestaj.pdf</w:t>
        </w:r>
      </w:hyperlink>
      <w:r>
        <w:rPr>
          <w:rFonts w:ascii="Arial" w:hAnsi="Arial" w:cs="Arial"/>
          <w:sz w:val="16"/>
          <w:szCs w:val="16"/>
          <w:lang w:val="sr-Cyrl-RS"/>
        </w:rPr>
        <w:t>.</w:t>
      </w:r>
    </w:p>
  </w:footnote>
  <w:footnote w:id="72">
    <w:p w14:paraId="0D0B11A0" w14:textId="1E002194"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hyperlink r:id="rId18" w:history="1">
        <w:r w:rsidRPr="008D683B">
          <w:rPr>
            <w:rStyle w:val="Hyperlink"/>
            <w:rFonts w:ascii="Arial" w:hAnsi="Arial" w:cs="Arial"/>
            <w:color w:val="auto"/>
            <w:sz w:val="16"/>
            <w:szCs w:val="16"/>
            <w:lang w:val="sr-Cyrl-RS"/>
          </w:rPr>
          <w:t>https://www.paragraf.rs/propisi/uredba-o-upravljanju-kapitalnim-projektima.html</w:t>
        </w:r>
      </w:hyperlink>
      <w:r>
        <w:rPr>
          <w:rStyle w:val="Hyperlink"/>
          <w:rFonts w:ascii="Arial" w:hAnsi="Arial" w:cs="Arial"/>
          <w:color w:val="auto"/>
          <w:sz w:val="16"/>
          <w:szCs w:val="16"/>
          <w:lang w:val="sr-Cyrl-RS"/>
        </w:rPr>
        <w:t>.</w:t>
      </w:r>
    </w:p>
  </w:footnote>
  <w:footnote w:id="73">
    <w:p w14:paraId="045BD55A" w14:textId="7117E753"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color w:val="000000" w:themeColor="text1"/>
          <w:sz w:val="16"/>
          <w:szCs w:val="16"/>
          <w:lang w:val="sr-Cyrl-RS"/>
        </w:rPr>
        <w:t>У првој години примене овог прописа</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услед промењене методологије обрачуна накнаде за заштиту и унапређење животне средине и</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посебно</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услед немогућности ЈЛС да примене у потпуности нову методологију, дошло је до веома значајног смањења прихода локалне самоуправе од ове накнаде.</w:t>
      </w:r>
    </w:p>
  </w:footnote>
  <w:footnote w:id="74">
    <w:p w14:paraId="52147EE3" w14:textId="7C800114" w:rsidR="007324B5" w:rsidRPr="008D683B" w:rsidRDefault="007324B5" w:rsidP="00DD29A7">
      <w:pPr>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Примедбе у вези са овим питањем имали су и известиоци Конгреса локалних и регионалних власти Савета Европе у смислу примене члан 9. став 1. ЕПЛС</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w:t>
      </w:r>
      <w:r>
        <w:rPr>
          <w:rFonts w:ascii="Arial" w:hAnsi="Arial" w:cs="Arial"/>
          <w:color w:val="000000" w:themeColor="text1"/>
          <w:sz w:val="16"/>
          <w:szCs w:val="16"/>
          <w:lang w:val="sr-Cyrl-RS"/>
        </w:rPr>
        <w:t>В</w:t>
      </w:r>
      <w:r w:rsidRPr="008D683B">
        <w:rPr>
          <w:rFonts w:ascii="Arial" w:hAnsi="Arial" w:cs="Arial"/>
          <w:color w:val="000000" w:themeColor="text1"/>
          <w:sz w:val="16"/>
          <w:szCs w:val="16"/>
          <w:lang w:val="sr-Cyrl-RS"/>
        </w:rPr>
        <w:t>идети више на</w:t>
      </w:r>
      <w:r w:rsidRPr="008D683B">
        <w:rPr>
          <w:rFonts w:ascii="Arial" w:hAnsi="Arial" w:cs="Arial"/>
          <w:sz w:val="16"/>
          <w:szCs w:val="16"/>
          <w:lang w:val="sr-Cyrl-RS"/>
        </w:rPr>
        <w:t xml:space="preserve">: </w:t>
      </w:r>
      <w:hyperlink r:id="rId19" w:history="1">
        <w:r w:rsidRPr="008D683B">
          <w:rPr>
            <w:rStyle w:val="Hyperlink"/>
            <w:rFonts w:ascii="Arial" w:hAnsi="Arial" w:cs="Arial"/>
            <w:color w:val="auto"/>
            <w:sz w:val="16"/>
            <w:szCs w:val="16"/>
            <w:lang w:val="sr-Cyrl-RS"/>
          </w:rPr>
          <w:t>https://www.congress-monitoring.eu/en/45-pays.html</w:t>
        </w:r>
      </w:hyperlink>
      <w:r w:rsidRPr="008D683B">
        <w:rPr>
          <w:rFonts w:ascii="Arial" w:hAnsi="Arial" w:cs="Arial"/>
          <w:sz w:val="16"/>
          <w:szCs w:val="16"/>
          <w:lang w:val="sr-Cyrl-RS"/>
        </w:rPr>
        <w:t xml:space="preserve">. Такође, о потреби </w:t>
      </w:r>
      <w:r>
        <w:rPr>
          <w:rFonts w:ascii="Arial" w:hAnsi="Arial" w:cs="Arial"/>
          <w:sz w:val="16"/>
          <w:szCs w:val="16"/>
          <w:lang w:val="sr-Cyrl-RS"/>
        </w:rPr>
        <w:t xml:space="preserve">за </w:t>
      </w:r>
      <w:r w:rsidRPr="008D683B">
        <w:rPr>
          <w:rFonts w:ascii="Arial" w:hAnsi="Arial" w:cs="Arial"/>
          <w:sz w:val="16"/>
          <w:szCs w:val="16"/>
          <w:lang w:val="sr-Cyrl-RS"/>
        </w:rPr>
        <w:t>реформ</w:t>
      </w:r>
      <w:r>
        <w:rPr>
          <w:rFonts w:ascii="Arial" w:hAnsi="Arial" w:cs="Arial"/>
          <w:sz w:val="16"/>
          <w:szCs w:val="16"/>
          <w:lang w:val="sr-Cyrl-RS"/>
        </w:rPr>
        <w:t>ом</w:t>
      </w:r>
      <w:r w:rsidRPr="008D683B">
        <w:rPr>
          <w:rFonts w:ascii="Arial" w:hAnsi="Arial" w:cs="Arial"/>
          <w:sz w:val="16"/>
          <w:szCs w:val="16"/>
          <w:lang w:val="sr-Cyrl-RS"/>
        </w:rPr>
        <w:t xml:space="preserve"> у области трансфера из буџетске резерве указивано је и у оценама Фискалног савета у извештају </w:t>
      </w:r>
      <w:r w:rsidRPr="00932A63">
        <w:rPr>
          <w:rFonts w:ascii="Arial" w:hAnsi="Arial" w:cs="Arial"/>
          <w:i/>
          <w:iCs/>
          <w:sz w:val="16"/>
          <w:szCs w:val="16"/>
          <w:lang w:val="sr-Cyrl-RS"/>
        </w:rPr>
        <w:t>Локалне јавне финансије: Проблеми, ризици и препоруке</w:t>
      </w:r>
      <w:r w:rsidRPr="008D683B">
        <w:rPr>
          <w:rFonts w:ascii="Arial" w:hAnsi="Arial" w:cs="Arial"/>
          <w:sz w:val="16"/>
          <w:szCs w:val="16"/>
          <w:lang w:val="sr-Cyrl-RS"/>
        </w:rPr>
        <w:t xml:space="preserve">, који је припремљен 2017. године </w:t>
      </w:r>
      <w:hyperlink r:id="rId20" w:history="1">
        <w:r w:rsidRPr="008D683B">
          <w:rPr>
            <w:rStyle w:val="Hyperlink"/>
            <w:rFonts w:ascii="Arial" w:hAnsi="Arial" w:cs="Arial"/>
            <w:color w:val="auto"/>
            <w:sz w:val="16"/>
            <w:szCs w:val="16"/>
            <w:lang w:val="sr-Cyrl-RS"/>
          </w:rPr>
          <w:t>http://www.fiskalnisavet.rs/doc/analize-stavovi-predlozi/Lokalne%20javne%20finansije_%20Problemi,%20rizici%20i%20preporuke%20(2017).pdf</w:t>
        </w:r>
      </w:hyperlink>
      <w:r>
        <w:rPr>
          <w:rStyle w:val="Hyperlink"/>
          <w:rFonts w:ascii="Arial" w:hAnsi="Arial" w:cs="Arial"/>
          <w:color w:val="auto"/>
          <w:sz w:val="16"/>
          <w:szCs w:val="16"/>
          <w:lang w:val="sr-Cyrl-RS"/>
        </w:rPr>
        <w:t>.</w:t>
      </w:r>
    </w:p>
  </w:footnote>
  <w:footnote w:id="75">
    <w:p w14:paraId="07DF171A" w14:textId="7CD10442" w:rsidR="007324B5" w:rsidRPr="008D683B" w:rsidRDefault="007324B5" w:rsidP="00DD29A7">
      <w:pPr>
        <w:pStyle w:val="FootnoteText"/>
        <w:jc w:val="both"/>
        <w:rPr>
          <w:rFonts w:ascii="Arial" w:hAnsi="Arial" w:cs="Arial"/>
          <w:color w:val="000000" w:themeColor="text1"/>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w:t>
      </w:r>
      <w:r>
        <w:rPr>
          <w:rFonts w:ascii="Arial" w:hAnsi="Arial" w:cs="Arial"/>
          <w:sz w:val="16"/>
          <w:szCs w:val="16"/>
          <w:lang w:val="sr-Cyrl-RS"/>
        </w:rPr>
        <w:t>рема</w:t>
      </w:r>
      <w:r w:rsidRPr="008D683B">
        <w:rPr>
          <w:rFonts w:ascii="Arial" w:hAnsi="Arial" w:cs="Arial"/>
          <w:sz w:val="16"/>
          <w:szCs w:val="16"/>
          <w:lang w:val="sr-Cyrl-RS"/>
        </w:rPr>
        <w:t xml:space="preserve"> последњим подацима НАЛАС-а</w:t>
      </w:r>
      <w:r>
        <w:rPr>
          <w:rFonts w:ascii="Arial" w:hAnsi="Arial" w:cs="Arial"/>
          <w:sz w:val="16"/>
          <w:szCs w:val="16"/>
          <w:lang w:val="sr-Cyrl-RS"/>
        </w:rPr>
        <w:t>,</w:t>
      </w:r>
      <w:r w:rsidRPr="008D683B">
        <w:rPr>
          <w:rFonts w:ascii="Arial" w:hAnsi="Arial" w:cs="Arial"/>
          <w:sz w:val="16"/>
          <w:szCs w:val="16"/>
          <w:lang w:val="sr-Cyrl-RS"/>
        </w:rPr>
        <w:t xml:space="preserve"> који се односе на 2019. годину: 1) удео прихода ЛС у укупним јавним приходима – Босна и Херцеговина 10</w:t>
      </w:r>
      <w:r>
        <w:rPr>
          <w:rFonts w:ascii="Arial" w:hAnsi="Arial" w:cs="Arial"/>
          <w:sz w:val="16"/>
          <w:szCs w:val="16"/>
          <w:lang w:val="sr-Cyrl-RS"/>
        </w:rPr>
        <w:t>,</w:t>
      </w:r>
      <w:r w:rsidRPr="008D683B">
        <w:rPr>
          <w:rFonts w:ascii="Arial" w:hAnsi="Arial" w:cs="Arial"/>
          <w:sz w:val="16"/>
          <w:szCs w:val="16"/>
          <w:lang w:val="sr-Cyrl-RS"/>
        </w:rPr>
        <w:t>4%, Словенија 11</w:t>
      </w:r>
      <w:r>
        <w:rPr>
          <w:rFonts w:ascii="Arial" w:hAnsi="Arial" w:cs="Arial"/>
          <w:sz w:val="16"/>
          <w:szCs w:val="16"/>
          <w:lang w:val="sr-Cyrl-RS"/>
        </w:rPr>
        <w:t>,</w:t>
      </w:r>
      <w:r w:rsidRPr="008D683B">
        <w:rPr>
          <w:rFonts w:ascii="Arial" w:hAnsi="Arial" w:cs="Arial"/>
          <w:sz w:val="16"/>
          <w:szCs w:val="16"/>
          <w:lang w:val="sr-Cyrl-RS"/>
        </w:rPr>
        <w:t>6%, Албанија 13</w:t>
      </w:r>
      <w:r>
        <w:rPr>
          <w:rFonts w:ascii="Arial" w:hAnsi="Arial" w:cs="Arial"/>
          <w:sz w:val="16"/>
          <w:szCs w:val="16"/>
          <w:lang w:val="sr-Cyrl-RS"/>
        </w:rPr>
        <w:t>,</w:t>
      </w:r>
      <w:r w:rsidRPr="008D683B">
        <w:rPr>
          <w:rFonts w:ascii="Arial" w:hAnsi="Arial" w:cs="Arial"/>
          <w:sz w:val="16"/>
          <w:szCs w:val="16"/>
          <w:lang w:val="sr-Cyrl-RS"/>
        </w:rPr>
        <w:t>3%, Црна Гора 15%, Србија 14</w:t>
      </w:r>
      <w:r>
        <w:rPr>
          <w:rFonts w:ascii="Arial" w:hAnsi="Arial" w:cs="Arial"/>
          <w:sz w:val="16"/>
          <w:szCs w:val="16"/>
          <w:lang w:val="sr-Cyrl-RS"/>
        </w:rPr>
        <w:t>,</w:t>
      </w:r>
      <w:r w:rsidRPr="008D683B">
        <w:rPr>
          <w:rFonts w:ascii="Arial" w:hAnsi="Arial" w:cs="Arial"/>
          <w:sz w:val="16"/>
          <w:szCs w:val="16"/>
          <w:lang w:val="sr-Cyrl-RS"/>
        </w:rPr>
        <w:t>3%, Хрватска 15</w:t>
      </w:r>
      <w:r>
        <w:rPr>
          <w:rFonts w:ascii="Arial" w:hAnsi="Arial" w:cs="Arial"/>
          <w:sz w:val="16"/>
          <w:szCs w:val="16"/>
          <w:lang w:val="sr-Cyrl-RS"/>
        </w:rPr>
        <w:t>,</w:t>
      </w:r>
      <w:r w:rsidRPr="008D683B">
        <w:rPr>
          <w:rFonts w:ascii="Arial" w:hAnsi="Arial" w:cs="Arial"/>
          <w:sz w:val="16"/>
          <w:szCs w:val="16"/>
          <w:lang w:val="sr-Cyrl-RS"/>
        </w:rPr>
        <w:t>5%, Северна Македонија 15</w:t>
      </w:r>
      <w:r>
        <w:rPr>
          <w:rFonts w:ascii="Arial" w:hAnsi="Arial" w:cs="Arial"/>
          <w:sz w:val="16"/>
          <w:szCs w:val="16"/>
          <w:lang w:val="sr-Cyrl-RS"/>
        </w:rPr>
        <w:t>,</w:t>
      </w:r>
      <w:r w:rsidRPr="008D683B">
        <w:rPr>
          <w:rFonts w:ascii="Arial" w:hAnsi="Arial" w:cs="Arial"/>
          <w:sz w:val="16"/>
          <w:szCs w:val="16"/>
          <w:lang w:val="sr-Cyrl-RS"/>
        </w:rPr>
        <w:t>7%, Бугарска 19</w:t>
      </w:r>
      <w:r>
        <w:rPr>
          <w:rFonts w:ascii="Arial" w:hAnsi="Arial" w:cs="Arial"/>
          <w:sz w:val="16"/>
          <w:szCs w:val="16"/>
          <w:lang w:val="sr-Cyrl-RS"/>
        </w:rPr>
        <w:t>,</w:t>
      </w:r>
      <w:r w:rsidRPr="008D683B">
        <w:rPr>
          <w:rFonts w:ascii="Arial" w:hAnsi="Arial" w:cs="Arial"/>
          <w:sz w:val="16"/>
          <w:szCs w:val="16"/>
          <w:lang w:val="sr-Cyrl-RS"/>
        </w:rPr>
        <w:t>2% и Румунија 25</w:t>
      </w:r>
      <w:r>
        <w:rPr>
          <w:rFonts w:ascii="Arial" w:hAnsi="Arial" w:cs="Arial"/>
          <w:sz w:val="16"/>
          <w:szCs w:val="16"/>
          <w:lang w:val="sr-Cyrl-RS"/>
        </w:rPr>
        <w:t>,</w:t>
      </w:r>
      <w:r w:rsidRPr="008D683B">
        <w:rPr>
          <w:rFonts w:ascii="Arial" w:hAnsi="Arial" w:cs="Arial"/>
          <w:sz w:val="16"/>
          <w:szCs w:val="16"/>
          <w:lang w:val="sr-Cyrl-RS"/>
        </w:rPr>
        <w:t xml:space="preserve">5% ; 2) Удео расхода ЛС у укупним јавним расходима </w:t>
      </w:r>
      <w:r>
        <w:rPr>
          <w:rFonts w:ascii="Arial" w:hAnsi="Arial" w:cs="Arial"/>
          <w:sz w:val="16"/>
          <w:szCs w:val="16"/>
          <w:lang w:val="sr-Cyrl-RS"/>
        </w:rPr>
        <w:t>–</w:t>
      </w:r>
      <w:r w:rsidRPr="008D683B">
        <w:rPr>
          <w:rFonts w:ascii="Arial" w:hAnsi="Arial" w:cs="Arial"/>
          <w:sz w:val="16"/>
          <w:szCs w:val="16"/>
          <w:lang w:val="sr-Cyrl-RS"/>
        </w:rPr>
        <w:t xml:space="preserve"> Босна и Херцеговина 12%,Словенија 11</w:t>
      </w:r>
      <w:r>
        <w:rPr>
          <w:rFonts w:ascii="Arial" w:hAnsi="Arial" w:cs="Arial"/>
          <w:sz w:val="16"/>
          <w:szCs w:val="16"/>
          <w:lang w:val="sr-Cyrl-RS"/>
        </w:rPr>
        <w:t>,</w:t>
      </w:r>
      <w:r w:rsidRPr="008D683B">
        <w:rPr>
          <w:rFonts w:ascii="Arial" w:hAnsi="Arial" w:cs="Arial"/>
          <w:sz w:val="16"/>
          <w:szCs w:val="16"/>
          <w:lang w:val="sr-Cyrl-RS"/>
        </w:rPr>
        <w:t>8%, Црна Гора 12</w:t>
      </w:r>
      <w:r>
        <w:rPr>
          <w:rFonts w:ascii="Arial" w:hAnsi="Arial" w:cs="Arial"/>
          <w:sz w:val="16"/>
          <w:szCs w:val="16"/>
          <w:lang w:val="sr-Cyrl-RS"/>
        </w:rPr>
        <w:t>,</w:t>
      </w:r>
      <w:r w:rsidRPr="008D683B">
        <w:rPr>
          <w:rFonts w:ascii="Arial" w:hAnsi="Arial" w:cs="Arial"/>
          <w:sz w:val="16"/>
          <w:szCs w:val="16"/>
          <w:lang w:val="sr-Cyrl-RS"/>
        </w:rPr>
        <w:t>7%, Албанија 13</w:t>
      </w:r>
      <w:r>
        <w:rPr>
          <w:rFonts w:ascii="Arial" w:hAnsi="Arial" w:cs="Arial"/>
          <w:sz w:val="16"/>
          <w:szCs w:val="16"/>
          <w:lang w:val="sr-Cyrl-RS"/>
        </w:rPr>
        <w:t>,</w:t>
      </w:r>
      <w:r w:rsidRPr="008D683B">
        <w:rPr>
          <w:rFonts w:ascii="Arial" w:hAnsi="Arial" w:cs="Arial"/>
          <w:sz w:val="16"/>
          <w:szCs w:val="16"/>
          <w:lang w:val="sr-Cyrl-RS"/>
        </w:rPr>
        <w:t>2%, Северна Македонија 15</w:t>
      </w:r>
      <w:r>
        <w:rPr>
          <w:rFonts w:ascii="Arial" w:hAnsi="Arial" w:cs="Arial"/>
          <w:sz w:val="16"/>
          <w:szCs w:val="16"/>
          <w:lang w:val="sr-Cyrl-RS"/>
        </w:rPr>
        <w:t>,</w:t>
      </w:r>
      <w:r w:rsidRPr="008D683B">
        <w:rPr>
          <w:rFonts w:ascii="Arial" w:hAnsi="Arial" w:cs="Arial"/>
          <w:sz w:val="16"/>
          <w:szCs w:val="16"/>
          <w:lang w:val="sr-Cyrl-RS"/>
        </w:rPr>
        <w:t>5%, Србија 14</w:t>
      </w:r>
      <w:r>
        <w:rPr>
          <w:rFonts w:ascii="Arial" w:hAnsi="Arial" w:cs="Arial"/>
          <w:sz w:val="16"/>
          <w:szCs w:val="16"/>
          <w:lang w:val="sr-Cyrl-RS"/>
        </w:rPr>
        <w:t>,</w:t>
      </w:r>
      <w:r w:rsidRPr="008D683B">
        <w:rPr>
          <w:rFonts w:ascii="Arial" w:hAnsi="Arial" w:cs="Arial"/>
          <w:sz w:val="16"/>
          <w:szCs w:val="16"/>
          <w:lang w:val="sr-Cyrl-RS"/>
        </w:rPr>
        <w:t>8%, Хрватска 16%, Бугарска 18</w:t>
      </w:r>
      <w:r>
        <w:rPr>
          <w:rFonts w:ascii="Arial" w:hAnsi="Arial" w:cs="Arial"/>
          <w:sz w:val="16"/>
          <w:szCs w:val="16"/>
          <w:lang w:val="sr-Cyrl-RS"/>
        </w:rPr>
        <w:t>,</w:t>
      </w:r>
      <w:r w:rsidRPr="008D683B">
        <w:rPr>
          <w:rFonts w:ascii="Arial" w:hAnsi="Arial" w:cs="Arial"/>
          <w:sz w:val="16"/>
          <w:szCs w:val="16"/>
          <w:lang w:val="sr-Cyrl-RS"/>
        </w:rPr>
        <w:t>2% и Румунија 23</w:t>
      </w:r>
      <w:r>
        <w:rPr>
          <w:rFonts w:ascii="Arial" w:hAnsi="Arial" w:cs="Arial"/>
          <w:sz w:val="16"/>
          <w:szCs w:val="16"/>
          <w:lang w:val="sr-Cyrl-RS"/>
        </w:rPr>
        <w:t>,</w:t>
      </w:r>
      <w:r w:rsidRPr="008D683B">
        <w:rPr>
          <w:rFonts w:ascii="Arial" w:hAnsi="Arial" w:cs="Arial"/>
          <w:sz w:val="16"/>
          <w:szCs w:val="16"/>
          <w:lang w:val="sr-Cyrl-RS"/>
        </w:rPr>
        <w:t>6% Видети</w:t>
      </w:r>
      <w:r>
        <w:rPr>
          <w:rFonts w:ascii="Arial" w:hAnsi="Arial" w:cs="Arial"/>
          <w:sz w:val="16"/>
          <w:szCs w:val="16"/>
          <w:lang w:val="sr-Cyrl-RS"/>
        </w:rPr>
        <w:t>:</w:t>
      </w:r>
      <w:r w:rsidRPr="008D683B">
        <w:rPr>
          <w:rFonts w:ascii="Arial" w:hAnsi="Arial" w:cs="Arial"/>
          <w:sz w:val="16"/>
          <w:szCs w:val="16"/>
          <w:lang w:val="sr-Cyrl-RS"/>
        </w:rPr>
        <w:t xml:space="preserve"> </w:t>
      </w:r>
      <w:r w:rsidRPr="008D683B">
        <w:rPr>
          <w:rFonts w:ascii="Arial" w:hAnsi="Arial" w:cs="Arial"/>
          <w:color w:val="000000" w:themeColor="text1"/>
          <w:sz w:val="16"/>
          <w:szCs w:val="16"/>
          <w:lang w:val="sr-Cyrl-RS"/>
        </w:rPr>
        <w:t xml:space="preserve">NALAS, </w:t>
      </w:r>
      <w:r w:rsidRPr="006F00E5">
        <w:rPr>
          <w:rFonts w:ascii="Arial" w:hAnsi="Arial" w:cs="Arial"/>
          <w:i/>
          <w:iCs/>
          <w:color w:val="000000" w:themeColor="text1"/>
          <w:sz w:val="16"/>
          <w:szCs w:val="16"/>
          <w:lang w:val="sr-Cyrl-RS"/>
        </w:rPr>
        <w:t>Local Government Finance Indicators in SEE – Statistical Brief 2020</w:t>
      </w:r>
      <w:r w:rsidRPr="008D683B">
        <w:rPr>
          <w:rFonts w:ascii="Arial" w:hAnsi="Arial" w:cs="Arial"/>
          <w:color w:val="000000" w:themeColor="text1"/>
          <w:sz w:val="16"/>
          <w:szCs w:val="16"/>
          <w:lang w:val="sr-Cyrl-RS"/>
        </w:rPr>
        <w:t>. Када се пореде системи финансирања локалне самоуправе, поред потребе да се зарад прецизних закључака изврши дубља анализа сваког система посебно, треба имати у виду и промене у вези са финансирањем локалне самоуправе које спроводе поједине државе (</w:t>
      </w:r>
      <w:r>
        <w:rPr>
          <w:rFonts w:ascii="Arial" w:hAnsi="Arial" w:cs="Arial"/>
          <w:color w:val="000000" w:themeColor="text1"/>
          <w:sz w:val="16"/>
          <w:szCs w:val="16"/>
          <w:lang w:val="sr-Cyrl-RS"/>
        </w:rPr>
        <w:t>нарочито</w:t>
      </w:r>
      <w:r w:rsidRPr="008D683B">
        <w:rPr>
          <w:rFonts w:ascii="Arial" w:hAnsi="Arial" w:cs="Arial"/>
          <w:color w:val="000000" w:themeColor="text1"/>
          <w:sz w:val="16"/>
          <w:szCs w:val="16"/>
          <w:lang w:val="sr-Cyrl-RS"/>
        </w:rPr>
        <w:t xml:space="preserve"> земље које су у процесу транзиције политичког, финансијског и административног система) и посебно чињеницу да је степен финансијског значаја локалне самоуправе променљива категорија која је под знатним утицајем укупне развојне политике (нпр. децентрализације) или економске и финансијске ситуације у једној земљи (нпр. периода економске кризе или периода значајног економског развоја). У складу са тим</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компаративни закључци се могу доносити само за краћи односно временски одређен период.</w:t>
      </w:r>
    </w:p>
  </w:footnote>
  <w:footnote w:id="76">
    <w:p w14:paraId="14860010" w14:textId="21420B3E"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w:t>
      </w:r>
      <w:r>
        <w:rPr>
          <w:rFonts w:ascii="Arial" w:hAnsi="Arial" w:cs="Arial"/>
          <w:sz w:val="16"/>
          <w:szCs w:val="16"/>
          <w:lang w:val="sr-Cyrl-RS"/>
        </w:rPr>
        <w:t>рема</w:t>
      </w:r>
      <w:r w:rsidRPr="008D683B">
        <w:rPr>
          <w:rFonts w:ascii="Arial" w:hAnsi="Arial" w:cs="Arial"/>
          <w:sz w:val="16"/>
          <w:szCs w:val="16"/>
          <w:lang w:val="sr-Cyrl-RS"/>
        </w:rPr>
        <w:t xml:space="preserve"> подацима НАЛАС-а</w:t>
      </w:r>
      <w:r>
        <w:rPr>
          <w:rFonts w:ascii="Arial" w:hAnsi="Arial" w:cs="Arial"/>
          <w:sz w:val="16"/>
          <w:szCs w:val="16"/>
          <w:lang w:val="sr-Cyrl-RS"/>
        </w:rPr>
        <w:t>,</w:t>
      </w:r>
      <w:r w:rsidRPr="008D683B">
        <w:rPr>
          <w:rFonts w:ascii="Arial" w:hAnsi="Arial" w:cs="Arial"/>
          <w:sz w:val="16"/>
          <w:szCs w:val="16"/>
          <w:lang w:val="sr-Cyrl-RS"/>
        </w:rPr>
        <w:t xml:space="preserve"> на нивоу ЕУ28 просечан удео прихода ЛС у укупним јавним приходима је 24</w:t>
      </w:r>
      <w:r>
        <w:rPr>
          <w:rFonts w:ascii="Arial" w:hAnsi="Arial" w:cs="Arial"/>
          <w:sz w:val="16"/>
          <w:szCs w:val="16"/>
          <w:lang w:val="sr-Cyrl-RS"/>
        </w:rPr>
        <w:t>,</w:t>
      </w:r>
      <w:r w:rsidRPr="008D683B">
        <w:rPr>
          <w:rFonts w:ascii="Arial" w:hAnsi="Arial" w:cs="Arial"/>
          <w:sz w:val="16"/>
          <w:szCs w:val="16"/>
          <w:lang w:val="sr-Cyrl-RS"/>
        </w:rPr>
        <w:t>4% а удео расхода ЛС у укупним јавним расходима је 23</w:t>
      </w:r>
      <w:r>
        <w:rPr>
          <w:rFonts w:ascii="Arial" w:hAnsi="Arial" w:cs="Arial"/>
          <w:sz w:val="16"/>
          <w:szCs w:val="16"/>
          <w:lang w:val="sr-Cyrl-RS"/>
        </w:rPr>
        <w:t>,</w:t>
      </w:r>
      <w:r w:rsidRPr="008D683B">
        <w:rPr>
          <w:rFonts w:ascii="Arial" w:hAnsi="Arial" w:cs="Arial"/>
          <w:sz w:val="16"/>
          <w:szCs w:val="16"/>
          <w:lang w:val="sr-Cyrl-RS"/>
        </w:rPr>
        <w:t>3%. Видети</w:t>
      </w:r>
      <w:r>
        <w:rPr>
          <w:rFonts w:ascii="Arial" w:hAnsi="Arial" w:cs="Arial"/>
          <w:sz w:val="16"/>
          <w:szCs w:val="16"/>
          <w:lang w:val="sr-Cyrl-RS"/>
        </w:rPr>
        <w:t>:</w:t>
      </w:r>
      <w:r w:rsidRPr="008D683B">
        <w:rPr>
          <w:rFonts w:ascii="Arial" w:hAnsi="Arial" w:cs="Arial"/>
          <w:sz w:val="16"/>
          <w:szCs w:val="16"/>
          <w:lang w:val="sr-Cyrl-RS"/>
        </w:rPr>
        <w:t xml:space="preserve"> </w:t>
      </w:r>
      <w:r w:rsidRPr="008D683B">
        <w:rPr>
          <w:rFonts w:ascii="Arial" w:hAnsi="Arial" w:cs="Arial"/>
          <w:color w:val="000000" w:themeColor="text1"/>
          <w:sz w:val="16"/>
          <w:szCs w:val="16"/>
          <w:lang w:val="sr-Cyrl-RS"/>
        </w:rPr>
        <w:t xml:space="preserve">NALAS , </w:t>
      </w:r>
      <w:r w:rsidRPr="006F00E5">
        <w:rPr>
          <w:rFonts w:ascii="Arial" w:hAnsi="Arial" w:cs="Arial"/>
          <w:i/>
          <w:iCs/>
          <w:color w:val="000000" w:themeColor="text1"/>
          <w:sz w:val="16"/>
          <w:szCs w:val="16"/>
          <w:lang w:val="sr-Cyrl-RS"/>
        </w:rPr>
        <w:t>Local Government Finance Indicators in SEE – Statistical Brief 2020</w:t>
      </w:r>
      <w:r w:rsidRPr="008D683B">
        <w:rPr>
          <w:rFonts w:ascii="Arial" w:hAnsi="Arial" w:cs="Arial"/>
          <w:color w:val="000000" w:themeColor="text1"/>
          <w:sz w:val="16"/>
          <w:szCs w:val="16"/>
          <w:lang w:val="sr-Cyrl-RS"/>
        </w:rPr>
        <w:t>.</w:t>
      </w:r>
    </w:p>
  </w:footnote>
  <w:footnote w:id="77">
    <w:p w14:paraId="73BD2174" w14:textId="7DB611FA" w:rsidR="007324B5" w:rsidRPr="008D683B" w:rsidRDefault="007324B5" w:rsidP="00DD29A7">
      <w:pPr>
        <w:pStyle w:val="FootnoteText"/>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У складу са чланом 53</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ЗОФЛС Комисија за финансирање локалне самоуправе:</w:t>
      </w:r>
    </w:p>
    <w:p w14:paraId="39B94F75" w14:textId="77777777" w:rsidR="007324B5" w:rsidRPr="008D683B" w:rsidRDefault="007324B5" w:rsidP="00DD29A7">
      <w:pPr>
        <w:pStyle w:val="NormalWeb"/>
        <w:shd w:val="clear" w:color="auto" w:fill="FFFFFF"/>
        <w:spacing w:before="0" w:beforeAutospacing="0" w:after="0" w:afterAutospacing="0"/>
        <w:jc w:val="both"/>
        <w:rPr>
          <w:rFonts w:ascii="Arial" w:hAnsi="Arial" w:cs="Arial"/>
          <w:color w:val="000000" w:themeColor="text1"/>
          <w:sz w:val="16"/>
          <w:szCs w:val="16"/>
          <w:lang w:val="sr-Cyrl-RS"/>
        </w:rPr>
      </w:pPr>
      <w:r w:rsidRPr="008D683B">
        <w:rPr>
          <w:rFonts w:ascii="Arial" w:hAnsi="Arial" w:cs="Arial"/>
          <w:color w:val="000000" w:themeColor="text1"/>
          <w:sz w:val="16"/>
          <w:szCs w:val="16"/>
          <w:lang w:val="sr-Cyrl-RS"/>
        </w:rPr>
        <w:t>1) анализира критеријуме и мерила за доделу ненаменских и функционалних трансфера и утврђивање њихове висине по јединицама локалне самоуправе у складу са одредбама чл. 37–44. овог закона;</w:t>
      </w:r>
    </w:p>
    <w:p w14:paraId="152A2023" w14:textId="77777777" w:rsidR="007324B5" w:rsidRPr="008D683B" w:rsidRDefault="007324B5" w:rsidP="00DD29A7">
      <w:pPr>
        <w:pStyle w:val="NormalWeb"/>
        <w:shd w:val="clear" w:color="auto" w:fill="FFFFFF"/>
        <w:spacing w:before="0" w:beforeAutospacing="0" w:after="0" w:afterAutospacing="0"/>
        <w:jc w:val="both"/>
        <w:rPr>
          <w:rFonts w:ascii="Arial" w:hAnsi="Arial" w:cs="Arial"/>
          <w:color w:val="000000" w:themeColor="text1"/>
          <w:sz w:val="16"/>
          <w:szCs w:val="16"/>
          <w:lang w:val="sr-Cyrl-RS"/>
        </w:rPr>
      </w:pPr>
      <w:r w:rsidRPr="008D683B">
        <w:rPr>
          <w:rFonts w:ascii="Arial" w:hAnsi="Arial" w:cs="Arial"/>
          <w:color w:val="000000" w:themeColor="text1"/>
          <w:sz w:val="16"/>
          <w:szCs w:val="16"/>
          <w:lang w:val="sr-Cyrl-RS"/>
        </w:rPr>
        <w:t>2) анализира програме за додељивање наменских трансфера у ужем смислу, укључујући поступке додељивања и критеријуме за избор;</w:t>
      </w:r>
    </w:p>
    <w:p w14:paraId="0C1F9005" w14:textId="77777777" w:rsidR="007324B5" w:rsidRPr="008D683B" w:rsidRDefault="007324B5" w:rsidP="00DD29A7">
      <w:pPr>
        <w:pStyle w:val="NormalWeb"/>
        <w:shd w:val="clear" w:color="auto" w:fill="FFFFFF"/>
        <w:spacing w:before="0" w:beforeAutospacing="0" w:after="0" w:afterAutospacing="0"/>
        <w:jc w:val="both"/>
        <w:rPr>
          <w:rFonts w:ascii="Arial" w:hAnsi="Arial" w:cs="Arial"/>
          <w:color w:val="000000" w:themeColor="text1"/>
          <w:sz w:val="16"/>
          <w:szCs w:val="16"/>
          <w:lang w:val="sr-Cyrl-RS"/>
        </w:rPr>
      </w:pPr>
      <w:r w:rsidRPr="008D683B">
        <w:rPr>
          <w:rFonts w:ascii="Arial" w:hAnsi="Arial" w:cs="Arial"/>
          <w:color w:val="000000" w:themeColor="text1"/>
          <w:sz w:val="16"/>
          <w:szCs w:val="16"/>
          <w:lang w:val="sr-Cyrl-RS"/>
        </w:rPr>
        <w:t>3) прати вертикалну и хоризонталну уједначеност система, степен задужености јединица локалне самоуправе и резултате измена система финансирања локалне самоуправе и припрема годишње извештаје о томе, најкасније до 30. маја за претходну буџетску годину;</w:t>
      </w:r>
    </w:p>
    <w:p w14:paraId="31E4D739" w14:textId="0435803E" w:rsidR="007324B5" w:rsidRDefault="007324B5" w:rsidP="005F4722">
      <w:pPr>
        <w:pStyle w:val="NormalWeb"/>
        <w:shd w:val="clear" w:color="auto" w:fill="FFFFFF"/>
        <w:spacing w:before="0" w:beforeAutospacing="0" w:after="0" w:afterAutospacing="0"/>
        <w:jc w:val="both"/>
        <w:rPr>
          <w:rFonts w:ascii="Arial" w:hAnsi="Arial" w:cs="Arial"/>
          <w:color w:val="000000" w:themeColor="text1"/>
          <w:sz w:val="16"/>
          <w:szCs w:val="16"/>
          <w:lang w:val="sr-Cyrl-RS"/>
        </w:rPr>
      </w:pPr>
      <w:r w:rsidRPr="008D683B">
        <w:rPr>
          <w:rFonts w:ascii="Arial" w:hAnsi="Arial" w:cs="Arial"/>
          <w:color w:val="000000" w:themeColor="text1"/>
          <w:sz w:val="16"/>
          <w:szCs w:val="16"/>
          <w:lang w:val="sr-Cyrl-RS"/>
        </w:rPr>
        <w:t>4) припрема предлоге за измену и побољшавање система финансирања локалне самоуправе.</w:t>
      </w:r>
    </w:p>
    <w:p w14:paraId="33218385" w14:textId="6647DDBA" w:rsidR="007324B5" w:rsidRPr="008D683B" w:rsidRDefault="007324B5" w:rsidP="005F4722">
      <w:pPr>
        <w:pStyle w:val="FootnoteText"/>
        <w:jc w:val="both"/>
        <w:rPr>
          <w:rFonts w:ascii="Arial" w:hAnsi="Arial" w:cs="Arial"/>
          <w:color w:val="000000" w:themeColor="text1"/>
          <w:sz w:val="16"/>
          <w:szCs w:val="16"/>
          <w:lang w:val="sr-Cyrl-RS"/>
        </w:rPr>
      </w:pPr>
      <w:r w:rsidRPr="008D683B">
        <w:rPr>
          <w:rFonts w:ascii="Arial" w:hAnsi="Arial" w:cs="Arial"/>
          <w:color w:val="000000" w:themeColor="text1"/>
          <w:sz w:val="16"/>
          <w:szCs w:val="16"/>
          <w:lang w:val="sr-Cyrl-RS"/>
        </w:rPr>
        <w:t xml:space="preserve">Такође, члан 47. ЗОФЛС прописује да се преглед ненаменских трансфера по свакој ЈЛС припрема у сарадњи са </w:t>
      </w:r>
      <w:r w:rsidRPr="008D683B">
        <w:rPr>
          <w:rFonts w:ascii="Arial" w:hAnsi="Arial" w:cs="Arial"/>
          <w:bCs/>
          <w:sz w:val="16"/>
          <w:szCs w:val="16"/>
          <w:lang w:val="sr-Cyrl-RS"/>
        </w:rPr>
        <w:t>Комисијом, што треба да обезбеди пуно знање и свест локалних власти о методологији утврђивања и расподеле ненаменског трансфера.</w:t>
      </w:r>
    </w:p>
  </w:footnote>
  <w:footnote w:id="78">
    <w:p w14:paraId="27BF48AE" w14:textId="4CDC9676"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6F00E5">
        <w:rPr>
          <w:rFonts w:ascii="Arial" w:hAnsi="Arial" w:cs="Arial"/>
          <w:i/>
          <w:iCs/>
          <w:sz w:val="16"/>
          <w:szCs w:val="16"/>
          <w:lang w:val="sr-Cyrl-RS"/>
        </w:rPr>
        <w:t>Водич за унапређење база података за порез на имовину – како повећати обухват опорезивања и унапредити администрацију</w:t>
      </w:r>
      <w:r w:rsidRPr="008D683B">
        <w:rPr>
          <w:rFonts w:ascii="Arial" w:hAnsi="Arial" w:cs="Arial"/>
          <w:sz w:val="16"/>
          <w:szCs w:val="16"/>
          <w:lang w:val="sr-Cyrl-RS"/>
        </w:rPr>
        <w:t xml:space="preserve">, 2016; </w:t>
      </w:r>
      <w:r w:rsidRPr="006F00E5">
        <w:rPr>
          <w:rFonts w:ascii="Arial" w:hAnsi="Arial" w:cs="Arial"/>
          <w:i/>
          <w:iCs/>
          <w:sz w:val="16"/>
          <w:szCs w:val="16"/>
          <w:lang w:val="sr-Cyrl-RS"/>
        </w:rPr>
        <w:t>Порез на имовину у Србији – Текућа кретања, са освртом на стање у пилот ЈЛС у оквиру МЕД пројекта</w:t>
      </w:r>
      <w:r w:rsidRPr="008D683B">
        <w:rPr>
          <w:rFonts w:ascii="Arial" w:hAnsi="Arial" w:cs="Arial"/>
          <w:sz w:val="16"/>
          <w:szCs w:val="16"/>
          <w:lang w:val="sr-Cyrl-RS"/>
        </w:rPr>
        <w:t>, 2017</w:t>
      </w:r>
      <w:r w:rsidRPr="008D683B">
        <w:rPr>
          <w:rFonts w:ascii="Arial" w:hAnsi="Arial" w:cs="Arial"/>
          <w:color w:val="000000" w:themeColor="text1"/>
          <w:sz w:val="16"/>
          <w:szCs w:val="16"/>
          <w:lang w:val="sr-Cyrl-RS"/>
        </w:rPr>
        <w:t xml:space="preserve">; </w:t>
      </w:r>
      <w:r w:rsidRPr="006F00E5">
        <w:rPr>
          <w:rFonts w:ascii="Arial" w:hAnsi="Arial" w:cs="Arial"/>
          <w:i/>
          <w:iCs/>
          <w:color w:val="000000" w:themeColor="text1"/>
          <w:sz w:val="16"/>
          <w:szCs w:val="16"/>
          <w:lang w:val="sr-Cyrl-RS"/>
        </w:rPr>
        <w:t>Локалне јавне финансије: Проблеми, ризици и препоруке</w:t>
      </w:r>
      <w:r w:rsidRPr="008D683B">
        <w:rPr>
          <w:rFonts w:ascii="Arial" w:hAnsi="Arial" w:cs="Arial"/>
          <w:color w:val="000000" w:themeColor="text1"/>
          <w:sz w:val="16"/>
          <w:szCs w:val="16"/>
          <w:lang w:val="sr-Cyrl-RS"/>
        </w:rPr>
        <w:t>, Фискални савет, 2017.</w:t>
      </w:r>
    </w:p>
  </w:footnote>
  <w:footnote w:id="79">
    <w:p w14:paraId="7053FA00" w14:textId="45850369"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Локалне власти широм света опорезују земљиште, држање домаћих и егзотичних животиња, апарате за игре на срећу, потрошњу, индустрију, трговину, издавање лиценци и дозвола, власништво </w:t>
      </w:r>
      <w:r>
        <w:rPr>
          <w:rFonts w:ascii="Arial" w:hAnsi="Arial" w:cs="Arial"/>
          <w:sz w:val="16"/>
          <w:szCs w:val="16"/>
          <w:lang w:val="sr-Cyrl-RS"/>
        </w:rPr>
        <w:t xml:space="preserve">над моторним возилима </w:t>
      </w:r>
      <w:r w:rsidRPr="008D683B">
        <w:rPr>
          <w:rFonts w:ascii="Arial" w:hAnsi="Arial" w:cs="Arial"/>
          <w:sz w:val="16"/>
          <w:szCs w:val="16"/>
          <w:lang w:val="sr-Cyrl-RS"/>
        </w:rPr>
        <w:t>и</w:t>
      </w:r>
      <w:r>
        <w:rPr>
          <w:rFonts w:ascii="Arial" w:hAnsi="Arial" w:cs="Arial"/>
          <w:sz w:val="16"/>
          <w:szCs w:val="16"/>
          <w:lang w:val="sr-Cyrl-RS"/>
        </w:rPr>
        <w:t xml:space="preserve"> њихову</w:t>
      </w:r>
      <w:r w:rsidRPr="008D683B">
        <w:rPr>
          <w:rFonts w:ascii="Arial" w:hAnsi="Arial" w:cs="Arial"/>
          <w:sz w:val="16"/>
          <w:szCs w:val="16"/>
          <w:lang w:val="sr-Cyrl-RS"/>
        </w:rPr>
        <w:t xml:space="preserve"> употребу итд. Неки од наведених прихода постоје и у Републици Србији, међутим</w:t>
      </w:r>
      <w:r>
        <w:rPr>
          <w:rFonts w:ascii="Arial" w:hAnsi="Arial" w:cs="Arial"/>
          <w:sz w:val="16"/>
          <w:szCs w:val="16"/>
          <w:lang w:val="sr-Cyrl-RS"/>
        </w:rPr>
        <w:t>,</w:t>
      </w:r>
      <w:r w:rsidRPr="008D683B">
        <w:rPr>
          <w:rFonts w:ascii="Arial" w:hAnsi="Arial" w:cs="Arial"/>
          <w:sz w:val="16"/>
          <w:szCs w:val="16"/>
          <w:lang w:val="sr-Cyrl-RS"/>
        </w:rPr>
        <w:t xml:space="preserve"> нису фискално издашни. Потенцијалним реформама у овој области и њиховим бољим уређењем повећао би се њихов финансијски значај у изворним и укупним приходима.</w:t>
      </w:r>
    </w:p>
  </w:footnote>
  <w:footnote w:id="80">
    <w:p w14:paraId="60AAB414" w14:textId="77777777" w:rsidR="007324B5" w:rsidRPr="008D683B" w:rsidRDefault="007324B5" w:rsidP="00DD29A7">
      <w:pPr>
        <w:pStyle w:val="NoSpacing"/>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Видети извештаје ДРИ о правилности пословања ЈЛС.</w:t>
      </w:r>
    </w:p>
  </w:footnote>
  <w:footnote w:id="81">
    <w:p w14:paraId="0FCB5AA1" w14:textId="77777777" w:rsidR="007324B5" w:rsidRPr="008D683B" w:rsidRDefault="007324B5" w:rsidP="00DD29A7">
      <w:pPr>
        <w:pStyle w:val="NoSpacing"/>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Оцена Фискалног савета.</w:t>
      </w:r>
    </w:p>
  </w:footnote>
  <w:footnote w:id="82">
    <w:p w14:paraId="07609388" w14:textId="77777777" w:rsidR="007324B5" w:rsidRPr="008D683B" w:rsidRDefault="007324B5" w:rsidP="00DD29A7">
      <w:pPr>
        <w:pStyle w:val="NoSpacing"/>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Ова одступања представљају део ПЕФА индикатора.</w:t>
      </w:r>
    </w:p>
  </w:footnote>
  <w:footnote w:id="83">
    <w:p w14:paraId="1F086EFF"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Припремљено на основу података Министарства финансија.</w:t>
      </w:r>
    </w:p>
    <w:p w14:paraId="2196F505" w14:textId="7CE296AF" w:rsidR="007324B5" w:rsidRPr="008D683B" w:rsidRDefault="007324B5" w:rsidP="00DD29A7">
      <w:pPr>
        <w:pStyle w:val="FootnoteText"/>
        <w:jc w:val="both"/>
        <w:rPr>
          <w:rFonts w:ascii="Arial" w:hAnsi="Arial" w:cs="Arial"/>
          <w:sz w:val="16"/>
          <w:szCs w:val="16"/>
          <w:lang w:val="sr-Cyrl-RS"/>
        </w:rPr>
      </w:pPr>
      <w:r w:rsidRPr="008D683B">
        <w:rPr>
          <w:rFonts w:ascii="Arial" w:hAnsi="Arial" w:cs="Arial"/>
          <w:sz w:val="16"/>
          <w:szCs w:val="16"/>
          <w:lang w:val="sr-Cyrl-RS"/>
        </w:rPr>
        <w:t>П</w:t>
      </w:r>
      <w:r>
        <w:rPr>
          <w:rFonts w:ascii="Arial" w:hAnsi="Arial" w:cs="Arial"/>
          <w:sz w:val="16"/>
          <w:szCs w:val="16"/>
          <w:lang w:val="sr-Cyrl-RS"/>
        </w:rPr>
        <w:t>рема</w:t>
      </w:r>
      <w:r w:rsidRPr="008D683B">
        <w:rPr>
          <w:rFonts w:ascii="Arial" w:hAnsi="Arial" w:cs="Arial"/>
          <w:sz w:val="16"/>
          <w:szCs w:val="16"/>
          <w:lang w:val="sr-Cyrl-RS"/>
        </w:rPr>
        <w:t xml:space="preserve"> закључцима Фискалног савета</w:t>
      </w:r>
      <w:r>
        <w:rPr>
          <w:rFonts w:ascii="Arial" w:hAnsi="Arial" w:cs="Arial"/>
          <w:sz w:val="16"/>
          <w:szCs w:val="16"/>
          <w:lang w:val="sr-Cyrl-RS"/>
        </w:rPr>
        <w:t>,</w:t>
      </w:r>
      <w:r w:rsidRPr="008D683B">
        <w:rPr>
          <w:rFonts w:ascii="Arial" w:hAnsi="Arial" w:cs="Arial"/>
          <w:sz w:val="16"/>
          <w:szCs w:val="16"/>
          <w:lang w:val="sr-Cyrl-RS"/>
        </w:rPr>
        <w:t xml:space="preserve"> лоше планирање је последица</w:t>
      </w:r>
      <w:r>
        <w:rPr>
          <w:rFonts w:ascii="Arial" w:hAnsi="Arial" w:cs="Arial"/>
          <w:sz w:val="16"/>
          <w:szCs w:val="16"/>
          <w:lang w:val="sr-Cyrl-RS"/>
        </w:rPr>
        <w:t>,</w:t>
      </w:r>
      <w:r w:rsidRPr="008D683B">
        <w:rPr>
          <w:rFonts w:ascii="Arial" w:hAnsi="Arial" w:cs="Arial"/>
          <w:sz w:val="16"/>
          <w:szCs w:val="16"/>
          <w:lang w:val="sr-Cyrl-RS"/>
        </w:rPr>
        <w:t xml:space="preserve"> између осталог</w:t>
      </w:r>
      <w:r>
        <w:rPr>
          <w:rFonts w:ascii="Arial" w:hAnsi="Arial" w:cs="Arial"/>
          <w:sz w:val="16"/>
          <w:szCs w:val="16"/>
          <w:lang w:val="sr-Cyrl-RS"/>
        </w:rPr>
        <w:t>,</w:t>
      </w:r>
      <w:r w:rsidRPr="008D683B">
        <w:rPr>
          <w:rFonts w:ascii="Arial" w:hAnsi="Arial" w:cs="Arial"/>
          <w:sz w:val="16"/>
          <w:szCs w:val="16"/>
          <w:lang w:val="sr-Cyrl-RS"/>
        </w:rPr>
        <w:t xml:space="preserve"> укључивања заосталих обавеза из претходних година у план расхода и планирање других расхода за које је мала вероватноћа да ће се остварити (већи инвестициони пројекти). То прати увећање прихода како би буџет био у балансу и </w:t>
      </w:r>
      <w:r>
        <w:rPr>
          <w:rFonts w:ascii="Arial" w:hAnsi="Arial" w:cs="Arial"/>
          <w:sz w:val="16"/>
          <w:szCs w:val="16"/>
          <w:lang w:val="sr-Cyrl-RS"/>
        </w:rPr>
        <w:t xml:space="preserve">како </w:t>
      </w:r>
      <w:r w:rsidRPr="008D683B">
        <w:rPr>
          <w:rFonts w:ascii="Arial" w:hAnsi="Arial" w:cs="Arial"/>
          <w:sz w:val="16"/>
          <w:szCs w:val="16"/>
          <w:lang w:val="sr-Cyrl-RS"/>
        </w:rPr>
        <w:t>не би дошло до дефицита. Видети више у</w:t>
      </w:r>
      <w:r>
        <w:rPr>
          <w:rFonts w:ascii="Arial" w:hAnsi="Arial" w:cs="Arial"/>
          <w:sz w:val="16"/>
          <w:szCs w:val="16"/>
          <w:lang w:val="sr-Cyrl-RS"/>
        </w:rPr>
        <w:t>:</w:t>
      </w:r>
      <w:r w:rsidRPr="008D683B">
        <w:rPr>
          <w:rFonts w:ascii="Arial" w:hAnsi="Arial" w:cs="Arial"/>
          <w:sz w:val="16"/>
          <w:szCs w:val="16"/>
          <w:lang w:val="sr-Cyrl-RS"/>
        </w:rPr>
        <w:t xml:space="preserve"> </w:t>
      </w:r>
      <w:r w:rsidRPr="006F00E5">
        <w:rPr>
          <w:rFonts w:ascii="Arial" w:hAnsi="Arial" w:cs="Arial"/>
          <w:i/>
          <w:iCs/>
          <w:color w:val="000000" w:themeColor="text1"/>
          <w:sz w:val="16"/>
          <w:szCs w:val="16"/>
          <w:lang w:val="sr-Cyrl-RS"/>
        </w:rPr>
        <w:t>Локалне јавне финансије: Проблеми, ризици и препоруке</w:t>
      </w:r>
      <w:r w:rsidRPr="008D683B">
        <w:rPr>
          <w:rFonts w:ascii="Arial" w:hAnsi="Arial" w:cs="Arial"/>
          <w:color w:val="000000" w:themeColor="text1"/>
          <w:sz w:val="16"/>
          <w:szCs w:val="16"/>
          <w:lang w:val="sr-Cyrl-RS"/>
        </w:rPr>
        <w:t>, Фискални савет, 2017</w:t>
      </w:r>
      <w:r>
        <w:rPr>
          <w:rFonts w:ascii="Arial" w:hAnsi="Arial" w:cs="Arial"/>
          <w:color w:val="000000" w:themeColor="text1"/>
          <w:sz w:val="16"/>
          <w:szCs w:val="16"/>
          <w:lang w:val="sr-Cyrl-RS"/>
        </w:rPr>
        <w:t>.</w:t>
      </w:r>
    </w:p>
  </w:footnote>
  <w:footnote w:id="84">
    <w:p w14:paraId="1D526A33" w14:textId="3E484A62" w:rsidR="007324B5" w:rsidRPr="008D683B" w:rsidRDefault="007324B5">
      <w:pPr>
        <w:pStyle w:val="FootnoteText"/>
        <w:rPr>
          <w:lang w:val="sr-Cyrl-RS"/>
        </w:rPr>
      </w:pPr>
      <w:r w:rsidRPr="008D683B">
        <w:rPr>
          <w:rStyle w:val="FootnoteReference"/>
          <w:lang w:val="sr-Cyrl-RS"/>
        </w:rPr>
        <w:footnoteRef/>
      </w:r>
      <w:r w:rsidRPr="008D683B">
        <w:rPr>
          <w:lang w:val="sr-Cyrl-RS"/>
        </w:rPr>
        <w:t xml:space="preserve"> </w:t>
      </w:r>
      <w:r w:rsidRPr="006F00E5">
        <w:rPr>
          <w:rFonts w:ascii="Arial" w:hAnsi="Arial" w:cs="Arial"/>
          <w:i/>
          <w:iCs/>
          <w:sz w:val="16"/>
          <w:szCs w:val="16"/>
          <w:lang w:val="sr-Cyrl-RS"/>
        </w:rPr>
        <w:t>Индекс транспарентности ЛС 2020</w:t>
      </w:r>
      <w:r w:rsidRPr="008D683B">
        <w:rPr>
          <w:rFonts w:ascii="Arial" w:hAnsi="Arial" w:cs="Arial"/>
          <w:sz w:val="16"/>
          <w:szCs w:val="16"/>
          <w:lang w:val="sr-Cyrl-RS"/>
        </w:rPr>
        <w:t xml:space="preserve">: </w:t>
      </w:r>
      <w:hyperlink r:id="rId21" w:history="1">
        <w:r w:rsidRPr="0014408A">
          <w:rPr>
            <w:rStyle w:val="Hyperlink"/>
            <w:rFonts w:ascii="Arial" w:hAnsi="Arial" w:cs="Arial"/>
            <w:sz w:val="16"/>
            <w:szCs w:val="16"/>
            <w:lang w:val="sr-Cyrl-RS"/>
          </w:rPr>
          <w:t>https://www.transparentnost.org.rs/images/dokumenti_uz_vesti/LTI_2020izvestaj.pdf</w:t>
        </w:r>
      </w:hyperlink>
      <w:r>
        <w:rPr>
          <w:rFonts w:ascii="Arial" w:hAnsi="Arial" w:cs="Arial"/>
          <w:sz w:val="16"/>
          <w:szCs w:val="16"/>
          <w:lang w:val="sr-Cyrl-RS"/>
        </w:rPr>
        <w:t>.</w:t>
      </w:r>
    </w:p>
  </w:footnote>
  <w:footnote w:id="85">
    <w:p w14:paraId="37428620" w14:textId="50E1E8CE" w:rsidR="007324B5" w:rsidRPr="008D683B" w:rsidRDefault="007324B5" w:rsidP="00DD29A7">
      <w:pPr>
        <w:jc w:val="both"/>
        <w:rPr>
          <w:rFonts w:ascii="Arial" w:hAnsi="Arial" w:cs="Arial"/>
          <w:color w:val="000000" w:themeColor="text1"/>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Видети више у</w:t>
      </w:r>
      <w:r>
        <w:rPr>
          <w:rFonts w:ascii="Arial" w:hAnsi="Arial" w:cs="Arial"/>
          <w:sz w:val="16"/>
          <w:szCs w:val="16"/>
          <w:lang w:val="sr-Cyrl-RS"/>
        </w:rPr>
        <w:t>:</w:t>
      </w:r>
      <w:r w:rsidRPr="008D683B">
        <w:rPr>
          <w:rFonts w:ascii="Arial" w:hAnsi="Arial" w:cs="Arial"/>
          <w:sz w:val="16"/>
          <w:szCs w:val="16"/>
          <w:lang w:val="sr-Cyrl-RS"/>
        </w:rPr>
        <w:t xml:space="preserve"> </w:t>
      </w:r>
      <w:r w:rsidRPr="006F00E5">
        <w:rPr>
          <w:rFonts w:ascii="Arial" w:hAnsi="Arial" w:cs="Arial"/>
          <w:i/>
          <w:iCs/>
          <w:color w:val="000000" w:themeColor="text1"/>
          <w:sz w:val="16"/>
          <w:szCs w:val="16"/>
          <w:lang w:val="sr-Cyrl-RS"/>
        </w:rPr>
        <w:t>Локалне јавне финансије: Проблеми, ризици и препоруке</w:t>
      </w:r>
      <w:r w:rsidRPr="008D683B">
        <w:rPr>
          <w:rFonts w:ascii="Arial" w:hAnsi="Arial" w:cs="Arial"/>
          <w:color w:val="000000" w:themeColor="text1"/>
          <w:sz w:val="16"/>
          <w:szCs w:val="16"/>
          <w:lang w:val="sr-Cyrl-RS"/>
        </w:rPr>
        <w:t>, Фискални савет, 2017.</w:t>
      </w:r>
    </w:p>
  </w:footnote>
  <w:footnote w:id="86">
    <w:p w14:paraId="0E205424" w14:textId="05ACF870" w:rsidR="007324B5" w:rsidRPr="008D683B" w:rsidRDefault="007324B5" w:rsidP="00DD29A7">
      <w:pPr>
        <w:pStyle w:val="FootnoteText"/>
        <w:jc w:val="both"/>
        <w:rPr>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Овај проценат је и нижи (око 30%) према подацима из Консолидованог годишњег извештаја за 2018. годину о стању интерне финансијске контроле у јавном сектору у Републици Србији: </w:t>
      </w:r>
      <w:hyperlink r:id="rId22" w:history="1">
        <w:r w:rsidRPr="008D683B">
          <w:rPr>
            <w:rStyle w:val="Hyperlink"/>
            <w:rFonts w:ascii="Arial" w:hAnsi="Arial" w:cs="Arial"/>
            <w:color w:val="auto"/>
            <w:sz w:val="16"/>
            <w:szCs w:val="16"/>
            <w:lang w:val="sr-Cyrl-RS"/>
          </w:rPr>
          <w:t>https://www.mfin.gov.rs/UserFiles/File/CJH/2019/kgi/Konsolidovani%20godisnji%20izvestaj%20o%20IFKJ%20za%202018_%20godinu.pdf</w:t>
        </w:r>
      </w:hyperlink>
      <w:r>
        <w:rPr>
          <w:rFonts w:ascii="Arial" w:hAnsi="Arial" w:cs="Arial"/>
          <w:sz w:val="16"/>
          <w:szCs w:val="16"/>
          <w:lang w:val="sr-Cyrl-RS"/>
        </w:rPr>
        <w:t>.</w:t>
      </w:r>
    </w:p>
  </w:footnote>
  <w:footnote w:id="87">
    <w:p w14:paraId="0948ACBE" w14:textId="57C38CBF"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складу са ЗОБС и Уредбом о буџетском рачуноводству: </w:t>
      </w:r>
      <w:hyperlink r:id="rId23" w:history="1">
        <w:r w:rsidRPr="008D683B">
          <w:rPr>
            <w:rStyle w:val="Hyperlink"/>
            <w:rFonts w:ascii="Arial" w:hAnsi="Arial" w:cs="Arial"/>
            <w:color w:val="auto"/>
            <w:sz w:val="16"/>
            <w:szCs w:val="16"/>
            <w:lang w:val="sr-Cyrl-RS"/>
          </w:rPr>
          <w:t>https://www.paragraf.rs/propisi/uredba_o_budzetskom_racunovodstvu.html</w:t>
        </w:r>
      </w:hyperlink>
      <w:r>
        <w:rPr>
          <w:rFonts w:ascii="Arial" w:hAnsi="Arial" w:cs="Arial"/>
          <w:sz w:val="16"/>
          <w:szCs w:val="16"/>
          <w:lang w:val="sr-Cyrl-RS"/>
        </w:rPr>
        <w:t>.</w:t>
      </w:r>
    </w:p>
  </w:footnote>
  <w:footnote w:id="88">
    <w:p w14:paraId="5AC7A6BF"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Делокруг рада НАЈУ регулисан је Законом о Националној академији за јавну управу, („Службени гласник РС”, број 94/17).</w:t>
      </w:r>
    </w:p>
  </w:footnote>
  <w:footnote w:id="89">
    <w:p w14:paraId="3854E62C"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Програме стручног усавршавања чине: (1) општи програм стручног усавршавања (који припрема, развија и спроводи НАЈУ); (2) секторски програм континуираног стручног усавршавања (који припрема и развија Савет за стручно усавршавање запослених у ЈЛС); (3) секторски посебни програми стручног усавршавања (које припремају и развијају ресорна министарства за послове које су поверили ЈЛС) и (4) посебни програми стручног усавршавања (које припремају и развијају ЈЛС).</w:t>
      </w:r>
    </w:p>
  </w:footnote>
  <w:footnote w:id="90">
    <w:p w14:paraId="5F6EBE71" w14:textId="65892D2B" w:rsidR="007324B5" w:rsidRPr="008D683B" w:rsidRDefault="007324B5" w:rsidP="00DD29A7">
      <w:pPr>
        <w:pStyle w:val="FootnoteText"/>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w:t>
      </w:r>
      <w:r w:rsidRPr="008D683B">
        <w:rPr>
          <w:rFonts w:ascii="Arial" w:hAnsi="Arial" w:cs="Arial"/>
          <w:iCs/>
          <w:color w:val="000000" w:themeColor="text1"/>
          <w:sz w:val="16"/>
          <w:szCs w:val="16"/>
          <w:lang w:val="sr-Cyrl-RS"/>
        </w:rPr>
        <w:t>Уредба о коефицијентима за обрачун и исплату плата именованих и постављених лица и запослених у државним органима и јавним службама</w:t>
      </w:r>
      <w:r w:rsidRPr="008D683B">
        <w:rPr>
          <w:rFonts w:ascii="Arial" w:hAnsi="Arial" w:cs="Arial"/>
          <w:i/>
          <w:color w:val="000000" w:themeColor="text1"/>
          <w:sz w:val="16"/>
          <w:szCs w:val="16"/>
          <w:lang w:val="sr-Cyrl-RS"/>
        </w:rPr>
        <w:t xml:space="preserve"> </w:t>
      </w:r>
      <w:r w:rsidRPr="008D683B">
        <w:rPr>
          <w:rFonts w:ascii="Arial" w:hAnsi="Arial" w:cs="Arial"/>
          <w:color w:val="000000" w:themeColor="text1"/>
          <w:sz w:val="16"/>
          <w:szCs w:val="16"/>
          <w:lang w:val="sr-Cyrl-RS"/>
        </w:rPr>
        <w:t>(„Службени гласник РС”, бр. 44/08 – пречишћен текст, 2/12, 113/17 – други закон, 23/18 и 95/18 – други закон).</w:t>
      </w:r>
    </w:p>
  </w:footnote>
  <w:footnote w:id="91">
    <w:p w14:paraId="57959CB3" w14:textId="5AE1F0AC" w:rsidR="007324B5" w:rsidRPr="008D683B" w:rsidRDefault="007324B5" w:rsidP="00DD29A7">
      <w:pPr>
        <w:pStyle w:val="FootnoteText"/>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Главна подршка успостављању функције управљања људским ресурсима у локалној самоуправи обезбеђена је кроз пројекат „Управљање људским ресурсима у локалној самоуправи”</w:t>
      </w:r>
      <w:r>
        <w:rPr>
          <w:rFonts w:ascii="Arial" w:hAnsi="Arial" w:cs="Arial"/>
          <w:color w:val="000000" w:themeColor="text1"/>
          <w:sz w:val="16"/>
          <w:szCs w:val="16"/>
          <w:lang w:val="sr-Cyrl-RS"/>
        </w:rPr>
        <w:t>,</w:t>
      </w:r>
      <w:r w:rsidRPr="008D683B">
        <w:rPr>
          <w:rFonts w:ascii="Arial" w:hAnsi="Arial" w:cs="Arial"/>
          <w:i/>
          <w:iCs/>
          <w:color w:val="000000" w:themeColor="text1"/>
          <w:sz w:val="16"/>
          <w:szCs w:val="16"/>
          <w:lang w:val="sr-Cyrl-RS"/>
        </w:rPr>
        <w:t xml:space="preserve"> </w:t>
      </w:r>
      <w:r w:rsidRPr="008D683B">
        <w:rPr>
          <w:rFonts w:ascii="Arial" w:hAnsi="Arial" w:cs="Arial"/>
          <w:color w:val="000000" w:themeColor="text1"/>
          <w:sz w:val="16"/>
          <w:szCs w:val="16"/>
          <w:lang w:val="sr-Cyrl-RS"/>
        </w:rPr>
        <w:t>који спроводе Савет Европе, МДУЛС и СКГО уз финансијску подршку ЕУ,</w:t>
      </w:r>
      <w:r w:rsidRPr="008D683B">
        <w:rPr>
          <w:rFonts w:ascii="Arial" w:hAnsi="Arial" w:cs="Arial"/>
          <w:i/>
          <w:iCs/>
          <w:color w:val="000000" w:themeColor="text1"/>
          <w:sz w:val="16"/>
          <w:szCs w:val="16"/>
          <w:lang w:val="sr-Cyrl-RS"/>
        </w:rPr>
        <w:t xml:space="preserve"> </w:t>
      </w:r>
      <w:r w:rsidRPr="008D683B">
        <w:rPr>
          <w:rFonts w:ascii="Arial" w:hAnsi="Arial" w:cs="Arial"/>
          <w:color w:val="000000" w:themeColor="text1"/>
          <w:sz w:val="16"/>
          <w:szCs w:val="16"/>
          <w:lang w:val="sr-Cyrl-RS"/>
        </w:rPr>
        <w:t>чија је прва фаза трајала у периоду 2016</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2017. годин</w:t>
      </w:r>
      <w:r>
        <w:rPr>
          <w:rFonts w:ascii="Arial" w:hAnsi="Arial" w:cs="Arial"/>
          <w:color w:val="000000" w:themeColor="text1"/>
          <w:sz w:val="16"/>
          <w:szCs w:val="16"/>
          <w:lang w:val="sr-Cyrl-RS"/>
        </w:rPr>
        <w:t>е</w:t>
      </w:r>
      <w:r w:rsidRPr="008D683B">
        <w:rPr>
          <w:rFonts w:ascii="Arial" w:hAnsi="Arial" w:cs="Arial"/>
          <w:color w:val="000000" w:themeColor="text1"/>
          <w:sz w:val="16"/>
          <w:szCs w:val="16"/>
          <w:lang w:val="sr-Cyrl-RS"/>
        </w:rPr>
        <w:t>, а друга фаза започета у мају 2019. и трајаће до краја 2021. године.</w:t>
      </w:r>
    </w:p>
  </w:footnote>
  <w:footnote w:id="92">
    <w:p w14:paraId="21A96468" w14:textId="7949C0E9" w:rsidR="007324B5" w:rsidRPr="008D683B" w:rsidRDefault="007324B5" w:rsidP="00DD29A7">
      <w:pPr>
        <w:pStyle w:val="FootnoteText"/>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П</w:t>
      </w:r>
      <w:r>
        <w:rPr>
          <w:rFonts w:ascii="Arial" w:hAnsi="Arial" w:cs="Arial"/>
          <w:color w:val="000000" w:themeColor="text1"/>
          <w:sz w:val="16"/>
          <w:szCs w:val="16"/>
          <w:lang w:val="sr-Cyrl-RS"/>
        </w:rPr>
        <w:t>рема</w:t>
      </w:r>
      <w:r w:rsidRPr="008D683B">
        <w:rPr>
          <w:rFonts w:ascii="Arial" w:hAnsi="Arial" w:cs="Arial"/>
          <w:color w:val="000000" w:themeColor="text1"/>
          <w:sz w:val="16"/>
          <w:szCs w:val="16"/>
          <w:lang w:val="sr-Cyrl-RS"/>
        </w:rPr>
        <w:t xml:space="preserve"> подацима из базе ЦРОСО</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на нивоу 145 ЈЛС закључно са мај</w:t>
      </w:r>
      <w:r>
        <w:rPr>
          <w:rFonts w:ascii="Arial" w:hAnsi="Arial" w:cs="Arial"/>
          <w:color w:val="000000" w:themeColor="text1"/>
          <w:sz w:val="16"/>
          <w:szCs w:val="16"/>
          <w:lang w:val="sr-Cyrl-RS"/>
        </w:rPr>
        <w:t>е</w:t>
      </w:r>
      <w:r w:rsidRPr="008D683B">
        <w:rPr>
          <w:rFonts w:ascii="Arial" w:hAnsi="Arial" w:cs="Arial"/>
          <w:color w:val="000000" w:themeColor="text1"/>
          <w:sz w:val="16"/>
          <w:szCs w:val="16"/>
          <w:lang w:val="sr-Cyrl-RS"/>
        </w:rPr>
        <w:t>м 2020.</w:t>
      </w:r>
      <w:r>
        <w:rPr>
          <w:rFonts w:ascii="Arial" w:hAnsi="Arial" w:cs="Arial"/>
          <w:color w:val="000000" w:themeColor="text1"/>
          <w:sz w:val="16"/>
          <w:szCs w:val="16"/>
          <w:lang w:val="sr-Cyrl-RS"/>
        </w:rPr>
        <w:t xml:space="preserve"> </w:t>
      </w:r>
      <w:r w:rsidRPr="008D683B">
        <w:rPr>
          <w:rFonts w:ascii="Arial" w:hAnsi="Arial" w:cs="Arial"/>
          <w:color w:val="000000" w:themeColor="text1"/>
          <w:sz w:val="16"/>
          <w:szCs w:val="16"/>
          <w:lang w:val="sr-Cyrl-RS"/>
        </w:rPr>
        <w:t>године</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у систему локалне самоуправе запослен је 129.651 </w:t>
      </w:r>
      <w:r>
        <w:rPr>
          <w:rFonts w:ascii="Arial" w:hAnsi="Arial" w:cs="Arial"/>
          <w:color w:val="000000" w:themeColor="text1"/>
          <w:sz w:val="16"/>
          <w:szCs w:val="16"/>
          <w:lang w:val="sr-Cyrl-RS"/>
        </w:rPr>
        <w:t>човек</w:t>
      </w:r>
      <w:r w:rsidRPr="008D683B">
        <w:rPr>
          <w:rFonts w:ascii="Arial" w:hAnsi="Arial" w:cs="Arial"/>
          <w:color w:val="000000" w:themeColor="text1"/>
          <w:sz w:val="16"/>
          <w:szCs w:val="16"/>
          <w:lang w:val="sr-Cyrl-RS"/>
        </w:rPr>
        <w:t>. Од тога, по свим основама, 27.201 јесу запослени у управи (19.817 је на неодређено, 3765 на одређено и 3619 је ангажовано кроз друге врсте уговора), 41.482 су запослени у јавним установама (30.496 је на неодређено, 9086 на одређено и 1900 је ангажовано кроз друге врсте уговора)</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а 60.692 су запослени у локалним јавним предузећима (51.268 је на неодређено, 6492 на одређено и 2932 је ангажовано кроз друге врсте уговора).</w:t>
      </w:r>
    </w:p>
  </w:footnote>
  <w:footnote w:id="93">
    <w:p w14:paraId="7A7DBA67" w14:textId="3F32BD92" w:rsidR="007324B5" w:rsidRPr="008D683B" w:rsidRDefault="007324B5" w:rsidP="00DD29A7">
      <w:pPr>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Изменама и допунама ЗЛС утврђен</w:t>
      </w:r>
      <w:r>
        <w:rPr>
          <w:rFonts w:ascii="Arial" w:hAnsi="Arial" w:cs="Arial"/>
          <w:color w:val="000000" w:themeColor="text1"/>
          <w:sz w:val="16"/>
          <w:szCs w:val="16"/>
          <w:lang w:val="sr-Cyrl-RS"/>
        </w:rPr>
        <w:t xml:space="preserve"> је</w:t>
      </w:r>
      <w:r w:rsidRPr="008D683B">
        <w:rPr>
          <w:rFonts w:ascii="Arial" w:hAnsi="Arial" w:cs="Arial"/>
          <w:color w:val="000000" w:themeColor="text1"/>
          <w:sz w:val="16"/>
          <w:szCs w:val="16"/>
          <w:lang w:val="sr-Cyrl-RS"/>
        </w:rPr>
        <w:t xml:space="preserve"> максималан број чланова општинског/градског већа према броју становника по попису становништва из 2011. године: „Општинско веће, чије чланове бира скупштина општине на предлог председника општине, може да има до пет чланова за општине до 15.000 становника, до седам за општине до 50.000 становника, до девет за општине, односно градове до 100.000 становника, односно до 11 за градове преко 100.000 становника, у складу са подацима последњег пописа становништва.” </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члан 45. став 6. ЗЛС</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До наведених измена ЗЛС максималан број чланова општинског/градског већа је био 1595, што је смањење </w:t>
      </w:r>
      <w:r>
        <w:rPr>
          <w:rFonts w:ascii="Arial" w:hAnsi="Arial" w:cs="Arial"/>
          <w:color w:val="000000" w:themeColor="text1"/>
          <w:sz w:val="16"/>
          <w:szCs w:val="16"/>
          <w:lang w:val="sr-Cyrl-RS"/>
        </w:rPr>
        <w:t>за</w:t>
      </w:r>
      <w:r w:rsidRPr="008D683B">
        <w:rPr>
          <w:rFonts w:ascii="Arial" w:hAnsi="Arial" w:cs="Arial"/>
          <w:color w:val="000000" w:themeColor="text1"/>
          <w:sz w:val="16"/>
          <w:szCs w:val="16"/>
          <w:lang w:val="sr-Cyrl-RS"/>
        </w:rPr>
        <w:t xml:space="preserve"> 574 члана већа.</w:t>
      </w:r>
    </w:p>
  </w:footnote>
  <w:footnote w:id="94">
    <w:p w14:paraId="4464EC57" w14:textId="7A3C1AAE" w:rsidR="007324B5" w:rsidRPr="008D683B" w:rsidRDefault="007324B5" w:rsidP="00DD29A7">
      <w:pPr>
        <w:jc w:val="both"/>
        <w:rPr>
          <w:rFonts w:ascii="Arial" w:hAnsi="Arial" w:cs="Arial"/>
          <w:color w:val="000000" w:themeColor="text1"/>
          <w:sz w:val="16"/>
          <w:szCs w:val="16"/>
          <w:lang w:val="sr-Cyrl-RS"/>
        </w:rPr>
      </w:pPr>
      <w:r w:rsidRPr="008D683B">
        <w:rPr>
          <w:rStyle w:val="FootnoteReference"/>
          <w:rFonts w:ascii="Arial" w:hAnsi="Arial" w:cs="Arial"/>
          <w:color w:val="000000" w:themeColor="text1"/>
          <w:sz w:val="16"/>
          <w:szCs w:val="16"/>
          <w:lang w:val="sr-Cyrl-RS"/>
        </w:rPr>
        <w:footnoteRef/>
      </w:r>
      <w:r w:rsidRPr="008D683B">
        <w:rPr>
          <w:rFonts w:ascii="Arial" w:hAnsi="Arial" w:cs="Arial"/>
          <w:color w:val="000000" w:themeColor="text1"/>
          <w:sz w:val="16"/>
          <w:szCs w:val="16"/>
          <w:lang w:val="sr-Cyrl-RS"/>
        </w:rPr>
        <w:t xml:space="preserve"> Изменама и допунама ЗЛС утврђен</w:t>
      </w:r>
      <w:r>
        <w:rPr>
          <w:rFonts w:ascii="Arial" w:hAnsi="Arial" w:cs="Arial"/>
          <w:color w:val="000000" w:themeColor="text1"/>
          <w:sz w:val="16"/>
          <w:szCs w:val="16"/>
          <w:lang w:val="sr-Cyrl-RS"/>
        </w:rPr>
        <w:t xml:space="preserve"> је</w:t>
      </w:r>
      <w:r w:rsidRPr="008D683B">
        <w:rPr>
          <w:rFonts w:ascii="Arial" w:hAnsi="Arial" w:cs="Arial"/>
          <w:color w:val="000000" w:themeColor="text1"/>
          <w:sz w:val="16"/>
          <w:szCs w:val="16"/>
          <w:lang w:val="sr-Cyrl-RS"/>
        </w:rPr>
        <w:t xml:space="preserve"> максималан број помоћника градоначелника</w:t>
      </w:r>
      <w:r>
        <w:rPr>
          <w:rFonts w:ascii="Arial" w:hAnsi="Arial" w:cs="Arial"/>
          <w:color w:val="000000" w:themeColor="text1"/>
          <w:sz w:val="16"/>
          <w:szCs w:val="16"/>
          <w:lang w:val="sr-Cyrl-RS"/>
        </w:rPr>
        <w:t xml:space="preserve"> </w:t>
      </w:r>
      <w:r w:rsidRPr="008D683B">
        <w:rPr>
          <w:rFonts w:ascii="Arial" w:hAnsi="Arial" w:cs="Arial"/>
          <w:color w:val="000000" w:themeColor="text1"/>
          <w:sz w:val="16"/>
          <w:szCs w:val="16"/>
          <w:lang w:val="sr-Cyrl-RS"/>
        </w:rPr>
        <w:t>/</w:t>
      </w:r>
      <w:r>
        <w:rPr>
          <w:rFonts w:ascii="Arial" w:hAnsi="Arial" w:cs="Arial"/>
          <w:color w:val="000000" w:themeColor="text1"/>
          <w:sz w:val="16"/>
          <w:szCs w:val="16"/>
          <w:lang w:val="sr-Cyrl-RS"/>
        </w:rPr>
        <w:t xml:space="preserve"> </w:t>
      </w:r>
      <w:r w:rsidRPr="008D683B">
        <w:rPr>
          <w:rFonts w:ascii="Arial" w:hAnsi="Arial" w:cs="Arial"/>
          <w:color w:val="000000" w:themeColor="text1"/>
          <w:sz w:val="16"/>
          <w:szCs w:val="16"/>
          <w:lang w:val="sr-Cyrl-RS"/>
        </w:rPr>
        <w:t>председника општине према броју становника по попису становништва из 2011. године: „У општини до 15.000 становника може бити постављен један помоћник председника општине, у општини до 50.000 становника највише два помоћника, а у општини до 100.000 становника највише три помоћника, у складу са подацима последњег пописа становништва.</w:t>
      </w:r>
      <w:r>
        <w:rPr>
          <w:rFonts w:ascii="Arial" w:hAnsi="Arial" w:cs="Arial"/>
          <w:color w:val="000000" w:themeColor="text1"/>
          <w:sz w:val="16"/>
          <w:szCs w:val="16"/>
        </w:rPr>
        <w:t>”</w:t>
      </w:r>
      <w:r w:rsidRPr="008D683B">
        <w:rPr>
          <w:rFonts w:ascii="Arial" w:hAnsi="Arial" w:cs="Arial"/>
          <w:color w:val="000000" w:themeColor="text1"/>
          <w:sz w:val="16"/>
          <w:szCs w:val="16"/>
          <w:lang w:val="sr-Cyrl-RS"/>
        </w:rPr>
        <w:t xml:space="preserve"> </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члан 58. став 5. ЗЛС</w:t>
      </w:r>
      <w:r>
        <w:rPr>
          <w:rFonts w:ascii="Arial" w:hAnsi="Arial" w:cs="Arial"/>
          <w:color w:val="000000" w:themeColor="text1"/>
          <w:sz w:val="16"/>
          <w:szCs w:val="16"/>
          <w:lang w:val="sr-Cyrl-RS"/>
        </w:rPr>
        <w:t>).</w:t>
      </w:r>
      <w:r w:rsidRPr="008D683B">
        <w:rPr>
          <w:rFonts w:ascii="Arial" w:hAnsi="Arial" w:cs="Arial"/>
          <w:color w:val="000000" w:themeColor="text1"/>
          <w:sz w:val="16"/>
          <w:szCs w:val="16"/>
          <w:lang w:val="sr-Cyrl-RS"/>
        </w:rPr>
        <w:t xml:space="preserve"> До наведених измена ЗЛС максималан број помоћника градоначелника</w:t>
      </w:r>
      <w:r>
        <w:rPr>
          <w:rFonts w:ascii="Arial" w:hAnsi="Arial" w:cs="Arial"/>
          <w:color w:val="000000" w:themeColor="text1"/>
          <w:sz w:val="16"/>
          <w:szCs w:val="16"/>
          <w:lang w:val="sr-Cyrl-RS"/>
        </w:rPr>
        <w:t xml:space="preserve"> </w:t>
      </w:r>
      <w:r w:rsidRPr="008D683B">
        <w:rPr>
          <w:rFonts w:ascii="Arial" w:hAnsi="Arial" w:cs="Arial"/>
          <w:color w:val="000000" w:themeColor="text1"/>
          <w:sz w:val="16"/>
          <w:szCs w:val="16"/>
          <w:lang w:val="sr-Cyrl-RS"/>
        </w:rPr>
        <w:t>/</w:t>
      </w:r>
      <w:r>
        <w:rPr>
          <w:rFonts w:ascii="Arial" w:hAnsi="Arial" w:cs="Arial"/>
          <w:color w:val="000000" w:themeColor="text1"/>
          <w:sz w:val="16"/>
          <w:szCs w:val="16"/>
          <w:lang w:val="sr-Cyrl-RS"/>
        </w:rPr>
        <w:t xml:space="preserve"> </w:t>
      </w:r>
      <w:r w:rsidRPr="008D683B">
        <w:rPr>
          <w:rFonts w:ascii="Arial" w:hAnsi="Arial" w:cs="Arial"/>
          <w:color w:val="000000" w:themeColor="text1"/>
          <w:sz w:val="16"/>
          <w:szCs w:val="16"/>
          <w:lang w:val="sr-Cyrl-RS"/>
        </w:rPr>
        <w:t xml:space="preserve">председника општине је био 481, што је смањење </w:t>
      </w:r>
      <w:r>
        <w:rPr>
          <w:rFonts w:ascii="Arial" w:hAnsi="Arial" w:cs="Arial"/>
          <w:color w:val="000000" w:themeColor="text1"/>
          <w:sz w:val="16"/>
          <w:szCs w:val="16"/>
          <w:lang w:val="sr-Cyrl-RS"/>
        </w:rPr>
        <w:t>за</w:t>
      </w:r>
      <w:r w:rsidRPr="008D683B">
        <w:rPr>
          <w:rFonts w:ascii="Arial" w:hAnsi="Arial" w:cs="Arial"/>
          <w:color w:val="000000" w:themeColor="text1"/>
          <w:sz w:val="16"/>
          <w:szCs w:val="16"/>
          <w:lang w:val="sr-Cyrl-RS"/>
        </w:rPr>
        <w:t xml:space="preserve"> 202 помоћника.</w:t>
      </w:r>
    </w:p>
  </w:footnote>
  <w:footnote w:id="95">
    <w:p w14:paraId="6ECBA73C" w14:textId="0080A7EB"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Функционална анализа је урађена у оквиру </w:t>
      </w:r>
      <w:r w:rsidRPr="008D683B">
        <w:rPr>
          <w:rFonts w:ascii="Arial" w:hAnsi="Arial" w:cs="Arial"/>
          <w:bCs/>
          <w:color w:val="000000"/>
          <w:sz w:val="16"/>
          <w:szCs w:val="16"/>
          <w:lang w:val="sr-Cyrl-RS"/>
        </w:rPr>
        <w:t>пројекта „Подршка спровођењу Акционог плана Стратегије реформе јавне управе – реформе локалне самоуправе 2016</w:t>
      </w:r>
      <w:r>
        <w:rPr>
          <w:rFonts w:ascii="Arial" w:hAnsi="Arial" w:cs="Arial"/>
          <w:bCs/>
          <w:color w:val="000000"/>
          <w:sz w:val="16"/>
          <w:szCs w:val="16"/>
          <w:lang w:val="sr-Cyrl-RS"/>
        </w:rPr>
        <w:t>–</w:t>
      </w:r>
      <w:r w:rsidRPr="008D683B">
        <w:rPr>
          <w:rFonts w:ascii="Arial" w:hAnsi="Arial" w:cs="Arial"/>
          <w:bCs/>
          <w:color w:val="000000"/>
          <w:sz w:val="16"/>
          <w:szCs w:val="16"/>
          <w:lang w:val="sr-Cyrl-RS"/>
        </w:rPr>
        <w:t>2019”, који спроводи МДУЛС, уз подршку Швајцарске Владе. МДУЛС је за реализацију овог пројектног задатка ангажова</w:t>
      </w:r>
      <w:r>
        <w:rPr>
          <w:rFonts w:ascii="Arial" w:hAnsi="Arial" w:cs="Arial"/>
          <w:bCs/>
          <w:color w:val="000000"/>
          <w:sz w:val="16"/>
          <w:szCs w:val="16"/>
          <w:lang w:val="sr-Cyrl-RS"/>
        </w:rPr>
        <w:t>л</w:t>
      </w:r>
      <w:r w:rsidRPr="008D683B">
        <w:rPr>
          <w:rFonts w:ascii="Arial" w:hAnsi="Arial" w:cs="Arial"/>
          <w:bCs/>
          <w:color w:val="000000"/>
          <w:sz w:val="16"/>
          <w:szCs w:val="16"/>
          <w:lang w:val="sr-Cyrl-RS"/>
        </w:rPr>
        <w:t xml:space="preserve">о конзорцијум </w:t>
      </w:r>
      <w:r w:rsidRPr="006F00E5">
        <w:rPr>
          <w:rFonts w:ascii="Arial" w:hAnsi="Arial" w:cs="Arial"/>
          <w:bCs/>
          <w:i/>
          <w:iCs/>
          <w:color w:val="000000"/>
          <w:sz w:val="16"/>
          <w:szCs w:val="16"/>
          <w:lang w:val="sr-Cyrl-RS"/>
        </w:rPr>
        <w:t>Change Management Consultants – OPTIMUS – Центар за добро управљање</w:t>
      </w:r>
      <w:r w:rsidRPr="008D683B">
        <w:rPr>
          <w:rFonts w:ascii="Arial" w:hAnsi="Arial" w:cs="Arial"/>
          <w:bCs/>
          <w:color w:val="000000"/>
          <w:sz w:val="16"/>
          <w:szCs w:val="16"/>
          <w:lang w:val="sr-Cyrl-RS"/>
        </w:rPr>
        <w:t>.</w:t>
      </w:r>
    </w:p>
  </w:footnote>
  <w:footnote w:id="96">
    <w:p w14:paraId="15DB9CA4" w14:textId="1165FA18"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Индекс за </w:t>
      </w:r>
      <w:r w:rsidRPr="008D683B">
        <w:rPr>
          <w:rFonts w:ascii="Arial" w:hAnsi="Arial" w:cs="Arial"/>
          <w:bCs/>
          <w:sz w:val="16"/>
          <w:szCs w:val="16"/>
          <w:lang w:val="sr-Cyrl-RS" w:eastAsia="ar-SA"/>
        </w:rPr>
        <w:t xml:space="preserve">УЉР </w:t>
      </w:r>
      <w:r w:rsidRPr="008D683B">
        <w:rPr>
          <w:rFonts w:ascii="Arial" w:hAnsi="Arial" w:cs="Arial"/>
          <w:sz w:val="16"/>
          <w:szCs w:val="16"/>
          <w:lang w:val="sr-Cyrl-RS"/>
        </w:rPr>
        <w:t>је инструмент СКГО за процену капацитета ЈЛС за спровођење послова у области УЉР. Последње истраживање је рађено у периоду јануар</w:t>
      </w:r>
      <w:r>
        <w:rPr>
          <w:rFonts w:ascii="Arial" w:hAnsi="Arial" w:cs="Arial"/>
          <w:sz w:val="16"/>
          <w:szCs w:val="16"/>
          <w:lang w:val="sr-Cyrl-RS"/>
        </w:rPr>
        <w:t>–</w:t>
      </w:r>
      <w:r w:rsidRPr="008D683B">
        <w:rPr>
          <w:rFonts w:ascii="Arial" w:hAnsi="Arial" w:cs="Arial"/>
          <w:sz w:val="16"/>
          <w:szCs w:val="16"/>
          <w:lang w:val="sr-Cyrl-RS"/>
        </w:rPr>
        <w:t>фебруар и јун</w:t>
      </w:r>
      <w:r>
        <w:rPr>
          <w:rFonts w:ascii="Arial" w:hAnsi="Arial" w:cs="Arial"/>
          <w:sz w:val="16"/>
          <w:szCs w:val="16"/>
          <w:lang w:val="sr-Cyrl-RS"/>
        </w:rPr>
        <w:t>–</w:t>
      </w:r>
      <w:r w:rsidRPr="008D683B">
        <w:rPr>
          <w:rFonts w:ascii="Arial" w:hAnsi="Arial" w:cs="Arial"/>
          <w:sz w:val="16"/>
          <w:szCs w:val="16"/>
          <w:lang w:val="sr-Cyrl-RS"/>
        </w:rPr>
        <w:t>јул 2020. године на 50 ЈЛС које су обухваћене пакетима подршке за УЉР у оквиру програма „Управљање људским ресурсима у локалној самоуправи – фаза 2” и 20 ЈЛС које нису биле укључене у пакете подршке за УЉР.</w:t>
      </w:r>
    </w:p>
  </w:footnote>
  <w:footnote w:id="97">
    <w:p w14:paraId="66DCAAEC" w14:textId="198CBFCC" w:rsidR="007324B5" w:rsidRPr="008D683B" w:rsidRDefault="007324B5" w:rsidP="006F00E5">
      <w:pPr>
        <w:pStyle w:val="ListParagraph"/>
        <w:ind w:left="0"/>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Свеобухватна база података треба да омогући интероперабилност са централним евиденцијама за које су ЈЛС дужне да достављају податке и она је кључни алат за адекватно управљање свим аспектима људских ресурса. Таква база, осим персоналних досијеа и кадровске евиденције, треба да садржи и детаљне податке о стручном усавршавању, праћењу рада и оцењивању запослених. Ово представља основ за повезивање учинка запослених са стратешким циљевима и циљевима организације, документовано напредовање у каријери, санкционисање и награђивање запослених, као и учење и каријерни развој запослених.</w:t>
      </w:r>
    </w:p>
  </w:footnote>
  <w:footnote w:id="98">
    <w:p w14:paraId="3A961838" w14:textId="77777777" w:rsidR="007324B5" w:rsidRPr="008D683B" w:rsidRDefault="007324B5" w:rsidP="00DD29A7">
      <w:pPr>
        <w:jc w:val="both"/>
        <w:rPr>
          <w:rFonts w:ascii="Arial" w:hAnsi="Arial" w:cs="Arial"/>
          <w:iCs/>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Овде треба имати у виду да је подзаконски акт </w:t>
      </w:r>
      <w:r w:rsidRPr="008D683B">
        <w:rPr>
          <w:rFonts w:ascii="Arial" w:hAnsi="Arial" w:cs="Arial"/>
          <w:iCs/>
          <w:sz w:val="16"/>
          <w:szCs w:val="16"/>
          <w:lang w:val="sr-Cyrl-RS"/>
        </w:rPr>
        <w:t>Упутство о методологији за утврђивање потреба усвојен у мају 2019. године.</w:t>
      </w:r>
    </w:p>
  </w:footnote>
  <w:footnote w:id="99">
    <w:p w14:paraId="2B2BF92E" w14:textId="411E1EC9"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Да постоје изазови у вези са припремом посебних програма стручног усавршавања (ППСУ) </w:t>
      </w:r>
      <w:r>
        <w:rPr>
          <w:rFonts w:ascii="Arial" w:hAnsi="Arial" w:cs="Arial"/>
          <w:sz w:val="16"/>
          <w:szCs w:val="16"/>
          <w:lang w:val="sr-Cyrl-RS"/>
        </w:rPr>
        <w:t>по</w:t>
      </w:r>
      <w:r w:rsidRPr="008D683B">
        <w:rPr>
          <w:rFonts w:ascii="Arial" w:hAnsi="Arial" w:cs="Arial"/>
          <w:sz w:val="16"/>
          <w:szCs w:val="16"/>
          <w:lang w:val="sr-Cyrl-RS"/>
        </w:rPr>
        <w:t>казују и подаци да је Савет за стручно усавршавање запослених у ЈЛС, као надлежно тело за давање мишљења на предлоге ППСУ које припремају ЈЛС, током 2018. године примио 30 предлога ППСУ (18 је добило позитивно мишљење, а 12 предлоге за измене), а током 2019. године 15 предлога ППСУ (осам је добило позитивно мишљења, а 7 предлоге за измене). Ово показује да је у односу на 2018. годину број ППСУ кој</w:t>
      </w:r>
      <w:r>
        <w:rPr>
          <w:rFonts w:ascii="Arial" w:hAnsi="Arial" w:cs="Arial"/>
          <w:sz w:val="16"/>
          <w:szCs w:val="16"/>
          <w:lang w:val="sr-Cyrl-RS"/>
        </w:rPr>
        <w:t>и</w:t>
      </w:r>
      <w:r w:rsidRPr="008D683B">
        <w:rPr>
          <w:rFonts w:ascii="Arial" w:hAnsi="Arial" w:cs="Arial"/>
          <w:sz w:val="16"/>
          <w:szCs w:val="16"/>
          <w:lang w:val="sr-Cyrl-RS"/>
        </w:rPr>
        <w:t xml:space="preserve"> су поднети Савету у 2019. годин</w:t>
      </w:r>
      <w:r>
        <w:rPr>
          <w:rFonts w:ascii="Arial" w:hAnsi="Arial" w:cs="Arial"/>
          <w:sz w:val="16"/>
          <w:szCs w:val="16"/>
          <w:lang w:val="sr-Cyrl-RS"/>
        </w:rPr>
        <w:t>и</w:t>
      </w:r>
      <w:r w:rsidRPr="008D683B">
        <w:rPr>
          <w:rFonts w:ascii="Arial" w:hAnsi="Arial" w:cs="Arial"/>
          <w:sz w:val="16"/>
          <w:szCs w:val="16"/>
          <w:lang w:val="sr-Cyrl-RS"/>
        </w:rPr>
        <w:t xml:space="preserve"> опао за 50%. Видети више у: Вујин, Соња (2020)</w:t>
      </w:r>
      <w:r>
        <w:rPr>
          <w:rFonts w:ascii="Arial" w:hAnsi="Arial" w:cs="Arial"/>
          <w:sz w:val="16"/>
          <w:szCs w:val="16"/>
          <w:lang w:val="sr-Cyrl-RS"/>
        </w:rPr>
        <w:t>,</w:t>
      </w:r>
      <w:r w:rsidRPr="008D683B">
        <w:rPr>
          <w:rFonts w:ascii="Arial" w:hAnsi="Arial" w:cs="Arial"/>
          <w:sz w:val="16"/>
          <w:szCs w:val="16"/>
          <w:lang w:val="sr-Cyrl-RS"/>
        </w:rPr>
        <w:t xml:space="preserve"> </w:t>
      </w:r>
      <w:r w:rsidRPr="006F00E5">
        <w:rPr>
          <w:rFonts w:ascii="Arial" w:hAnsi="Arial" w:cs="Arial"/>
          <w:i/>
          <w:sz w:val="16"/>
          <w:szCs w:val="16"/>
          <w:lang w:val="sr-Cyrl-RS"/>
        </w:rPr>
        <w:t>Анализа посебних програма стручног усавршавања запослених у ЈЛС за 2019. годину</w:t>
      </w:r>
      <w:r>
        <w:rPr>
          <w:rFonts w:ascii="Arial" w:hAnsi="Arial" w:cs="Arial"/>
          <w:sz w:val="16"/>
          <w:szCs w:val="16"/>
          <w:lang w:val="sr-Cyrl-RS"/>
        </w:rPr>
        <w:t>,</w:t>
      </w:r>
      <w:r w:rsidRPr="008D683B">
        <w:rPr>
          <w:rFonts w:ascii="Arial" w:hAnsi="Arial" w:cs="Arial"/>
          <w:sz w:val="16"/>
          <w:szCs w:val="16"/>
          <w:lang w:val="sr-Cyrl-RS"/>
        </w:rPr>
        <w:t xml:space="preserve"> Београд: Пројекат </w:t>
      </w:r>
      <w:r>
        <w:rPr>
          <w:rFonts w:ascii="Arial" w:hAnsi="Arial" w:cs="Arial"/>
          <w:sz w:val="16"/>
          <w:szCs w:val="16"/>
          <w:lang w:val="sr-Cyrl-RS"/>
        </w:rPr>
        <w:t>„У</w:t>
      </w:r>
      <w:r w:rsidRPr="008D683B">
        <w:rPr>
          <w:rFonts w:ascii="Arial" w:hAnsi="Arial" w:cs="Arial"/>
          <w:sz w:val="16"/>
          <w:szCs w:val="16"/>
          <w:lang w:val="sr-Cyrl-RS"/>
        </w:rPr>
        <w:t>прављање људским ресурсима у локалној самоуправи – фаза 2</w:t>
      </w:r>
      <w:r>
        <w:rPr>
          <w:rFonts w:ascii="Arial" w:hAnsi="Arial" w:cs="Arial"/>
          <w:sz w:val="16"/>
          <w:szCs w:val="16"/>
        </w:rPr>
        <w:t>”</w:t>
      </w:r>
      <w:r w:rsidRPr="008D683B">
        <w:rPr>
          <w:rFonts w:ascii="Arial" w:hAnsi="Arial" w:cs="Arial"/>
          <w:sz w:val="16"/>
          <w:szCs w:val="16"/>
          <w:lang w:val="sr-Cyrl-RS"/>
        </w:rPr>
        <w:t>.</w:t>
      </w:r>
    </w:p>
  </w:footnote>
  <w:footnote w:id="100">
    <w:p w14:paraId="51033593" w14:textId="2C44301C"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Наведено према: С. Вујин, </w:t>
      </w:r>
      <w:r w:rsidRPr="006F00E5">
        <w:rPr>
          <w:rFonts w:ascii="Arial" w:hAnsi="Arial" w:cs="Arial"/>
          <w:i/>
          <w:iCs/>
          <w:sz w:val="16"/>
          <w:szCs w:val="16"/>
          <w:lang w:val="sr-Cyrl-RS"/>
        </w:rPr>
        <w:t>Анализа посебних програма стручног усавршавања запослених у ЈЛС за 2019.годину</w:t>
      </w:r>
      <w:r w:rsidRPr="008D683B">
        <w:rPr>
          <w:rFonts w:ascii="Arial" w:hAnsi="Arial" w:cs="Arial"/>
          <w:sz w:val="16"/>
          <w:szCs w:val="16"/>
          <w:lang w:val="sr-Cyrl-RS"/>
        </w:rPr>
        <w:t xml:space="preserve">, Пројекат </w:t>
      </w:r>
      <w:r>
        <w:rPr>
          <w:rFonts w:ascii="Arial" w:hAnsi="Arial" w:cs="Arial"/>
          <w:sz w:val="16"/>
          <w:szCs w:val="16"/>
          <w:lang w:val="sr-Cyrl-RS"/>
        </w:rPr>
        <w:t>„У</w:t>
      </w:r>
      <w:r w:rsidRPr="008D683B">
        <w:rPr>
          <w:rFonts w:ascii="Arial" w:hAnsi="Arial" w:cs="Arial"/>
          <w:sz w:val="16"/>
          <w:szCs w:val="16"/>
          <w:lang w:val="sr-Cyrl-RS"/>
        </w:rPr>
        <w:t>прављање људским ресурсима у локалној самоуправи – фаза 2</w:t>
      </w:r>
      <w:r>
        <w:rPr>
          <w:rFonts w:ascii="Arial" w:hAnsi="Arial" w:cs="Arial"/>
          <w:sz w:val="16"/>
          <w:szCs w:val="16"/>
        </w:rPr>
        <w:t>”</w:t>
      </w:r>
      <w:r w:rsidRPr="008D683B">
        <w:rPr>
          <w:rFonts w:ascii="Arial" w:hAnsi="Arial" w:cs="Arial"/>
          <w:sz w:val="16"/>
          <w:szCs w:val="16"/>
          <w:lang w:val="sr-Cyrl-RS"/>
        </w:rPr>
        <w:t>.</w:t>
      </w:r>
    </w:p>
  </w:footnote>
  <w:footnote w:id="101">
    <w:p w14:paraId="032B1668" w14:textId="5CD690AC" w:rsidR="007324B5" w:rsidRPr="008D683B" w:rsidRDefault="007324B5" w:rsidP="00DD29A7">
      <w:pPr>
        <w:pStyle w:val="Comment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Pr>
          <w:rFonts w:ascii="Arial" w:hAnsi="Arial" w:cs="Arial"/>
          <w:sz w:val="16"/>
          <w:szCs w:val="16"/>
          <w:lang w:val="sr-Cyrl-RS"/>
        </w:rPr>
        <w:t>Т</w:t>
      </w:r>
      <w:r w:rsidRPr="008D683B">
        <w:rPr>
          <w:rFonts w:ascii="Arial" w:hAnsi="Arial" w:cs="Arial"/>
          <w:sz w:val="16"/>
          <w:szCs w:val="16"/>
          <w:lang w:val="sr-Cyrl-RS"/>
        </w:rPr>
        <w:t>ок</w:t>
      </w:r>
      <w:r>
        <w:rPr>
          <w:rFonts w:ascii="Arial" w:hAnsi="Arial" w:cs="Arial"/>
          <w:sz w:val="16"/>
          <w:szCs w:val="16"/>
          <w:lang w:val="sr-Cyrl-RS"/>
        </w:rPr>
        <w:t>ом</w:t>
      </w:r>
      <w:r w:rsidRPr="008D683B">
        <w:rPr>
          <w:rFonts w:ascii="Arial" w:hAnsi="Arial" w:cs="Arial"/>
          <w:sz w:val="16"/>
          <w:szCs w:val="16"/>
          <w:lang w:val="sr-Cyrl-RS"/>
        </w:rPr>
        <w:t xml:space="preserve"> 2019.</w:t>
      </w:r>
      <w:r>
        <w:rPr>
          <w:rFonts w:ascii="Arial" w:hAnsi="Arial" w:cs="Arial"/>
          <w:sz w:val="16"/>
          <w:szCs w:val="16"/>
          <w:lang w:val="sr-Cyrl-RS"/>
        </w:rPr>
        <w:t xml:space="preserve"> године</w:t>
      </w:r>
      <w:r w:rsidRPr="008D683B">
        <w:rPr>
          <w:rFonts w:ascii="Arial" w:hAnsi="Arial" w:cs="Arial"/>
          <w:sz w:val="16"/>
          <w:szCs w:val="16"/>
          <w:lang w:val="sr-Cyrl-RS"/>
        </w:rPr>
        <w:t xml:space="preserve"> НАЈУ је спровела укупно 103 курса за запослене у ЛС, које је похађало 1687 полазника. У истом периоду СКГО је: (1) кроз успостављени систем стручног усавршавања спровела 70 регионалних курсева и три програма е-обуке на којима је учествовало око 1400 полазника из 150 ЈЛС; (2) у оквиру пакета подршке општинама, организовала 200 програма обуке и радионица са преко 3200 учесника; и (3) организовала преко 130 стручних радионица на којима је учестовало више од 4000 учесника из локалне самоуправе.</w:t>
      </w:r>
    </w:p>
  </w:footnote>
  <w:footnote w:id="102">
    <w:p w14:paraId="27074AA1" w14:textId="2E78F6FE"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Велики број програма обуке који се комерцијално нуди јавној управи веома </w:t>
      </w:r>
      <w:r>
        <w:rPr>
          <w:rFonts w:ascii="Arial" w:hAnsi="Arial" w:cs="Arial"/>
          <w:sz w:val="16"/>
          <w:szCs w:val="16"/>
          <w:lang w:val="sr-Cyrl-RS"/>
        </w:rPr>
        <w:t>је</w:t>
      </w:r>
      <w:r w:rsidRPr="008D683B">
        <w:rPr>
          <w:rFonts w:ascii="Arial" w:hAnsi="Arial" w:cs="Arial"/>
          <w:sz w:val="16"/>
          <w:szCs w:val="16"/>
          <w:lang w:val="sr-Cyrl-RS"/>
        </w:rPr>
        <w:t xml:space="preserve"> значајан, али највећи део није акредитован у систему стручног усавршавања и зато не улази у званичну евиденцију.</w:t>
      </w:r>
    </w:p>
  </w:footnote>
  <w:footnote w:id="103">
    <w:p w14:paraId="30C5EDC7" w14:textId="71A84650" w:rsidR="007324B5" w:rsidRPr="008D683B" w:rsidRDefault="007324B5" w:rsidP="00DD29A7">
      <w:pPr>
        <w:contextualSpacing/>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eastAsiaTheme="minorEastAsia" w:hAnsi="Arial" w:cs="Arial"/>
          <w:sz w:val="16"/>
          <w:szCs w:val="16"/>
          <w:lang w:val="sr-Cyrl-RS"/>
        </w:rPr>
        <w:t>Најзначајније међународне организације које се баве промоцијом и одређивањем садржине начела доброг управљања су Уједињене нације (Генерална скупштина, Комисија за људска права), Светска банка, Међународни монетарни фонд, Организација за економску сарадњу и развој, Савет Европе и Европска унија.</w:t>
      </w:r>
    </w:p>
  </w:footnote>
  <w:footnote w:id="104">
    <w:p w14:paraId="343FC150" w14:textId="77777777" w:rsidR="007324B5" w:rsidRPr="008D683B" w:rsidRDefault="007324B5" w:rsidP="00DD29A7">
      <w:pPr>
        <w:contextualSpacing/>
        <w:jc w:val="both"/>
        <w:rPr>
          <w:rFonts w:ascii="Arial" w:eastAsiaTheme="minorEastAsia"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eastAsiaTheme="minorEastAsia" w:hAnsi="Arial" w:cs="Arial"/>
          <w:sz w:val="16"/>
          <w:szCs w:val="16"/>
          <w:lang w:val="sr-Cyrl-RS"/>
        </w:rPr>
        <w:t>То су: (1) поштени избори, представљање и учешће грађана у одлучивању, (2) управа која одговара потребама грађана, (3) ефикасност и делотворност, (4) отвореност и транспарентност, (5) владавина права; (6) етички кодекс, (7) стручност и капацитети, (8) иновативност и отвореност за промене, 9) Одрживост и дугорочна оријентација, (10) одговорно финансијско управљање, (11) људска права, културна разноликост и социјална кохезија и (12) одговорност.</w:t>
      </w:r>
    </w:p>
  </w:footnote>
  <w:footnote w:id="105">
    <w:p w14:paraId="5267699E" w14:textId="5F9E554F"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Уредба, поред осталог, упућује ЈЛС и на Смернице добре праксе за израду планова развоја, које скупштина ЈЛС може користити када одређује поступак припреме плана развоја ЈЛС и његову садржину. Ове смернице за израду планова развоја ЈЛС је објавио Републички секретаријат за јавне политике. Видети више на: </w:t>
      </w:r>
      <w:hyperlink r:id="rId24" w:history="1">
        <w:r w:rsidRPr="008D683B">
          <w:rPr>
            <w:rStyle w:val="Hyperlink"/>
            <w:rFonts w:ascii="Arial" w:hAnsi="Arial" w:cs="Arial"/>
            <w:color w:val="auto"/>
            <w:sz w:val="16"/>
            <w:szCs w:val="16"/>
            <w:lang w:val="sr-Cyrl-RS"/>
          </w:rPr>
          <w:t>https://rsjp.gov.rs/wp-content/uploads/Prirucnik-za-lokalnu-samoupravu-web_final.pdf</w:t>
        </w:r>
      </w:hyperlink>
      <w:r>
        <w:rPr>
          <w:rStyle w:val="Hyperlink"/>
          <w:rFonts w:ascii="Arial" w:hAnsi="Arial" w:cs="Arial"/>
          <w:color w:val="auto"/>
          <w:sz w:val="16"/>
          <w:szCs w:val="16"/>
          <w:lang w:val="sr-Cyrl-RS"/>
        </w:rPr>
        <w:t>.</w:t>
      </w:r>
    </w:p>
  </w:footnote>
  <w:footnote w:id="106">
    <w:p w14:paraId="36C75625" w14:textId="461635A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Видети више на: </w:t>
      </w:r>
      <w:hyperlink r:id="rId25" w:history="1">
        <w:r w:rsidRPr="008D683B">
          <w:rPr>
            <w:rStyle w:val="Hyperlink"/>
            <w:rFonts w:ascii="Arial" w:hAnsi="Arial" w:cs="Arial"/>
            <w:color w:val="auto"/>
            <w:sz w:val="16"/>
            <w:szCs w:val="16"/>
            <w:lang w:val="sr-Cyrl-RS"/>
          </w:rPr>
          <w:t>https://bit.ly/35in46u</w:t>
        </w:r>
      </w:hyperlink>
      <w:r>
        <w:rPr>
          <w:rStyle w:val="Hyperlink"/>
          <w:rFonts w:ascii="Arial" w:hAnsi="Arial" w:cs="Arial"/>
          <w:color w:val="auto"/>
          <w:sz w:val="16"/>
          <w:szCs w:val="16"/>
          <w:lang w:val="sr-Cyrl-RS"/>
        </w:rPr>
        <w:t>.</w:t>
      </w:r>
    </w:p>
  </w:footnote>
  <w:footnote w:id="107">
    <w:p w14:paraId="03EA05A4" w14:textId="5D160E21"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Видети више на: </w:t>
      </w:r>
      <w:hyperlink r:id="rId26" w:history="1">
        <w:r w:rsidRPr="008D683B">
          <w:rPr>
            <w:rStyle w:val="Hyperlink"/>
            <w:rFonts w:ascii="Arial" w:hAnsi="Arial" w:cs="Arial"/>
            <w:color w:val="auto"/>
            <w:sz w:val="16"/>
            <w:szCs w:val="16"/>
            <w:lang w:val="sr-Cyrl-RS"/>
          </w:rPr>
          <w:t>https://bit.ly/3mXb9S5</w:t>
        </w:r>
      </w:hyperlink>
      <w:r>
        <w:rPr>
          <w:rStyle w:val="Hyperlink"/>
          <w:rFonts w:ascii="Arial" w:hAnsi="Arial" w:cs="Arial"/>
          <w:color w:val="auto"/>
          <w:sz w:val="16"/>
          <w:szCs w:val="16"/>
          <w:lang w:val="sr-Cyrl-RS"/>
        </w:rPr>
        <w:t>.</w:t>
      </w:r>
    </w:p>
  </w:footnote>
  <w:footnote w:id="108">
    <w:p w14:paraId="43E71941" w14:textId="583BA76B" w:rsidR="007324B5" w:rsidRPr="008D683B" w:rsidRDefault="007324B5" w:rsidP="00DD29A7">
      <w:pPr>
        <w:pStyle w:val="FootnoteText"/>
        <w:jc w:val="both"/>
        <w:rPr>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Видети више на: </w:t>
      </w:r>
      <w:hyperlink r:id="rId27" w:history="1">
        <w:r w:rsidRPr="008D683B">
          <w:rPr>
            <w:rStyle w:val="Hyperlink"/>
            <w:rFonts w:ascii="Arial" w:hAnsi="Arial" w:cs="Arial"/>
            <w:color w:val="auto"/>
            <w:sz w:val="16"/>
            <w:szCs w:val="16"/>
            <w:lang w:val="sr-Cyrl-RS"/>
          </w:rPr>
          <w:t>https://bit.ly/30iHfxN</w:t>
        </w:r>
      </w:hyperlink>
      <w:r>
        <w:rPr>
          <w:sz w:val="16"/>
          <w:szCs w:val="16"/>
          <w:lang w:val="sr-Cyrl-RS"/>
        </w:rPr>
        <w:t>.</w:t>
      </w:r>
    </w:p>
  </w:footnote>
  <w:footnote w:id="109">
    <w:p w14:paraId="13C0A0B1" w14:textId="1E43452C"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b/>
          <w:bCs/>
          <w:sz w:val="16"/>
          <w:szCs w:val="16"/>
          <w:lang w:val="sr-Cyrl-RS"/>
        </w:rPr>
        <w:t>Индекс добре</w:t>
      </w:r>
      <w:r w:rsidRPr="008D683B">
        <w:rPr>
          <w:rFonts w:ascii="Arial" w:hAnsi="Arial" w:cs="Arial"/>
          <w:sz w:val="16"/>
          <w:szCs w:val="16"/>
          <w:lang w:val="sr-Cyrl-RS"/>
        </w:rPr>
        <w:t xml:space="preserve"> управе СКГО је мерни инструмент за праћење остваривања начела доброг управљања на локалном нивоу и треба да послужи као барометар стања у области одговорности, транспарентности, учешћа, економичности и делотворности, равноправности и антикорупције. У њему су одређени објективни и мерљиви индикатори за сагледавање реалног стања у остваривању јавних политика, законских права и дужности, као и </w:t>
      </w:r>
      <w:r>
        <w:rPr>
          <w:rFonts w:ascii="Arial" w:hAnsi="Arial" w:cs="Arial"/>
          <w:sz w:val="16"/>
          <w:szCs w:val="16"/>
          <w:lang w:val="sr-Cyrl-RS"/>
        </w:rPr>
        <w:t xml:space="preserve">за </w:t>
      </w:r>
      <w:r w:rsidRPr="008D683B">
        <w:rPr>
          <w:rFonts w:ascii="Arial" w:hAnsi="Arial" w:cs="Arial"/>
          <w:sz w:val="16"/>
          <w:szCs w:val="16"/>
          <w:lang w:val="sr-Cyrl-RS"/>
        </w:rPr>
        <w:t>препознавање оних области које треба унапредити. Индекс је осмишљен тако да градови и општине кроз попуњавање упитника и самопроцену могу да стекну увид у степен уважавања начела доброг управљања у оквиру спровођења сопствених надлежности, односно да имају могућност да помоћу објективних и мерљивих индикатора сагледају свој учинак и издвоје оно што треба унапредити, али и оно где су успоставили добру праксу у погледу спровођења законодавног оквира и јавних политика. Иако је у питању алат за самопроцену, за потребе спровођења анализе СКГО из 2018. године, ангажован је тим спољних оцењивача који је заједно са тимовима из ЈЛС радио на прикупљању података и провери и потврди остварености индикатора.</w:t>
      </w:r>
    </w:p>
  </w:footnote>
  <w:footnote w:id="110">
    <w:p w14:paraId="5FE1641D" w14:textId="371D9423" w:rsidR="007324B5" w:rsidRPr="008D683B" w:rsidRDefault="007324B5" w:rsidP="00DD29A7">
      <w:pPr>
        <w:jc w:val="both"/>
        <w:rPr>
          <w:rFonts w:ascii="Arial" w:eastAsiaTheme="minorEastAsia"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hyperlink r:id="rId28" w:history="1">
        <w:r w:rsidRPr="008D683B">
          <w:rPr>
            <w:rFonts w:ascii="Arial" w:eastAsiaTheme="minorEastAsia" w:hAnsi="Arial" w:cs="Arial"/>
            <w:sz w:val="16"/>
            <w:szCs w:val="16"/>
            <w:lang w:val="sr-Cyrl-RS"/>
          </w:rPr>
          <w:t>https://www.transparentnost.org.rs/index.php/sr/istraivanja-o-korupciji/lti</w:t>
        </w:r>
      </w:hyperlink>
      <w:r>
        <w:rPr>
          <w:rFonts w:ascii="Arial" w:eastAsiaTheme="minorEastAsia" w:hAnsi="Arial" w:cs="Arial"/>
          <w:sz w:val="16"/>
          <w:szCs w:val="16"/>
          <w:lang w:val="sr-Cyrl-RS"/>
        </w:rPr>
        <w:t>.</w:t>
      </w:r>
    </w:p>
  </w:footnote>
  <w:footnote w:id="111">
    <w:p w14:paraId="64CAA71E" w14:textId="55D35A71" w:rsidR="007324B5" w:rsidRPr="008D683B" w:rsidRDefault="007324B5" w:rsidP="00DD29A7">
      <w:pPr>
        <w:jc w:val="both"/>
        <w:rPr>
          <w:rFonts w:ascii="Arial" w:eastAsiaTheme="minorEastAsia"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Према </w:t>
      </w:r>
      <w:r w:rsidRPr="008D683B">
        <w:rPr>
          <w:rFonts w:ascii="Arial" w:eastAsiaTheme="minorEastAsia" w:hAnsi="Arial" w:cs="Arial"/>
          <w:sz w:val="16"/>
          <w:szCs w:val="16"/>
          <w:lang w:val="sr-Cyrl-RS"/>
        </w:rPr>
        <w:t xml:space="preserve">последњим подацима Агенције за борбу против корупције (децембар 2019), 102 ЈЛС </w:t>
      </w:r>
      <w:r>
        <w:rPr>
          <w:rFonts w:ascii="Arial" w:eastAsiaTheme="minorEastAsia" w:hAnsi="Arial" w:cs="Arial"/>
          <w:sz w:val="16"/>
          <w:szCs w:val="16"/>
          <w:lang w:val="sr-Cyrl-RS"/>
        </w:rPr>
        <w:t xml:space="preserve">су </w:t>
      </w:r>
      <w:r w:rsidRPr="008D683B">
        <w:rPr>
          <w:rFonts w:ascii="Arial" w:eastAsiaTheme="minorEastAsia" w:hAnsi="Arial" w:cs="Arial"/>
          <w:sz w:val="16"/>
          <w:szCs w:val="16"/>
          <w:lang w:val="sr-Cyrl-RS"/>
        </w:rPr>
        <w:t>усвојил</w:t>
      </w:r>
      <w:r>
        <w:rPr>
          <w:rFonts w:ascii="Arial" w:eastAsiaTheme="minorEastAsia" w:hAnsi="Arial" w:cs="Arial"/>
          <w:sz w:val="16"/>
          <w:szCs w:val="16"/>
          <w:lang w:val="sr-Cyrl-RS"/>
        </w:rPr>
        <w:t>е</w:t>
      </w:r>
      <w:r w:rsidRPr="008D683B">
        <w:rPr>
          <w:rFonts w:ascii="Arial" w:eastAsiaTheme="minorEastAsia" w:hAnsi="Arial" w:cs="Arial"/>
          <w:sz w:val="16"/>
          <w:szCs w:val="16"/>
          <w:lang w:val="sr-Cyrl-RS"/>
        </w:rPr>
        <w:t xml:space="preserve"> ЛАП, од </w:t>
      </w:r>
      <w:r>
        <w:rPr>
          <w:rFonts w:ascii="Arial" w:eastAsiaTheme="minorEastAsia" w:hAnsi="Arial" w:cs="Arial"/>
          <w:sz w:val="16"/>
          <w:szCs w:val="16"/>
          <w:lang w:val="sr-Cyrl-RS"/>
        </w:rPr>
        <w:t>чега</w:t>
      </w:r>
      <w:r w:rsidRPr="008D683B">
        <w:rPr>
          <w:rFonts w:ascii="Arial" w:eastAsiaTheme="minorEastAsia" w:hAnsi="Arial" w:cs="Arial"/>
          <w:sz w:val="16"/>
          <w:szCs w:val="16"/>
          <w:lang w:val="sr-Cyrl-RS"/>
        </w:rPr>
        <w:t xml:space="preserve"> је 81 то урадило у потпуности, а 14 делимично у складу са Моделом ЛАП-а који је припремила Агенција у сарадњи са СКГО. Међутим, само 28 ЈЛС формирало је тело задужено за праћење примене ЛАП</w:t>
      </w:r>
      <w:r>
        <w:rPr>
          <w:rFonts w:ascii="Arial" w:eastAsiaTheme="minorEastAsia" w:hAnsi="Arial" w:cs="Arial"/>
          <w:sz w:val="16"/>
          <w:szCs w:val="16"/>
          <w:lang w:val="sr-Cyrl-RS"/>
        </w:rPr>
        <w:t>-а</w:t>
      </w:r>
      <w:r w:rsidRPr="008D683B">
        <w:rPr>
          <w:rFonts w:ascii="Arial" w:eastAsiaTheme="minorEastAsia" w:hAnsi="Arial" w:cs="Arial"/>
          <w:sz w:val="16"/>
          <w:szCs w:val="16"/>
          <w:lang w:val="sr-Cyrl-RS"/>
        </w:rPr>
        <w:t xml:space="preserve">, од </w:t>
      </w:r>
      <w:r>
        <w:rPr>
          <w:rFonts w:ascii="Arial" w:eastAsiaTheme="minorEastAsia" w:hAnsi="Arial" w:cs="Arial"/>
          <w:sz w:val="16"/>
          <w:szCs w:val="16"/>
          <w:lang w:val="sr-Cyrl-RS"/>
        </w:rPr>
        <w:t>чега</w:t>
      </w:r>
      <w:r w:rsidRPr="008D683B">
        <w:rPr>
          <w:rFonts w:ascii="Arial" w:eastAsiaTheme="minorEastAsia" w:hAnsi="Arial" w:cs="Arial"/>
          <w:sz w:val="16"/>
          <w:szCs w:val="16"/>
          <w:lang w:val="sr-Cyrl-RS"/>
        </w:rPr>
        <w:t xml:space="preserve"> је 20 </w:t>
      </w:r>
      <w:r>
        <w:rPr>
          <w:rFonts w:ascii="Arial" w:eastAsiaTheme="minorEastAsia" w:hAnsi="Arial" w:cs="Arial"/>
          <w:sz w:val="16"/>
          <w:szCs w:val="16"/>
          <w:lang w:val="sr-Cyrl-RS"/>
        </w:rPr>
        <w:t xml:space="preserve">тела </w:t>
      </w:r>
      <w:r w:rsidRPr="008D683B">
        <w:rPr>
          <w:rFonts w:ascii="Arial" w:eastAsiaTheme="minorEastAsia" w:hAnsi="Arial" w:cs="Arial"/>
          <w:sz w:val="16"/>
          <w:szCs w:val="16"/>
          <w:lang w:val="sr-Cyrl-RS"/>
        </w:rPr>
        <w:t>формирано углавном у складу с Моделом.</w:t>
      </w:r>
    </w:p>
  </w:footnote>
  <w:footnote w:id="112">
    <w:p w14:paraId="4D7A0A08" w14:textId="1EADFD92"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Наведено према: Транспарентност Србија (2020)</w:t>
      </w:r>
      <w:r>
        <w:rPr>
          <w:rFonts w:ascii="Arial" w:hAnsi="Arial" w:cs="Arial"/>
          <w:sz w:val="16"/>
          <w:szCs w:val="16"/>
          <w:lang w:val="sr-Cyrl-RS"/>
        </w:rPr>
        <w:t>,</w:t>
      </w:r>
      <w:r w:rsidRPr="008D683B">
        <w:rPr>
          <w:rFonts w:ascii="Arial" w:hAnsi="Arial" w:cs="Arial"/>
          <w:sz w:val="16"/>
          <w:szCs w:val="16"/>
          <w:lang w:val="sr-Cyrl-RS"/>
        </w:rPr>
        <w:t xml:space="preserve"> </w:t>
      </w:r>
      <w:r w:rsidRPr="006F00E5">
        <w:rPr>
          <w:rFonts w:ascii="Arial" w:hAnsi="Arial" w:cs="Arial"/>
          <w:i/>
          <w:iCs/>
          <w:sz w:val="16"/>
          <w:szCs w:val="16"/>
          <w:lang w:val="sr-Cyrl-RS"/>
        </w:rPr>
        <w:t>Индекс транспарентности локалне самоуправе</w:t>
      </w:r>
      <w:r w:rsidRPr="008D683B">
        <w:rPr>
          <w:rFonts w:ascii="Arial" w:hAnsi="Arial" w:cs="Arial"/>
          <w:sz w:val="16"/>
          <w:szCs w:val="16"/>
          <w:lang w:val="sr-Cyrl-RS"/>
        </w:rPr>
        <w:t xml:space="preserve">. Видети више на: </w:t>
      </w:r>
      <w:hyperlink r:id="rId29" w:history="1">
        <w:r w:rsidRPr="008D683B">
          <w:rPr>
            <w:rStyle w:val="Hyperlink"/>
            <w:rFonts w:ascii="Arial" w:hAnsi="Arial" w:cs="Arial"/>
            <w:color w:val="auto"/>
            <w:sz w:val="16"/>
            <w:szCs w:val="16"/>
            <w:lang w:val="sr-Cyrl-RS"/>
          </w:rPr>
          <w:t>https://www.transparentnost.org.rs/images/dokumenti_uz_vesti/LTI_2020_-_PPT_za_KZN.pdf</w:t>
        </w:r>
      </w:hyperlink>
      <w:r>
        <w:rPr>
          <w:rStyle w:val="Hyperlink"/>
          <w:rFonts w:ascii="Arial" w:hAnsi="Arial" w:cs="Arial"/>
          <w:color w:val="auto"/>
          <w:sz w:val="16"/>
          <w:szCs w:val="16"/>
          <w:lang w:val="sr-Cyrl-RS"/>
        </w:rPr>
        <w:t>.</w:t>
      </w:r>
    </w:p>
  </w:footnote>
  <w:footnote w:id="113">
    <w:p w14:paraId="3F2756AF" w14:textId="13E582C3" w:rsidR="007324B5" w:rsidRPr="008D683B" w:rsidRDefault="007324B5">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https://naled.rs/certifikacija-opstina-bfc-see</w:t>
      </w:r>
      <w:r>
        <w:rPr>
          <w:rFonts w:ascii="Arial" w:hAnsi="Arial" w:cs="Arial"/>
          <w:sz w:val="16"/>
          <w:szCs w:val="16"/>
          <w:lang w:val="sr-Cyrl-RS"/>
        </w:rPr>
        <w:t>.</w:t>
      </w:r>
    </w:p>
  </w:footnote>
  <w:footnote w:id="114">
    <w:p w14:paraId="4DEEBC60" w14:textId="10FA109B" w:rsidR="007324B5" w:rsidRPr="008D683B" w:rsidRDefault="007324B5" w:rsidP="00E50A52">
      <w:pPr>
        <w:jc w:val="both"/>
        <w:rPr>
          <w:lang w:val="sr-Cyrl-RS"/>
        </w:rPr>
      </w:pPr>
      <w:r w:rsidRPr="008D683B">
        <w:rPr>
          <w:rStyle w:val="FootnoteReference"/>
          <w:sz w:val="16"/>
          <w:szCs w:val="16"/>
          <w:lang w:val="sr-Cyrl-RS"/>
        </w:rPr>
        <w:footnoteRef/>
      </w:r>
      <w:r w:rsidRPr="008D683B">
        <w:rPr>
          <w:sz w:val="16"/>
          <w:szCs w:val="16"/>
          <w:lang w:val="sr-Cyrl-RS"/>
        </w:rPr>
        <w:t xml:space="preserve"> </w:t>
      </w:r>
      <w:r w:rsidRPr="008D683B">
        <w:rPr>
          <w:rFonts w:ascii="Arial" w:hAnsi="Arial" w:cs="Arial"/>
          <w:color w:val="000000" w:themeColor="text1"/>
          <w:sz w:val="16"/>
          <w:szCs w:val="16"/>
          <w:lang w:val="sr-Cyrl-RS"/>
        </w:rPr>
        <w:t>Критеријуми</w:t>
      </w:r>
      <w:r>
        <w:rPr>
          <w:rFonts w:ascii="Arial" w:hAnsi="Arial" w:cs="Arial"/>
          <w:color w:val="000000" w:themeColor="text1"/>
          <w:sz w:val="16"/>
          <w:szCs w:val="16"/>
          <w:lang w:val="sr-Cyrl-RS"/>
        </w:rPr>
        <w:t xml:space="preserve"> су</w:t>
      </w:r>
      <w:r w:rsidRPr="008D683B">
        <w:rPr>
          <w:rFonts w:ascii="Arial" w:hAnsi="Arial" w:cs="Arial"/>
          <w:color w:val="000000" w:themeColor="text1"/>
          <w:sz w:val="16"/>
          <w:szCs w:val="16"/>
          <w:lang w:val="sr-Cyrl-RS"/>
        </w:rPr>
        <w:t xml:space="preserve">: 1. Стратегија локалног развоја; 2. </w:t>
      </w:r>
      <w:r>
        <w:rPr>
          <w:rFonts w:ascii="Arial" w:hAnsi="Arial" w:cs="Arial"/>
          <w:color w:val="000000" w:themeColor="text1"/>
          <w:sz w:val="16"/>
          <w:szCs w:val="16"/>
          <w:lang w:val="sr-Cyrl-RS"/>
        </w:rPr>
        <w:t>о</w:t>
      </w:r>
      <w:r w:rsidRPr="008D683B">
        <w:rPr>
          <w:rFonts w:ascii="Arial" w:hAnsi="Arial" w:cs="Arial"/>
          <w:color w:val="000000" w:themeColor="text1"/>
          <w:sz w:val="16"/>
          <w:szCs w:val="16"/>
          <w:lang w:val="sr-Cyrl-RS"/>
        </w:rPr>
        <w:t xml:space="preserve">рганизациона јединица која је задужена за локални економски развој (КЛЕР); 3. </w:t>
      </w:r>
      <w:r>
        <w:rPr>
          <w:rFonts w:ascii="Arial" w:hAnsi="Arial" w:cs="Arial"/>
          <w:color w:val="000000" w:themeColor="text1"/>
          <w:sz w:val="16"/>
          <w:szCs w:val="16"/>
          <w:lang w:val="sr-Cyrl-RS"/>
        </w:rPr>
        <w:t>с</w:t>
      </w:r>
      <w:r w:rsidRPr="008D683B">
        <w:rPr>
          <w:rFonts w:ascii="Arial" w:hAnsi="Arial" w:cs="Arial"/>
          <w:color w:val="000000" w:themeColor="text1"/>
          <w:sz w:val="16"/>
          <w:szCs w:val="16"/>
          <w:lang w:val="sr-Cyrl-RS"/>
        </w:rPr>
        <w:t xml:space="preserve">арадња јавног и приватног сектора; 4. </w:t>
      </w:r>
      <w:r>
        <w:rPr>
          <w:rFonts w:ascii="Arial" w:hAnsi="Arial" w:cs="Arial"/>
          <w:color w:val="000000" w:themeColor="text1"/>
          <w:sz w:val="16"/>
          <w:szCs w:val="16"/>
          <w:lang w:val="sr-Cyrl-RS"/>
        </w:rPr>
        <w:t>с</w:t>
      </w:r>
      <w:r w:rsidRPr="008D683B">
        <w:rPr>
          <w:rFonts w:ascii="Arial" w:hAnsi="Arial" w:cs="Arial"/>
          <w:color w:val="000000" w:themeColor="text1"/>
          <w:sz w:val="16"/>
          <w:szCs w:val="16"/>
          <w:lang w:val="sr-Cyrl-RS"/>
        </w:rPr>
        <w:t xml:space="preserve">истем услуга за добијање дозволе за градњу; 5. </w:t>
      </w:r>
      <w:r>
        <w:rPr>
          <w:rFonts w:ascii="Arial" w:hAnsi="Arial" w:cs="Arial"/>
          <w:color w:val="000000" w:themeColor="text1"/>
          <w:sz w:val="16"/>
          <w:szCs w:val="16"/>
          <w:lang w:val="sr-Cyrl-RS"/>
        </w:rPr>
        <w:t>п</w:t>
      </w:r>
      <w:r w:rsidRPr="008D683B">
        <w:rPr>
          <w:rFonts w:ascii="Arial" w:hAnsi="Arial" w:cs="Arial"/>
          <w:color w:val="000000" w:themeColor="text1"/>
          <w:sz w:val="16"/>
          <w:szCs w:val="16"/>
          <w:lang w:val="sr-Cyrl-RS"/>
        </w:rPr>
        <w:t>остојање аналитичке основе за подршку</w:t>
      </w:r>
      <w:r w:rsidRPr="008D683B">
        <w:rPr>
          <w:sz w:val="16"/>
          <w:szCs w:val="16"/>
          <w:lang w:val="sr-Cyrl-RS"/>
        </w:rPr>
        <w:t xml:space="preserve"> </w:t>
      </w:r>
      <w:r w:rsidRPr="008D683B">
        <w:rPr>
          <w:rFonts w:ascii="Arial" w:hAnsi="Arial" w:cs="Arial"/>
          <w:color w:val="000000" w:themeColor="text1"/>
          <w:sz w:val="16"/>
          <w:szCs w:val="16"/>
          <w:lang w:val="sr-Cyrl-RS"/>
        </w:rPr>
        <w:t xml:space="preserve">локалној пословној заједници и привлачење инвестиција; 6. </w:t>
      </w:r>
      <w:r>
        <w:rPr>
          <w:rFonts w:ascii="Arial" w:hAnsi="Arial" w:cs="Arial"/>
          <w:color w:val="000000" w:themeColor="text1"/>
          <w:sz w:val="16"/>
          <w:szCs w:val="16"/>
          <w:lang w:val="sr-Cyrl-RS"/>
        </w:rPr>
        <w:t>а</w:t>
      </w:r>
      <w:r w:rsidRPr="008D683B">
        <w:rPr>
          <w:rFonts w:ascii="Arial" w:hAnsi="Arial" w:cs="Arial"/>
          <w:color w:val="000000" w:themeColor="text1"/>
          <w:sz w:val="16"/>
          <w:szCs w:val="16"/>
          <w:lang w:val="sr-Cyrl-RS"/>
        </w:rPr>
        <w:t xml:space="preserve">ктивности за промоцију улагања и квалитета пословног амбијента у граду/општини; 7. </w:t>
      </w:r>
      <w:r>
        <w:rPr>
          <w:rFonts w:ascii="Arial" w:hAnsi="Arial" w:cs="Arial"/>
          <w:color w:val="000000" w:themeColor="text1"/>
          <w:sz w:val="16"/>
          <w:szCs w:val="16"/>
          <w:lang w:val="sr-Cyrl-RS"/>
        </w:rPr>
        <w:t>п</w:t>
      </w:r>
      <w:r w:rsidRPr="008D683B">
        <w:rPr>
          <w:rFonts w:ascii="Arial" w:hAnsi="Arial" w:cs="Arial"/>
          <w:color w:val="000000" w:themeColor="text1"/>
          <w:sz w:val="16"/>
          <w:szCs w:val="16"/>
          <w:lang w:val="sr-Cyrl-RS"/>
        </w:rPr>
        <w:t xml:space="preserve">редвидивост трошкова пословања и одговорно управљање финансијама; 8. </w:t>
      </w:r>
      <w:r>
        <w:rPr>
          <w:rFonts w:ascii="Arial" w:hAnsi="Arial" w:cs="Arial"/>
          <w:color w:val="000000" w:themeColor="text1"/>
          <w:sz w:val="16"/>
          <w:szCs w:val="16"/>
          <w:lang w:val="sr-Cyrl-RS"/>
        </w:rPr>
        <w:t>п</w:t>
      </w:r>
      <w:r w:rsidRPr="008D683B">
        <w:rPr>
          <w:rFonts w:ascii="Arial" w:hAnsi="Arial" w:cs="Arial"/>
          <w:color w:val="000000" w:themeColor="text1"/>
          <w:sz w:val="16"/>
          <w:szCs w:val="16"/>
          <w:lang w:val="sr-Cyrl-RS"/>
        </w:rPr>
        <w:t xml:space="preserve">раћење динамике локалног тржишта рада и активан однос према утврђеном стању и потребама; 9. </w:t>
      </w:r>
      <w:r>
        <w:rPr>
          <w:rFonts w:ascii="Arial" w:hAnsi="Arial" w:cs="Arial"/>
          <w:color w:val="000000" w:themeColor="text1"/>
          <w:sz w:val="16"/>
          <w:szCs w:val="16"/>
          <w:lang w:val="sr-Cyrl-RS"/>
        </w:rPr>
        <w:t>г</w:t>
      </w:r>
      <w:r w:rsidRPr="008D683B">
        <w:rPr>
          <w:rFonts w:ascii="Arial" w:hAnsi="Arial" w:cs="Arial"/>
          <w:color w:val="000000" w:themeColor="text1"/>
          <w:sz w:val="16"/>
          <w:szCs w:val="16"/>
          <w:lang w:val="sr-Cyrl-RS"/>
        </w:rPr>
        <w:t>рад/</w:t>
      </w:r>
      <w:r>
        <w:rPr>
          <w:rFonts w:ascii="Arial" w:hAnsi="Arial" w:cs="Arial"/>
          <w:color w:val="000000" w:themeColor="text1"/>
          <w:sz w:val="16"/>
          <w:szCs w:val="16"/>
          <w:lang w:val="sr-Cyrl-RS"/>
        </w:rPr>
        <w:t>о</w:t>
      </w:r>
      <w:r w:rsidRPr="008D683B">
        <w:rPr>
          <w:rFonts w:ascii="Arial" w:hAnsi="Arial" w:cs="Arial"/>
          <w:color w:val="000000" w:themeColor="text1"/>
          <w:sz w:val="16"/>
          <w:szCs w:val="16"/>
          <w:lang w:val="sr-Cyrl-RS"/>
        </w:rPr>
        <w:t xml:space="preserve">пштина пружа подршку развоју предузетништва; 10. </w:t>
      </w:r>
      <w:r>
        <w:rPr>
          <w:rFonts w:ascii="Arial" w:hAnsi="Arial" w:cs="Arial"/>
          <w:color w:val="000000" w:themeColor="text1"/>
          <w:sz w:val="16"/>
          <w:szCs w:val="16"/>
          <w:lang w:val="sr-Cyrl-RS"/>
        </w:rPr>
        <w:t>а</w:t>
      </w:r>
      <w:r w:rsidRPr="008D683B">
        <w:rPr>
          <w:rFonts w:ascii="Arial" w:hAnsi="Arial" w:cs="Arial"/>
          <w:color w:val="000000" w:themeColor="text1"/>
          <w:sz w:val="16"/>
          <w:szCs w:val="16"/>
          <w:lang w:val="sr-Cyrl-RS"/>
        </w:rPr>
        <w:t>декватна инфраструктура и поуздане комуналне услуге</w:t>
      </w:r>
      <w:r>
        <w:rPr>
          <w:rFonts w:ascii="Arial" w:hAnsi="Arial" w:cs="Arial"/>
          <w:color w:val="000000" w:themeColor="text1"/>
          <w:sz w:val="16"/>
          <w:szCs w:val="16"/>
          <w:lang w:val="sr-Cyrl-RS"/>
        </w:rPr>
        <w:t>.</w:t>
      </w:r>
    </w:p>
  </w:footnote>
  <w:footnote w:id="115">
    <w:p w14:paraId="58B669BB" w14:textId="645BD6F5" w:rsidR="007324B5" w:rsidRPr="008D683B" w:rsidRDefault="007324B5" w:rsidP="00E50A52">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hyperlink r:id="rId30" w:history="1">
        <w:r w:rsidRPr="008D683B">
          <w:rPr>
            <w:rStyle w:val="Hyperlink"/>
            <w:rFonts w:ascii="Arial" w:hAnsi="Arial" w:cs="Arial"/>
            <w:sz w:val="16"/>
            <w:szCs w:val="16"/>
            <w:lang w:val="sr-Cyrl-RS"/>
          </w:rPr>
          <w:t>http://www.pravno-informacioni-sistem.rs/SlGlasnikPortal/eli/rep/sgrs/vlada/strategija/2015/107/1/reg</w:t>
        </w:r>
      </w:hyperlink>
      <w:r>
        <w:rPr>
          <w:rFonts w:ascii="Arial" w:hAnsi="Arial" w:cs="Arial"/>
          <w:sz w:val="16"/>
          <w:szCs w:val="16"/>
          <w:lang w:val="sr-Cyrl-RS"/>
        </w:rPr>
        <w:t>.</w:t>
      </w:r>
    </w:p>
  </w:footnote>
  <w:footnote w:id="116">
    <w:p w14:paraId="6903061F" w14:textId="32526E3D" w:rsidR="007324B5" w:rsidRPr="008D683B" w:rsidRDefault="007324B5" w:rsidP="00E50A52">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Предлог је био да посебно тело буде састављено од представника јединица локалних самоуправа ради имплементације е-сервиса на нивоу </w:t>
      </w:r>
      <w:r>
        <w:rPr>
          <w:rFonts w:ascii="Arial" w:hAnsi="Arial" w:cs="Arial"/>
          <w:sz w:val="16"/>
          <w:szCs w:val="16"/>
          <w:lang w:val="sr-Cyrl-RS"/>
        </w:rPr>
        <w:t>ЈЛС</w:t>
      </w:r>
      <w:r w:rsidRPr="008D683B">
        <w:rPr>
          <w:rFonts w:ascii="Arial" w:hAnsi="Arial" w:cs="Arial"/>
          <w:sz w:val="16"/>
          <w:szCs w:val="16"/>
          <w:lang w:val="sr-Cyrl-RS"/>
        </w:rPr>
        <w:t>, а координацију и управљање би вршила Радна група за електронску управу</w:t>
      </w:r>
      <w:r>
        <w:rPr>
          <w:rFonts w:ascii="Arial" w:hAnsi="Arial" w:cs="Arial"/>
          <w:sz w:val="16"/>
          <w:szCs w:val="16"/>
          <w:lang w:val="sr-Cyrl-RS"/>
        </w:rPr>
        <w:t>,</w:t>
      </w:r>
      <w:r w:rsidRPr="008D683B">
        <w:rPr>
          <w:rFonts w:ascii="Arial" w:hAnsi="Arial" w:cs="Arial"/>
          <w:sz w:val="16"/>
          <w:szCs w:val="16"/>
          <w:lang w:val="sr-Cyrl-RS"/>
        </w:rPr>
        <w:t xml:space="preserve"> коју образује Савет за реформу јавне управе</w:t>
      </w:r>
      <w:r>
        <w:rPr>
          <w:rFonts w:ascii="Arial" w:hAnsi="Arial" w:cs="Arial"/>
          <w:sz w:val="16"/>
          <w:szCs w:val="16"/>
          <w:lang w:val="sr-Cyrl-RS"/>
        </w:rPr>
        <w:t>.</w:t>
      </w:r>
    </w:p>
  </w:footnote>
  <w:footnote w:id="117">
    <w:p w14:paraId="340EAF46" w14:textId="53A514C5" w:rsidR="007324B5" w:rsidRPr="008D683B" w:rsidRDefault="007324B5" w:rsidP="00E50A52">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Служба Владе </w:t>
      </w:r>
      <w:r w:rsidRPr="008D683B">
        <w:rPr>
          <w:rFonts w:ascii="Arial" w:hAnsi="Arial" w:cs="Arial"/>
          <w:sz w:val="16"/>
          <w:szCs w:val="16"/>
          <w:shd w:val="clear" w:color="auto" w:fill="FFFFFF"/>
          <w:lang w:val="sr-Cyrl-RS"/>
        </w:rPr>
        <w:t>Канцеларија за информационе технологије и електронску управу основана је</w:t>
      </w:r>
      <w:r>
        <w:rPr>
          <w:rFonts w:ascii="Arial" w:hAnsi="Arial" w:cs="Arial"/>
          <w:sz w:val="16"/>
          <w:szCs w:val="16"/>
          <w:shd w:val="clear" w:color="auto" w:fill="FFFFFF"/>
          <w:lang w:val="sr-Cyrl-RS"/>
        </w:rPr>
        <w:t xml:space="preserve"> </w:t>
      </w:r>
      <w:hyperlink r:id="rId31" w:tgtFrame="_blank" w:tooltip="Уредбом о Канцеларији за информационе технологије и електронску управу" w:history="1">
        <w:r w:rsidRPr="008D683B">
          <w:rPr>
            <w:rStyle w:val="Hyperlink"/>
            <w:rFonts w:ascii="Arial" w:hAnsi="Arial" w:cs="Arial"/>
            <w:sz w:val="16"/>
            <w:szCs w:val="16"/>
            <w:shd w:val="clear" w:color="auto" w:fill="FFFFFF"/>
            <w:lang w:val="sr-Cyrl-RS"/>
          </w:rPr>
          <w:t>Уредбом о Канцеларији за информационе технологије и електронску управу</w:t>
        </w:r>
      </w:hyperlink>
      <w:r>
        <w:rPr>
          <w:rStyle w:val="Hyperlink"/>
          <w:rFonts w:ascii="Arial" w:hAnsi="Arial" w:cs="Arial"/>
          <w:sz w:val="16"/>
          <w:szCs w:val="16"/>
          <w:shd w:val="clear" w:color="auto" w:fill="FFFFFF"/>
          <w:lang w:val="sr-Cyrl-RS"/>
        </w:rPr>
        <w:t xml:space="preserve"> </w:t>
      </w:r>
      <w:r w:rsidRPr="008D683B">
        <w:rPr>
          <w:rFonts w:ascii="Arial" w:hAnsi="Arial" w:cs="Arial"/>
          <w:sz w:val="16"/>
          <w:szCs w:val="16"/>
          <w:shd w:val="clear" w:color="auto" w:fill="FFFFFF"/>
          <w:lang w:val="sr-Cyrl-RS"/>
        </w:rPr>
        <w:t>(„Службени гласник РС</w:t>
      </w:r>
      <w:r>
        <w:rPr>
          <w:rFonts w:ascii="Arial" w:hAnsi="Arial" w:cs="Arial"/>
          <w:sz w:val="16"/>
          <w:szCs w:val="16"/>
          <w:shd w:val="clear" w:color="auto" w:fill="FFFFFF"/>
        </w:rPr>
        <w:t>”</w:t>
      </w:r>
      <w:r w:rsidRPr="008D683B">
        <w:rPr>
          <w:rFonts w:ascii="Arial" w:hAnsi="Arial" w:cs="Arial"/>
          <w:sz w:val="16"/>
          <w:szCs w:val="16"/>
          <w:shd w:val="clear" w:color="auto" w:fill="FFFFFF"/>
          <w:lang w:val="sr-Cyrl-RS"/>
        </w:rPr>
        <w:t>, број 73/17, 8/19)</w:t>
      </w:r>
      <w:r>
        <w:rPr>
          <w:rFonts w:ascii="Arial" w:hAnsi="Arial" w:cs="Arial"/>
          <w:sz w:val="16"/>
          <w:szCs w:val="16"/>
          <w:shd w:val="clear" w:color="auto" w:fill="FFFFFF"/>
          <w:lang w:val="sr-Cyrl-RS"/>
        </w:rPr>
        <w:t xml:space="preserve">, </w:t>
      </w:r>
      <w:hyperlink r:id="rId32" w:history="1">
        <w:r w:rsidRPr="008D683B">
          <w:rPr>
            <w:rStyle w:val="Hyperlink"/>
            <w:rFonts w:ascii="Arial" w:hAnsi="Arial" w:cs="Arial"/>
            <w:sz w:val="16"/>
            <w:szCs w:val="16"/>
            <w:shd w:val="clear" w:color="auto" w:fill="FFFFFF"/>
            <w:lang w:val="sr-Cyrl-RS"/>
          </w:rPr>
          <w:t>http://www.pravno-informacioni-sistem.rs/SlGlasnikPortal/eli/rep/sgrs/vlada/uredba/2017/73/2/reg</w:t>
        </w:r>
      </w:hyperlink>
      <w:r>
        <w:rPr>
          <w:rFonts w:ascii="Arial" w:hAnsi="Arial" w:cs="Arial"/>
          <w:sz w:val="16"/>
          <w:szCs w:val="16"/>
          <w:shd w:val="clear" w:color="auto" w:fill="FFFFFF"/>
          <w:lang w:val="sr-Cyrl-RS"/>
        </w:rPr>
        <w:t>.</w:t>
      </w:r>
    </w:p>
  </w:footnote>
  <w:footnote w:id="118">
    <w:p w14:paraId="3266EC5E" w14:textId="7F1ABC0E" w:rsidR="007324B5" w:rsidRPr="006F00E5" w:rsidRDefault="007324B5" w:rsidP="00E50A52">
      <w:pPr>
        <w:pStyle w:val="FootnoteText"/>
        <w:jc w:val="both"/>
        <w:rPr>
          <w:rFonts w:ascii="Arial" w:hAnsi="Arial" w:cs="Arial"/>
          <w:sz w:val="16"/>
          <w:szCs w:val="16"/>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hyperlink r:id="rId33" w:history="1">
        <w:r w:rsidRPr="008D683B">
          <w:rPr>
            <w:rStyle w:val="Hyperlink"/>
            <w:rFonts w:ascii="Arial" w:hAnsi="Arial" w:cs="Arial"/>
            <w:color w:val="auto"/>
            <w:sz w:val="16"/>
            <w:szCs w:val="16"/>
            <w:lang w:val="sr-Cyrl-RS"/>
          </w:rPr>
          <w:t>https://www.pravno-informacioni-sistem.rs/SlGlasnikPortal/eli/rep/sgrs/vlada/drugiakt/2020/85/1/reg</w:t>
        </w:r>
      </w:hyperlink>
      <w:r>
        <w:rPr>
          <w:rFonts w:ascii="Arial" w:hAnsi="Arial" w:cs="Arial"/>
          <w:sz w:val="16"/>
          <w:szCs w:val="16"/>
        </w:rPr>
        <w:t>.</w:t>
      </w:r>
    </w:p>
  </w:footnote>
  <w:footnote w:id="119">
    <w:p w14:paraId="3186A71E" w14:textId="3FAD53E8" w:rsidR="007324B5" w:rsidRPr="008D683B" w:rsidRDefault="007324B5" w:rsidP="002144E5">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Style w:val="FootnoteReference"/>
          <w:rFonts w:ascii="Arial" w:hAnsi="Arial" w:cs="Arial"/>
          <w:sz w:val="16"/>
          <w:szCs w:val="16"/>
          <w:lang w:val="sr-Cyrl-RS"/>
        </w:rPr>
        <w:t xml:space="preserve"> </w:t>
      </w:r>
      <w:r w:rsidRPr="008D683B">
        <w:rPr>
          <w:rFonts w:ascii="Arial" w:hAnsi="Arial" w:cs="Arial"/>
          <w:sz w:val="16"/>
          <w:szCs w:val="16"/>
          <w:lang w:val="sr-Cyrl-RS"/>
        </w:rPr>
        <w:t>Повезивање ЈЛС на Јединствену информационо-комуникациону мрежу – до 2022. године 85% ЈЛС ће бити повезано на е-мрежу свих органа; унапређење доменске инфраструктуре; имплементација обавезе коришћења упр.срб/gov.rs домена; унапређење сервиса за коришћење електронског налога овлашћених службен</w:t>
      </w:r>
      <w:r>
        <w:rPr>
          <w:rFonts w:ascii="Arial" w:hAnsi="Arial" w:cs="Arial"/>
          <w:sz w:val="16"/>
          <w:szCs w:val="16"/>
          <w:lang w:val="sr-Cyrl-RS"/>
        </w:rPr>
        <w:t>их</w:t>
      </w:r>
      <w:r w:rsidRPr="008D683B">
        <w:rPr>
          <w:rFonts w:ascii="Arial" w:hAnsi="Arial" w:cs="Arial"/>
          <w:sz w:val="16"/>
          <w:szCs w:val="16"/>
          <w:lang w:val="sr-Cyrl-RS"/>
        </w:rPr>
        <w:t xml:space="preserve"> лица; унапређење људских капацитета кроз спровођење обука из домена е-управе и пружања услуга итд.</w:t>
      </w:r>
    </w:p>
  </w:footnote>
  <w:footnote w:id="120">
    <w:p w14:paraId="15C602FE" w14:textId="77777777" w:rsidR="007324B5" w:rsidRPr="008D683B" w:rsidRDefault="007324B5" w:rsidP="002144E5">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Style w:val="FootnoteReference"/>
          <w:rFonts w:ascii="Arial" w:hAnsi="Arial" w:cs="Arial"/>
          <w:sz w:val="16"/>
          <w:szCs w:val="16"/>
          <w:lang w:val="sr-Cyrl-RS"/>
        </w:rPr>
        <w:t xml:space="preserve"> </w:t>
      </w:r>
      <w:r w:rsidRPr="008D683B">
        <w:rPr>
          <w:rFonts w:ascii="Arial" w:hAnsi="Arial" w:cs="Arial"/>
          <w:sz w:val="16"/>
          <w:szCs w:val="16"/>
          <w:lang w:val="sr-Cyrl-RS"/>
        </w:rPr>
        <w:t>Изградњу Државног центра за управљање и чување података, имплементацију клауд инфраструктуре, успостављање софтвера еПисарница и еДостава, унапређење модула еПлаћање итд.</w:t>
      </w:r>
    </w:p>
  </w:footnote>
  <w:footnote w:id="121">
    <w:p w14:paraId="686D7CA0" w14:textId="7778B7A1" w:rsidR="007324B5" w:rsidRPr="008D683B" w:rsidRDefault="007324B5" w:rsidP="002144E5">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Разматране су следеће опције за имплементације ове мере:</w:t>
      </w:r>
    </w:p>
    <w:p w14:paraId="4B52E25D" w14:textId="6D299F36" w:rsidR="007324B5" w:rsidRPr="008D683B" w:rsidRDefault="007324B5" w:rsidP="002144E5">
      <w:pPr>
        <w:jc w:val="both"/>
        <w:rPr>
          <w:rFonts w:ascii="Arial" w:hAnsi="Arial" w:cs="Arial"/>
          <w:sz w:val="16"/>
          <w:szCs w:val="16"/>
          <w:lang w:val="sr-Cyrl-RS"/>
        </w:rPr>
      </w:pPr>
      <w:r w:rsidRPr="008D683B">
        <w:rPr>
          <w:rFonts w:ascii="Arial" w:hAnsi="Arial" w:cs="Arial"/>
          <w:sz w:val="16"/>
          <w:szCs w:val="16"/>
          <w:lang w:val="sr-Cyrl-RS"/>
        </w:rPr>
        <w:t>1. У оквиру Координационог савета за електронску управу формирати подгрупу за координацију електронске управе на нивоу локалне самоуправе, у којој би се именовали чланови ЈЛС. Административно техничку подршку рада подгрупе би подржава</w:t>
      </w:r>
      <w:r>
        <w:rPr>
          <w:rFonts w:ascii="Arial" w:hAnsi="Arial" w:cs="Arial"/>
          <w:sz w:val="16"/>
          <w:szCs w:val="16"/>
          <w:lang w:val="sr-Cyrl-RS"/>
        </w:rPr>
        <w:t>л</w:t>
      </w:r>
      <w:r w:rsidRPr="008D683B">
        <w:rPr>
          <w:rFonts w:ascii="Arial" w:hAnsi="Arial" w:cs="Arial"/>
          <w:sz w:val="16"/>
          <w:szCs w:val="16"/>
          <w:lang w:val="sr-Cyrl-RS"/>
        </w:rPr>
        <w:t>о МДУЛС</w:t>
      </w:r>
      <w:r>
        <w:rPr>
          <w:rFonts w:ascii="Arial" w:hAnsi="Arial" w:cs="Arial"/>
          <w:sz w:val="16"/>
          <w:szCs w:val="16"/>
          <w:lang w:val="sr-Cyrl-RS"/>
        </w:rPr>
        <w:t>.</w:t>
      </w:r>
    </w:p>
    <w:p w14:paraId="45C2D444" w14:textId="70CDC10B" w:rsidR="007324B5" w:rsidRPr="008D683B" w:rsidRDefault="007324B5" w:rsidP="002144E5">
      <w:pPr>
        <w:jc w:val="both"/>
        <w:rPr>
          <w:rFonts w:ascii="Arial" w:hAnsi="Arial" w:cs="Arial"/>
          <w:sz w:val="16"/>
          <w:szCs w:val="16"/>
          <w:lang w:val="sr-Cyrl-RS"/>
        </w:rPr>
      </w:pPr>
      <w:r w:rsidRPr="008D683B">
        <w:rPr>
          <w:rFonts w:ascii="Arial" w:hAnsi="Arial" w:cs="Arial"/>
          <w:sz w:val="16"/>
          <w:szCs w:val="16"/>
          <w:lang w:val="sr-Cyrl-RS"/>
        </w:rPr>
        <w:t>2. Влада може формирати посебно координационо тело за координацију електронске управе на нивоу локалне самоуправе</w:t>
      </w:r>
      <w:r>
        <w:rPr>
          <w:rFonts w:ascii="Arial" w:hAnsi="Arial" w:cs="Arial"/>
          <w:sz w:val="16"/>
          <w:szCs w:val="16"/>
          <w:lang w:val="sr-Cyrl-RS"/>
        </w:rPr>
        <w:t>.</w:t>
      </w:r>
    </w:p>
    <w:p w14:paraId="5E55FD4F" w14:textId="2073A887" w:rsidR="007324B5" w:rsidRPr="008D683B" w:rsidRDefault="007324B5" w:rsidP="002144E5">
      <w:pPr>
        <w:jc w:val="both"/>
        <w:rPr>
          <w:rFonts w:ascii="Arial" w:hAnsi="Arial" w:cs="Arial"/>
          <w:sz w:val="16"/>
          <w:szCs w:val="16"/>
          <w:lang w:val="sr-Cyrl-RS"/>
        </w:rPr>
      </w:pPr>
      <w:r w:rsidRPr="008D683B">
        <w:rPr>
          <w:rFonts w:ascii="Arial" w:hAnsi="Arial" w:cs="Arial"/>
          <w:sz w:val="16"/>
          <w:szCs w:val="16"/>
          <w:lang w:val="sr-Cyrl-RS"/>
        </w:rPr>
        <w:t>3. ЈЛС могу самостално организовати заједничко тело за координацију електронске управе, уз подршку Владе, донатора и организација цивилног друштва</w:t>
      </w:r>
      <w:r>
        <w:rPr>
          <w:rFonts w:ascii="Arial" w:hAnsi="Arial" w:cs="Arial"/>
          <w:sz w:val="16"/>
          <w:szCs w:val="16"/>
          <w:lang w:val="sr-Cyrl-RS"/>
        </w:rPr>
        <w:t>.</w:t>
      </w:r>
    </w:p>
  </w:footnote>
  <w:footnote w:id="122">
    <w:p w14:paraId="73390DAD" w14:textId="1A74351F" w:rsidR="007324B5" w:rsidRPr="008D683B" w:rsidRDefault="007324B5" w:rsidP="002144E5">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Детаљније информације налазе се у Уредби о ближим условима за успостављање електронске управе (</w:t>
      </w:r>
      <w:r>
        <w:rPr>
          <w:rFonts w:ascii="Arial" w:hAnsi="Arial" w:cs="Arial"/>
          <w:sz w:val="16"/>
          <w:szCs w:val="16"/>
          <w:lang w:val="sr-Cyrl-RS"/>
        </w:rPr>
        <w:t>„</w:t>
      </w:r>
      <w:r w:rsidRPr="008D683B">
        <w:rPr>
          <w:rFonts w:ascii="Arial" w:hAnsi="Arial" w:cs="Arial"/>
          <w:sz w:val="16"/>
          <w:szCs w:val="16"/>
          <w:shd w:val="clear" w:color="auto" w:fill="FFFFFF"/>
          <w:lang w:val="sr-Cyrl-RS"/>
        </w:rPr>
        <w:t>Службени гласник РС</w:t>
      </w:r>
      <w:r>
        <w:rPr>
          <w:rFonts w:ascii="Arial" w:hAnsi="Arial" w:cs="Arial"/>
          <w:sz w:val="16"/>
          <w:szCs w:val="16"/>
          <w:shd w:val="clear" w:color="auto" w:fill="FFFFFF"/>
        </w:rPr>
        <w:t>”</w:t>
      </w:r>
      <w:r w:rsidRPr="008D683B">
        <w:rPr>
          <w:rFonts w:ascii="Arial" w:hAnsi="Arial" w:cs="Arial"/>
          <w:sz w:val="16"/>
          <w:szCs w:val="16"/>
          <w:shd w:val="clear" w:color="auto" w:fill="FFFFFF"/>
          <w:lang w:val="sr-Cyrl-RS"/>
        </w:rPr>
        <w:t>, број 104</w:t>
      </w:r>
      <w:r>
        <w:rPr>
          <w:rFonts w:ascii="Arial" w:hAnsi="Arial" w:cs="Arial"/>
          <w:sz w:val="16"/>
          <w:szCs w:val="16"/>
          <w:shd w:val="clear" w:color="auto" w:fill="FFFFFF"/>
          <w:lang w:val="sr-Cyrl-RS"/>
        </w:rPr>
        <w:t>/18</w:t>
      </w:r>
      <w:r w:rsidRPr="008D683B">
        <w:rPr>
          <w:rFonts w:ascii="Arial" w:hAnsi="Arial" w:cs="Arial"/>
          <w:sz w:val="16"/>
          <w:szCs w:val="16"/>
          <w:shd w:val="clear" w:color="auto" w:fill="FFFFFF"/>
          <w:lang w:val="sr-Cyrl-RS"/>
        </w:rPr>
        <w:t>)</w:t>
      </w:r>
      <w:r>
        <w:rPr>
          <w:rFonts w:ascii="Arial" w:hAnsi="Arial" w:cs="Arial"/>
          <w:sz w:val="16"/>
          <w:szCs w:val="16"/>
          <w:shd w:val="clear" w:color="auto" w:fill="FFFFFF"/>
          <w:lang w:val="sr-Cyrl-RS"/>
        </w:rPr>
        <w:t>,</w:t>
      </w:r>
      <w:r w:rsidRPr="008D683B">
        <w:rPr>
          <w:rFonts w:ascii="Arial" w:hAnsi="Arial" w:cs="Arial"/>
          <w:sz w:val="16"/>
          <w:szCs w:val="16"/>
          <w:shd w:val="clear" w:color="auto" w:fill="FFFFFF"/>
          <w:lang w:val="sr-Cyrl-RS"/>
        </w:rPr>
        <w:t xml:space="preserve"> која је доступна на</w:t>
      </w:r>
      <w:r>
        <w:rPr>
          <w:rFonts w:ascii="Arial" w:hAnsi="Arial" w:cs="Arial"/>
          <w:sz w:val="16"/>
          <w:szCs w:val="16"/>
          <w:shd w:val="clear" w:color="auto" w:fill="FFFFFF"/>
          <w:lang w:val="sr-Cyrl-RS"/>
        </w:rPr>
        <w:t>:</w:t>
      </w:r>
      <w:r w:rsidRPr="008D683B">
        <w:rPr>
          <w:rFonts w:ascii="Arial" w:hAnsi="Arial" w:cs="Arial"/>
          <w:sz w:val="16"/>
          <w:szCs w:val="16"/>
          <w:shd w:val="clear" w:color="auto" w:fill="FFFFFF"/>
          <w:lang w:val="sr-Cyrl-RS"/>
        </w:rPr>
        <w:t xml:space="preserve"> </w:t>
      </w:r>
      <w:hyperlink r:id="rId34" w:history="1">
        <w:r w:rsidRPr="008D683B">
          <w:rPr>
            <w:rStyle w:val="Hyperlink"/>
            <w:rFonts w:ascii="Arial" w:hAnsi="Arial" w:cs="Arial"/>
            <w:color w:val="auto"/>
            <w:sz w:val="16"/>
            <w:szCs w:val="16"/>
            <w:shd w:val="clear" w:color="auto" w:fill="FFFFFF"/>
            <w:lang w:val="sr-Cyrl-RS"/>
          </w:rPr>
          <w:t>http://www.pravno-informacioni-sistem.rs/SlGlasnikPortal/eli/rep/sgrs/vlada/uredba/2018/104/1/reg</w:t>
        </w:r>
      </w:hyperlink>
      <w:r>
        <w:rPr>
          <w:rFonts w:ascii="Arial" w:hAnsi="Arial" w:cs="Arial"/>
          <w:sz w:val="16"/>
          <w:szCs w:val="16"/>
          <w:shd w:val="clear" w:color="auto" w:fill="FFFFFF"/>
          <w:lang w:val="sr-Cyrl-RS"/>
        </w:rPr>
        <w:t>.</w:t>
      </w:r>
    </w:p>
  </w:footnote>
  <w:footnote w:id="123">
    <w:p w14:paraId="0EE64713" w14:textId="78F1D811" w:rsidR="007324B5" w:rsidRPr="008D683B" w:rsidRDefault="007324B5" w:rsidP="002144E5">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Style w:val="FootnoteReference"/>
          <w:rFonts w:ascii="Arial" w:hAnsi="Arial" w:cs="Arial"/>
          <w:sz w:val="16"/>
          <w:szCs w:val="16"/>
          <w:lang w:val="sr-Cyrl-RS"/>
        </w:rPr>
        <w:t xml:space="preserve"> </w:t>
      </w:r>
      <w:r w:rsidRPr="008D683B">
        <w:rPr>
          <w:rFonts w:ascii="Arial" w:hAnsi="Arial" w:cs="Arial"/>
          <w:sz w:val="16"/>
          <w:szCs w:val="16"/>
          <w:lang w:val="sr-Cyrl-RS"/>
        </w:rPr>
        <w:t>https://naled.rs/certifikacija-opstina-bfc-see</w:t>
      </w:r>
      <w:r>
        <w:rPr>
          <w:rFonts w:ascii="Arial" w:hAnsi="Arial" w:cs="Arial"/>
          <w:sz w:val="16"/>
          <w:szCs w:val="16"/>
          <w:lang w:val="sr-Cyrl-RS"/>
        </w:rPr>
        <w:t>.</w:t>
      </w:r>
    </w:p>
  </w:footnote>
  <w:footnote w:id="124">
    <w:p w14:paraId="6ECE9C75" w14:textId="0FC3691B" w:rsidR="007324B5" w:rsidRPr="008D683B" w:rsidRDefault="007324B5" w:rsidP="002144E5">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Pr>
          <w:rFonts w:ascii="Arial" w:hAnsi="Arial" w:cs="Arial"/>
          <w:sz w:val="16"/>
          <w:szCs w:val="16"/>
          <w:lang w:val="sr-Cyrl-RS"/>
        </w:rPr>
        <w:t xml:space="preserve"> </w:t>
      </w:r>
      <w:r w:rsidRPr="008D683B">
        <w:rPr>
          <w:rFonts w:ascii="Arial" w:hAnsi="Arial" w:cs="Arial"/>
          <w:sz w:val="16"/>
          <w:szCs w:val="16"/>
          <w:lang w:val="sr-Cyrl-RS"/>
        </w:rPr>
        <w:t>Анализа стања е-управе у РС</w:t>
      </w:r>
      <w:r>
        <w:rPr>
          <w:rFonts w:ascii="Arial" w:hAnsi="Arial" w:cs="Arial"/>
          <w:sz w:val="16"/>
          <w:szCs w:val="16"/>
          <w:lang w:val="sr-Cyrl-RS"/>
        </w:rPr>
        <w:t>,</w:t>
      </w:r>
      <w:r w:rsidRPr="008D683B">
        <w:rPr>
          <w:rFonts w:ascii="Arial" w:hAnsi="Arial" w:cs="Arial"/>
          <w:sz w:val="16"/>
          <w:szCs w:val="16"/>
          <w:lang w:val="sr-Cyrl-RS"/>
        </w:rPr>
        <w:t xml:space="preserve"> </w:t>
      </w:r>
      <w:hyperlink r:id="rId35" w:history="1">
        <w:r w:rsidRPr="008D683B">
          <w:rPr>
            <w:rStyle w:val="Hyperlink"/>
            <w:rFonts w:ascii="Arial" w:hAnsi="Arial" w:cs="Arial"/>
            <w:color w:val="auto"/>
            <w:sz w:val="16"/>
            <w:szCs w:val="16"/>
            <w:lang w:val="sr-Cyrl-RS"/>
          </w:rPr>
          <w:t>http://mduls.gov.rs/wp-content/uploads/Analiza-stanja-eUprave-u-Rs-rezultati-konsultativnog-procesa.pdf?script=lat</w:t>
        </w:r>
      </w:hyperlink>
      <w:r>
        <w:rPr>
          <w:rStyle w:val="Hyperlink"/>
          <w:rFonts w:ascii="Arial" w:hAnsi="Arial" w:cs="Arial"/>
          <w:color w:val="auto"/>
          <w:sz w:val="16"/>
          <w:szCs w:val="16"/>
          <w:lang w:val="sr-Cyrl-RS"/>
        </w:rPr>
        <w:t>.</w:t>
      </w:r>
    </w:p>
  </w:footnote>
  <w:footnote w:id="125">
    <w:p w14:paraId="07552307" w14:textId="5635A53A" w:rsidR="007324B5" w:rsidRPr="008D683B" w:rsidRDefault="007324B5" w:rsidP="002144E5">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9B46D0">
        <w:rPr>
          <w:rFonts w:ascii="Arial" w:hAnsi="Arial" w:cs="Arial"/>
          <w:i/>
          <w:iCs/>
          <w:sz w:val="16"/>
          <w:szCs w:val="16"/>
          <w:lang w:val="sr-Cyrl-RS"/>
        </w:rPr>
        <w:t>Анализа стања е-управе – резултати консултативних процеса</w:t>
      </w:r>
      <w:r w:rsidRPr="008D683B">
        <w:rPr>
          <w:rFonts w:ascii="Arial" w:hAnsi="Arial" w:cs="Arial"/>
          <w:sz w:val="16"/>
          <w:szCs w:val="16"/>
          <w:lang w:val="sr-Cyrl-RS"/>
        </w:rPr>
        <w:t xml:space="preserve"> урађена је током израде Програма развоја електронске управе у Републици Србији за период 2020</w:t>
      </w:r>
      <w:r>
        <w:rPr>
          <w:rFonts w:ascii="Arial" w:hAnsi="Arial" w:cs="Arial"/>
          <w:sz w:val="16"/>
          <w:szCs w:val="16"/>
          <w:lang w:val="sr-Cyrl-RS"/>
        </w:rPr>
        <w:t>–</w:t>
      </w:r>
      <w:r w:rsidRPr="008D683B">
        <w:rPr>
          <w:rFonts w:ascii="Arial" w:hAnsi="Arial" w:cs="Arial"/>
          <w:sz w:val="16"/>
          <w:szCs w:val="16"/>
          <w:lang w:val="sr-Cyrl-RS"/>
        </w:rPr>
        <w:t xml:space="preserve">2022. и доступна је </w:t>
      </w:r>
      <w:r>
        <w:rPr>
          <w:rFonts w:ascii="Arial" w:hAnsi="Arial" w:cs="Arial"/>
          <w:sz w:val="16"/>
          <w:szCs w:val="16"/>
          <w:lang w:val="sr-Cyrl-RS"/>
        </w:rPr>
        <w:t>на:</w:t>
      </w:r>
      <w:r w:rsidRPr="008D683B">
        <w:rPr>
          <w:rFonts w:ascii="Arial" w:hAnsi="Arial" w:cs="Arial"/>
          <w:sz w:val="16"/>
          <w:szCs w:val="16"/>
          <w:lang w:val="sr-Cyrl-RS"/>
        </w:rPr>
        <w:t xml:space="preserve"> </w:t>
      </w:r>
      <w:hyperlink r:id="rId36" w:history="1">
        <w:r w:rsidRPr="008D683B">
          <w:rPr>
            <w:rStyle w:val="Hyperlink"/>
            <w:rFonts w:ascii="Arial" w:hAnsi="Arial" w:cs="Arial"/>
            <w:color w:val="auto"/>
            <w:sz w:val="16"/>
            <w:szCs w:val="16"/>
            <w:lang w:val="sr-Cyrl-RS"/>
          </w:rPr>
          <w:t>http://mduls.gov.rs/wp-content/uploads/Analiza-stanja-eUprave-u-Rs-rezultati-konsultativnog-procesa.pdf?script=lat</w:t>
        </w:r>
      </w:hyperlink>
      <w:r>
        <w:rPr>
          <w:rFonts w:ascii="Arial" w:hAnsi="Arial" w:cs="Arial"/>
          <w:sz w:val="16"/>
          <w:szCs w:val="16"/>
          <w:lang w:val="sr-Cyrl-RS"/>
        </w:rPr>
        <w:t>.</w:t>
      </w:r>
    </w:p>
  </w:footnote>
  <w:footnote w:id="126">
    <w:p w14:paraId="682D7405" w14:textId="404915C7" w:rsidR="007324B5" w:rsidRPr="008D683B" w:rsidRDefault="007324B5" w:rsidP="002144E5">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9B46D0">
        <w:rPr>
          <w:rFonts w:ascii="Arial" w:hAnsi="Arial" w:cs="Arial"/>
          <w:i/>
          <w:iCs/>
          <w:sz w:val="16"/>
          <w:szCs w:val="16"/>
          <w:lang w:val="sr-Cyrl-RS"/>
        </w:rPr>
        <w:t>Процена стања електронске управе у јединицама локалне самоуправе (ЈЛС) у Републици Србији</w:t>
      </w:r>
      <w:r w:rsidRPr="008D683B">
        <w:rPr>
          <w:rFonts w:ascii="Arial" w:hAnsi="Arial" w:cs="Arial"/>
          <w:sz w:val="16"/>
          <w:szCs w:val="16"/>
          <w:lang w:val="sr-Cyrl-RS"/>
        </w:rPr>
        <w:t xml:space="preserve"> финансирана је од стране и у сврхе програма </w:t>
      </w:r>
      <w:r>
        <w:rPr>
          <w:rFonts w:ascii="Arial" w:hAnsi="Arial" w:cs="Arial"/>
          <w:sz w:val="16"/>
          <w:szCs w:val="16"/>
          <w:lang w:val="sr-Cyrl-RS"/>
        </w:rPr>
        <w:t>„</w:t>
      </w:r>
      <w:r w:rsidRPr="009B46D0">
        <w:rPr>
          <w:rFonts w:ascii="Arial" w:hAnsi="Arial" w:cs="Arial"/>
          <w:i/>
          <w:iCs/>
          <w:sz w:val="16"/>
          <w:szCs w:val="16"/>
          <w:lang w:val="sr-Cyrl-RS"/>
        </w:rPr>
        <w:t>Swiss Pro</w:t>
      </w:r>
      <w:r w:rsidRPr="008D683B">
        <w:rPr>
          <w:rFonts w:ascii="Arial" w:hAnsi="Arial" w:cs="Arial"/>
          <w:sz w:val="16"/>
          <w:szCs w:val="16"/>
          <w:lang w:val="sr-Cyrl-RS"/>
        </w:rPr>
        <w:t xml:space="preserve"> </w:t>
      </w:r>
      <w:r>
        <w:rPr>
          <w:rFonts w:ascii="Arial" w:hAnsi="Arial" w:cs="Arial"/>
          <w:sz w:val="16"/>
          <w:szCs w:val="16"/>
          <w:lang w:val="sr-Cyrl-RS"/>
        </w:rPr>
        <w:t>–</w:t>
      </w:r>
      <w:r w:rsidRPr="008D683B">
        <w:rPr>
          <w:rFonts w:ascii="Arial" w:hAnsi="Arial" w:cs="Arial"/>
          <w:sz w:val="16"/>
          <w:szCs w:val="16"/>
          <w:lang w:val="sr-Cyrl-RS"/>
        </w:rPr>
        <w:t xml:space="preserve"> Подршка Владе Швајцарске развоју општина кроз унапређење доброг управљања и социјалне укључености</w:t>
      </w:r>
      <w:r>
        <w:rPr>
          <w:rFonts w:ascii="Arial" w:hAnsi="Arial" w:cs="Arial"/>
          <w:sz w:val="16"/>
          <w:szCs w:val="16"/>
        </w:rPr>
        <w:t>”</w:t>
      </w:r>
      <w:r w:rsidRPr="008D683B">
        <w:rPr>
          <w:rFonts w:ascii="Arial" w:hAnsi="Arial" w:cs="Arial"/>
          <w:sz w:val="16"/>
          <w:szCs w:val="16"/>
          <w:lang w:val="sr-Cyrl-RS"/>
        </w:rPr>
        <w:t>. Истраживање је спроведе</w:t>
      </w:r>
      <w:r>
        <w:rPr>
          <w:rFonts w:ascii="Arial" w:hAnsi="Arial" w:cs="Arial"/>
          <w:sz w:val="16"/>
          <w:szCs w:val="16"/>
          <w:lang w:val="sr-Cyrl-RS"/>
        </w:rPr>
        <w:t>о</w:t>
      </w:r>
      <w:r w:rsidRPr="008D683B">
        <w:rPr>
          <w:rFonts w:ascii="Arial" w:hAnsi="Arial" w:cs="Arial"/>
          <w:sz w:val="16"/>
          <w:szCs w:val="16"/>
          <w:lang w:val="sr-Cyrl-RS"/>
        </w:rPr>
        <w:t xml:space="preserve"> </w:t>
      </w:r>
      <w:r w:rsidRPr="009B46D0">
        <w:rPr>
          <w:rFonts w:ascii="Arial" w:hAnsi="Arial" w:cs="Arial"/>
          <w:i/>
          <w:iCs/>
          <w:sz w:val="16"/>
          <w:szCs w:val="16"/>
          <w:lang w:val="sr-Cyrl-RS"/>
        </w:rPr>
        <w:t>Development Consulting Group</w:t>
      </w:r>
      <w:r w:rsidRPr="008D683B">
        <w:rPr>
          <w:rFonts w:ascii="Arial" w:hAnsi="Arial" w:cs="Arial"/>
          <w:sz w:val="16"/>
          <w:szCs w:val="16"/>
          <w:lang w:val="sr-Cyrl-RS"/>
        </w:rPr>
        <w:t xml:space="preserve"> (</w:t>
      </w:r>
      <w:r w:rsidRPr="009B46D0">
        <w:rPr>
          <w:rFonts w:ascii="Arial" w:hAnsi="Arial" w:cs="Arial"/>
          <w:i/>
          <w:iCs/>
          <w:sz w:val="16"/>
          <w:szCs w:val="16"/>
          <w:lang w:val="sr-Cyrl-RS"/>
        </w:rPr>
        <w:t>DCG d.o.o.</w:t>
      </w:r>
      <w:r w:rsidRPr="008D683B">
        <w:rPr>
          <w:rFonts w:ascii="Arial" w:hAnsi="Arial" w:cs="Arial"/>
          <w:sz w:val="16"/>
          <w:szCs w:val="16"/>
          <w:lang w:val="sr-Cyrl-RS"/>
        </w:rPr>
        <w:t>)</w:t>
      </w:r>
      <w:r>
        <w:rPr>
          <w:rFonts w:ascii="Arial" w:hAnsi="Arial" w:cs="Arial"/>
          <w:sz w:val="16"/>
          <w:szCs w:val="16"/>
          <w:lang w:val="sr-Cyrl-RS"/>
        </w:rPr>
        <w:t xml:space="preserve"> </w:t>
      </w:r>
      <w:r w:rsidRPr="008D683B">
        <w:rPr>
          <w:rFonts w:ascii="Arial" w:hAnsi="Arial" w:cs="Arial"/>
          <w:sz w:val="16"/>
          <w:szCs w:val="16"/>
          <w:lang w:val="sr-Cyrl-RS"/>
        </w:rPr>
        <w:t>у периоду од августа до децембра 2018. године у 60 изабраних ЈЛС у РС, а резултати су објављени у априлу 2019. Извештај је доступан на</w:t>
      </w:r>
      <w:r>
        <w:rPr>
          <w:rFonts w:ascii="Arial" w:hAnsi="Arial" w:cs="Arial"/>
          <w:sz w:val="16"/>
          <w:szCs w:val="16"/>
          <w:lang w:val="sr-Cyrl-RS"/>
        </w:rPr>
        <w:t>:</w:t>
      </w:r>
      <w:r w:rsidRPr="008D683B">
        <w:rPr>
          <w:rFonts w:ascii="Arial" w:hAnsi="Arial" w:cs="Arial"/>
          <w:sz w:val="16"/>
          <w:szCs w:val="16"/>
          <w:lang w:val="sr-Cyrl-RS"/>
        </w:rPr>
        <w:t xml:space="preserve"> </w:t>
      </w:r>
      <w:hyperlink r:id="rId37" w:history="1">
        <w:r w:rsidRPr="008D683B">
          <w:rPr>
            <w:rStyle w:val="Hyperlink"/>
            <w:rFonts w:ascii="Arial" w:hAnsi="Arial" w:cs="Arial"/>
            <w:color w:val="auto"/>
            <w:sz w:val="16"/>
            <w:szCs w:val="16"/>
            <w:lang w:val="sr-Cyrl-RS"/>
          </w:rPr>
          <w:t>https://www.swisspro.org.rs/uploads/files/148-676-sp_rezime_procena_statusa_euprave_u_jls_final.pdf</w:t>
        </w:r>
      </w:hyperlink>
      <w:r>
        <w:rPr>
          <w:rStyle w:val="Hyperlink"/>
          <w:rFonts w:ascii="Arial" w:hAnsi="Arial" w:cs="Arial"/>
          <w:color w:val="auto"/>
          <w:sz w:val="16"/>
          <w:szCs w:val="16"/>
          <w:lang w:val="sr-Cyrl-RS"/>
        </w:rPr>
        <w:t>.</w:t>
      </w:r>
    </w:p>
  </w:footnote>
  <w:footnote w:id="127">
    <w:p w14:paraId="32C8D1AA" w14:textId="21E17258" w:rsidR="007324B5" w:rsidRPr="008D683B" w:rsidRDefault="007324B5" w:rsidP="004F3A1D">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Уредба о ближим условима за израду и одржавање веб презентације органа (</w:t>
      </w:r>
      <w:r>
        <w:rPr>
          <w:rFonts w:ascii="Arial" w:hAnsi="Arial" w:cs="Arial"/>
          <w:sz w:val="16"/>
          <w:szCs w:val="16"/>
          <w:lang w:val="sr-Cyrl-RS"/>
        </w:rPr>
        <w:t>„</w:t>
      </w:r>
      <w:r w:rsidRPr="008D683B">
        <w:rPr>
          <w:rFonts w:ascii="Arial" w:hAnsi="Arial" w:cs="Arial"/>
          <w:sz w:val="16"/>
          <w:szCs w:val="16"/>
          <w:shd w:val="clear" w:color="auto" w:fill="FFFFFF"/>
          <w:lang w:val="sr-Cyrl-RS"/>
        </w:rPr>
        <w:t>Службени гласник РС</w:t>
      </w:r>
      <w:r>
        <w:rPr>
          <w:rFonts w:ascii="Arial" w:hAnsi="Arial" w:cs="Arial"/>
          <w:sz w:val="16"/>
          <w:szCs w:val="16"/>
          <w:shd w:val="clear" w:color="auto" w:fill="FFFFFF"/>
        </w:rPr>
        <w:t>”</w:t>
      </w:r>
      <w:r w:rsidRPr="008D683B">
        <w:rPr>
          <w:rFonts w:ascii="Arial" w:hAnsi="Arial" w:cs="Arial"/>
          <w:sz w:val="16"/>
          <w:szCs w:val="16"/>
          <w:shd w:val="clear" w:color="auto" w:fill="FFFFFF"/>
          <w:lang w:val="sr-Cyrl-RS"/>
        </w:rPr>
        <w:t>, број 104</w:t>
      </w:r>
      <w:r>
        <w:rPr>
          <w:rFonts w:ascii="Arial" w:hAnsi="Arial" w:cs="Arial"/>
          <w:sz w:val="16"/>
          <w:szCs w:val="16"/>
          <w:shd w:val="clear" w:color="auto" w:fill="FFFFFF"/>
          <w:lang w:val="sr-Cyrl-RS"/>
        </w:rPr>
        <w:t>/</w:t>
      </w:r>
      <w:r w:rsidRPr="008D683B">
        <w:rPr>
          <w:rFonts w:ascii="Arial" w:hAnsi="Arial" w:cs="Arial"/>
          <w:sz w:val="16"/>
          <w:szCs w:val="16"/>
          <w:shd w:val="clear" w:color="auto" w:fill="FFFFFF"/>
          <w:lang w:val="sr-Cyrl-RS"/>
        </w:rPr>
        <w:t>18)</w:t>
      </w:r>
      <w:r>
        <w:rPr>
          <w:rFonts w:ascii="Arial" w:hAnsi="Arial" w:cs="Arial"/>
          <w:sz w:val="16"/>
          <w:szCs w:val="16"/>
          <w:shd w:val="clear" w:color="auto" w:fill="FFFFFF"/>
          <w:lang w:val="sr-Cyrl-RS"/>
        </w:rPr>
        <w:t>,</w:t>
      </w:r>
      <w:r w:rsidRPr="008D683B">
        <w:rPr>
          <w:rFonts w:ascii="Arial" w:hAnsi="Arial" w:cs="Arial"/>
          <w:sz w:val="16"/>
          <w:szCs w:val="16"/>
          <w:shd w:val="clear" w:color="auto" w:fill="FFFFFF"/>
          <w:lang w:val="sr-Cyrl-RS"/>
        </w:rPr>
        <w:t xml:space="preserve"> доступна на</w:t>
      </w:r>
      <w:r>
        <w:rPr>
          <w:rFonts w:ascii="Arial" w:hAnsi="Arial" w:cs="Arial"/>
          <w:sz w:val="16"/>
          <w:szCs w:val="16"/>
          <w:shd w:val="clear" w:color="auto" w:fill="FFFFFF"/>
          <w:lang w:val="sr-Cyrl-RS"/>
        </w:rPr>
        <w:t>:</w:t>
      </w:r>
      <w:r w:rsidRPr="008D683B">
        <w:rPr>
          <w:rFonts w:ascii="Arial" w:hAnsi="Arial" w:cs="Arial"/>
          <w:sz w:val="16"/>
          <w:szCs w:val="16"/>
          <w:shd w:val="clear" w:color="auto" w:fill="FFFFFF"/>
          <w:lang w:val="sr-Cyrl-RS"/>
        </w:rPr>
        <w:t xml:space="preserve"> </w:t>
      </w:r>
      <w:hyperlink r:id="rId38" w:history="1">
        <w:r w:rsidRPr="008D683B">
          <w:rPr>
            <w:rStyle w:val="Hyperlink"/>
            <w:rFonts w:ascii="Arial" w:hAnsi="Arial" w:cs="Arial"/>
            <w:color w:val="auto"/>
            <w:sz w:val="16"/>
            <w:szCs w:val="16"/>
            <w:shd w:val="clear" w:color="auto" w:fill="FFFFFF"/>
            <w:lang w:val="sr-Cyrl-RS"/>
          </w:rPr>
          <w:t>http://www.pravno-informacioni-sistem.rs/SlGlasnikPortal/eli/rep/sgrs/vlada/uredba/2018/104/5/reg</w:t>
        </w:r>
      </w:hyperlink>
      <w:r>
        <w:rPr>
          <w:rFonts w:ascii="Arial" w:hAnsi="Arial" w:cs="Arial"/>
          <w:sz w:val="16"/>
          <w:szCs w:val="16"/>
          <w:shd w:val="clear" w:color="auto" w:fill="FFFFFF"/>
          <w:lang w:val="sr-Cyrl-RS"/>
        </w:rPr>
        <w:t>.</w:t>
      </w:r>
    </w:p>
  </w:footnote>
  <w:footnote w:id="128">
    <w:p w14:paraId="5D20252C" w14:textId="60EC4D38" w:rsidR="007324B5" w:rsidRPr="008D683B" w:rsidRDefault="007324B5" w:rsidP="004F3A1D">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Према члану 53. Закона о електронској управи</w:t>
      </w:r>
      <w:r>
        <w:rPr>
          <w:rFonts w:ascii="Arial" w:hAnsi="Arial" w:cs="Arial"/>
          <w:sz w:val="16"/>
          <w:szCs w:val="16"/>
          <w:lang w:val="sr-Cyrl-RS"/>
        </w:rPr>
        <w:t>,</w:t>
      </w:r>
      <w:r w:rsidRPr="008D683B">
        <w:rPr>
          <w:rFonts w:ascii="Arial" w:hAnsi="Arial" w:cs="Arial"/>
          <w:sz w:val="16"/>
          <w:szCs w:val="16"/>
          <w:lang w:val="sr-Cyrl-RS"/>
        </w:rPr>
        <w:t xml:space="preserve"> рок за органе да омогуће подношење е-поднесака био је октобар 2019. године</w:t>
      </w:r>
      <w:r>
        <w:rPr>
          <w:rFonts w:ascii="Arial" w:hAnsi="Arial" w:cs="Arial"/>
          <w:sz w:val="16"/>
          <w:szCs w:val="16"/>
          <w:lang w:val="sr-Cyrl-RS"/>
        </w:rPr>
        <w:t>.</w:t>
      </w:r>
    </w:p>
  </w:footnote>
  <w:footnote w:id="129">
    <w:p w14:paraId="353EEE97" w14:textId="7A5CDE37" w:rsidR="007324B5" w:rsidRPr="008D683B" w:rsidRDefault="007324B5" w:rsidP="009B46D0">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Информациони систем за размену података из службених евиденција, некадашњи еЗуп, значајно је допринео повећању ефикасности рада јединица локалн</w:t>
      </w:r>
      <w:r>
        <w:rPr>
          <w:rFonts w:ascii="Arial" w:hAnsi="Arial" w:cs="Arial"/>
          <w:sz w:val="16"/>
          <w:szCs w:val="16"/>
          <w:lang w:val="sr-Cyrl-RS"/>
        </w:rPr>
        <w:t>е</w:t>
      </w:r>
      <w:r w:rsidRPr="008D683B">
        <w:rPr>
          <w:rFonts w:ascii="Arial" w:hAnsi="Arial" w:cs="Arial"/>
          <w:sz w:val="16"/>
          <w:szCs w:val="16"/>
          <w:lang w:val="sr-Cyrl-RS"/>
        </w:rPr>
        <w:t xml:space="preserve"> самоуправ</w:t>
      </w:r>
      <w:r>
        <w:rPr>
          <w:rFonts w:ascii="Arial" w:hAnsi="Arial" w:cs="Arial"/>
          <w:sz w:val="16"/>
          <w:szCs w:val="16"/>
          <w:lang w:val="sr-Cyrl-RS"/>
        </w:rPr>
        <w:t>е</w:t>
      </w:r>
      <w:r w:rsidRPr="008D683B">
        <w:rPr>
          <w:rFonts w:ascii="Arial" w:hAnsi="Arial" w:cs="Arial"/>
          <w:sz w:val="16"/>
          <w:szCs w:val="16"/>
          <w:lang w:val="sr-Cyrl-RS"/>
        </w:rPr>
        <w:t xml:space="preserve"> и бољој комуникацији са грађанима и привредом. Према расположивим подацима</w:t>
      </w:r>
      <w:r>
        <w:rPr>
          <w:rFonts w:ascii="Arial" w:hAnsi="Arial" w:cs="Arial"/>
          <w:sz w:val="16"/>
          <w:szCs w:val="16"/>
          <w:lang w:val="sr-Cyrl-RS"/>
        </w:rPr>
        <w:t>,</w:t>
      </w:r>
      <w:r w:rsidRPr="008D683B">
        <w:rPr>
          <w:rFonts w:ascii="Arial" w:hAnsi="Arial" w:cs="Arial"/>
          <w:sz w:val="16"/>
          <w:szCs w:val="16"/>
          <w:lang w:val="sr-Cyrl-RS"/>
        </w:rPr>
        <w:t xml:space="preserve"> Врњачка Бања је једина општина која користи овај систем за интерну размену података и докумената</w:t>
      </w:r>
      <w:r>
        <w:rPr>
          <w:rFonts w:ascii="Arial" w:hAnsi="Arial" w:cs="Arial"/>
          <w:sz w:val="16"/>
          <w:szCs w:val="16"/>
          <w:lang w:val="sr-Cyrl-RS"/>
        </w:rPr>
        <w:t>.</w:t>
      </w:r>
    </w:p>
  </w:footnote>
  <w:footnote w:id="130">
    <w:p w14:paraId="4A53D605" w14:textId="5309AEFD" w:rsidR="007324B5" w:rsidRPr="008D683B" w:rsidRDefault="007324B5" w:rsidP="004F3A1D">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Наведени подаци су </w:t>
      </w:r>
      <w:r>
        <w:rPr>
          <w:rFonts w:ascii="Arial" w:hAnsi="Arial" w:cs="Arial"/>
          <w:sz w:val="16"/>
          <w:szCs w:val="16"/>
          <w:lang w:val="sr-Cyrl-RS"/>
        </w:rPr>
        <w:t>од</w:t>
      </w:r>
      <w:r w:rsidRPr="008D683B">
        <w:rPr>
          <w:rFonts w:ascii="Arial" w:hAnsi="Arial" w:cs="Arial"/>
          <w:sz w:val="16"/>
          <w:szCs w:val="16"/>
          <w:lang w:val="sr-Cyrl-RS"/>
        </w:rPr>
        <w:t xml:space="preserve"> последњег приступа </w:t>
      </w:r>
      <w:r>
        <w:rPr>
          <w:rFonts w:ascii="Arial" w:hAnsi="Arial" w:cs="Arial"/>
          <w:sz w:val="16"/>
          <w:szCs w:val="16"/>
          <w:lang w:val="sr-Cyrl-RS"/>
        </w:rPr>
        <w:t>п</w:t>
      </w:r>
      <w:r w:rsidRPr="008D683B">
        <w:rPr>
          <w:rFonts w:ascii="Arial" w:hAnsi="Arial" w:cs="Arial"/>
          <w:sz w:val="16"/>
          <w:szCs w:val="16"/>
          <w:lang w:val="sr-Cyrl-RS"/>
        </w:rPr>
        <w:t>орталу еУправа, 7. децембр</w:t>
      </w:r>
      <w:r>
        <w:rPr>
          <w:rFonts w:ascii="Arial" w:hAnsi="Arial" w:cs="Arial"/>
          <w:sz w:val="16"/>
          <w:szCs w:val="16"/>
          <w:lang w:val="sr-Cyrl-RS"/>
        </w:rPr>
        <w:t>а</w:t>
      </w:r>
      <w:r w:rsidRPr="008D683B">
        <w:rPr>
          <w:rFonts w:ascii="Arial" w:hAnsi="Arial" w:cs="Arial"/>
          <w:sz w:val="16"/>
          <w:szCs w:val="16"/>
          <w:lang w:val="sr-Cyrl-RS"/>
        </w:rPr>
        <w:t xml:space="preserve"> 2020.</w:t>
      </w:r>
    </w:p>
  </w:footnote>
  <w:footnote w:id="131">
    <w:p w14:paraId="0D465C61" w14:textId="6F283993" w:rsidR="007324B5" w:rsidRPr="008D683B" w:rsidRDefault="007324B5" w:rsidP="004F3A1D">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Број градова и општина које су омогућиле ову услугу је 117, а услуга је доступна у 135 предшколских установа (подаци из маја 2020). Приликом коришћења ове услуге аутоматски се прибављају подаци из матичне књиге рођених, Централног регистра обавезног социјалног осигурања и евиденције пребивалишта. Више о овој услузи на </w:t>
      </w:r>
      <w:r>
        <w:rPr>
          <w:rFonts w:ascii="Arial" w:hAnsi="Arial" w:cs="Arial"/>
          <w:sz w:val="16"/>
          <w:szCs w:val="16"/>
          <w:lang w:val="sr-Cyrl-RS"/>
        </w:rPr>
        <w:t>п</w:t>
      </w:r>
      <w:r w:rsidRPr="008D683B">
        <w:rPr>
          <w:rFonts w:ascii="Arial" w:hAnsi="Arial" w:cs="Arial"/>
          <w:sz w:val="16"/>
          <w:szCs w:val="16"/>
          <w:lang w:val="sr-Cyrl-RS"/>
        </w:rPr>
        <w:t>орталу еУправа</w:t>
      </w:r>
      <w:r>
        <w:rPr>
          <w:rFonts w:ascii="Arial" w:hAnsi="Arial" w:cs="Arial"/>
          <w:sz w:val="16"/>
          <w:szCs w:val="16"/>
          <w:lang w:val="sr-Cyrl-RS"/>
        </w:rPr>
        <w:t>:</w:t>
      </w:r>
      <w:r w:rsidRPr="008D683B">
        <w:rPr>
          <w:rFonts w:ascii="Arial" w:hAnsi="Arial" w:cs="Arial"/>
          <w:sz w:val="16"/>
          <w:szCs w:val="16"/>
          <w:lang w:val="sr-Cyrl-RS"/>
        </w:rPr>
        <w:t xml:space="preserve"> </w:t>
      </w:r>
      <w:hyperlink r:id="rId39" w:history="1">
        <w:r w:rsidRPr="008D683B">
          <w:rPr>
            <w:rStyle w:val="Hyperlink"/>
            <w:rFonts w:ascii="Arial" w:hAnsi="Arial" w:cs="Arial"/>
            <w:color w:val="auto"/>
            <w:sz w:val="16"/>
            <w:szCs w:val="16"/>
            <w:lang w:val="sr-Cyrl-RS"/>
          </w:rPr>
          <w:t>https://euprava.gov.rs/vrtic</w:t>
        </w:r>
      </w:hyperlink>
      <w:r>
        <w:rPr>
          <w:rFonts w:ascii="Arial" w:hAnsi="Arial" w:cs="Arial"/>
          <w:sz w:val="16"/>
          <w:szCs w:val="16"/>
          <w:lang w:val="sr-Cyrl-RS"/>
        </w:rPr>
        <w:t>.</w:t>
      </w:r>
    </w:p>
  </w:footnote>
  <w:footnote w:id="132">
    <w:p w14:paraId="5F52B18E" w14:textId="5C27FD3A" w:rsidR="007324B5" w:rsidRPr="008D683B" w:rsidRDefault="007324B5" w:rsidP="004F3A1D">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Портал локалних пореских администрација </w:t>
      </w:r>
      <w:r>
        <w:rPr>
          <w:rFonts w:ascii="Arial" w:hAnsi="Arial" w:cs="Arial"/>
          <w:sz w:val="16"/>
          <w:szCs w:val="16"/>
          <w:lang w:val="sr-Cyrl-RS"/>
        </w:rPr>
        <w:t>(</w:t>
      </w:r>
      <w:hyperlink r:id="rId40" w:history="1">
        <w:r w:rsidRPr="009B46D0">
          <w:rPr>
            <w:rStyle w:val="Hyperlink"/>
            <w:rFonts w:ascii="Arial" w:hAnsi="Arial" w:cs="Arial"/>
            <w:sz w:val="16"/>
            <w:szCs w:val="16"/>
            <w:lang w:val="sr-Cyrl-RS"/>
          </w:rPr>
          <w:t>https://lpa.gov.rs/jisportal/homepage</w:t>
        </w:r>
      </w:hyperlink>
      <w:r>
        <w:rPr>
          <w:rFonts w:ascii="Arial" w:hAnsi="Arial" w:cs="Arial"/>
          <w:sz w:val="16"/>
          <w:szCs w:val="16"/>
          <w:lang w:val="sr-Cyrl-RS"/>
        </w:rPr>
        <w:t>)</w:t>
      </w:r>
      <w:r w:rsidRPr="008D683B">
        <w:rPr>
          <w:rFonts w:ascii="Arial" w:hAnsi="Arial" w:cs="Arial"/>
          <w:sz w:val="16"/>
          <w:szCs w:val="16"/>
          <w:lang w:val="sr-Cyrl-RS"/>
        </w:rPr>
        <w:t xml:space="preserve"> омогућава грађанима и привреди да виде своје пореске обавезе</w:t>
      </w:r>
      <w:r>
        <w:rPr>
          <w:rFonts w:ascii="Arial" w:hAnsi="Arial" w:cs="Arial"/>
          <w:sz w:val="16"/>
          <w:szCs w:val="16"/>
          <w:lang w:val="sr-Cyrl-RS"/>
        </w:rPr>
        <w:t>,</w:t>
      </w:r>
      <w:r w:rsidRPr="008D683B">
        <w:rPr>
          <w:rFonts w:ascii="Arial" w:hAnsi="Arial" w:cs="Arial"/>
          <w:sz w:val="16"/>
          <w:szCs w:val="16"/>
          <w:lang w:val="sr-Cyrl-RS"/>
        </w:rPr>
        <w:t xml:space="preserve"> као и да електронским путем поднесу пријаву за утврђивање пореза на имовину. Локалне пореске администрације су и прве институције које су</w:t>
      </w:r>
      <w:r>
        <w:rPr>
          <w:rFonts w:ascii="Arial" w:hAnsi="Arial" w:cs="Arial"/>
          <w:sz w:val="16"/>
          <w:szCs w:val="16"/>
          <w:lang w:val="sr-Cyrl-RS"/>
        </w:rPr>
        <w:t>,</w:t>
      </w:r>
      <w:r w:rsidRPr="008D683B">
        <w:rPr>
          <w:rFonts w:ascii="Arial" w:hAnsi="Arial" w:cs="Arial"/>
          <w:sz w:val="16"/>
          <w:szCs w:val="16"/>
          <w:lang w:val="sr-Cyrl-RS"/>
        </w:rPr>
        <w:t xml:space="preserve"> сходно Закону о е-управи</w:t>
      </w:r>
      <w:r>
        <w:rPr>
          <w:rFonts w:ascii="Arial" w:hAnsi="Arial" w:cs="Arial"/>
          <w:sz w:val="16"/>
          <w:szCs w:val="16"/>
          <w:lang w:val="sr-Cyrl-RS"/>
        </w:rPr>
        <w:t>,</w:t>
      </w:r>
      <w:r w:rsidRPr="008D683B">
        <w:rPr>
          <w:rFonts w:ascii="Arial" w:hAnsi="Arial" w:cs="Arial"/>
          <w:sz w:val="16"/>
          <w:szCs w:val="16"/>
          <w:lang w:val="sr-Cyrl-RS"/>
        </w:rPr>
        <w:t xml:space="preserve"> почеле да достављају пореска решења о утврђеном порезу на имовину путем модула еДостава у јединствено електронско сандуче корисника.</w:t>
      </w:r>
    </w:p>
  </w:footnote>
  <w:footnote w:id="133">
    <w:p w14:paraId="027276E5" w14:textId="48546753" w:rsidR="007324B5" w:rsidRPr="008D683B" w:rsidRDefault="007324B5" w:rsidP="004F3A1D">
      <w:pPr>
        <w:pStyle w:val="NormalWeb"/>
        <w:shd w:val="clear" w:color="auto" w:fill="FFFFFF"/>
        <w:spacing w:before="0" w:beforeAutospacing="0" w:after="0" w:afterAutospacing="0"/>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Контакт центар је реализовала Канцеларија за информационе технологије и електронску управу у оквиру пројекта „Србија на дохват руке – дигитална трансформација за развој”, који финансирају Влада Републике Србије и Влада Уједињеног Краљевства кроз Фонд за добру управу (</w:t>
      </w:r>
      <w:r w:rsidRPr="009B46D0">
        <w:rPr>
          <w:rFonts w:ascii="Arial" w:hAnsi="Arial" w:cs="Arial"/>
          <w:i/>
          <w:iCs/>
          <w:sz w:val="16"/>
          <w:szCs w:val="16"/>
          <w:lang w:val="sr-Cyrl-RS"/>
        </w:rPr>
        <w:t>Good Governance Fund</w:t>
      </w:r>
      <w:r w:rsidRPr="008D683B">
        <w:rPr>
          <w:rFonts w:ascii="Arial" w:hAnsi="Arial" w:cs="Arial"/>
          <w:sz w:val="16"/>
          <w:szCs w:val="16"/>
          <w:lang w:val="sr-Cyrl-RS"/>
        </w:rPr>
        <w:t>), а спроводи Програм Уједињених нација за развој (</w:t>
      </w:r>
      <w:r w:rsidRPr="009B46D0">
        <w:rPr>
          <w:rFonts w:ascii="Arial" w:hAnsi="Arial" w:cs="Arial"/>
          <w:i/>
          <w:iCs/>
          <w:sz w:val="16"/>
          <w:szCs w:val="16"/>
          <w:lang w:val="sr-Cyrl-RS"/>
        </w:rPr>
        <w:t>UNDP</w:t>
      </w:r>
      <w:r w:rsidRPr="008D683B">
        <w:rPr>
          <w:rFonts w:ascii="Arial" w:hAnsi="Arial" w:cs="Arial"/>
          <w:sz w:val="16"/>
          <w:szCs w:val="16"/>
          <w:lang w:val="sr-Cyrl-RS"/>
        </w:rPr>
        <w:t>). Оперативну и стручну подршку Канцеларији за ИТ и еУправу при успостављању Контакт центра за јавну управу пружа Национална алијанса за локални економски развој (НАЛЕД)</w:t>
      </w:r>
      <w:r>
        <w:rPr>
          <w:rFonts w:ascii="Arial" w:hAnsi="Arial" w:cs="Arial"/>
          <w:sz w:val="16"/>
          <w:szCs w:val="16"/>
          <w:lang w:val="sr-Cyrl-RS"/>
        </w:rPr>
        <w:t>;</w:t>
      </w:r>
      <w:r w:rsidRPr="008D683B">
        <w:rPr>
          <w:rFonts w:ascii="Arial" w:hAnsi="Arial" w:cs="Arial"/>
          <w:sz w:val="16"/>
          <w:szCs w:val="16"/>
          <w:lang w:val="sr-Cyrl-RS"/>
        </w:rPr>
        <w:t xml:space="preserve"> </w:t>
      </w:r>
      <w:hyperlink r:id="rId41" w:history="1">
        <w:r w:rsidRPr="008D683B">
          <w:rPr>
            <w:rStyle w:val="Hyperlink"/>
            <w:rFonts w:ascii="Arial" w:hAnsi="Arial" w:cs="Arial"/>
            <w:color w:val="auto"/>
            <w:sz w:val="16"/>
            <w:szCs w:val="16"/>
            <w:lang w:val="sr-Cyrl-RS"/>
          </w:rPr>
          <w:t>https://www.ite.gov.rs/tekst/1836/kontakt-centar-za-javnu-upravu-g2g.php</w:t>
        </w:r>
      </w:hyperlink>
      <w:r>
        <w:rPr>
          <w:rFonts w:ascii="Arial" w:hAnsi="Arial" w:cs="Arial"/>
          <w:sz w:val="16"/>
          <w:szCs w:val="16"/>
          <w:lang w:val="sr-Cyrl-RS"/>
        </w:rPr>
        <w:t>.</w:t>
      </w:r>
    </w:p>
  </w:footnote>
  <w:footnote w:id="134">
    <w:p w14:paraId="7C47EEA7" w14:textId="3352AE46" w:rsidR="007324B5" w:rsidRPr="008D683B" w:rsidRDefault="007324B5" w:rsidP="004F3A1D">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Портал отворених података доступан је на адреси </w:t>
      </w:r>
      <w:hyperlink r:id="rId42" w:history="1">
        <w:r w:rsidRPr="008D683B">
          <w:rPr>
            <w:rStyle w:val="Hyperlink"/>
            <w:rFonts w:ascii="Arial" w:hAnsi="Arial" w:cs="Arial"/>
            <w:color w:val="auto"/>
            <w:sz w:val="16"/>
            <w:szCs w:val="16"/>
            <w:lang w:val="sr-Cyrl-RS"/>
          </w:rPr>
          <w:t>www.data.gov.rs</w:t>
        </w:r>
      </w:hyperlink>
      <w:r>
        <w:rPr>
          <w:rStyle w:val="Hyperlink"/>
          <w:rFonts w:ascii="Arial" w:hAnsi="Arial" w:cs="Arial"/>
          <w:color w:val="auto"/>
          <w:sz w:val="16"/>
          <w:szCs w:val="16"/>
          <w:lang w:val="sr-Cyrl-RS"/>
        </w:rPr>
        <w:t>.</w:t>
      </w:r>
    </w:p>
  </w:footnote>
  <w:footnote w:id="135">
    <w:p w14:paraId="6E9B771A" w14:textId="05F48495" w:rsidR="007324B5" w:rsidRPr="008D683B" w:rsidRDefault="007324B5" w:rsidP="004F3A1D">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Према процени Европског портала отворених података, вредност економије засноване на подацима у ЕУ је 739 милијарди евра. Процењен број уштеђених сати кроз примену отворених података на регулисање саобраћаја у Европи износи 629 милиона, а порески приход од отворених података је 140 милијарди евра годишње</w:t>
      </w:r>
      <w:r>
        <w:rPr>
          <w:rFonts w:ascii="Arial" w:hAnsi="Arial" w:cs="Arial"/>
          <w:sz w:val="16"/>
          <w:szCs w:val="16"/>
          <w:lang w:val="sr-Cyrl-RS"/>
        </w:rPr>
        <w:t>.</w:t>
      </w:r>
    </w:p>
  </w:footnote>
  <w:footnote w:id="136">
    <w:p w14:paraId="5D3509B8" w14:textId="295CD0DE" w:rsidR="007324B5" w:rsidRPr="008D683B" w:rsidRDefault="007324B5" w:rsidP="009B46D0">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Према подацима из 2018</w:t>
      </w:r>
      <w:r>
        <w:rPr>
          <w:rFonts w:ascii="Arial" w:hAnsi="Arial" w:cs="Arial"/>
          <w:sz w:val="16"/>
          <w:szCs w:val="16"/>
          <w:lang w:val="sr-Cyrl-RS"/>
        </w:rPr>
        <w:t>,</w:t>
      </w:r>
      <w:r w:rsidRPr="008D683B">
        <w:rPr>
          <w:rFonts w:ascii="Arial" w:hAnsi="Arial" w:cs="Arial"/>
          <w:sz w:val="16"/>
          <w:szCs w:val="16"/>
          <w:lang w:val="sr-Cyrl-RS"/>
        </w:rPr>
        <w:t xml:space="preserve"> само су два града, Шабац и Панчево, имали податке у машински читљивом формату на Порталу отворених података, а у децембру 2020. објављени су подаци отворених буџета 90 ЈЛС, док је 38 ЈЛС присутно на Порталу отворених података</w:t>
      </w:r>
      <w:r>
        <w:rPr>
          <w:rFonts w:ascii="Arial" w:hAnsi="Arial" w:cs="Arial"/>
          <w:sz w:val="16"/>
          <w:szCs w:val="16"/>
          <w:lang w:val="sr-Cyrl-RS"/>
        </w:rPr>
        <w:t>.</w:t>
      </w:r>
    </w:p>
  </w:footnote>
  <w:footnote w:id="137">
    <w:p w14:paraId="56C2B9A0" w14:textId="0ECAA60E" w:rsidR="007324B5" w:rsidRPr="008D683B" w:rsidRDefault="007324B5" w:rsidP="004F3A1D">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Платформа „Отворени буџети</w:t>
      </w:r>
      <w:r>
        <w:rPr>
          <w:rFonts w:ascii="Arial" w:hAnsi="Arial" w:cs="Arial"/>
          <w:sz w:val="16"/>
          <w:szCs w:val="16"/>
        </w:rPr>
        <w:t>”</w:t>
      </w:r>
      <w:r w:rsidRPr="008D683B">
        <w:rPr>
          <w:rFonts w:ascii="Arial" w:hAnsi="Arial" w:cs="Arial"/>
          <w:sz w:val="16"/>
          <w:szCs w:val="16"/>
          <w:lang w:val="sr-Cyrl-RS"/>
        </w:rPr>
        <w:t xml:space="preserve"> подржана је од стране пројекта „Отворени подаци</w:t>
      </w:r>
      <w:r>
        <w:rPr>
          <w:rFonts w:ascii="Arial" w:hAnsi="Arial" w:cs="Arial"/>
          <w:sz w:val="16"/>
          <w:szCs w:val="16"/>
          <w:lang w:val="sr-Cyrl-RS"/>
        </w:rPr>
        <w:t xml:space="preserve"> – </w:t>
      </w:r>
      <w:r w:rsidRPr="008D683B">
        <w:rPr>
          <w:rFonts w:ascii="Arial" w:hAnsi="Arial" w:cs="Arial"/>
          <w:sz w:val="16"/>
          <w:szCs w:val="16"/>
          <w:lang w:val="sr-Cyrl-RS"/>
        </w:rPr>
        <w:t>отворене могућности</w:t>
      </w:r>
      <w:r>
        <w:rPr>
          <w:rFonts w:ascii="Arial" w:hAnsi="Arial" w:cs="Arial"/>
          <w:sz w:val="16"/>
          <w:szCs w:val="16"/>
        </w:rPr>
        <w:t>”</w:t>
      </w:r>
      <w:r>
        <w:rPr>
          <w:rFonts w:ascii="Arial" w:hAnsi="Arial" w:cs="Arial"/>
          <w:sz w:val="16"/>
          <w:szCs w:val="16"/>
          <w:lang w:val="sr-Cyrl-RS"/>
        </w:rPr>
        <w:t>,</w:t>
      </w:r>
      <w:r w:rsidRPr="008D683B">
        <w:rPr>
          <w:rFonts w:ascii="Arial" w:hAnsi="Arial" w:cs="Arial"/>
          <w:sz w:val="16"/>
          <w:szCs w:val="16"/>
          <w:lang w:val="sr-Cyrl-RS"/>
        </w:rPr>
        <w:t xml:space="preserve"> који спроводе Канцеларија за информационе технологије и електронску управу и Програм Уједињених нација за развој, уз подршку Светске банке и Фонда за добру управу Уједињеног Краљевства. Платформа је доступна на адреси </w:t>
      </w:r>
      <w:hyperlink r:id="rId43" w:history="1">
        <w:r w:rsidRPr="008D683B">
          <w:rPr>
            <w:rStyle w:val="Hyperlink"/>
            <w:rFonts w:ascii="Arial" w:hAnsi="Arial" w:cs="Arial"/>
            <w:color w:val="auto"/>
            <w:sz w:val="16"/>
            <w:szCs w:val="16"/>
            <w:lang w:val="sr-Cyrl-RS"/>
          </w:rPr>
          <w:t>www.budzeti.data.gov.rs</w:t>
        </w:r>
      </w:hyperlink>
      <w:r>
        <w:rPr>
          <w:rFonts w:ascii="Arial" w:hAnsi="Arial" w:cs="Arial"/>
          <w:sz w:val="16"/>
          <w:szCs w:val="16"/>
          <w:lang w:val="sr-Cyrl-RS"/>
        </w:rPr>
        <w:t>.</w:t>
      </w:r>
    </w:p>
  </w:footnote>
  <w:footnote w:id="138">
    <w:p w14:paraId="07580A8B" w14:textId="11F4D2E9" w:rsidR="007324B5" w:rsidRPr="008D683B" w:rsidRDefault="007324B5" w:rsidP="004F3A1D">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Подаци из извештаја </w:t>
      </w:r>
      <w:r w:rsidRPr="009B46D0">
        <w:rPr>
          <w:rFonts w:ascii="Arial" w:hAnsi="Arial" w:cs="Arial"/>
          <w:i/>
          <w:iCs/>
          <w:sz w:val="16"/>
          <w:szCs w:val="16"/>
          <w:lang w:val="sr-Cyrl-RS"/>
        </w:rPr>
        <w:t>Процена стања електронске управе у јединицама локалне самоуправе</w:t>
      </w:r>
      <w:r w:rsidRPr="008D683B">
        <w:rPr>
          <w:rFonts w:ascii="Arial" w:hAnsi="Arial" w:cs="Arial"/>
          <w:sz w:val="16"/>
          <w:szCs w:val="16"/>
          <w:lang w:val="sr-Cyrl-RS"/>
        </w:rPr>
        <w:t xml:space="preserve"> (</w:t>
      </w:r>
      <w:r w:rsidRPr="009B46D0">
        <w:rPr>
          <w:rFonts w:ascii="Arial" w:hAnsi="Arial" w:cs="Arial"/>
          <w:i/>
          <w:iCs/>
          <w:sz w:val="16"/>
          <w:szCs w:val="16"/>
          <w:lang w:val="sr-Cyrl-RS"/>
        </w:rPr>
        <w:t>Swiss PRO</w:t>
      </w:r>
      <w:r w:rsidRPr="008D683B">
        <w:rPr>
          <w:rFonts w:ascii="Arial" w:hAnsi="Arial" w:cs="Arial"/>
          <w:sz w:val="16"/>
          <w:szCs w:val="16"/>
          <w:lang w:val="sr-Cyrl-RS"/>
        </w:rPr>
        <w:t xml:space="preserve"> индекс развоја е-управе </w:t>
      </w:r>
      <w:r>
        <w:rPr>
          <w:rFonts w:ascii="Arial" w:hAnsi="Arial" w:cs="Arial"/>
          <w:sz w:val="16"/>
          <w:szCs w:val="16"/>
          <w:lang w:val="sr-Cyrl-RS"/>
        </w:rPr>
        <w:t>–</w:t>
      </w:r>
      <w:r w:rsidRPr="008D683B">
        <w:rPr>
          <w:rFonts w:ascii="Arial" w:hAnsi="Arial" w:cs="Arial"/>
          <w:sz w:val="16"/>
          <w:szCs w:val="16"/>
          <w:lang w:val="sr-Cyrl-RS"/>
        </w:rPr>
        <w:t xml:space="preserve"> </w:t>
      </w:r>
      <w:r w:rsidRPr="009B46D0">
        <w:rPr>
          <w:rFonts w:ascii="Arial" w:hAnsi="Arial" w:cs="Arial"/>
          <w:i/>
          <w:iCs/>
          <w:sz w:val="16"/>
          <w:szCs w:val="16"/>
          <w:lang w:val="sr-Cyrl-RS"/>
        </w:rPr>
        <w:t>Swiss PRO EGDI 2018</w:t>
      </w:r>
      <w:r w:rsidRPr="008D683B">
        <w:rPr>
          <w:rFonts w:ascii="Arial" w:hAnsi="Arial" w:cs="Arial"/>
          <w:sz w:val="16"/>
          <w:szCs w:val="16"/>
          <w:lang w:val="sr-Cyrl-RS"/>
        </w:rPr>
        <w:t>)</w:t>
      </w:r>
      <w:r>
        <w:rPr>
          <w:rFonts w:ascii="Arial" w:hAnsi="Arial" w:cs="Arial"/>
          <w:sz w:val="16"/>
          <w:szCs w:val="16"/>
          <w:lang w:val="sr-Cyrl-RS"/>
        </w:rPr>
        <w:t>,</w:t>
      </w:r>
      <w:r w:rsidRPr="008D683B">
        <w:rPr>
          <w:rFonts w:ascii="Arial" w:hAnsi="Arial" w:cs="Arial"/>
          <w:sz w:val="16"/>
          <w:szCs w:val="16"/>
          <w:lang w:val="sr-Cyrl-RS"/>
        </w:rPr>
        <w:t xml:space="preserve"> који је доступан на</w:t>
      </w:r>
      <w:r>
        <w:rPr>
          <w:rFonts w:ascii="Arial" w:hAnsi="Arial" w:cs="Arial"/>
          <w:sz w:val="16"/>
          <w:szCs w:val="16"/>
          <w:lang w:val="sr-Cyrl-RS"/>
        </w:rPr>
        <w:t>:</w:t>
      </w:r>
      <w:r w:rsidRPr="008D683B">
        <w:rPr>
          <w:rFonts w:ascii="Arial" w:hAnsi="Arial" w:cs="Arial"/>
          <w:sz w:val="16"/>
          <w:szCs w:val="16"/>
          <w:lang w:val="sr-Cyrl-RS"/>
        </w:rPr>
        <w:t xml:space="preserve"> </w:t>
      </w:r>
      <w:hyperlink r:id="rId44" w:history="1">
        <w:r w:rsidRPr="008D683B">
          <w:rPr>
            <w:rStyle w:val="Hyperlink"/>
            <w:rFonts w:ascii="Arial" w:hAnsi="Arial" w:cs="Arial"/>
            <w:color w:val="auto"/>
            <w:sz w:val="16"/>
            <w:szCs w:val="16"/>
            <w:lang w:val="sr-Cyrl-RS"/>
          </w:rPr>
          <w:t>https://www.swisspro.org.rs/uploads/files/148-676-sp_rezime_procena_statusa_euprave_u_jls_final.pdf</w:t>
        </w:r>
      </w:hyperlink>
      <w:r>
        <w:rPr>
          <w:rFonts w:ascii="Arial" w:hAnsi="Arial" w:cs="Arial"/>
          <w:sz w:val="16"/>
          <w:szCs w:val="16"/>
          <w:lang w:val="sr-Cyrl-RS"/>
        </w:rPr>
        <w:t>.</w:t>
      </w:r>
    </w:p>
  </w:footnote>
  <w:footnote w:id="139">
    <w:p w14:paraId="57991AAF" w14:textId="5A755DF0" w:rsidR="007324B5" w:rsidRPr="008D683B" w:rsidRDefault="007324B5" w:rsidP="004F3A1D">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Годишњи регионални и локални извештај „Барометар</w:t>
      </w:r>
      <w:r>
        <w:rPr>
          <w:rFonts w:ascii="Arial" w:hAnsi="Arial" w:cs="Arial"/>
          <w:sz w:val="16"/>
          <w:szCs w:val="16"/>
        </w:rPr>
        <w:t>”</w:t>
      </w:r>
      <w:r>
        <w:rPr>
          <w:rFonts w:ascii="Arial" w:hAnsi="Arial" w:cs="Arial"/>
          <w:sz w:val="16"/>
          <w:szCs w:val="16"/>
          <w:lang w:val="sr-Cyrl-RS"/>
        </w:rPr>
        <w:t>,</w:t>
      </w:r>
      <w:r w:rsidRPr="008D683B">
        <w:rPr>
          <w:rFonts w:ascii="Arial" w:hAnsi="Arial" w:cs="Arial"/>
          <w:sz w:val="16"/>
          <w:szCs w:val="16"/>
          <w:lang w:val="sr-Cyrl-RS"/>
        </w:rPr>
        <w:t xml:space="preserve"> доступан на</w:t>
      </w:r>
      <w:r>
        <w:rPr>
          <w:rFonts w:ascii="Arial" w:hAnsi="Arial" w:cs="Arial"/>
          <w:sz w:val="16"/>
          <w:szCs w:val="16"/>
          <w:lang w:val="sr-Cyrl-RS"/>
        </w:rPr>
        <w:t>:</w:t>
      </w:r>
      <w:r w:rsidRPr="008D683B">
        <w:rPr>
          <w:rFonts w:ascii="Arial" w:hAnsi="Arial" w:cs="Arial"/>
          <w:sz w:val="16"/>
          <w:szCs w:val="16"/>
          <w:lang w:val="sr-Cyrl-RS"/>
        </w:rPr>
        <w:t xml:space="preserve"> </w:t>
      </w:r>
      <w:hyperlink r:id="rId45" w:history="1">
        <w:r w:rsidRPr="008D683B">
          <w:rPr>
            <w:rStyle w:val="Hyperlink"/>
            <w:rFonts w:ascii="Arial" w:hAnsi="Arial" w:cs="Arial"/>
            <w:color w:val="auto"/>
            <w:sz w:val="16"/>
            <w:szCs w:val="16"/>
            <w:lang w:val="sr-Cyrl-RS"/>
          </w:rPr>
          <w:t>https://cor.europa.eu/en/our-work/EURegionalBarometerDocs/4370-Barometer%20optimized.pdf</w:t>
        </w:r>
      </w:hyperlink>
      <w:r>
        <w:rPr>
          <w:rFonts w:ascii="Arial" w:hAnsi="Arial" w:cs="Arial"/>
          <w:sz w:val="16"/>
          <w:szCs w:val="16"/>
          <w:lang w:val="sr-Cyrl-RS"/>
        </w:rPr>
        <w:t>.</w:t>
      </w:r>
    </w:p>
  </w:footnote>
  <w:footnote w:id="140">
    <w:p w14:paraId="27A1A183" w14:textId="57085624" w:rsidR="007324B5" w:rsidRPr="008D683B" w:rsidRDefault="007324B5" w:rsidP="004F3A1D">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Пројекат </w:t>
      </w:r>
      <w:r>
        <w:rPr>
          <w:rFonts w:ascii="Arial" w:hAnsi="Arial" w:cs="Arial"/>
          <w:sz w:val="16"/>
          <w:szCs w:val="16"/>
          <w:lang w:val="sr-Cyrl-RS"/>
        </w:rPr>
        <w:t>„</w:t>
      </w:r>
      <w:r w:rsidRPr="008D683B">
        <w:rPr>
          <w:rFonts w:ascii="Arial" w:hAnsi="Arial" w:cs="Arial"/>
          <w:sz w:val="16"/>
          <w:szCs w:val="16"/>
          <w:lang w:val="sr-Cyrl-RS"/>
        </w:rPr>
        <w:t>Управљање људским ресурсима у локалној самоуправи – фаза 2</w:t>
      </w:r>
      <w:r>
        <w:rPr>
          <w:rFonts w:ascii="Arial" w:hAnsi="Arial" w:cs="Arial"/>
          <w:sz w:val="16"/>
          <w:szCs w:val="16"/>
        </w:rPr>
        <w:t>”</w:t>
      </w:r>
      <w:r w:rsidRPr="008D683B">
        <w:rPr>
          <w:rFonts w:ascii="Arial" w:hAnsi="Arial" w:cs="Arial"/>
          <w:sz w:val="16"/>
          <w:szCs w:val="16"/>
          <w:lang w:val="sr-Cyrl-RS"/>
        </w:rPr>
        <w:t xml:space="preserve"> имплементира Савет Европе у Србији</w:t>
      </w:r>
      <w:r>
        <w:rPr>
          <w:rFonts w:ascii="Arial" w:hAnsi="Arial" w:cs="Arial"/>
          <w:sz w:val="16"/>
          <w:szCs w:val="16"/>
          <w:lang w:val="sr-Cyrl-RS"/>
        </w:rPr>
        <w:t>,</w:t>
      </w:r>
      <w:r w:rsidRPr="008D683B">
        <w:rPr>
          <w:rFonts w:ascii="Arial" w:hAnsi="Arial" w:cs="Arial"/>
          <w:sz w:val="16"/>
          <w:szCs w:val="16"/>
          <w:lang w:val="sr-Cyrl-RS"/>
        </w:rPr>
        <w:t xml:space="preserve"> у сарадњи са МДУЛС и СКГО, а истраживање је доступно је на</w:t>
      </w:r>
      <w:r>
        <w:rPr>
          <w:rFonts w:ascii="Arial" w:hAnsi="Arial" w:cs="Arial"/>
          <w:sz w:val="16"/>
          <w:szCs w:val="16"/>
          <w:lang w:val="sr-Cyrl-RS"/>
        </w:rPr>
        <w:t>:</w:t>
      </w:r>
      <w:r w:rsidRPr="008D683B">
        <w:rPr>
          <w:rFonts w:ascii="Arial" w:hAnsi="Arial" w:cs="Arial"/>
          <w:sz w:val="16"/>
          <w:szCs w:val="16"/>
          <w:lang w:val="sr-Cyrl-RS"/>
        </w:rPr>
        <w:t xml:space="preserve"> </w:t>
      </w:r>
      <w:hyperlink r:id="rId46" w:history="1">
        <w:r w:rsidRPr="008D683B">
          <w:rPr>
            <w:rStyle w:val="Hyperlink"/>
            <w:rFonts w:ascii="Arial" w:hAnsi="Arial" w:cs="Arial"/>
            <w:color w:val="auto"/>
            <w:sz w:val="16"/>
            <w:szCs w:val="16"/>
            <w:lang w:val="sr-Cyrl-RS"/>
          </w:rPr>
          <w:t>https://rm.coe.int/survey-report-serbia/16809e831b</w:t>
        </w:r>
      </w:hyperlink>
      <w:r>
        <w:rPr>
          <w:rStyle w:val="Hyperlink"/>
          <w:rFonts w:ascii="Arial" w:hAnsi="Arial" w:cs="Arial"/>
          <w:color w:val="auto"/>
          <w:sz w:val="16"/>
          <w:szCs w:val="16"/>
          <w:lang w:val="sr-Cyrl-RS"/>
        </w:rPr>
        <w:t>.</w:t>
      </w:r>
    </w:p>
  </w:footnote>
  <w:footnote w:id="141">
    <w:p w14:paraId="7EBDF4AE" w14:textId="438D433D" w:rsidR="007324B5" w:rsidRPr="008D683B" w:rsidRDefault="007324B5" w:rsidP="004F3A1D">
      <w:pPr>
        <w:pStyle w:val="FootnoteText"/>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Извештај Уједињених нација доступан је на</w:t>
      </w:r>
      <w:r>
        <w:rPr>
          <w:rFonts w:ascii="Arial" w:hAnsi="Arial" w:cs="Arial"/>
          <w:sz w:val="16"/>
          <w:szCs w:val="16"/>
          <w:lang w:val="sr-Cyrl-RS"/>
        </w:rPr>
        <w:t xml:space="preserve">: </w:t>
      </w:r>
      <w:hyperlink r:id="rId47" w:history="1">
        <w:r w:rsidRPr="008D683B">
          <w:rPr>
            <w:rStyle w:val="Hyperlink"/>
            <w:rFonts w:ascii="Arial" w:hAnsi="Arial" w:cs="Arial"/>
            <w:color w:val="auto"/>
            <w:sz w:val="16"/>
            <w:szCs w:val="16"/>
            <w:lang w:val="sr-Cyrl-RS"/>
          </w:rPr>
          <w:t>https://www.undp.org/content/undp/en/home/news-centre/news/2020/covid-19--cities-in-the-frontline-of-response-and-recovery--call.html</w:t>
        </w:r>
      </w:hyperlink>
      <w:r>
        <w:rPr>
          <w:rFonts w:ascii="Arial" w:hAnsi="Arial" w:cs="Arial"/>
          <w:sz w:val="16"/>
          <w:szCs w:val="16"/>
          <w:lang w:val="sr-Cyrl-RS"/>
        </w:rPr>
        <w:t>.</w:t>
      </w:r>
    </w:p>
  </w:footnote>
  <w:footnote w:id="142">
    <w:p w14:paraId="5DDFB078" w14:textId="06CB566D"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Pr>
          <w:rFonts w:ascii="Arial" w:hAnsi="Arial" w:cs="Arial"/>
          <w:sz w:val="16"/>
          <w:szCs w:val="16"/>
          <w:lang w:val="sr-Cyrl-RS"/>
        </w:rPr>
        <w:t xml:space="preserve">Према ЗЛС, </w:t>
      </w:r>
      <w:r w:rsidRPr="008D683B">
        <w:rPr>
          <w:rFonts w:ascii="Arial" w:hAnsi="Arial" w:cs="Arial"/>
          <w:sz w:val="16"/>
          <w:szCs w:val="16"/>
          <w:lang w:val="sr-Cyrl-RS"/>
        </w:rPr>
        <w:t xml:space="preserve">Влада </w:t>
      </w:r>
      <w:r w:rsidRPr="008D683B">
        <w:rPr>
          <w:rFonts w:ascii="Arial" w:hAnsi="Arial" w:cs="Arial"/>
          <w:color w:val="000000" w:themeColor="text1"/>
          <w:sz w:val="16"/>
          <w:szCs w:val="16"/>
          <w:lang w:val="sr-Cyrl-RS"/>
        </w:rPr>
        <w:t xml:space="preserve">у три случаја може да распусти скупштину ЈЛС: (1) ако скупштина не заседа дуже од три месеца, (2) ако скупштина не донесе статут или буџет у року утврђеном законом и (3) ако скупштина не изабере председника општине и општинско веће у року од месец дана од конституисања или од разрешења, односно подношења оставке. </w:t>
      </w:r>
      <w:r w:rsidRPr="008D683B">
        <w:rPr>
          <w:rFonts w:ascii="Arial" w:hAnsi="Arial" w:cs="Arial"/>
          <w:iCs/>
          <w:color w:val="000000" w:themeColor="text1"/>
          <w:sz w:val="16"/>
          <w:szCs w:val="16"/>
          <w:lang w:val="sr-Cyrl-RS"/>
        </w:rPr>
        <w:t xml:space="preserve">Важно је имати у виду да </w:t>
      </w:r>
      <w:r w:rsidRPr="008D683B">
        <w:rPr>
          <w:rFonts w:ascii="Arial" w:hAnsi="Arial" w:cs="Arial"/>
          <w:sz w:val="16"/>
          <w:szCs w:val="16"/>
          <w:lang w:val="sr-Cyrl-RS"/>
        </w:rPr>
        <w:t xml:space="preserve">приликом распуштања скупштине Влада образује </w:t>
      </w:r>
      <w:r w:rsidRPr="008D683B">
        <w:rPr>
          <w:rFonts w:ascii="Arial" w:hAnsi="Arial" w:cs="Arial"/>
          <w:color w:val="000000" w:themeColor="text1"/>
          <w:sz w:val="16"/>
          <w:szCs w:val="16"/>
          <w:lang w:val="sr-Cyrl-RS"/>
        </w:rPr>
        <w:t>привремени орган који спроводи текуће и неодложне послове из надлежности скупштине и извршних органа ЈЛС. Приликом избора састава привременог органа потребно је води</w:t>
      </w:r>
      <w:r>
        <w:rPr>
          <w:rFonts w:ascii="Arial" w:hAnsi="Arial" w:cs="Arial"/>
          <w:color w:val="000000" w:themeColor="text1"/>
          <w:sz w:val="16"/>
          <w:szCs w:val="16"/>
          <w:lang w:val="sr-Cyrl-RS"/>
        </w:rPr>
        <w:t>ти</w:t>
      </w:r>
      <w:r w:rsidRPr="008D683B">
        <w:rPr>
          <w:rFonts w:ascii="Arial" w:hAnsi="Arial" w:cs="Arial"/>
          <w:color w:val="000000" w:themeColor="text1"/>
          <w:sz w:val="16"/>
          <w:szCs w:val="16"/>
          <w:lang w:val="sr-Cyrl-RS"/>
        </w:rPr>
        <w:t xml:space="preserve"> рачуна о политичком и националном саставу распуштене скупштине ЈЛС. </w:t>
      </w:r>
      <w:r w:rsidRPr="008D683B">
        <w:rPr>
          <w:rFonts w:ascii="Arial" w:hAnsi="Arial" w:cs="Arial"/>
          <w:sz w:val="16"/>
          <w:szCs w:val="16"/>
          <w:lang w:val="sr-Cyrl-RS"/>
        </w:rPr>
        <w:t>Осим у случају распуштања скупштине, Влада именује привремени орган и када се у ЈЛС не спроведу редовни избори за одборнике или се потом не конституише скупштина у року од два месеца (члан 87. ЗЛС). Овде се не ради о надзорном овлашћењу, већ о мери која је неопходна да би се обезбедило функционисање ЈЛС до поновних избора и конституисања скупштине.</w:t>
      </w:r>
    </w:p>
  </w:footnote>
  <w:footnote w:id="143">
    <w:p w14:paraId="324C4753" w14:textId="62AECEB8"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Питање надзора разматра се већ годинама. </w:t>
      </w:r>
      <w:r w:rsidRPr="008D683B">
        <w:rPr>
          <w:rFonts w:ascii="Arial" w:hAnsi="Arial" w:cs="Arial"/>
          <w:iCs/>
          <w:sz w:val="16"/>
          <w:szCs w:val="16"/>
          <w:lang w:val="sr-Cyrl-RS"/>
        </w:rPr>
        <w:t>Још 2010. године израђен је, уз подршку Савета Европе – Канцеларије у Београду и Програма ЕУ „Јачање локалне самоуправе у Србији: Фаза II”,</w:t>
      </w:r>
      <w:r w:rsidRPr="008D683B">
        <w:rPr>
          <w:rFonts w:ascii="Arial" w:hAnsi="Arial" w:cs="Arial"/>
          <w:sz w:val="16"/>
          <w:szCs w:val="16"/>
          <w:lang w:val="sr-Cyrl-RS"/>
        </w:rPr>
        <w:t xml:space="preserve"> </w:t>
      </w:r>
      <w:r w:rsidRPr="009B46D0">
        <w:rPr>
          <w:rFonts w:ascii="Arial" w:hAnsi="Arial" w:cs="Arial"/>
          <w:i/>
          <w:iCs/>
          <w:sz w:val="16"/>
          <w:szCs w:val="16"/>
          <w:lang w:val="sr-Cyrl-RS"/>
        </w:rPr>
        <w:t>Аналитички преглед законодавства о управном и финансијском надзору локалне самоуправе у Србији</w:t>
      </w:r>
      <w:r w:rsidRPr="008D683B">
        <w:rPr>
          <w:rFonts w:ascii="Arial" w:hAnsi="Arial" w:cs="Arial"/>
          <w:iCs/>
          <w:sz w:val="16"/>
          <w:szCs w:val="16"/>
          <w:lang w:val="sr-Cyrl-RS"/>
        </w:rPr>
        <w:t>. На основу овог документа је</w:t>
      </w:r>
      <w:r>
        <w:rPr>
          <w:rFonts w:ascii="Arial" w:hAnsi="Arial" w:cs="Arial"/>
          <w:iCs/>
          <w:sz w:val="16"/>
          <w:szCs w:val="16"/>
          <w:lang w:val="sr-Cyrl-RS"/>
        </w:rPr>
        <w:t>,</w:t>
      </w:r>
      <w:r w:rsidRPr="008D683B">
        <w:rPr>
          <w:rFonts w:ascii="Arial" w:hAnsi="Arial" w:cs="Arial"/>
          <w:iCs/>
          <w:sz w:val="16"/>
          <w:szCs w:val="16"/>
          <w:lang w:val="sr-Cyrl-RS"/>
        </w:rPr>
        <w:t xml:space="preserve"> почетком 2011. године</w:t>
      </w:r>
      <w:r>
        <w:rPr>
          <w:rFonts w:ascii="Arial" w:hAnsi="Arial" w:cs="Arial"/>
          <w:iCs/>
          <w:sz w:val="16"/>
          <w:szCs w:val="16"/>
          <w:lang w:val="sr-Cyrl-RS"/>
        </w:rPr>
        <w:t>,</w:t>
      </w:r>
      <w:r w:rsidRPr="008D683B">
        <w:rPr>
          <w:rFonts w:ascii="Arial" w:hAnsi="Arial" w:cs="Arial"/>
          <w:iCs/>
          <w:sz w:val="16"/>
          <w:szCs w:val="16"/>
          <w:lang w:val="sr-Cyrl-RS"/>
        </w:rPr>
        <w:t xml:space="preserve"> била организована расправа са експертима Савета Европе, из које су проистекле препоруке за унапређење надзора над локалном самоуправом у Србији.</w:t>
      </w:r>
    </w:p>
  </w:footnote>
  <w:footnote w:id="144">
    <w:p w14:paraId="335911FF" w14:textId="35E611B8"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Овде треба имати у виду да Република Србија није ратификовала </w:t>
      </w:r>
      <w:r>
        <w:rPr>
          <w:rFonts w:ascii="Arial" w:hAnsi="Arial" w:cs="Arial"/>
          <w:sz w:val="16"/>
          <w:szCs w:val="16"/>
          <w:lang w:val="sr-Cyrl-RS"/>
        </w:rPr>
        <w:t>начело</w:t>
      </w:r>
      <w:r w:rsidRPr="008D683B">
        <w:rPr>
          <w:rFonts w:ascii="Arial" w:hAnsi="Arial" w:cs="Arial"/>
          <w:sz w:val="16"/>
          <w:szCs w:val="16"/>
          <w:lang w:val="sr-Cyrl-RS"/>
        </w:rPr>
        <w:t xml:space="preserve"> сразмерности у вршењу надзора који утврђен у ЕПЛС (члан 8. став 3).</w:t>
      </w:r>
    </w:p>
  </w:footnote>
  <w:footnote w:id="145">
    <w:p w14:paraId="7B142B1D" w14:textId="564290C4"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bCs/>
          <w:sz w:val="16"/>
          <w:szCs w:val="16"/>
          <w:lang w:val="sr-Cyrl-RS"/>
        </w:rPr>
        <w:t xml:space="preserve">Члан 40. Закона о државној управи </w:t>
      </w:r>
      <w:r>
        <w:rPr>
          <w:rFonts w:ascii="Arial" w:hAnsi="Arial" w:cs="Arial"/>
          <w:bCs/>
          <w:sz w:val="16"/>
          <w:szCs w:val="16"/>
          <w:lang w:val="sr-Cyrl-RS"/>
        </w:rPr>
        <w:t>предвиђа</w:t>
      </w:r>
      <w:r w:rsidRPr="008D683B">
        <w:rPr>
          <w:rFonts w:ascii="Arial" w:hAnsi="Arial" w:cs="Arial"/>
          <w:bCs/>
          <w:sz w:val="16"/>
          <w:szCs w:val="16"/>
          <w:lang w:val="sr-Cyrl-RS"/>
        </w:rPr>
        <w:t xml:space="preserve"> да начелник управног округа усклађује рад окружних подручних јединица и прати примену директива и инструкција које су им издате; прати остваривање планова рада окружних подручних јединица и стара се о условима за њихов рад; прати рад запослених у окружним подручним јединицама и предлаже покретање дисциплинског поступка против њих; сарађује са подручним јединицама органа државне управе које нису образоване за подручје округа; сарађује са општинама и градовима и врши друге послове одређене законом.</w:t>
      </w:r>
    </w:p>
  </w:footnote>
  <w:footnote w:id="146">
    <w:p w14:paraId="4FC702AD" w14:textId="52B88FA3"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bCs/>
          <w:sz w:val="16"/>
          <w:szCs w:val="16"/>
          <w:lang w:val="sr-Cyrl-RS"/>
        </w:rPr>
        <w:t>Код управних округа пре је реч о дислокацији службеника или унутрашњих организационих јединица, него о деконцентрацији (нпр. када у другостепеном управном поступку одлучује орган државне управе по жалби изјављеној на првостепено решење донето у управном округу, жалба нема деволутивно дејство, јер су оба овлашћена службена лица запослена у истом органу).</w:t>
      </w:r>
    </w:p>
  </w:footnote>
  <w:footnote w:id="147">
    <w:p w14:paraId="4921DD2D" w14:textId="697AB447"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iCs/>
          <w:sz w:val="16"/>
          <w:szCs w:val="16"/>
          <w:lang w:val="sr-Cyrl-RS"/>
        </w:rPr>
        <w:footnoteRef/>
      </w:r>
      <w:r w:rsidRPr="008D683B">
        <w:rPr>
          <w:rFonts w:ascii="Arial" w:hAnsi="Arial" w:cs="Arial"/>
          <w:iCs/>
          <w:sz w:val="16"/>
          <w:szCs w:val="16"/>
          <w:lang w:val="sr-Cyrl-RS"/>
        </w:rPr>
        <w:t xml:space="preserve"> У складу са Стратегијом („Службени гласник РС”, број 57/08),</w:t>
      </w:r>
      <w:r w:rsidRPr="008D683B">
        <w:rPr>
          <w:rFonts w:ascii="Arial" w:hAnsi="Arial" w:cs="Arial"/>
          <w:sz w:val="16"/>
          <w:szCs w:val="16"/>
          <w:lang w:val="sr-Cyrl-RS"/>
        </w:rPr>
        <w:t xml:space="preserve"> један од националних приоритета за достизање одрживог развоја у Републици Србији односи се на заштиту и унапређење животне средине и рационално коришћење природних ресурса. То подразумева интеграцију и усаглашавање циљева и мера свих секторских политика, хармонизацију националних прописа са законодавством ЕУ и њихову пуну примену. Секторски циљеви одрживог коришћења водних ресурса обухватају, између осталог и одговарајућу институционалну и територијалну организацију сектора вода</w:t>
      </w:r>
      <w:r>
        <w:rPr>
          <w:rFonts w:ascii="Arial" w:hAnsi="Arial" w:cs="Arial"/>
          <w:sz w:val="16"/>
          <w:szCs w:val="16"/>
          <w:lang w:val="sr-Cyrl-RS"/>
        </w:rPr>
        <w:t>,</w:t>
      </w:r>
      <w:r w:rsidRPr="008D683B">
        <w:rPr>
          <w:rFonts w:ascii="Arial" w:hAnsi="Arial" w:cs="Arial"/>
          <w:sz w:val="16"/>
          <w:szCs w:val="16"/>
          <w:lang w:val="sr-Cyrl-RS"/>
        </w:rPr>
        <w:t xml:space="preserve"> као и утврђивање правног статуса и власничку трансформацију водопривредних предузећа.</w:t>
      </w:r>
    </w:p>
  </w:footnote>
  <w:footnote w:id="148">
    <w:p w14:paraId="332EE1CA" w14:textId="0D6B314A"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Стратегија („Службени гласник РС”, број 29/10) налаже обавезу доношења просторних планова са локацијама за изградњу регионалних центара за управљање отпадом. Кључна обавеза локалних самоуправа је да потпишу међуопштински споразум о заједничком управљању отпадом и оснују регионално предузеће за управљање отпадом. Планирана је мрежа 26 регионалних центара за управљање комуналним отпадом.</w:t>
      </w:r>
    </w:p>
  </w:footnote>
  <w:footnote w:id="149">
    <w:p w14:paraId="2898BF14" w14:textId="77777777"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Стратегија </w:t>
      </w:r>
      <w:r w:rsidRPr="008D683B">
        <w:rPr>
          <w:rFonts w:ascii="Arial" w:hAnsi="Arial" w:cs="Arial"/>
          <w:iCs/>
          <w:sz w:val="16"/>
          <w:szCs w:val="16"/>
          <w:lang w:val="sr-Cyrl-RS"/>
        </w:rPr>
        <w:t xml:space="preserve">(„Службени гласник РС”, број 3/17) </w:t>
      </w:r>
      <w:r w:rsidRPr="008D683B">
        <w:rPr>
          <w:rFonts w:ascii="Arial" w:hAnsi="Arial" w:cs="Arial"/>
          <w:sz w:val="16"/>
          <w:szCs w:val="16"/>
          <w:lang w:val="sr-Cyrl-RS"/>
        </w:rPr>
        <w:t>велику пажњу поклања регионалним и вишенаменским хидросистемима који су од значаја за ЈЛС и јавна предузећа чији су оснивачи.</w:t>
      </w:r>
    </w:p>
  </w:footnote>
  <w:footnote w:id="150">
    <w:p w14:paraId="58F6E70A" w14:textId="77777777" w:rsidR="007324B5" w:rsidRPr="008D683B" w:rsidRDefault="007324B5" w:rsidP="00DD29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складу са чланом 21. Закона о управљању отпадом, споразумом између ЈЛС нарочито се уређују међусобна права и обавезе у обезбеђивању услова за обављање делатности и рад постројења за управљање отпадом на подручјима тих ЈЛС, права и обавезе комуналног предузећа, односно другог правног или физичког лица у обављању те делатности, начин доношења одлука у случају несагласности ЈЛС о појединим питањима везаним за делатности управљања отпадом, као и друга питања од значаја за организацију и спровођење управљања отпадом.</w:t>
      </w:r>
    </w:p>
  </w:footnote>
  <w:footnote w:id="151">
    <w:p w14:paraId="130A479F" w14:textId="644EABE3" w:rsidR="007324B5" w:rsidRPr="008D683B" w:rsidRDefault="007324B5" w:rsidP="00DD29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Потреба за МОС из члана 34. Закона о управљању отпадом, који уређује да „једна или више ЈЛС одређују локацију за изградњу и рад постројења за складиштење, третман односно поновно искоришћење или одлагање отпада којим управљају на својој територији, под условима утврђеним законом, као и споразумом из члана 21. став 2. овог закона ако више скупштина ЈЛС заједно одлучују о локацији постројења за управљање отпадом. У случају несагласности ЈЛС у погледу одређивања локације постројења за управљање отпадом, одлуку о локацији, на предлог министарства, односно надлежног органа аутономне покрајине, доноси Влада.”</w:t>
      </w:r>
    </w:p>
  </w:footnote>
  <w:footnote w:id="152">
    <w:p w14:paraId="074639FC"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Функционални дистрикти и заједничка администрација.</w:t>
      </w:r>
    </w:p>
  </w:footnote>
  <w:footnote w:id="153">
    <w:p w14:paraId="2C2B2F19"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У случајевима када је „природно подручје” шире од административног подручја општине.</w:t>
      </w:r>
    </w:p>
  </w:footnote>
  <w:footnote w:id="154">
    <w:p w14:paraId="0FBA8E8D" w14:textId="5E49A626" w:rsidR="007324B5" w:rsidRPr="008D683B" w:rsidRDefault="007324B5" w:rsidP="00DD29A7">
      <w:pPr>
        <w:pStyle w:val="FootnoteText"/>
        <w:jc w:val="both"/>
        <w:rPr>
          <w:rFonts w:ascii="Arial" w:hAnsi="Arial" w:cs="Arial"/>
          <w:iCs/>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iCs/>
          <w:sz w:val="16"/>
          <w:szCs w:val="16"/>
          <w:lang w:val="sr-Cyrl-RS"/>
        </w:rPr>
        <w:t>С обзиром</w:t>
      </w:r>
      <w:r>
        <w:rPr>
          <w:rFonts w:ascii="Arial" w:hAnsi="Arial" w:cs="Arial"/>
          <w:iCs/>
          <w:sz w:val="16"/>
          <w:szCs w:val="16"/>
          <w:lang w:val="sr-Cyrl-RS"/>
        </w:rPr>
        <w:t xml:space="preserve"> на то</w:t>
      </w:r>
      <w:r w:rsidRPr="008D683B">
        <w:rPr>
          <w:rFonts w:ascii="Arial" w:hAnsi="Arial" w:cs="Arial"/>
          <w:iCs/>
          <w:sz w:val="16"/>
          <w:szCs w:val="16"/>
          <w:lang w:val="sr-Cyrl-RS"/>
        </w:rPr>
        <w:t xml:space="preserve"> да Законом о ЈП није регулисан положај заједничких, регионалних ЈП, постојећа ситуација је на неки начин у колизији са Закон</w:t>
      </w:r>
      <w:r>
        <w:rPr>
          <w:rFonts w:ascii="Arial" w:hAnsi="Arial" w:cs="Arial"/>
          <w:iCs/>
          <w:sz w:val="16"/>
          <w:szCs w:val="16"/>
          <w:lang w:val="sr-Cyrl-RS"/>
        </w:rPr>
        <w:t>ом</w:t>
      </w:r>
      <w:r w:rsidRPr="008D683B">
        <w:rPr>
          <w:rFonts w:ascii="Arial" w:hAnsi="Arial" w:cs="Arial"/>
          <w:iCs/>
          <w:sz w:val="16"/>
          <w:szCs w:val="16"/>
          <w:lang w:val="sr-Cyrl-RS"/>
        </w:rPr>
        <w:t xml:space="preserve"> о привредним друштвима, чије се одредбе сходно примењују код уређивања правног положаја привредних друштава које се односе на друштво с ограниченом одговорношћу. Наиме, сваки члан друштва са ограниченом одговорношћу </w:t>
      </w:r>
      <w:r>
        <w:rPr>
          <w:rFonts w:ascii="Arial" w:hAnsi="Arial" w:cs="Arial"/>
          <w:iCs/>
          <w:sz w:val="16"/>
          <w:szCs w:val="16"/>
          <w:lang w:val="sr-Cyrl-RS"/>
        </w:rPr>
        <w:t>на</w:t>
      </w:r>
      <w:r w:rsidRPr="008D683B">
        <w:rPr>
          <w:rFonts w:ascii="Arial" w:hAnsi="Arial" w:cs="Arial"/>
          <w:iCs/>
          <w:sz w:val="16"/>
          <w:szCs w:val="16"/>
          <w:lang w:val="sr-Cyrl-RS"/>
        </w:rPr>
        <w:t xml:space="preserve"> основу удела сразмерно има одређена права, без обзира на висину удела. Права члана друштва сразмерна су учешћу удела тог члана у основном капиталу друштва, осим ако је оснивачким актом одређено другачије.</w:t>
      </w:r>
    </w:p>
  </w:footnote>
  <w:footnote w:id="155">
    <w:p w14:paraId="02FB811B" w14:textId="15DF10E3"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Чланом 88в ЗЛС прописано је да, у случају оснивања заједничког предузећа на основу споразума ЈЛС, њихове руководиоце именују, разрешавају и о њиховој одговорности и престанку дужности одлучују надлежни органи ЈЛС</w:t>
      </w:r>
      <w:r>
        <w:rPr>
          <w:rFonts w:ascii="Arial" w:hAnsi="Arial" w:cs="Arial"/>
          <w:sz w:val="16"/>
          <w:szCs w:val="16"/>
          <w:lang w:val="sr-Cyrl-RS"/>
        </w:rPr>
        <w:t xml:space="preserve"> </w:t>
      </w:r>
      <w:r w:rsidRPr="008D683B">
        <w:rPr>
          <w:rFonts w:ascii="Arial" w:hAnsi="Arial" w:cs="Arial"/>
          <w:sz w:val="16"/>
          <w:szCs w:val="16"/>
          <w:lang w:val="sr-Cyrl-RS"/>
        </w:rPr>
        <w:t>оснивача, у складу са законом. На основу члан</w:t>
      </w:r>
      <w:r>
        <w:rPr>
          <w:rFonts w:ascii="Arial" w:hAnsi="Arial" w:cs="Arial"/>
          <w:sz w:val="16"/>
          <w:szCs w:val="16"/>
          <w:lang w:val="sr-Cyrl-RS"/>
        </w:rPr>
        <w:t>а</w:t>
      </w:r>
      <w:r w:rsidRPr="008D683B">
        <w:rPr>
          <w:rFonts w:ascii="Arial" w:hAnsi="Arial" w:cs="Arial"/>
          <w:sz w:val="16"/>
          <w:szCs w:val="16"/>
          <w:lang w:val="sr-Cyrl-RS"/>
        </w:rPr>
        <w:t xml:space="preserve"> 32. став 1. тачка 9</w:t>
      </w:r>
      <w:r>
        <w:rPr>
          <w:rFonts w:ascii="Arial" w:hAnsi="Arial" w:cs="Arial"/>
          <w:sz w:val="16"/>
          <w:szCs w:val="16"/>
          <w:lang w:val="sr-Cyrl-RS"/>
        </w:rPr>
        <w:t>)</w:t>
      </w:r>
      <w:r w:rsidRPr="008D683B">
        <w:rPr>
          <w:rFonts w:ascii="Arial" w:hAnsi="Arial" w:cs="Arial"/>
          <w:sz w:val="16"/>
          <w:szCs w:val="16"/>
          <w:lang w:val="sr-Cyrl-RS"/>
        </w:rPr>
        <w:t xml:space="preserve"> и члан</w:t>
      </w:r>
      <w:r>
        <w:rPr>
          <w:rFonts w:ascii="Arial" w:hAnsi="Arial" w:cs="Arial"/>
          <w:sz w:val="16"/>
          <w:szCs w:val="16"/>
          <w:lang w:val="sr-Cyrl-RS"/>
        </w:rPr>
        <w:t>а</w:t>
      </w:r>
      <w:r w:rsidRPr="008D683B">
        <w:rPr>
          <w:rFonts w:ascii="Arial" w:hAnsi="Arial" w:cs="Arial"/>
          <w:sz w:val="16"/>
          <w:szCs w:val="16"/>
          <w:lang w:val="sr-Cyrl-RS"/>
        </w:rPr>
        <w:t xml:space="preserve"> 66. ЗЛС, прописано је да скупштина ЈЛС, између осталих надлежности, именује и разрешава управни и надзорни одбор и директоре ЈП. На основу члана 46, мандат директора престаје истеком периода на који је именован, оставком и разрешењем. На основу члана 48</w:t>
      </w:r>
      <w:r>
        <w:rPr>
          <w:rFonts w:ascii="Arial" w:hAnsi="Arial" w:cs="Arial"/>
          <w:sz w:val="16"/>
          <w:szCs w:val="16"/>
          <w:lang w:val="sr-Cyrl-RS"/>
        </w:rPr>
        <w:t>,</w:t>
      </w:r>
      <w:r w:rsidRPr="008D683B">
        <w:rPr>
          <w:rFonts w:ascii="Arial" w:hAnsi="Arial" w:cs="Arial"/>
          <w:sz w:val="16"/>
          <w:szCs w:val="16"/>
          <w:lang w:val="sr-Cyrl-RS"/>
        </w:rPr>
        <w:t xml:space="preserve"> предлог за разрешење директора ЈП чији је оснивач ЈЛС подноси надлежни орган ЈЛС. Предлог за разрешење директора може поднети и надзорни одбор, преко надлежног органа ЈЛС. На основу члана 51</w:t>
      </w:r>
      <w:r>
        <w:rPr>
          <w:rFonts w:ascii="Arial" w:hAnsi="Arial" w:cs="Arial"/>
          <w:sz w:val="16"/>
          <w:szCs w:val="16"/>
          <w:lang w:val="sr-Cyrl-RS"/>
        </w:rPr>
        <w:t>.</w:t>
      </w:r>
      <w:r w:rsidRPr="008D683B">
        <w:rPr>
          <w:rFonts w:ascii="Arial" w:hAnsi="Arial" w:cs="Arial"/>
          <w:sz w:val="16"/>
          <w:szCs w:val="16"/>
          <w:lang w:val="sr-Cyrl-RS"/>
        </w:rPr>
        <w:t xml:space="preserve"> прописано је да</w:t>
      </w:r>
      <w:r>
        <w:rPr>
          <w:rFonts w:ascii="Arial" w:hAnsi="Arial" w:cs="Arial"/>
          <w:sz w:val="16"/>
          <w:szCs w:val="16"/>
          <w:lang w:val="sr-Cyrl-RS"/>
        </w:rPr>
        <w:t>,</w:t>
      </w:r>
      <w:r w:rsidRPr="008D683B">
        <w:rPr>
          <w:rFonts w:ascii="Arial" w:hAnsi="Arial" w:cs="Arial"/>
          <w:sz w:val="16"/>
          <w:szCs w:val="16"/>
          <w:lang w:val="sr-Cyrl-RS"/>
        </w:rPr>
        <w:t xml:space="preserve"> уколико против директора буде потврђена оптужница, орган надлежан за његово именовање доноси решење о суспензији.</w:t>
      </w:r>
    </w:p>
  </w:footnote>
  <w:footnote w:id="156">
    <w:p w14:paraId="0594A009" w14:textId="299789E4"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За сваку календарску годину јавно предузеће дужно је да донесе годишњи програм пословања и достави га надлежном органу ЈЛС. Годишњи, односно трогодишњи програм пословања се сматра донетим када на њега сагласност д</w:t>
      </w:r>
      <w:r>
        <w:rPr>
          <w:rFonts w:ascii="Arial" w:hAnsi="Arial" w:cs="Arial"/>
          <w:sz w:val="16"/>
          <w:szCs w:val="16"/>
          <w:lang w:val="sr-Cyrl-RS"/>
        </w:rPr>
        <w:t>â</w:t>
      </w:r>
      <w:r w:rsidRPr="008D683B">
        <w:rPr>
          <w:rFonts w:ascii="Arial" w:hAnsi="Arial" w:cs="Arial"/>
          <w:sz w:val="16"/>
          <w:szCs w:val="16"/>
          <w:lang w:val="sr-Cyrl-RS"/>
        </w:rPr>
        <w:t xml:space="preserve"> надлежни орган ЈЛС.</w:t>
      </w:r>
    </w:p>
  </w:footnote>
  <w:footnote w:id="157">
    <w:p w14:paraId="31CC27BB" w14:textId="33DA3367"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bCs/>
          <w:sz w:val="16"/>
          <w:szCs w:val="16"/>
          <w:lang w:val="sr-Cyrl-RS"/>
        </w:rPr>
        <w:t xml:space="preserve">Постоје одређени изазови и </w:t>
      </w:r>
      <w:r>
        <w:rPr>
          <w:rFonts w:ascii="Arial" w:hAnsi="Arial" w:cs="Arial"/>
          <w:bCs/>
          <w:sz w:val="16"/>
          <w:szCs w:val="16"/>
          <w:lang w:val="sr-Cyrl-RS"/>
        </w:rPr>
        <w:t>у погледу</w:t>
      </w:r>
      <w:r w:rsidRPr="008D683B">
        <w:rPr>
          <w:rFonts w:ascii="Arial" w:hAnsi="Arial" w:cs="Arial"/>
          <w:bCs/>
          <w:sz w:val="16"/>
          <w:szCs w:val="16"/>
          <w:lang w:val="sr-Cyrl-RS"/>
        </w:rPr>
        <w:t xml:space="preserve"> обезбеђивања заштите општег интереса</w:t>
      </w:r>
      <w:r w:rsidRPr="008D683B">
        <w:rPr>
          <w:rFonts w:ascii="Arial" w:hAnsi="Arial" w:cs="Arial"/>
          <w:sz w:val="16"/>
          <w:szCs w:val="16"/>
          <w:lang w:val="sr-Cyrl-RS"/>
        </w:rPr>
        <w:t>. У члану 69. Закона о ЈП прописано је да</w:t>
      </w:r>
      <w:r>
        <w:rPr>
          <w:rFonts w:ascii="Arial" w:hAnsi="Arial" w:cs="Arial"/>
          <w:sz w:val="16"/>
          <w:szCs w:val="16"/>
          <w:lang w:val="sr-Cyrl-RS"/>
        </w:rPr>
        <w:t>,</w:t>
      </w:r>
      <w:r w:rsidRPr="008D683B">
        <w:rPr>
          <w:rFonts w:ascii="Arial" w:hAnsi="Arial" w:cs="Arial"/>
          <w:sz w:val="16"/>
          <w:szCs w:val="16"/>
          <w:lang w:val="sr-Cyrl-RS"/>
        </w:rPr>
        <w:t xml:space="preserve"> ради обезбеђивања заштите општег интереса у ЈП</w:t>
      </w:r>
      <w:r>
        <w:rPr>
          <w:rFonts w:ascii="Arial" w:hAnsi="Arial" w:cs="Arial"/>
          <w:sz w:val="16"/>
          <w:szCs w:val="16"/>
          <w:lang w:val="sr-Cyrl-RS"/>
        </w:rPr>
        <w:t>,</w:t>
      </w:r>
      <w:r w:rsidRPr="008D683B">
        <w:rPr>
          <w:rFonts w:ascii="Arial" w:hAnsi="Arial" w:cs="Arial"/>
          <w:sz w:val="16"/>
          <w:szCs w:val="16"/>
          <w:lang w:val="sr-Cyrl-RS"/>
        </w:rPr>
        <w:t xml:space="preserve"> надлежни орган даје сагласност, између осталог</w:t>
      </w:r>
      <w:r>
        <w:rPr>
          <w:rFonts w:ascii="Arial" w:hAnsi="Arial" w:cs="Arial"/>
          <w:sz w:val="16"/>
          <w:szCs w:val="16"/>
          <w:lang w:val="sr-Cyrl-RS"/>
        </w:rPr>
        <w:t>,</w:t>
      </w:r>
      <w:r w:rsidRPr="008D683B">
        <w:rPr>
          <w:rFonts w:ascii="Arial" w:hAnsi="Arial" w:cs="Arial"/>
          <w:sz w:val="16"/>
          <w:szCs w:val="16"/>
          <w:lang w:val="sr-Cyrl-RS"/>
        </w:rPr>
        <w:t xml:space="preserve"> и на: статут; располагање (прибављање и отуђење) средствима у јавној својини која су пренета у својину ЈП; улагање капитала; статусне промене; акт о процени вредности капитала, као и на програм и одлуку о својинској трансформацији; друге одлуке, у складу са законом којим се одређује обављање делатности од општег интереса и оснивачким актом. У пракси, могућа је ситуација да један </w:t>
      </w:r>
      <w:r>
        <w:rPr>
          <w:rFonts w:ascii="Arial" w:hAnsi="Arial" w:cs="Arial"/>
          <w:sz w:val="16"/>
          <w:szCs w:val="16"/>
          <w:lang w:val="sr-Cyrl-RS"/>
        </w:rPr>
        <w:t xml:space="preserve">од </w:t>
      </w:r>
      <w:r w:rsidRPr="008D683B">
        <w:rPr>
          <w:rFonts w:ascii="Arial" w:hAnsi="Arial" w:cs="Arial"/>
          <w:sz w:val="16"/>
          <w:szCs w:val="16"/>
          <w:lang w:val="sr-Cyrl-RS"/>
        </w:rPr>
        <w:t>оснивача не даје сагласност на статут заједничког ЈП или статусне промене.</w:t>
      </w:r>
    </w:p>
  </w:footnote>
  <w:footnote w:id="158">
    <w:p w14:paraId="001CECB9" w14:textId="3DC4279B"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Pr>
          <w:rFonts w:ascii="Arial" w:hAnsi="Arial" w:cs="Arial"/>
          <w:sz w:val="16"/>
          <w:szCs w:val="16"/>
          <w:lang w:val="sr-Cyrl-RS"/>
        </w:rPr>
        <w:t>Као</w:t>
      </w:r>
      <w:r w:rsidRPr="008D683B">
        <w:rPr>
          <w:rFonts w:ascii="Arial" w:hAnsi="Arial" w:cs="Arial"/>
          <w:sz w:val="16"/>
          <w:szCs w:val="16"/>
          <w:lang w:val="sr-Cyrl-RS"/>
        </w:rPr>
        <w:t xml:space="preserve"> што су: Закон о озакоњењу, Закон о планирању и изградњи, Закон о процени утицаја на животну средину, Закон о управљању отпадом, Закон о хемикалијама, Закон о ученичком и студентском стандарду, Правилник о ученичким и студентским кредитима и стипендијама, Закон о основама система образовања и васпитања, Закон о предшколском васпитању и образовању, Закон о инспекцијском надзору, Закон о заштити животне средине, Закон о просветној инспекцији, Закон о спорту, Закон о туризму, Закон о превозу путника у друмском саобраћају, Закон о превозу терета у друмском саобраћају и Закон о путевима.</w:t>
      </w:r>
    </w:p>
  </w:footnote>
  <w:footnote w:id="159">
    <w:p w14:paraId="70B2177C" w14:textId="3379E54F"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Закон о финансијској подршци породици са децом, Закон о основним правима бораца, војних инвалида и породица палих бораца, Закон о избеглицама, Закон о експропријацији, као и Уредба о енергетски угроженом купцу</w:t>
      </w:r>
      <w:r>
        <w:rPr>
          <w:rFonts w:ascii="Arial" w:hAnsi="Arial" w:cs="Arial"/>
          <w:sz w:val="16"/>
          <w:szCs w:val="16"/>
          <w:lang w:val="sr-Cyrl-RS"/>
        </w:rPr>
        <w:t>.</w:t>
      </w:r>
    </w:p>
  </w:footnote>
  <w:footnote w:id="160">
    <w:p w14:paraId="7B3BE0ED" w14:textId="77777777" w:rsidR="007324B5" w:rsidRPr="008D683B" w:rsidRDefault="007324B5" w:rsidP="00DD29A7">
      <w:pPr>
        <w:autoSpaceDE w:val="0"/>
        <w:autoSpaceDN w:val="0"/>
        <w:adjustRightInd w:val="0"/>
        <w:ind w:right="-52"/>
        <w:jc w:val="both"/>
        <w:rPr>
          <w:rFonts w:ascii="Arial" w:hAnsi="Arial" w:cs="Arial"/>
          <w:bCs/>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hAnsi="Arial" w:cs="Arial"/>
          <w:bCs/>
          <w:sz w:val="16"/>
          <w:szCs w:val="16"/>
          <w:lang w:val="sr-Cyrl-RS"/>
        </w:rPr>
        <w:t>Други важан механизам подстицаја могу бити наменски трансфери локалним властима чији је смисао у финансирању одређених функција. У складу са Законом о финансирању ЛС, република може ЈЛС обезбедити наменски трансфер за обављање одређених послова у оквиру њиховог изворног или повереног делокруга, а Надлежно министарство је задужено да одреди висину и критеријуме за расподелу по појединим ЈЛС. Уз одређене корекције и овај вид финансирања рада ЈЛС може бити искоришћен као подстицај за међуопштинско организовање и спровођење одређених функција.</w:t>
      </w:r>
    </w:p>
  </w:footnote>
  <w:footnote w:id="161">
    <w:p w14:paraId="49C0DEFE" w14:textId="01F5A81C" w:rsidR="007324B5" w:rsidRPr="008D683B" w:rsidRDefault="007324B5" w:rsidP="00DD29A7">
      <w:pPr>
        <w:pStyle w:val="FootnoteText"/>
        <w:ind w:right="-52"/>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Први кораци у овом правцу су учињени у области просветне инспекције и то Правилником о утврђивању потребног броја просветних инспектора у локалној управи, по коме није за све ЈЛС утврђен потребан број просветних инспектора, из чега произлази да ове ЈЛС морају да успоставе неки облик МОС како би се ови послови обављали и на њиховим територијама. Наравно, ово не искључује могућност да ЈЛС за које није утврђена потреба</w:t>
      </w:r>
      <w:r>
        <w:rPr>
          <w:rFonts w:ascii="Arial" w:hAnsi="Arial" w:cs="Arial"/>
          <w:sz w:val="16"/>
          <w:szCs w:val="16"/>
          <w:lang w:val="sr-Cyrl-RS"/>
        </w:rPr>
        <w:t xml:space="preserve"> за</w:t>
      </w:r>
      <w:r w:rsidRPr="008D683B">
        <w:rPr>
          <w:rFonts w:ascii="Arial" w:hAnsi="Arial" w:cs="Arial"/>
          <w:sz w:val="16"/>
          <w:szCs w:val="16"/>
          <w:lang w:val="sr-Cyrl-RS"/>
        </w:rPr>
        <w:t xml:space="preserve"> постојањ</w:t>
      </w:r>
      <w:r>
        <w:rPr>
          <w:rFonts w:ascii="Arial" w:hAnsi="Arial" w:cs="Arial"/>
          <w:sz w:val="16"/>
          <w:szCs w:val="16"/>
          <w:lang w:val="sr-Cyrl-RS"/>
        </w:rPr>
        <w:t>ем</w:t>
      </w:r>
      <w:r w:rsidRPr="008D683B">
        <w:rPr>
          <w:rFonts w:ascii="Arial" w:hAnsi="Arial" w:cs="Arial"/>
          <w:sz w:val="16"/>
          <w:szCs w:val="16"/>
          <w:lang w:val="sr-Cyrl-RS"/>
        </w:rPr>
        <w:t xml:space="preserve"> просветног инспектора као запосленог, саме запосле просветног инспектора и обезбеде обављање ових послова. Ова процена Министарства просвете се базира на анализи обима послова просветног инспектора у ЈЛС.</w:t>
      </w:r>
    </w:p>
  </w:footnote>
  <w:footnote w:id="162">
    <w:p w14:paraId="42F00F89" w14:textId="315AE90A" w:rsidR="007324B5" w:rsidRPr="008D683B" w:rsidRDefault="007324B5" w:rsidP="00DD29A7">
      <w:pPr>
        <w:pStyle w:val="Style11"/>
        <w:rPr>
          <w:rFonts w:ascii="Arial" w:hAnsi="Arial" w:cs="Arial"/>
          <w:sz w:val="16"/>
          <w:szCs w:val="16"/>
          <w:shd w:val="clear" w:color="auto" w:fill="FFFFFF"/>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w:t>
      </w:r>
      <w:r>
        <w:rPr>
          <w:rFonts w:ascii="Arial" w:hAnsi="Arial" w:cs="Arial"/>
          <w:sz w:val="16"/>
          <w:szCs w:val="16"/>
          <w:lang w:val="sr-Cyrl-RS"/>
        </w:rPr>
        <w:t>иди</w:t>
      </w:r>
      <w:r w:rsidRPr="008D683B">
        <w:rPr>
          <w:rFonts w:ascii="Arial" w:hAnsi="Arial" w:cs="Arial"/>
          <w:sz w:val="16"/>
          <w:szCs w:val="16"/>
          <w:lang w:val="sr-Cyrl-RS"/>
        </w:rPr>
        <w:t xml:space="preserve"> нпр. Karayigit, M. (2016), </w:t>
      </w:r>
      <w:r>
        <w:rPr>
          <w:rFonts w:ascii="Arial" w:hAnsi="Arial" w:cs="Arial"/>
          <w:sz w:val="16"/>
          <w:szCs w:val="16"/>
        </w:rPr>
        <w:t>“</w:t>
      </w:r>
      <w:r w:rsidRPr="008D683B">
        <w:rPr>
          <w:rFonts w:ascii="Arial" w:hAnsi="Arial" w:cs="Arial"/>
          <w:sz w:val="16"/>
          <w:szCs w:val="16"/>
          <w:shd w:val="clear" w:color="auto" w:fill="FFFFFF"/>
          <w:lang w:val="sr-Cyrl-RS"/>
        </w:rPr>
        <w:t>The EU and Local Governments</w:t>
      </w:r>
      <w:r>
        <w:rPr>
          <w:rFonts w:ascii="Arial" w:hAnsi="Arial" w:cs="Arial"/>
          <w:sz w:val="16"/>
          <w:szCs w:val="16"/>
          <w:shd w:val="clear" w:color="auto" w:fill="FFFFFF"/>
        </w:rPr>
        <w:t>”</w:t>
      </w:r>
      <w:r w:rsidRPr="008D683B">
        <w:rPr>
          <w:rFonts w:ascii="Arial" w:hAnsi="Arial" w:cs="Arial"/>
          <w:sz w:val="16"/>
          <w:szCs w:val="16"/>
          <w:shd w:val="clear" w:color="auto" w:fill="FFFFFF"/>
          <w:lang w:val="sr-Cyrl-RS"/>
        </w:rPr>
        <w:t xml:space="preserve">, </w:t>
      </w:r>
      <w:r w:rsidRPr="009B46D0">
        <w:rPr>
          <w:rFonts w:ascii="Arial" w:hAnsi="Arial" w:cs="Arial"/>
          <w:i/>
          <w:iCs/>
          <w:sz w:val="16"/>
          <w:szCs w:val="16"/>
          <w:shd w:val="clear" w:color="auto" w:fill="FFFFFF"/>
          <w:lang w:val="sr-Cyrl-RS"/>
        </w:rPr>
        <w:t>Strategic Public Management Journal</w:t>
      </w:r>
      <w:r w:rsidRPr="008D683B">
        <w:rPr>
          <w:rFonts w:ascii="Arial" w:hAnsi="Arial" w:cs="Arial"/>
          <w:sz w:val="16"/>
          <w:szCs w:val="16"/>
          <w:shd w:val="clear" w:color="auto" w:fill="FFFFFF"/>
          <w:lang w:val="sr-Cyrl-RS"/>
        </w:rPr>
        <w:t>, 2 (4), стр. 6</w:t>
      </w:r>
      <w:r>
        <w:rPr>
          <w:rFonts w:ascii="Arial" w:hAnsi="Arial" w:cs="Arial"/>
          <w:sz w:val="16"/>
          <w:szCs w:val="16"/>
          <w:shd w:val="clear" w:color="auto" w:fill="FFFFFF"/>
          <w:lang w:val="sr-Cyrl-RS"/>
        </w:rPr>
        <w:t>–</w:t>
      </w:r>
      <w:r w:rsidRPr="008D683B">
        <w:rPr>
          <w:rFonts w:ascii="Arial" w:hAnsi="Arial" w:cs="Arial"/>
          <w:sz w:val="16"/>
          <w:szCs w:val="16"/>
          <w:shd w:val="clear" w:color="auto" w:fill="FFFFFF"/>
          <w:lang w:val="sr-Cyrl-RS"/>
        </w:rPr>
        <w:t xml:space="preserve">9. </w:t>
      </w:r>
      <w:r w:rsidRPr="008D683B">
        <w:rPr>
          <w:rFonts w:ascii="Arial" w:hAnsi="Arial" w:cs="Arial"/>
          <w:sz w:val="16"/>
          <w:szCs w:val="16"/>
          <w:lang w:val="sr-Cyrl-RS"/>
        </w:rPr>
        <w:t xml:space="preserve">У брошури Комитета региона </w:t>
      </w:r>
      <w:r w:rsidRPr="009B46D0">
        <w:rPr>
          <w:rFonts w:ascii="Arial" w:hAnsi="Arial" w:cs="Arial"/>
          <w:i/>
          <w:sz w:val="16"/>
          <w:szCs w:val="16"/>
          <w:lang w:val="sr-Cyrl-RS"/>
        </w:rPr>
        <w:t>A new treaty: a new role for regions and local authorities</w:t>
      </w:r>
      <w:r w:rsidRPr="008D683B">
        <w:rPr>
          <w:rFonts w:ascii="Arial" w:hAnsi="Arial" w:cs="Arial"/>
          <w:sz w:val="16"/>
          <w:szCs w:val="16"/>
          <w:lang w:val="sr-Cyrl-RS"/>
        </w:rPr>
        <w:t>,</w:t>
      </w:r>
      <w:r>
        <w:rPr>
          <w:rFonts w:ascii="Arial" w:hAnsi="Arial" w:cs="Arial"/>
          <w:sz w:val="16"/>
          <w:szCs w:val="16"/>
          <w:lang w:val="sr-Cyrl-RS"/>
        </w:rPr>
        <w:t xml:space="preserve"> доступној на</w:t>
      </w:r>
      <w:r w:rsidRPr="008D683B">
        <w:rPr>
          <w:rFonts w:ascii="Arial" w:hAnsi="Arial" w:cs="Arial"/>
          <w:sz w:val="16"/>
          <w:szCs w:val="16"/>
          <w:lang w:val="sr-Cyrl-RS"/>
        </w:rPr>
        <w:t xml:space="preserve"> </w:t>
      </w:r>
      <w:hyperlink r:id="rId48" w:history="1">
        <w:r w:rsidRPr="009B46D0">
          <w:rPr>
            <w:rStyle w:val="Hyperlink"/>
            <w:rFonts w:ascii="Arial" w:hAnsi="Arial" w:cs="Arial"/>
            <w:sz w:val="16"/>
            <w:szCs w:val="16"/>
            <w:lang w:val="sr-Cyrl-RS"/>
          </w:rPr>
          <w:t>https://cor.europa.eu/en/our-work/Documents/Our-work/lisbon-treaty.pdf</w:t>
        </w:r>
      </w:hyperlink>
      <w:r w:rsidRPr="008D683B">
        <w:rPr>
          <w:rFonts w:ascii="Arial" w:hAnsi="Arial" w:cs="Arial"/>
          <w:sz w:val="16"/>
          <w:szCs w:val="16"/>
          <w:lang w:val="sr-Cyrl-RS"/>
        </w:rPr>
        <w:t xml:space="preserve"> (30.1.2020)</w:t>
      </w:r>
      <w:r>
        <w:rPr>
          <w:rFonts w:ascii="Arial" w:hAnsi="Arial" w:cs="Arial"/>
          <w:sz w:val="16"/>
          <w:szCs w:val="16"/>
          <w:lang w:val="sr-Cyrl-RS"/>
        </w:rPr>
        <w:t>,</w:t>
      </w:r>
      <w:r w:rsidRPr="008D683B">
        <w:rPr>
          <w:rFonts w:ascii="Arial" w:hAnsi="Arial" w:cs="Arial"/>
          <w:sz w:val="16"/>
          <w:szCs w:val="16"/>
          <w:lang w:val="sr-Cyrl-RS"/>
        </w:rPr>
        <w:t xml:space="preserve"> наводи се да је то 70% свих прописа ЕУ.</w:t>
      </w:r>
    </w:p>
  </w:footnote>
  <w:footnote w:id="163">
    <w:p w14:paraId="0E90C51A" w14:textId="362C3036" w:rsidR="007324B5" w:rsidRPr="008D683B" w:rsidRDefault="007324B5" w:rsidP="00DD29A7">
      <w:pPr>
        <w:pStyle w:val="Style11"/>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Pr>
          <w:rFonts w:ascii="Arial" w:hAnsi="Arial" w:cs="Arial"/>
          <w:sz w:val="16"/>
          <w:szCs w:val="16"/>
          <w:lang w:val="sr-Cyrl-RS"/>
        </w:rPr>
        <w:t>У л</w:t>
      </w:r>
      <w:r w:rsidRPr="008D683B">
        <w:rPr>
          <w:rFonts w:ascii="Arial" w:hAnsi="Arial" w:cs="Arial"/>
          <w:sz w:val="16"/>
          <w:szCs w:val="16"/>
          <w:lang w:val="sr-Cyrl-RS"/>
        </w:rPr>
        <w:t>лан</w:t>
      </w:r>
      <w:r>
        <w:rPr>
          <w:rFonts w:ascii="Arial" w:hAnsi="Arial" w:cs="Arial"/>
          <w:sz w:val="16"/>
          <w:szCs w:val="16"/>
          <w:lang w:val="sr-Cyrl-RS"/>
        </w:rPr>
        <w:t>у</w:t>
      </w:r>
      <w:r w:rsidRPr="008D683B">
        <w:rPr>
          <w:rFonts w:ascii="Arial" w:hAnsi="Arial" w:cs="Arial"/>
          <w:sz w:val="16"/>
          <w:szCs w:val="16"/>
          <w:lang w:val="sr-Cyrl-RS"/>
        </w:rPr>
        <w:t xml:space="preserve"> 4. став 2. Уговора о ЕУ </w:t>
      </w:r>
      <w:r>
        <w:rPr>
          <w:rFonts w:ascii="Arial" w:hAnsi="Arial" w:cs="Arial"/>
          <w:sz w:val="16"/>
          <w:szCs w:val="16"/>
          <w:lang w:val="sr-Cyrl-RS"/>
        </w:rPr>
        <w:t>н</w:t>
      </w:r>
      <w:r w:rsidRPr="008D683B">
        <w:rPr>
          <w:rFonts w:ascii="Arial" w:hAnsi="Arial" w:cs="Arial"/>
          <w:sz w:val="16"/>
          <w:szCs w:val="16"/>
          <w:lang w:val="sr-Cyrl-RS"/>
        </w:rPr>
        <w:t xml:space="preserve">аводи се да ЕУ поштује одређена начела, између осталог националне идентитете </w:t>
      </w:r>
      <w:r>
        <w:rPr>
          <w:rFonts w:ascii="Arial" w:hAnsi="Arial" w:cs="Arial"/>
          <w:sz w:val="16"/>
          <w:szCs w:val="16"/>
          <w:lang w:val="sr-Cyrl-RS"/>
        </w:rPr>
        <w:t xml:space="preserve">држава </w:t>
      </w:r>
      <w:r w:rsidRPr="008D683B">
        <w:rPr>
          <w:rFonts w:ascii="Arial" w:hAnsi="Arial" w:cs="Arial"/>
          <w:sz w:val="16"/>
          <w:szCs w:val="16"/>
          <w:lang w:val="sr-Cyrl-RS"/>
        </w:rPr>
        <w:t>чланица на којима почива</w:t>
      </w:r>
      <w:r>
        <w:rPr>
          <w:rFonts w:ascii="Arial" w:hAnsi="Arial" w:cs="Arial"/>
          <w:sz w:val="16"/>
          <w:szCs w:val="16"/>
          <w:lang w:val="sr-Cyrl-RS"/>
        </w:rPr>
        <w:t>ју</w:t>
      </w:r>
      <w:r w:rsidRPr="008D683B">
        <w:rPr>
          <w:rFonts w:ascii="Arial" w:hAnsi="Arial" w:cs="Arial"/>
          <w:sz w:val="16"/>
          <w:szCs w:val="16"/>
          <w:lang w:val="sr-Cyrl-RS"/>
        </w:rPr>
        <w:t xml:space="preserve"> њихов</w:t>
      </w:r>
      <w:r>
        <w:rPr>
          <w:rFonts w:ascii="Arial" w:hAnsi="Arial" w:cs="Arial"/>
          <w:sz w:val="16"/>
          <w:szCs w:val="16"/>
          <w:lang w:val="sr-Cyrl-RS"/>
        </w:rPr>
        <w:t>и</w:t>
      </w:r>
      <w:r w:rsidRPr="008D683B">
        <w:rPr>
          <w:rFonts w:ascii="Arial" w:hAnsi="Arial" w:cs="Arial"/>
          <w:sz w:val="16"/>
          <w:szCs w:val="16"/>
          <w:lang w:val="sr-Cyrl-RS"/>
        </w:rPr>
        <w:t xml:space="preserve"> политичк</w:t>
      </w:r>
      <w:r>
        <w:rPr>
          <w:rFonts w:ascii="Arial" w:hAnsi="Arial" w:cs="Arial"/>
          <w:sz w:val="16"/>
          <w:szCs w:val="16"/>
          <w:lang w:val="sr-Cyrl-RS"/>
        </w:rPr>
        <w:t>и</w:t>
      </w:r>
      <w:r w:rsidRPr="008D683B">
        <w:rPr>
          <w:rFonts w:ascii="Arial" w:hAnsi="Arial" w:cs="Arial"/>
          <w:sz w:val="16"/>
          <w:szCs w:val="16"/>
          <w:lang w:val="sr-Cyrl-RS"/>
        </w:rPr>
        <w:t xml:space="preserve"> и уставн</w:t>
      </w:r>
      <w:r>
        <w:rPr>
          <w:rFonts w:ascii="Arial" w:hAnsi="Arial" w:cs="Arial"/>
          <w:sz w:val="16"/>
          <w:szCs w:val="16"/>
          <w:lang w:val="sr-Cyrl-RS"/>
        </w:rPr>
        <w:t>и</w:t>
      </w:r>
      <w:r w:rsidRPr="008D683B">
        <w:rPr>
          <w:rFonts w:ascii="Arial" w:hAnsi="Arial" w:cs="Arial"/>
          <w:sz w:val="16"/>
          <w:szCs w:val="16"/>
          <w:lang w:val="sr-Cyrl-RS"/>
        </w:rPr>
        <w:t xml:space="preserve"> с</w:t>
      </w:r>
      <w:r>
        <w:rPr>
          <w:rFonts w:ascii="Arial" w:hAnsi="Arial" w:cs="Arial"/>
          <w:sz w:val="16"/>
          <w:szCs w:val="16"/>
          <w:lang w:val="sr-Cyrl-RS"/>
        </w:rPr>
        <w:t>истеми</w:t>
      </w:r>
      <w:r w:rsidRPr="008D683B">
        <w:rPr>
          <w:rFonts w:ascii="Arial" w:hAnsi="Arial" w:cs="Arial"/>
          <w:sz w:val="16"/>
          <w:szCs w:val="16"/>
          <w:lang w:val="sr-Cyrl-RS"/>
        </w:rPr>
        <w:t>, укључујући и регионалну и локалну самоуправу.</w:t>
      </w:r>
    </w:p>
  </w:footnote>
  <w:footnote w:id="164">
    <w:p w14:paraId="62E6311D" w14:textId="58424941"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Кроз Комитет региона, европске локалне и регионалне власти могу изразити своје мишљење о усаглашености са начелима супсидијарности и пропорционалности током процеса припреме и процеса доношења прописа.</w:t>
      </w:r>
    </w:p>
  </w:footnote>
  <w:footnote w:id="165">
    <w:p w14:paraId="33F707FE" w14:textId="0059D80F"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ЗКО је основан одлуком Савета Европске уније и Европске комисије (2013/489/EU, Euroatom), са задатком да помогне Савету у циљу промовисања дијалога и сарадње између локалних и регионалних органа власти у ЕУ и Србији и представља место за припрему регионалних и локалних власти у РС за учешће у раду Комитета региона по ступању у чланство у ЕУ. </w:t>
      </w:r>
      <w:r w:rsidRPr="008D683B">
        <w:rPr>
          <w:rStyle w:val="apple-converted-space"/>
          <w:rFonts w:ascii="Arial" w:hAnsi="Arial" w:cs="Arial"/>
          <w:color w:val="000000"/>
          <w:sz w:val="16"/>
          <w:szCs w:val="16"/>
          <w:lang w:val="sr-Cyrl-RS"/>
        </w:rPr>
        <w:t>Чланови и заменици чланова, као и копредседавајући српског дела ЗКО су именовани у јануару 2017. године (Закључак Владе Републике Србије 24, број: 119-826/2017).</w:t>
      </w:r>
    </w:p>
  </w:footnote>
  <w:footnote w:id="166">
    <w:p w14:paraId="6F8E80AC" w14:textId="500DB8C6"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Одлука Савета од 18. фебруара 2008. године </w:t>
      </w:r>
      <w:r>
        <w:rPr>
          <w:rFonts w:ascii="Arial" w:hAnsi="Arial" w:cs="Arial"/>
          <w:sz w:val="16"/>
          <w:szCs w:val="16"/>
          <w:lang w:val="sr-Cyrl-RS"/>
        </w:rPr>
        <w:t>о</w:t>
      </w:r>
      <w:r w:rsidRPr="008D683B">
        <w:rPr>
          <w:rFonts w:ascii="Arial" w:hAnsi="Arial" w:cs="Arial"/>
          <w:sz w:val="16"/>
          <w:szCs w:val="16"/>
          <w:lang w:val="sr-Cyrl-RS"/>
        </w:rPr>
        <w:t xml:space="preserve"> </w:t>
      </w:r>
      <w:r>
        <w:rPr>
          <w:rFonts w:ascii="Arial" w:hAnsi="Arial" w:cs="Arial"/>
          <w:sz w:val="16"/>
          <w:szCs w:val="16"/>
          <w:lang w:val="sr-Cyrl-RS"/>
        </w:rPr>
        <w:t>начелима</w:t>
      </w:r>
      <w:r w:rsidRPr="008D683B">
        <w:rPr>
          <w:rFonts w:ascii="Arial" w:hAnsi="Arial" w:cs="Arial"/>
          <w:sz w:val="16"/>
          <w:szCs w:val="16"/>
          <w:lang w:val="sr-Cyrl-RS"/>
        </w:rPr>
        <w:t xml:space="preserve">, приоритетима и условима </w:t>
      </w:r>
      <w:r>
        <w:rPr>
          <w:rFonts w:ascii="Arial" w:hAnsi="Arial" w:cs="Arial"/>
          <w:sz w:val="16"/>
          <w:szCs w:val="16"/>
          <w:lang w:val="sr-Cyrl-RS"/>
        </w:rPr>
        <w:t xml:space="preserve">садржаним у </w:t>
      </w:r>
      <w:r w:rsidRPr="008D683B">
        <w:rPr>
          <w:rFonts w:ascii="Arial" w:hAnsi="Arial" w:cs="Arial"/>
          <w:sz w:val="16"/>
          <w:szCs w:val="16"/>
          <w:lang w:val="sr-Cyrl-RS"/>
        </w:rPr>
        <w:t>Европско</w:t>
      </w:r>
      <w:r>
        <w:rPr>
          <w:rFonts w:ascii="Arial" w:hAnsi="Arial" w:cs="Arial"/>
          <w:sz w:val="16"/>
          <w:szCs w:val="16"/>
          <w:lang w:val="sr-Cyrl-RS"/>
        </w:rPr>
        <w:t>м</w:t>
      </w:r>
      <w:r w:rsidRPr="008D683B">
        <w:rPr>
          <w:rFonts w:ascii="Arial" w:hAnsi="Arial" w:cs="Arial"/>
          <w:sz w:val="16"/>
          <w:szCs w:val="16"/>
          <w:lang w:val="sr-Cyrl-RS"/>
        </w:rPr>
        <w:t xml:space="preserve"> партнерств</w:t>
      </w:r>
      <w:r>
        <w:rPr>
          <w:rFonts w:ascii="Arial" w:hAnsi="Arial" w:cs="Arial"/>
          <w:sz w:val="16"/>
          <w:szCs w:val="16"/>
          <w:lang w:val="sr-Cyrl-RS"/>
        </w:rPr>
        <w:t>у</w:t>
      </w:r>
      <w:r w:rsidRPr="008D683B">
        <w:rPr>
          <w:rFonts w:ascii="Arial" w:hAnsi="Arial" w:cs="Arial"/>
          <w:sz w:val="16"/>
          <w:szCs w:val="16"/>
          <w:lang w:val="sr-Cyrl-RS"/>
        </w:rPr>
        <w:t xml:space="preserve"> са Републиком Србијом укључујући и Косово </w:t>
      </w:r>
      <w:r>
        <w:rPr>
          <w:rFonts w:ascii="Arial" w:hAnsi="Arial" w:cs="Arial"/>
          <w:sz w:val="16"/>
          <w:szCs w:val="16"/>
          <w:lang w:val="sr-Cyrl-RS"/>
        </w:rPr>
        <w:t>како је утврђено у</w:t>
      </w:r>
      <w:r w:rsidRPr="008D683B">
        <w:rPr>
          <w:rFonts w:ascii="Arial" w:hAnsi="Arial" w:cs="Arial"/>
          <w:sz w:val="16"/>
          <w:szCs w:val="16"/>
          <w:lang w:val="sr-Cyrl-RS"/>
        </w:rPr>
        <w:t xml:space="preserve"> Резолуцији 1244 Савета безбедности Уједињених нација од 10. јуна 1999. </w:t>
      </w:r>
      <w:r>
        <w:rPr>
          <w:rFonts w:ascii="Arial" w:hAnsi="Arial" w:cs="Arial"/>
          <w:sz w:val="16"/>
          <w:szCs w:val="16"/>
          <w:lang w:val="sr-Cyrl-RS"/>
        </w:rPr>
        <w:t xml:space="preserve">године </w:t>
      </w:r>
      <w:r w:rsidRPr="008D683B">
        <w:rPr>
          <w:rFonts w:ascii="Arial" w:hAnsi="Arial" w:cs="Arial"/>
          <w:sz w:val="16"/>
          <w:szCs w:val="16"/>
          <w:lang w:val="sr-Cyrl-RS"/>
        </w:rPr>
        <w:t xml:space="preserve">и о </w:t>
      </w:r>
      <w:r>
        <w:rPr>
          <w:rFonts w:ascii="Arial" w:hAnsi="Arial" w:cs="Arial"/>
          <w:sz w:val="16"/>
          <w:szCs w:val="16"/>
          <w:lang w:val="sr-Cyrl-RS"/>
        </w:rPr>
        <w:t>стављању ван снаге</w:t>
      </w:r>
      <w:r w:rsidRPr="008D683B">
        <w:rPr>
          <w:rFonts w:ascii="Arial" w:hAnsi="Arial" w:cs="Arial"/>
          <w:sz w:val="16"/>
          <w:szCs w:val="16"/>
          <w:lang w:val="sr-Cyrl-RS"/>
        </w:rPr>
        <w:t xml:space="preserve"> Одлуке 2006/56/EС (2008/213/ЕС).</w:t>
      </w:r>
    </w:p>
  </w:footnote>
  <w:footnote w:id="167">
    <w:p w14:paraId="48EB3FCB" w14:textId="0C15708F"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Закон о потврђивању Споразума о стабилизацији и придруживању између Европских заједница и њихових држава чланица, са једне стране</w:t>
      </w:r>
      <w:r>
        <w:rPr>
          <w:rFonts w:ascii="Arial" w:hAnsi="Arial" w:cs="Arial"/>
          <w:sz w:val="16"/>
          <w:szCs w:val="16"/>
          <w:lang w:val="sr-Cyrl-RS"/>
        </w:rPr>
        <w:t>,</w:t>
      </w:r>
      <w:r w:rsidRPr="008D683B">
        <w:rPr>
          <w:rFonts w:ascii="Arial" w:hAnsi="Arial" w:cs="Arial"/>
          <w:sz w:val="16"/>
          <w:szCs w:val="16"/>
          <w:lang w:val="sr-Cyrl-RS"/>
        </w:rPr>
        <w:t xml:space="preserve"> и Републике Србије, са друге стране („</w:t>
      </w:r>
      <w:r w:rsidRPr="008D683B">
        <w:rPr>
          <w:rFonts w:ascii="Arial" w:hAnsi="Arial" w:cs="Arial"/>
          <w:iCs/>
          <w:sz w:val="16"/>
          <w:szCs w:val="16"/>
          <w:lang w:val="sr-Cyrl-RS"/>
        </w:rPr>
        <w:t>Службени гласник РС – Међународни уговори”,</w:t>
      </w:r>
      <w:r w:rsidRPr="008D683B">
        <w:rPr>
          <w:rFonts w:ascii="Arial" w:hAnsi="Arial" w:cs="Arial"/>
          <w:sz w:val="16"/>
          <w:szCs w:val="16"/>
          <w:lang w:val="sr-Cyrl-RS"/>
        </w:rPr>
        <w:t xml:space="preserve"> број 83/08).</w:t>
      </w:r>
    </w:p>
  </w:footnote>
  <w:footnote w:id="168">
    <w:p w14:paraId="03FB2B96" w14:textId="2D8BE7FB"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Министарство за европске интеграције (2020)</w:t>
      </w:r>
      <w:r>
        <w:rPr>
          <w:rFonts w:ascii="Arial" w:hAnsi="Arial" w:cs="Arial"/>
          <w:sz w:val="16"/>
          <w:szCs w:val="16"/>
          <w:lang w:val="sr-Cyrl-RS"/>
        </w:rPr>
        <w:t>,</w:t>
      </w:r>
      <w:r w:rsidRPr="008D683B">
        <w:rPr>
          <w:rFonts w:ascii="Arial" w:hAnsi="Arial" w:cs="Arial"/>
          <w:sz w:val="16"/>
          <w:szCs w:val="16"/>
          <w:lang w:val="sr-Cyrl-RS"/>
        </w:rPr>
        <w:t xml:space="preserve"> </w:t>
      </w:r>
      <w:hyperlink r:id="rId49" w:history="1">
        <w:r w:rsidRPr="008D683B">
          <w:rPr>
            <w:rStyle w:val="Hyperlink"/>
            <w:rFonts w:ascii="Arial" w:hAnsi="Arial" w:cs="Arial"/>
            <w:color w:val="auto"/>
            <w:sz w:val="16"/>
            <w:szCs w:val="16"/>
            <w:lang w:val="sr-Cyrl-RS"/>
          </w:rPr>
          <w:t>www.mei.gov.rs/srl/dokumenta/nacionalna-dokumenta/strategija-komunikacije-o-pristupanju-rs-eu</w:t>
        </w:r>
      </w:hyperlink>
      <w:r w:rsidRPr="008D683B">
        <w:rPr>
          <w:rFonts w:ascii="Arial" w:hAnsi="Arial" w:cs="Arial"/>
          <w:sz w:val="16"/>
          <w:szCs w:val="16"/>
          <w:lang w:val="sr-Cyrl-RS"/>
        </w:rPr>
        <w:t>.</w:t>
      </w:r>
    </w:p>
  </w:footnote>
  <w:footnote w:id="169">
    <w:p w14:paraId="55C3CEFD" w14:textId="459E1BF4"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Министарство за европске интеграције (2020)</w:t>
      </w:r>
      <w:r>
        <w:rPr>
          <w:rFonts w:ascii="Arial" w:hAnsi="Arial" w:cs="Arial"/>
          <w:sz w:val="16"/>
          <w:szCs w:val="16"/>
          <w:lang w:val="sr-Cyrl-RS"/>
        </w:rPr>
        <w:t>,</w:t>
      </w:r>
      <w:r w:rsidRPr="008D683B">
        <w:rPr>
          <w:rFonts w:ascii="Arial" w:hAnsi="Arial" w:cs="Arial"/>
          <w:sz w:val="16"/>
          <w:szCs w:val="16"/>
          <w:lang w:val="sr-Cyrl-RS"/>
        </w:rPr>
        <w:t xml:space="preserve"> </w:t>
      </w:r>
      <w:hyperlink r:id="rId50" w:history="1">
        <w:r w:rsidRPr="008D683B">
          <w:rPr>
            <w:rStyle w:val="Hyperlink"/>
            <w:rFonts w:ascii="Arial" w:hAnsi="Arial" w:cs="Arial"/>
            <w:color w:val="auto"/>
            <w:sz w:val="16"/>
            <w:szCs w:val="16"/>
            <w:lang w:val="sr-Cyrl-RS"/>
          </w:rPr>
          <w:t>www.mei.gov.rs/upload/documents/nacionalna_dokumenta/npaa/npaa_2018_2021.pdf</w:t>
        </w:r>
      </w:hyperlink>
      <w:r w:rsidRPr="008D683B">
        <w:rPr>
          <w:rFonts w:ascii="Arial" w:hAnsi="Arial" w:cs="Arial"/>
          <w:sz w:val="16"/>
          <w:szCs w:val="16"/>
          <w:lang w:val="sr-Cyrl-RS"/>
        </w:rPr>
        <w:t>.</w:t>
      </w:r>
    </w:p>
  </w:footnote>
  <w:footnote w:id="170">
    <w:p w14:paraId="53E8B446" w14:textId="39766C88"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Члан 13. став 6. гласи: „</w:t>
      </w:r>
      <w:r w:rsidRPr="008D683B">
        <w:rPr>
          <w:rFonts w:ascii="Arial" w:hAnsi="Arial" w:cs="Arial"/>
          <w:bCs/>
          <w:color w:val="333333"/>
          <w:sz w:val="16"/>
          <w:szCs w:val="16"/>
          <w:shd w:val="clear" w:color="auto" w:fill="FFFFFF"/>
          <w:lang w:val="sr-Cyrl-RS"/>
        </w:rPr>
        <w:t>Јединица локалне самоуправе,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w:t>
      </w:r>
      <w:r w:rsidRPr="008D683B">
        <w:rPr>
          <w:rFonts w:ascii="Arial" w:hAnsi="Arial" w:cs="Arial"/>
          <w:sz w:val="16"/>
          <w:szCs w:val="16"/>
          <w:shd w:val="clear" w:color="auto" w:fill="FFFFFF"/>
          <w:lang w:val="sr-Cyrl-RS"/>
        </w:rPr>
        <w:t xml:space="preserve"> </w:t>
      </w:r>
      <w:r w:rsidRPr="008D683B">
        <w:rPr>
          <w:rFonts w:ascii="Arial" w:hAnsi="Arial" w:cs="Arial"/>
          <w:bCs/>
          <w:color w:val="333333"/>
          <w:sz w:val="16"/>
          <w:szCs w:val="16"/>
          <w:shd w:val="clear" w:color="auto" w:fill="FFFFFF"/>
          <w:lang w:val="sr-Cyrl-RS"/>
        </w:rPr>
        <w:t>утврђеном политиком Републике Србије.”</w:t>
      </w:r>
    </w:p>
  </w:footnote>
  <w:footnote w:id="171">
    <w:p w14:paraId="2158BEA5" w14:textId="5696DB39"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Како би се имао увид у обим и врсту обавеза које локалној самоуправи доноси процес </w:t>
      </w:r>
      <w:r>
        <w:rPr>
          <w:rFonts w:ascii="Arial" w:hAnsi="Arial" w:cs="Arial"/>
          <w:sz w:val="16"/>
          <w:szCs w:val="16"/>
          <w:lang w:val="sr-Cyrl-RS"/>
        </w:rPr>
        <w:t>европских</w:t>
      </w:r>
      <w:r w:rsidRPr="008D683B">
        <w:rPr>
          <w:rFonts w:ascii="Arial" w:hAnsi="Arial" w:cs="Arial"/>
          <w:sz w:val="16"/>
          <w:szCs w:val="16"/>
          <w:lang w:val="sr-Cyrl-RS"/>
        </w:rPr>
        <w:t xml:space="preserve"> интеграциј</w:t>
      </w:r>
      <w:r>
        <w:rPr>
          <w:rFonts w:ascii="Arial" w:hAnsi="Arial" w:cs="Arial"/>
          <w:sz w:val="16"/>
          <w:szCs w:val="16"/>
          <w:lang w:val="sr-Cyrl-RS"/>
        </w:rPr>
        <w:t>а</w:t>
      </w:r>
      <w:r w:rsidRPr="008D683B">
        <w:rPr>
          <w:rFonts w:ascii="Arial" w:hAnsi="Arial" w:cs="Arial"/>
          <w:sz w:val="16"/>
          <w:szCs w:val="16"/>
          <w:lang w:val="sr-Cyrl-RS"/>
        </w:rPr>
        <w:t xml:space="preserve">, СКГО </w:t>
      </w:r>
      <w:r>
        <w:rPr>
          <w:rFonts w:ascii="Arial" w:hAnsi="Arial" w:cs="Arial"/>
          <w:sz w:val="16"/>
          <w:szCs w:val="16"/>
          <w:lang w:val="sr-Cyrl-RS"/>
        </w:rPr>
        <w:t xml:space="preserve">је </w:t>
      </w:r>
      <w:r w:rsidRPr="008D683B">
        <w:rPr>
          <w:rFonts w:ascii="Arial" w:hAnsi="Arial" w:cs="Arial"/>
          <w:sz w:val="16"/>
          <w:szCs w:val="16"/>
          <w:lang w:val="sr-Cyrl-RS"/>
        </w:rPr>
        <w:t xml:space="preserve">идентификовала 21 преговарачко поглавље од утицаја на ЈЛС и припремила 15 анализа утицаја прописа ЕУ на надлежности и капацитете ЈЛС </w:t>
      </w:r>
      <w:r w:rsidRPr="008D683B">
        <w:rPr>
          <w:rFonts w:ascii="Arial" w:hAnsi="Arial" w:cs="Arial"/>
          <w:sz w:val="16"/>
          <w:szCs w:val="16"/>
          <w:shd w:val="clear" w:color="auto" w:fill="FFFFFF"/>
          <w:lang w:val="sr-Cyrl-RS"/>
        </w:rPr>
        <w:t>у периоду од 2013. до 2019. године.</w:t>
      </w:r>
    </w:p>
  </w:footnote>
  <w:footnote w:id="172">
    <w:p w14:paraId="649671EB" w14:textId="74650407" w:rsidR="007324B5" w:rsidRPr="008D683B" w:rsidRDefault="007324B5" w:rsidP="00DD29A7">
      <w:pPr>
        <w:pStyle w:val="Style11"/>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Павловић, В. (2012)</w:t>
      </w:r>
      <w:r>
        <w:rPr>
          <w:rFonts w:ascii="Arial" w:hAnsi="Arial" w:cs="Arial"/>
          <w:sz w:val="16"/>
          <w:szCs w:val="16"/>
          <w:lang w:val="sr-Cyrl-RS"/>
        </w:rPr>
        <w:t>,</w:t>
      </w:r>
      <w:r w:rsidRPr="008D683B">
        <w:rPr>
          <w:rFonts w:ascii="Arial" w:hAnsi="Arial" w:cs="Arial"/>
          <w:sz w:val="16"/>
          <w:szCs w:val="16"/>
          <w:lang w:val="sr-Cyrl-RS"/>
        </w:rPr>
        <w:t xml:space="preserve"> </w:t>
      </w:r>
      <w:r w:rsidRPr="009B46D0">
        <w:rPr>
          <w:rFonts w:ascii="Arial" w:hAnsi="Arial" w:cs="Arial"/>
          <w:i/>
          <w:sz w:val="16"/>
          <w:szCs w:val="16"/>
          <w:lang w:val="sr-Cyrl-RS"/>
        </w:rPr>
        <w:t>Локална самоуправа и процес приступања Србије ЕУ – од посматрача до партнера</w:t>
      </w:r>
      <w:r>
        <w:rPr>
          <w:rFonts w:ascii="Arial" w:hAnsi="Arial" w:cs="Arial"/>
          <w:iCs/>
          <w:sz w:val="16"/>
          <w:szCs w:val="16"/>
          <w:lang w:val="sr-Cyrl-RS"/>
        </w:rPr>
        <w:t>,</w:t>
      </w:r>
      <w:r w:rsidRPr="008D683B">
        <w:rPr>
          <w:rFonts w:ascii="Arial" w:hAnsi="Arial" w:cs="Arial"/>
          <w:sz w:val="16"/>
          <w:szCs w:val="16"/>
          <w:lang w:val="sr-Cyrl-RS"/>
        </w:rPr>
        <w:t xml:space="preserve"> Београд: СКГО, стр. 35.</w:t>
      </w:r>
    </w:p>
  </w:footnote>
  <w:footnote w:id="173">
    <w:p w14:paraId="7A9D2420" w14:textId="4BA6BF8E"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СКГО, као национална асоцијација градова и општина у Србији, </w:t>
      </w:r>
      <w:r w:rsidRPr="008D683B">
        <w:rPr>
          <w:rStyle w:val="tlid-translation"/>
          <w:rFonts w:ascii="Arial" w:hAnsi="Arial" w:cs="Arial"/>
          <w:sz w:val="16"/>
          <w:szCs w:val="16"/>
          <w:lang w:val="sr-Cyrl-RS"/>
        </w:rPr>
        <w:t xml:space="preserve">заступа интересе локалних самоуправа у овом процесу. Међутим, она је до сада укључена само у рад преговарачких група за поглавље 27 и 22, док прати рад у поглављима 19 и 5. СКГО није препозната као формални члан преговарачких </w:t>
      </w:r>
      <w:r w:rsidRPr="00B10A76">
        <w:rPr>
          <w:rStyle w:val="tlid-translation"/>
          <w:rFonts w:ascii="Arial" w:hAnsi="Arial" w:cs="Arial"/>
          <w:sz w:val="16"/>
          <w:szCs w:val="16"/>
          <w:lang w:val="sr-Cyrl-RS"/>
        </w:rPr>
        <w:t>група.</w:t>
      </w:r>
    </w:p>
  </w:footnote>
  <w:footnote w:id="174">
    <w:p w14:paraId="797FE512"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Ту структуру у Републици Србији чине следећа тела: Координационо тело, Савет Координационог тела, Преговарачки тим Републике Србије, 35 преговарачких група, Министарство за европске интеграције, Народна скупштина Републике Србије, Државна делегација за међувладине конференције и Стална мисија Републике Србије при ЕУ.</w:t>
      </w:r>
    </w:p>
  </w:footnote>
  <w:footnote w:id="175">
    <w:p w14:paraId="3A83D0B6" w14:textId="7291DAF5" w:rsidR="007324B5" w:rsidRPr="008D683B" w:rsidRDefault="007324B5" w:rsidP="00DD29A7">
      <w:pPr>
        <w:pStyle w:val="Style11"/>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hyperlink r:id="rId51" w:history="1">
        <w:r w:rsidRPr="008D683B">
          <w:rPr>
            <w:rFonts w:ascii="Arial" w:hAnsi="Arial" w:cs="Arial"/>
            <w:sz w:val="16"/>
            <w:szCs w:val="16"/>
            <w:lang w:val="sr-Cyrl-RS"/>
          </w:rPr>
          <w:t>Закључак којим се усмерава и усклађује рад органа државне управе у поступку израде преговарачких позиција у процесу преговора о приступању Републике Србије Европској унији</w:t>
        </w:r>
      </w:hyperlink>
      <w:r>
        <w:rPr>
          <w:rFonts w:ascii="Arial" w:hAnsi="Arial" w:cs="Arial"/>
          <w:sz w:val="16"/>
          <w:szCs w:val="16"/>
          <w:lang w:val="sr-Cyrl-RS"/>
        </w:rPr>
        <w:t>,</w:t>
      </w:r>
      <w:r w:rsidRPr="008D683B">
        <w:rPr>
          <w:rFonts w:ascii="Arial" w:hAnsi="Arial" w:cs="Arial"/>
          <w:sz w:val="16"/>
          <w:szCs w:val="16"/>
          <w:lang w:val="sr-Cyrl-RS"/>
        </w:rPr>
        <w:t xml:space="preserve"> </w:t>
      </w:r>
      <w:hyperlink r:id="rId52" w:history="1">
        <w:r w:rsidRPr="008D683B">
          <w:rPr>
            <w:rStyle w:val="Hyperlink"/>
            <w:rFonts w:ascii="Arial" w:hAnsi="Arial" w:cs="Arial"/>
            <w:color w:val="auto"/>
            <w:sz w:val="16"/>
            <w:szCs w:val="16"/>
            <w:lang w:val="sr-Cyrl-RS"/>
          </w:rPr>
          <w:t>www.mei.gov.rs/upload/documents/nacionalna_dokumenta/pregovori_sa_eu/zakljucak_rad_organa_za_pregovracake_pozicije_februar_17.pdf</w:t>
        </w:r>
      </w:hyperlink>
      <w:r w:rsidRPr="008D683B">
        <w:rPr>
          <w:rFonts w:ascii="Arial" w:hAnsi="Arial" w:cs="Arial"/>
          <w:sz w:val="16"/>
          <w:szCs w:val="16"/>
          <w:lang w:val="sr-Cyrl-RS"/>
        </w:rPr>
        <w:t xml:space="preserve"> (31.1.2020).</w:t>
      </w:r>
    </w:p>
  </w:footnote>
  <w:footnote w:id="176">
    <w:p w14:paraId="6DEAA29E"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Божовић Д, Штиплија Н. (2019), </w:t>
      </w:r>
      <w:r w:rsidRPr="009B46D0">
        <w:rPr>
          <w:rFonts w:ascii="Arial" w:hAnsi="Arial" w:cs="Arial"/>
          <w:i/>
          <w:iCs/>
          <w:sz w:val="16"/>
          <w:szCs w:val="16"/>
          <w:lang w:val="sr-Cyrl-RS"/>
        </w:rPr>
        <w:t>Истраживање на локалном нивоу о најважнијим променама и будућим очекивањима у области: европске интеграције на локалном нивоу</w:t>
      </w:r>
      <w:r w:rsidRPr="008D683B">
        <w:rPr>
          <w:rFonts w:ascii="Arial" w:hAnsi="Arial" w:cs="Arial"/>
          <w:sz w:val="16"/>
          <w:szCs w:val="16"/>
          <w:lang w:val="sr-Cyrl-RS"/>
        </w:rPr>
        <w:t>, СКГО, Београд.</w:t>
      </w:r>
    </w:p>
  </w:footnote>
  <w:footnote w:id="177">
    <w:p w14:paraId="5D6D72B2"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Божовић Д, Штиплија Н. (2019), </w:t>
      </w:r>
      <w:r w:rsidRPr="008D683B">
        <w:rPr>
          <w:rFonts w:ascii="Arial" w:hAnsi="Arial" w:cs="Arial"/>
          <w:iCs/>
          <w:sz w:val="16"/>
          <w:szCs w:val="16"/>
          <w:lang w:val="sr-Cyrl-RS"/>
        </w:rPr>
        <w:t>Истраживање на локалном нивоу о најважнијим променама и будућим очекивањима у области: европске интеграције на локалном нивоу</w:t>
      </w:r>
      <w:r w:rsidRPr="008D683B">
        <w:rPr>
          <w:rFonts w:ascii="Arial" w:hAnsi="Arial" w:cs="Arial"/>
          <w:i/>
          <w:sz w:val="16"/>
          <w:szCs w:val="16"/>
          <w:lang w:val="sr-Cyrl-RS"/>
        </w:rPr>
        <w:t>,</w:t>
      </w:r>
      <w:r w:rsidRPr="008D683B">
        <w:rPr>
          <w:rFonts w:ascii="Arial" w:hAnsi="Arial" w:cs="Arial"/>
          <w:sz w:val="16"/>
          <w:szCs w:val="16"/>
          <w:lang w:val="sr-Cyrl-RS"/>
        </w:rPr>
        <w:t xml:space="preserve"> СКГО, Београд.</w:t>
      </w:r>
    </w:p>
  </w:footnote>
  <w:footnote w:id="178">
    <w:p w14:paraId="4AD5F4B3" w14:textId="77777777"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Истраживања на узорку ЈЛС показују да оне у својим буџетима одвајају од 1% и 3% за предфинансирање или ко-финансирање пројеката (2018-2019). Божовић Д, Штиплија Н. (2019), </w:t>
      </w:r>
      <w:r w:rsidRPr="008D683B">
        <w:rPr>
          <w:rFonts w:ascii="Arial" w:hAnsi="Arial" w:cs="Arial"/>
          <w:iCs/>
          <w:sz w:val="16"/>
          <w:szCs w:val="16"/>
          <w:lang w:val="sr-Cyrl-RS"/>
        </w:rPr>
        <w:t>Истраживање на локалном нивоу о најважнијим променама и будућим очекивањима у области: европске интеграције на локалном нивоу</w:t>
      </w:r>
      <w:r w:rsidRPr="008D683B">
        <w:rPr>
          <w:rFonts w:ascii="Arial" w:hAnsi="Arial" w:cs="Arial"/>
          <w:sz w:val="16"/>
          <w:szCs w:val="16"/>
          <w:lang w:val="sr-Cyrl-RS"/>
        </w:rPr>
        <w:t>. Београд: СКГО.</w:t>
      </w:r>
    </w:p>
  </w:footnote>
  <w:footnote w:id="179">
    <w:p w14:paraId="0D194F4C"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На основу података из истраживања које је 2019. године спровела СКГО, на (ограниченом) узорку од 20 ЈЛС, број пројеката финансираних из ИПА који су реализовани од 2016. до 2019. варира од једног до 10 пројеката, док број пројеката финансираних из програма ЕУ варира од једног до 20. Минимални износ средстава ЕУ (ИПА и програми ЕУ) који је ангажован на овај начин износи око 50.000 евра, док је максимални износ био више од 10 милиона евра.</w:t>
      </w:r>
    </w:p>
  </w:footnote>
  <w:footnote w:id="180">
    <w:p w14:paraId="1F03C90A" w14:textId="7681275F" w:rsidR="007324B5" w:rsidRPr="008D683B" w:rsidRDefault="007324B5" w:rsidP="00DD29A7">
      <w:pPr>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9B46D0">
        <w:rPr>
          <w:rFonts w:ascii="Arial" w:hAnsi="Arial" w:cs="Arial"/>
          <w:i/>
          <w:iCs/>
          <w:sz w:val="16"/>
          <w:szCs w:val="16"/>
          <w:lang w:val="sr-Cyrl-RS"/>
        </w:rPr>
        <w:t>Subnational Governments around the World</w:t>
      </w:r>
      <w:r w:rsidRPr="008D683B">
        <w:rPr>
          <w:rFonts w:ascii="Arial" w:hAnsi="Arial" w:cs="Arial"/>
          <w:sz w:val="16"/>
          <w:szCs w:val="16"/>
          <w:lang w:val="sr-Cyrl-RS"/>
        </w:rPr>
        <w:t xml:space="preserve">, 2016, </w:t>
      </w:r>
      <w:hyperlink r:id="rId53" w:history="1">
        <w:r w:rsidRPr="008D683B">
          <w:rPr>
            <w:rStyle w:val="Hyperlink"/>
            <w:rFonts w:ascii="Arial" w:hAnsi="Arial" w:cs="Arial"/>
            <w:color w:val="auto"/>
            <w:sz w:val="16"/>
            <w:szCs w:val="16"/>
            <w:lang w:val="sr-Cyrl-RS"/>
          </w:rPr>
          <w:t>https://www.uclg.org/sites/default/files/global_observatory_on_local_finance_0.pdf</w:t>
        </w:r>
      </w:hyperlink>
      <w:r>
        <w:rPr>
          <w:rStyle w:val="Hyperlink"/>
          <w:rFonts w:ascii="Arial" w:hAnsi="Arial" w:cs="Arial"/>
          <w:color w:val="auto"/>
          <w:sz w:val="16"/>
          <w:szCs w:val="16"/>
          <w:lang w:val="sr-Cyrl-RS"/>
        </w:rPr>
        <w:t>.</w:t>
      </w:r>
    </w:p>
  </w:footnote>
  <w:footnote w:id="181">
    <w:p w14:paraId="6F444179"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Овде је реч о правилностима а не о искључивим појавама. Постоје и изузеци, нпр. у Уставу Албаније пише да се градоначелници бирају непосредно, а у хрватском уставу се наводе конкретне надлежности локалне самоуправе.</w:t>
      </w:r>
    </w:p>
  </w:footnote>
  <w:footnote w:id="182">
    <w:p w14:paraId="2890ABAE" w14:textId="77777777" w:rsidR="007324B5" w:rsidRPr="008D683B" w:rsidRDefault="007324B5" w:rsidP="00DD29A7">
      <w:pPr>
        <w:pStyle w:val="FootnoteText"/>
        <w:jc w:val="both"/>
        <w:rPr>
          <w:rFonts w:ascii="Arial" w:hAnsi="Arial" w:cs="Arial"/>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w:t>
      </w:r>
      <w:r w:rsidRPr="008D683B">
        <w:rPr>
          <w:rFonts w:ascii="Arial" w:eastAsia="Calibri" w:hAnsi="Arial" w:cs="Arial"/>
          <w:sz w:val="16"/>
          <w:szCs w:val="16"/>
          <w:lang w:val="sr-Cyrl-RS"/>
        </w:rPr>
        <w:t>Изузев у случају Белгије, која има три нивоа субнационалне власти, при чему је трећи ниво федерална јединица.</w:t>
      </w:r>
    </w:p>
  </w:footnote>
  <w:footnote w:id="183">
    <w:p w14:paraId="20CF2E83" w14:textId="2850DE7F" w:rsidR="007324B5" w:rsidRPr="0099182E" w:rsidRDefault="007324B5" w:rsidP="0099182E">
      <w:pPr>
        <w:pStyle w:val="FootnoteText"/>
        <w:jc w:val="both"/>
        <w:rPr>
          <w:rFonts w:ascii="Arial" w:hAnsi="Arial" w:cs="Arial"/>
          <w:sz w:val="16"/>
          <w:szCs w:val="16"/>
          <w:lang w:val="sr-Cyrl-RS"/>
        </w:rPr>
      </w:pPr>
      <w:r w:rsidRPr="0099182E">
        <w:rPr>
          <w:rStyle w:val="FootnoteReference"/>
          <w:rFonts w:ascii="Arial" w:hAnsi="Arial" w:cs="Arial"/>
          <w:sz w:val="16"/>
          <w:szCs w:val="16"/>
        </w:rPr>
        <w:footnoteRef/>
      </w:r>
      <w:r w:rsidRPr="0099182E">
        <w:rPr>
          <w:rFonts w:ascii="Arial" w:hAnsi="Arial" w:cs="Arial"/>
          <w:sz w:val="16"/>
          <w:szCs w:val="16"/>
        </w:rPr>
        <w:t xml:space="preserve"> </w:t>
      </w:r>
      <w:r w:rsidRPr="0099182E">
        <w:rPr>
          <w:rFonts w:ascii="Arial" w:hAnsi="Arial" w:cs="Arial"/>
          <w:sz w:val="16"/>
          <w:szCs w:val="16"/>
          <w:lang w:val="sr-Cyrl-RS"/>
        </w:rPr>
        <w:t xml:space="preserve">На пример </w:t>
      </w:r>
      <w:r w:rsidRPr="0099182E">
        <w:rPr>
          <w:rFonts w:ascii="Arial" w:hAnsi="Arial" w:cs="Arial"/>
          <w:i/>
          <w:iCs/>
          <w:sz w:val="16"/>
          <w:szCs w:val="16"/>
          <w:lang w:val="sr-Cyrl-RS"/>
        </w:rPr>
        <w:t>Закон о локалној самоуправи Републике Српске</w:t>
      </w:r>
      <w:r w:rsidRPr="0099182E">
        <w:rPr>
          <w:rFonts w:ascii="Arial" w:hAnsi="Arial" w:cs="Arial"/>
          <w:sz w:val="16"/>
          <w:szCs w:val="16"/>
          <w:lang w:val="sr-Cyrl-RS"/>
        </w:rPr>
        <w:t xml:space="preserve"> предвиђа дужност органа републичке управе да асоцијацији ЛС достављају нацрте и предлоге закона и општих аката на изјашњење</w:t>
      </w:r>
    </w:p>
  </w:footnote>
  <w:footnote w:id="184">
    <w:p w14:paraId="52CE1164" w14:textId="7471B8B9" w:rsidR="007324B5" w:rsidRPr="008D683B" w:rsidRDefault="007324B5" w:rsidP="00724595">
      <w:pPr>
        <w:pStyle w:val="FootnoteText"/>
        <w:jc w:val="both"/>
        <w:rPr>
          <w:lang w:val="sr-Cyrl-RS"/>
        </w:rPr>
      </w:pPr>
      <w:r w:rsidRPr="008D683B">
        <w:rPr>
          <w:rStyle w:val="FootnoteReference"/>
          <w:lang w:val="sr-Cyrl-RS"/>
        </w:rPr>
        <w:footnoteRef/>
      </w:r>
      <w:r w:rsidRPr="008D683B">
        <w:rPr>
          <w:lang w:val="sr-Cyrl-RS"/>
        </w:rPr>
        <w:t xml:space="preserve"> </w:t>
      </w:r>
      <w:r w:rsidRPr="008D683B">
        <w:rPr>
          <w:rFonts w:ascii="Arial" w:hAnsi="Arial" w:cs="Arial"/>
          <w:sz w:val="16"/>
          <w:szCs w:val="16"/>
          <w:lang w:val="sr-Cyrl-RS"/>
        </w:rPr>
        <w:t>Од изузетног значаја за успех примене новог планског система на локалном нивоу јесте учвршћивање повезаности јавних политика са буџетским/финансијским оквиром, средњорочним и инвестиционим циклусима у ЛС и конкретизација ове везе у самој поставци, изради и спровођењу планских докумената. У том смислу, планиране активности у оквиру мере директно су комплементарне са активностима предвиђеним у посебном циљу 2 (посебно у оквиру мера 2.2</w:t>
      </w:r>
      <w:r>
        <w:rPr>
          <w:rFonts w:ascii="Arial" w:hAnsi="Arial" w:cs="Arial"/>
          <w:sz w:val="16"/>
          <w:szCs w:val="16"/>
          <w:lang w:val="sr-Cyrl-RS"/>
        </w:rPr>
        <w:t>–</w:t>
      </w:r>
      <w:r w:rsidRPr="008D683B">
        <w:rPr>
          <w:rFonts w:ascii="Arial" w:hAnsi="Arial" w:cs="Arial"/>
          <w:sz w:val="16"/>
          <w:szCs w:val="16"/>
          <w:lang w:val="sr-Cyrl-RS"/>
        </w:rPr>
        <w:t>2.4).</w:t>
      </w:r>
    </w:p>
  </w:footnote>
  <w:footnote w:id="185">
    <w:p w14:paraId="0AF6A1C3" w14:textId="56F0356B" w:rsidR="007324B5" w:rsidRPr="008D683B" w:rsidRDefault="007324B5" w:rsidP="00950704">
      <w:pPr>
        <w:jc w:val="both"/>
        <w:rPr>
          <w:rFonts w:ascii="Arial" w:hAnsi="Arial" w:cs="Arial"/>
          <w:i/>
          <w:iCs/>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Влада Републике Србије формирала је ово тело Одлуком о образовању Савета за реформу јавне управе („Службени гласник РС”, бр.</w:t>
      </w:r>
      <w:r w:rsidRPr="008D683B">
        <w:rPr>
          <w:rFonts w:ascii="Arial" w:hAnsi="Arial" w:cs="Arial"/>
          <w:sz w:val="16"/>
          <w:szCs w:val="16"/>
          <w:shd w:val="clear" w:color="auto" w:fill="FFFFFF"/>
          <w:lang w:val="sr-Cyrl-RS"/>
        </w:rPr>
        <w:t xml:space="preserve"> 81/16, 78/17, 66/18</w:t>
      </w:r>
      <w:r w:rsidRPr="008D683B">
        <w:rPr>
          <w:rFonts w:ascii="Arial" w:hAnsi="Arial" w:cs="Arial"/>
          <w:sz w:val="16"/>
          <w:szCs w:val="16"/>
          <w:lang w:val="sr-Cyrl-RS"/>
        </w:rPr>
        <w:t xml:space="preserve">), </w:t>
      </w:r>
      <w:r>
        <w:rPr>
          <w:rFonts w:ascii="Arial" w:hAnsi="Arial" w:cs="Arial"/>
          <w:sz w:val="16"/>
          <w:szCs w:val="16"/>
          <w:lang w:val="sr-Cyrl-RS"/>
        </w:rPr>
        <w:t>доступној на</w:t>
      </w:r>
      <w:r w:rsidRPr="008D683B">
        <w:rPr>
          <w:rFonts w:ascii="Arial" w:hAnsi="Arial" w:cs="Arial"/>
          <w:sz w:val="16"/>
          <w:szCs w:val="16"/>
          <w:lang w:val="sr-Cyrl-RS"/>
        </w:rPr>
        <w:t xml:space="preserve">: </w:t>
      </w:r>
      <w:hyperlink r:id="rId54" w:history="1">
        <w:r w:rsidRPr="008D683B">
          <w:rPr>
            <w:rStyle w:val="Hyperlink"/>
            <w:rFonts w:ascii="Arial" w:hAnsi="Arial" w:cs="Arial"/>
            <w:color w:val="auto"/>
            <w:sz w:val="16"/>
            <w:szCs w:val="16"/>
            <w:lang w:val="sr-Cyrl-RS"/>
          </w:rPr>
          <w:t>http://www.pravno-informacioni-sistem.rs/SlGlasnikPortal/eli/rep/sgrs/vlada/odluka/2016/81/1/reg</w:t>
        </w:r>
      </w:hyperlink>
      <w:r>
        <w:rPr>
          <w:rStyle w:val="Hyperlink"/>
          <w:rFonts w:ascii="Arial" w:hAnsi="Arial" w:cs="Arial"/>
          <w:color w:val="auto"/>
          <w:sz w:val="16"/>
          <w:szCs w:val="16"/>
          <w:lang w:val="sr-Cyrl-RS"/>
        </w:rPr>
        <w:t>.</w:t>
      </w:r>
      <w:r w:rsidRPr="008D683B">
        <w:rPr>
          <w:rFonts w:ascii="Arial" w:hAnsi="Arial" w:cs="Arial"/>
          <w:sz w:val="16"/>
          <w:szCs w:val="16"/>
          <w:lang w:val="sr-Cyrl-RS"/>
        </w:rPr>
        <w:t xml:space="preserve"> Између осталог</w:t>
      </w:r>
      <w:r>
        <w:rPr>
          <w:rFonts w:ascii="Arial" w:hAnsi="Arial" w:cs="Arial"/>
          <w:sz w:val="16"/>
          <w:szCs w:val="16"/>
          <w:lang w:val="sr-Cyrl-RS"/>
        </w:rPr>
        <w:t>,</w:t>
      </w:r>
      <w:r w:rsidRPr="008D683B">
        <w:rPr>
          <w:rFonts w:ascii="Arial" w:hAnsi="Arial" w:cs="Arial"/>
          <w:sz w:val="16"/>
          <w:szCs w:val="16"/>
          <w:lang w:val="sr-Cyrl-RS"/>
        </w:rPr>
        <w:t xml:space="preserve"> задатак Савета је и да: 1) </w:t>
      </w:r>
      <w:r w:rsidRPr="008D683B">
        <w:rPr>
          <w:rFonts w:ascii="Arial" w:hAnsi="Arial" w:cs="Arial"/>
          <w:i/>
          <w:iCs/>
          <w:sz w:val="16"/>
          <w:szCs w:val="16"/>
          <w:lang w:val="sr-Cyrl-RS"/>
        </w:rPr>
        <w:t xml:space="preserve">промовише и прати спровођење Стратегије РЈУ и свих других </w:t>
      </w:r>
      <w:r w:rsidRPr="008D683B">
        <w:rPr>
          <w:rFonts w:ascii="Arial" w:hAnsi="Arial" w:cs="Arial"/>
          <w:i/>
          <w:iCs/>
          <w:sz w:val="16"/>
          <w:szCs w:val="16"/>
          <w:shd w:val="clear" w:color="auto" w:fill="FFFFFF"/>
          <w:lang w:val="sr-Cyrl-RS"/>
        </w:rPr>
        <w:t>хијерархијских нижих докумената јавних политика РЈУ</w:t>
      </w:r>
      <w:r w:rsidRPr="008D683B">
        <w:rPr>
          <w:rFonts w:ascii="Arial" w:hAnsi="Arial" w:cs="Arial"/>
          <w:i/>
          <w:iCs/>
          <w:sz w:val="16"/>
          <w:szCs w:val="16"/>
          <w:lang w:val="sr-Cyrl-RS"/>
        </w:rPr>
        <w:t>, нарочито са становишта укључивања принципа и циљева реформе јавне управе у друге документе јавних политика</w:t>
      </w:r>
      <w:r w:rsidRPr="008D683B">
        <w:rPr>
          <w:rFonts w:ascii="Arial" w:hAnsi="Arial" w:cs="Arial"/>
          <w:sz w:val="16"/>
          <w:szCs w:val="16"/>
          <w:lang w:val="sr-Cyrl-RS"/>
        </w:rPr>
        <w:t xml:space="preserve">; 2) </w:t>
      </w:r>
      <w:r w:rsidRPr="008D683B">
        <w:rPr>
          <w:rFonts w:ascii="Arial" w:hAnsi="Arial" w:cs="Arial"/>
          <w:i/>
          <w:iCs/>
          <w:sz w:val="16"/>
          <w:szCs w:val="16"/>
          <w:shd w:val="clear" w:color="auto" w:fill="FFFFFF"/>
          <w:lang w:val="sr-Cyrl-RS"/>
        </w:rPr>
        <w:t>утврђује предлоге за усклађивање хијерархијски нижих планских докумената са</w:t>
      </w:r>
      <w:r>
        <w:rPr>
          <w:rFonts w:ascii="Arial" w:hAnsi="Arial" w:cs="Arial"/>
          <w:i/>
          <w:iCs/>
          <w:sz w:val="16"/>
          <w:szCs w:val="16"/>
          <w:shd w:val="clear" w:color="auto" w:fill="FFFFFF"/>
          <w:lang w:val="sr-Cyrl-RS"/>
        </w:rPr>
        <w:t xml:space="preserve"> </w:t>
      </w:r>
      <w:r w:rsidRPr="008D683B">
        <w:rPr>
          <w:rFonts w:ascii="Arial" w:hAnsi="Arial" w:cs="Arial"/>
          <w:i/>
          <w:iCs/>
          <w:sz w:val="16"/>
          <w:szCs w:val="16"/>
          <w:shd w:val="clear" w:color="auto" w:fill="FFFFFF"/>
          <w:lang w:val="sr-Cyrl-RS"/>
        </w:rPr>
        <w:t>хијерархијски вишим планским документима у области реформе јавне управе и јавних финансија, усклађеност планских докумената у наведеним областима са преузетим међународним обавезама, као и усклађеност прописа са усвојеним планским документима</w:t>
      </w:r>
      <w:r w:rsidRPr="008D683B">
        <w:rPr>
          <w:rFonts w:ascii="Arial" w:hAnsi="Arial" w:cs="Arial"/>
          <w:i/>
          <w:iCs/>
          <w:sz w:val="16"/>
          <w:szCs w:val="16"/>
          <w:lang w:val="sr-Cyrl-RS"/>
        </w:rPr>
        <w:t xml:space="preserve">; 3) разматра и даје претходно мишљење Влади о документима јавних политика, нацртима закона и другим актима који се односе на организацију и рад Владе, органа државне управе, а нарочито оне којима се предлаже оснивање нових државних органа, организација, служби или тела Владе. </w:t>
      </w:r>
      <w:r w:rsidRPr="008D683B">
        <w:rPr>
          <w:rFonts w:ascii="Arial" w:hAnsi="Arial" w:cs="Arial"/>
          <w:sz w:val="16"/>
          <w:szCs w:val="16"/>
          <w:lang w:val="sr-Cyrl-RS"/>
        </w:rPr>
        <w:t xml:space="preserve">Саветом председава министар државне управе и локалне самоуправе, а замењује га министар финансија. С обзиром </w:t>
      </w:r>
      <w:r>
        <w:rPr>
          <w:rFonts w:ascii="Arial" w:hAnsi="Arial" w:cs="Arial"/>
          <w:sz w:val="16"/>
          <w:szCs w:val="16"/>
          <w:lang w:val="sr-Cyrl-RS"/>
        </w:rPr>
        <w:t xml:space="preserve">на то </w:t>
      </w:r>
      <w:r w:rsidRPr="008D683B">
        <w:rPr>
          <w:rFonts w:ascii="Arial" w:hAnsi="Arial" w:cs="Arial"/>
          <w:sz w:val="16"/>
          <w:szCs w:val="16"/>
          <w:lang w:val="sr-Cyrl-RS"/>
        </w:rPr>
        <w:t>да се Стратегија РЈУ односи на шири систем управе, не само на државну управу, поред министра државне управе и локалне самоуправе и министра финансија, велики број ресорних министара и представника других државних органа чин</w:t>
      </w:r>
      <w:r>
        <w:rPr>
          <w:rFonts w:ascii="Arial" w:hAnsi="Arial" w:cs="Arial"/>
          <w:sz w:val="16"/>
          <w:szCs w:val="16"/>
          <w:lang w:val="sr-Cyrl-RS"/>
        </w:rPr>
        <w:t>и</w:t>
      </w:r>
      <w:r w:rsidRPr="008D683B">
        <w:rPr>
          <w:rFonts w:ascii="Arial" w:hAnsi="Arial" w:cs="Arial"/>
          <w:sz w:val="16"/>
          <w:szCs w:val="16"/>
          <w:lang w:val="sr-Cyrl-RS"/>
        </w:rPr>
        <w:t xml:space="preserve"> чланство Савета.</w:t>
      </w:r>
    </w:p>
  </w:footnote>
  <w:footnote w:id="186">
    <w:p w14:paraId="32A86A24" w14:textId="120FEFA4" w:rsidR="007324B5" w:rsidRPr="008D683B" w:rsidRDefault="007324B5" w:rsidP="00950704">
      <w:pPr>
        <w:shd w:val="clear" w:color="auto" w:fill="FFFFFF"/>
        <w:jc w:val="both"/>
        <w:rPr>
          <w:rFonts w:ascii="Arial" w:hAnsi="Arial" w:cs="Arial"/>
          <w:b/>
          <w:bCs/>
          <w:sz w:val="16"/>
          <w:szCs w:val="16"/>
          <w:lang w:val="sr-Cyrl-RS"/>
        </w:rPr>
      </w:pPr>
      <w:r w:rsidRPr="008D683B">
        <w:rPr>
          <w:rStyle w:val="FootnoteReference"/>
          <w:rFonts w:ascii="Arial" w:hAnsi="Arial" w:cs="Arial"/>
          <w:sz w:val="16"/>
          <w:szCs w:val="16"/>
          <w:lang w:val="sr-Cyrl-RS"/>
        </w:rPr>
        <w:footnoteRef/>
      </w:r>
      <w:r w:rsidRPr="008D683B">
        <w:rPr>
          <w:rFonts w:ascii="Arial" w:hAnsi="Arial" w:cs="Arial"/>
          <w:sz w:val="16"/>
          <w:szCs w:val="16"/>
          <w:lang w:val="sr-Cyrl-RS"/>
        </w:rPr>
        <w:t xml:space="preserve"> Пословник Владе РС (</w:t>
      </w:r>
      <w:r>
        <w:rPr>
          <w:rFonts w:ascii="Arial" w:hAnsi="Arial" w:cs="Arial"/>
          <w:sz w:val="16"/>
          <w:szCs w:val="16"/>
          <w:lang w:val="sr-Cyrl-RS"/>
        </w:rPr>
        <w:t>„</w:t>
      </w:r>
      <w:r w:rsidRPr="008D683B">
        <w:rPr>
          <w:rFonts w:ascii="Arial" w:hAnsi="Arial" w:cs="Arial"/>
          <w:sz w:val="16"/>
          <w:szCs w:val="16"/>
          <w:lang w:val="sr-Cyrl-RS"/>
        </w:rPr>
        <w:t xml:space="preserve">Службени гласник РС”, бр. 61/06 </w:t>
      </w:r>
      <w:r>
        <w:rPr>
          <w:rFonts w:ascii="Arial" w:hAnsi="Arial" w:cs="Arial"/>
          <w:sz w:val="16"/>
          <w:szCs w:val="16"/>
          <w:lang w:val="sr-Cyrl-RS"/>
        </w:rPr>
        <w:t>–</w:t>
      </w:r>
      <w:r w:rsidRPr="008D683B">
        <w:rPr>
          <w:rFonts w:ascii="Arial" w:hAnsi="Arial" w:cs="Arial"/>
          <w:sz w:val="16"/>
          <w:szCs w:val="16"/>
          <w:lang w:val="sr-Cyrl-RS"/>
        </w:rPr>
        <w:t xml:space="preserve"> пречишћен текст, 69/08, 88/09, 33/10, 69/10, 20/11, 37/11, 30/13, 76/14,</w:t>
      </w:r>
      <w:r>
        <w:rPr>
          <w:rFonts w:ascii="Arial" w:hAnsi="Arial" w:cs="Arial"/>
          <w:sz w:val="16"/>
          <w:szCs w:val="16"/>
          <w:lang w:val="sr-Cyrl-RS"/>
        </w:rPr>
        <w:t xml:space="preserve"> </w:t>
      </w:r>
      <w:r w:rsidRPr="008D683B">
        <w:rPr>
          <w:rFonts w:ascii="Arial" w:hAnsi="Arial" w:cs="Arial"/>
          <w:sz w:val="16"/>
          <w:szCs w:val="16"/>
          <w:lang w:val="sr-Cyrl-RS"/>
        </w:rPr>
        <w:t xml:space="preserve">8/19 </w:t>
      </w:r>
      <w:r>
        <w:rPr>
          <w:rFonts w:ascii="Arial" w:hAnsi="Arial" w:cs="Arial"/>
          <w:sz w:val="16"/>
          <w:szCs w:val="16"/>
          <w:lang w:val="sr-Cyrl-RS"/>
        </w:rPr>
        <w:t xml:space="preserve">– </w:t>
      </w:r>
      <w:r w:rsidRPr="008D683B">
        <w:rPr>
          <w:rFonts w:ascii="Arial" w:hAnsi="Arial" w:cs="Arial"/>
          <w:sz w:val="16"/>
          <w:szCs w:val="16"/>
          <w:lang w:val="sr-Cyrl-RS"/>
        </w:rPr>
        <w:t xml:space="preserve">др. Уредба), </w:t>
      </w:r>
      <w:r>
        <w:rPr>
          <w:rFonts w:ascii="Arial" w:hAnsi="Arial" w:cs="Arial"/>
          <w:sz w:val="16"/>
          <w:szCs w:val="16"/>
          <w:lang w:val="sr-Cyrl-RS"/>
        </w:rPr>
        <w:t>доступан на</w:t>
      </w:r>
      <w:r w:rsidRPr="008D683B">
        <w:rPr>
          <w:rFonts w:ascii="Arial" w:hAnsi="Arial" w:cs="Arial"/>
          <w:sz w:val="16"/>
          <w:szCs w:val="16"/>
          <w:lang w:val="sr-Cyrl-RS"/>
        </w:rPr>
        <w:t xml:space="preserve">: </w:t>
      </w:r>
      <w:hyperlink r:id="rId55" w:history="1">
        <w:r w:rsidRPr="008D683B">
          <w:rPr>
            <w:rStyle w:val="Hyperlink"/>
            <w:rFonts w:ascii="Arial" w:hAnsi="Arial" w:cs="Arial"/>
            <w:color w:val="auto"/>
            <w:sz w:val="16"/>
            <w:szCs w:val="16"/>
            <w:lang w:val="sr-Cyrl-RS"/>
          </w:rPr>
          <w:t>http://www.pravno-informacioni-sistem.rs/SlGlasnikPortal/eli/rep/sgrs/ministarstva%20/poslovnik/2006/61/1/reg</w:t>
        </w:r>
      </w:hyperlink>
      <w:r>
        <w:rPr>
          <w:rStyle w:val="Hyperlink"/>
          <w:rFonts w:ascii="Arial" w:hAnsi="Arial" w:cs="Arial"/>
          <w:color w:val="auto"/>
          <w:sz w:val="16"/>
          <w:szCs w:val="16"/>
          <w:lang w:val="sr-Cyrl-RS"/>
        </w:rPr>
        <w:t>.</w:t>
      </w:r>
    </w:p>
    <w:p w14:paraId="01FCB8AE" w14:textId="77777777" w:rsidR="007324B5" w:rsidRPr="008D683B" w:rsidRDefault="007324B5" w:rsidP="00950704">
      <w:pPr>
        <w:pStyle w:val="FootnoteText"/>
        <w:jc w:val="both"/>
        <w:rPr>
          <w:rFonts w:ascii="Arial" w:hAnsi="Arial" w:cs="Arial"/>
          <w:sz w:val="16"/>
          <w:szCs w:val="16"/>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Layout w:type="fixed"/>
      <w:tblLook w:val="06A0" w:firstRow="1" w:lastRow="0" w:firstColumn="1" w:lastColumn="0" w:noHBand="1" w:noVBand="1"/>
    </w:tblPr>
    <w:tblGrid>
      <w:gridCol w:w="3007"/>
      <w:gridCol w:w="3007"/>
      <w:gridCol w:w="4336"/>
    </w:tblGrid>
    <w:tr w:rsidR="007324B5" w14:paraId="2CCAF499" w14:textId="77777777" w:rsidTr="00FB40A8">
      <w:tc>
        <w:tcPr>
          <w:tcW w:w="3007" w:type="dxa"/>
        </w:tcPr>
        <w:p w14:paraId="461E7F63" w14:textId="77777777" w:rsidR="007324B5" w:rsidRDefault="007324B5" w:rsidP="00385C66">
          <w:pPr>
            <w:pStyle w:val="Header"/>
          </w:pPr>
        </w:p>
      </w:tc>
      <w:tc>
        <w:tcPr>
          <w:tcW w:w="3007" w:type="dxa"/>
        </w:tcPr>
        <w:p w14:paraId="1B09CD56" w14:textId="77777777" w:rsidR="007324B5" w:rsidRDefault="007324B5" w:rsidP="00FB40A8">
          <w:pPr>
            <w:pStyle w:val="Header"/>
            <w:jc w:val="center"/>
          </w:pPr>
        </w:p>
      </w:tc>
      <w:tc>
        <w:tcPr>
          <w:tcW w:w="4336" w:type="dxa"/>
        </w:tcPr>
        <w:p w14:paraId="621723F2" w14:textId="23DE4555" w:rsidR="007324B5" w:rsidRPr="00FB40A8" w:rsidRDefault="007324B5" w:rsidP="00FB40A8">
          <w:pPr>
            <w:pStyle w:val="Header"/>
            <w:jc w:val="center"/>
            <w:rPr>
              <w:sz w:val="22"/>
              <w:szCs w:val="22"/>
            </w:rPr>
          </w:pPr>
        </w:p>
      </w:tc>
    </w:tr>
  </w:tbl>
  <w:p w14:paraId="01166AD3" w14:textId="77777777" w:rsidR="007324B5" w:rsidRDefault="007324B5" w:rsidP="00734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357"/>
    <w:multiLevelType w:val="hybridMultilevel"/>
    <w:tmpl w:val="473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47A"/>
    <w:multiLevelType w:val="hybridMultilevel"/>
    <w:tmpl w:val="2660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6718"/>
    <w:multiLevelType w:val="hybridMultilevel"/>
    <w:tmpl w:val="DD94F8D4"/>
    <w:lvl w:ilvl="0" w:tplc="3A8C94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675B3"/>
    <w:multiLevelType w:val="hybridMultilevel"/>
    <w:tmpl w:val="5FB884B8"/>
    <w:lvl w:ilvl="0" w:tplc="1770A7F8">
      <w:start w:val="1"/>
      <w:numFmt w:val="bullet"/>
      <w:lvlText w:val=""/>
      <w:lvlJc w:val="left"/>
      <w:pPr>
        <w:ind w:left="720" w:hanging="360"/>
      </w:pPr>
      <w:rPr>
        <w:rFonts w:ascii="Symbol" w:hAnsi="Symbol" w:hint="default"/>
      </w:rPr>
    </w:lvl>
    <w:lvl w:ilvl="1" w:tplc="8036163E">
      <w:start w:val="1"/>
      <w:numFmt w:val="bullet"/>
      <w:lvlText w:val="o"/>
      <w:lvlJc w:val="left"/>
      <w:pPr>
        <w:ind w:left="1440" w:hanging="360"/>
      </w:pPr>
      <w:rPr>
        <w:rFonts w:ascii="Courier New" w:hAnsi="Courier New" w:hint="default"/>
      </w:rPr>
    </w:lvl>
    <w:lvl w:ilvl="2" w:tplc="B060C894">
      <w:start w:val="1"/>
      <w:numFmt w:val="bullet"/>
      <w:lvlText w:val=""/>
      <w:lvlJc w:val="left"/>
      <w:pPr>
        <w:ind w:left="2160" w:hanging="360"/>
      </w:pPr>
      <w:rPr>
        <w:rFonts w:ascii="Wingdings" w:hAnsi="Wingdings" w:hint="default"/>
      </w:rPr>
    </w:lvl>
    <w:lvl w:ilvl="3" w:tplc="78B67ABE">
      <w:start w:val="1"/>
      <w:numFmt w:val="bullet"/>
      <w:lvlText w:val=""/>
      <w:lvlJc w:val="left"/>
      <w:pPr>
        <w:ind w:left="2880" w:hanging="360"/>
      </w:pPr>
      <w:rPr>
        <w:rFonts w:ascii="Symbol" w:hAnsi="Symbol" w:hint="default"/>
      </w:rPr>
    </w:lvl>
    <w:lvl w:ilvl="4" w:tplc="437692F6">
      <w:start w:val="1"/>
      <w:numFmt w:val="bullet"/>
      <w:lvlText w:val="o"/>
      <w:lvlJc w:val="left"/>
      <w:pPr>
        <w:ind w:left="3600" w:hanging="360"/>
      </w:pPr>
      <w:rPr>
        <w:rFonts w:ascii="Courier New" w:hAnsi="Courier New" w:hint="default"/>
      </w:rPr>
    </w:lvl>
    <w:lvl w:ilvl="5" w:tplc="7236F126">
      <w:start w:val="1"/>
      <w:numFmt w:val="bullet"/>
      <w:lvlText w:val=""/>
      <w:lvlJc w:val="left"/>
      <w:pPr>
        <w:ind w:left="4320" w:hanging="360"/>
      </w:pPr>
      <w:rPr>
        <w:rFonts w:ascii="Wingdings" w:hAnsi="Wingdings" w:hint="default"/>
      </w:rPr>
    </w:lvl>
    <w:lvl w:ilvl="6" w:tplc="C75834C6">
      <w:start w:val="1"/>
      <w:numFmt w:val="bullet"/>
      <w:lvlText w:val=""/>
      <w:lvlJc w:val="left"/>
      <w:pPr>
        <w:ind w:left="5040" w:hanging="360"/>
      </w:pPr>
      <w:rPr>
        <w:rFonts w:ascii="Symbol" w:hAnsi="Symbol" w:hint="default"/>
      </w:rPr>
    </w:lvl>
    <w:lvl w:ilvl="7" w:tplc="DEC4BFD0">
      <w:start w:val="1"/>
      <w:numFmt w:val="bullet"/>
      <w:lvlText w:val="o"/>
      <w:lvlJc w:val="left"/>
      <w:pPr>
        <w:ind w:left="5760" w:hanging="360"/>
      </w:pPr>
      <w:rPr>
        <w:rFonts w:ascii="Courier New" w:hAnsi="Courier New" w:hint="default"/>
      </w:rPr>
    </w:lvl>
    <w:lvl w:ilvl="8" w:tplc="2500FAAC">
      <w:start w:val="1"/>
      <w:numFmt w:val="bullet"/>
      <w:lvlText w:val=""/>
      <w:lvlJc w:val="left"/>
      <w:pPr>
        <w:ind w:left="6480" w:hanging="360"/>
      </w:pPr>
      <w:rPr>
        <w:rFonts w:ascii="Wingdings" w:hAnsi="Wingdings" w:hint="default"/>
      </w:rPr>
    </w:lvl>
  </w:abstractNum>
  <w:abstractNum w:abstractNumId="4" w15:restartNumberingAfterBreak="0">
    <w:nsid w:val="13706941"/>
    <w:multiLevelType w:val="hybridMultilevel"/>
    <w:tmpl w:val="88467668"/>
    <w:lvl w:ilvl="0" w:tplc="CABAF5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1B51"/>
    <w:multiLevelType w:val="hybridMultilevel"/>
    <w:tmpl w:val="3558B7A0"/>
    <w:lvl w:ilvl="0" w:tplc="1AB61258">
      <w:start w:val="1"/>
      <w:numFmt w:val="bullet"/>
      <w:lvlText w:val=""/>
      <w:lvlJc w:val="left"/>
      <w:pPr>
        <w:ind w:left="720" w:hanging="360"/>
      </w:pPr>
      <w:rPr>
        <w:rFonts w:ascii="Symbol" w:hAnsi="Symbol" w:hint="default"/>
      </w:rPr>
    </w:lvl>
    <w:lvl w:ilvl="1" w:tplc="011AB058">
      <w:start w:val="1"/>
      <w:numFmt w:val="bullet"/>
      <w:lvlText w:val="o"/>
      <w:lvlJc w:val="left"/>
      <w:pPr>
        <w:ind w:left="1440" w:hanging="360"/>
      </w:pPr>
      <w:rPr>
        <w:rFonts w:ascii="Courier New" w:hAnsi="Courier New" w:hint="default"/>
      </w:rPr>
    </w:lvl>
    <w:lvl w:ilvl="2" w:tplc="946C94DC">
      <w:start w:val="1"/>
      <w:numFmt w:val="bullet"/>
      <w:lvlText w:val=""/>
      <w:lvlJc w:val="left"/>
      <w:pPr>
        <w:ind w:left="2160" w:hanging="360"/>
      </w:pPr>
      <w:rPr>
        <w:rFonts w:ascii="Wingdings" w:hAnsi="Wingdings" w:hint="default"/>
      </w:rPr>
    </w:lvl>
    <w:lvl w:ilvl="3" w:tplc="3A88F4EC">
      <w:start w:val="1"/>
      <w:numFmt w:val="bullet"/>
      <w:lvlText w:val=""/>
      <w:lvlJc w:val="left"/>
      <w:pPr>
        <w:ind w:left="2880" w:hanging="360"/>
      </w:pPr>
      <w:rPr>
        <w:rFonts w:ascii="Symbol" w:hAnsi="Symbol" w:hint="default"/>
      </w:rPr>
    </w:lvl>
    <w:lvl w:ilvl="4" w:tplc="CDB881E0">
      <w:start w:val="1"/>
      <w:numFmt w:val="bullet"/>
      <w:lvlText w:val="o"/>
      <w:lvlJc w:val="left"/>
      <w:pPr>
        <w:ind w:left="3600" w:hanging="360"/>
      </w:pPr>
      <w:rPr>
        <w:rFonts w:ascii="Courier New" w:hAnsi="Courier New" w:hint="default"/>
      </w:rPr>
    </w:lvl>
    <w:lvl w:ilvl="5" w:tplc="DA8AA262">
      <w:start w:val="1"/>
      <w:numFmt w:val="bullet"/>
      <w:lvlText w:val=""/>
      <w:lvlJc w:val="left"/>
      <w:pPr>
        <w:ind w:left="4320" w:hanging="360"/>
      </w:pPr>
      <w:rPr>
        <w:rFonts w:ascii="Wingdings" w:hAnsi="Wingdings" w:hint="default"/>
      </w:rPr>
    </w:lvl>
    <w:lvl w:ilvl="6" w:tplc="2EC0D710">
      <w:start w:val="1"/>
      <w:numFmt w:val="bullet"/>
      <w:lvlText w:val=""/>
      <w:lvlJc w:val="left"/>
      <w:pPr>
        <w:ind w:left="5040" w:hanging="360"/>
      </w:pPr>
      <w:rPr>
        <w:rFonts w:ascii="Symbol" w:hAnsi="Symbol" w:hint="default"/>
      </w:rPr>
    </w:lvl>
    <w:lvl w:ilvl="7" w:tplc="01F8C774">
      <w:start w:val="1"/>
      <w:numFmt w:val="bullet"/>
      <w:lvlText w:val="o"/>
      <w:lvlJc w:val="left"/>
      <w:pPr>
        <w:ind w:left="5760" w:hanging="360"/>
      </w:pPr>
      <w:rPr>
        <w:rFonts w:ascii="Courier New" w:hAnsi="Courier New" w:hint="default"/>
      </w:rPr>
    </w:lvl>
    <w:lvl w:ilvl="8" w:tplc="2F9A7CBE">
      <w:start w:val="1"/>
      <w:numFmt w:val="bullet"/>
      <w:lvlText w:val=""/>
      <w:lvlJc w:val="left"/>
      <w:pPr>
        <w:ind w:left="6480" w:hanging="360"/>
      </w:pPr>
      <w:rPr>
        <w:rFonts w:ascii="Wingdings" w:hAnsi="Wingdings" w:hint="default"/>
      </w:rPr>
    </w:lvl>
  </w:abstractNum>
  <w:abstractNum w:abstractNumId="6" w15:restartNumberingAfterBreak="0">
    <w:nsid w:val="17055D2D"/>
    <w:multiLevelType w:val="hybridMultilevel"/>
    <w:tmpl w:val="8DB6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31C85"/>
    <w:multiLevelType w:val="hybridMultilevel"/>
    <w:tmpl w:val="A36C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67C66"/>
    <w:multiLevelType w:val="hybridMultilevel"/>
    <w:tmpl w:val="55E80B06"/>
    <w:lvl w:ilvl="0" w:tplc="1EE82656">
      <w:start w:val="1"/>
      <w:numFmt w:val="decimal"/>
      <w:lvlText w:val="%1."/>
      <w:lvlJc w:val="left"/>
      <w:pPr>
        <w:ind w:left="720" w:hanging="360"/>
      </w:pPr>
    </w:lvl>
    <w:lvl w:ilvl="1" w:tplc="FE8865FE">
      <w:start w:val="1"/>
      <w:numFmt w:val="lowerLetter"/>
      <w:lvlText w:val="%2."/>
      <w:lvlJc w:val="left"/>
      <w:pPr>
        <w:ind w:left="1440" w:hanging="360"/>
      </w:pPr>
    </w:lvl>
    <w:lvl w:ilvl="2" w:tplc="2A460ED8">
      <w:start w:val="1"/>
      <w:numFmt w:val="lowerRoman"/>
      <w:lvlText w:val="%3."/>
      <w:lvlJc w:val="right"/>
      <w:pPr>
        <w:ind w:left="2160" w:hanging="180"/>
      </w:pPr>
    </w:lvl>
    <w:lvl w:ilvl="3" w:tplc="DF08D240">
      <w:start w:val="1"/>
      <w:numFmt w:val="decimal"/>
      <w:lvlText w:val="%4."/>
      <w:lvlJc w:val="left"/>
      <w:pPr>
        <w:ind w:left="2880" w:hanging="360"/>
      </w:pPr>
    </w:lvl>
    <w:lvl w:ilvl="4" w:tplc="8AC05A8C">
      <w:start w:val="1"/>
      <w:numFmt w:val="lowerLetter"/>
      <w:lvlText w:val="%5."/>
      <w:lvlJc w:val="left"/>
      <w:pPr>
        <w:ind w:left="3600" w:hanging="360"/>
      </w:pPr>
    </w:lvl>
    <w:lvl w:ilvl="5" w:tplc="0EBCC4C4">
      <w:start w:val="1"/>
      <w:numFmt w:val="lowerRoman"/>
      <w:lvlText w:val="%6."/>
      <w:lvlJc w:val="right"/>
      <w:pPr>
        <w:ind w:left="4320" w:hanging="180"/>
      </w:pPr>
    </w:lvl>
    <w:lvl w:ilvl="6" w:tplc="0DD2A802">
      <w:start w:val="1"/>
      <w:numFmt w:val="decimal"/>
      <w:lvlText w:val="%7."/>
      <w:lvlJc w:val="left"/>
      <w:pPr>
        <w:ind w:left="5040" w:hanging="360"/>
      </w:pPr>
    </w:lvl>
    <w:lvl w:ilvl="7" w:tplc="BF047444">
      <w:start w:val="1"/>
      <w:numFmt w:val="lowerLetter"/>
      <w:lvlText w:val="%8."/>
      <w:lvlJc w:val="left"/>
      <w:pPr>
        <w:ind w:left="5760" w:hanging="360"/>
      </w:pPr>
    </w:lvl>
    <w:lvl w:ilvl="8" w:tplc="C34233EA">
      <w:start w:val="1"/>
      <w:numFmt w:val="lowerRoman"/>
      <w:lvlText w:val="%9."/>
      <w:lvlJc w:val="right"/>
      <w:pPr>
        <w:ind w:left="6480" w:hanging="180"/>
      </w:pPr>
    </w:lvl>
  </w:abstractNum>
  <w:abstractNum w:abstractNumId="9" w15:restartNumberingAfterBreak="0">
    <w:nsid w:val="20E40A69"/>
    <w:multiLevelType w:val="hybridMultilevel"/>
    <w:tmpl w:val="02A0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B6893"/>
    <w:multiLevelType w:val="hybridMultilevel"/>
    <w:tmpl w:val="BE623A9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1FF5ACB"/>
    <w:multiLevelType w:val="hybridMultilevel"/>
    <w:tmpl w:val="6BAE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41AF6"/>
    <w:multiLevelType w:val="hybridMultilevel"/>
    <w:tmpl w:val="EDDA5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3BF1"/>
    <w:multiLevelType w:val="hybridMultilevel"/>
    <w:tmpl w:val="8D5EB802"/>
    <w:lvl w:ilvl="0" w:tplc="2E862922">
      <w:start w:val="2"/>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102B5"/>
    <w:multiLevelType w:val="hybridMultilevel"/>
    <w:tmpl w:val="B00E7D36"/>
    <w:lvl w:ilvl="0" w:tplc="7C9A8F9C">
      <w:start w:val="1"/>
      <w:numFmt w:val="decimal"/>
      <w:lvlText w:val="%1."/>
      <w:lvlJc w:val="left"/>
      <w:pPr>
        <w:ind w:left="720" w:hanging="360"/>
      </w:pPr>
      <w:rPr>
        <w:rFonts w:ascii="Arial Narrow" w:hAnsi="Arial Narrow"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635E"/>
    <w:multiLevelType w:val="hybridMultilevel"/>
    <w:tmpl w:val="8C727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83697"/>
    <w:multiLevelType w:val="hybridMultilevel"/>
    <w:tmpl w:val="E5BA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A5D1E"/>
    <w:multiLevelType w:val="hybridMultilevel"/>
    <w:tmpl w:val="B00E7D36"/>
    <w:lvl w:ilvl="0" w:tplc="7C9A8F9C">
      <w:start w:val="1"/>
      <w:numFmt w:val="decimal"/>
      <w:lvlText w:val="%1."/>
      <w:lvlJc w:val="left"/>
      <w:pPr>
        <w:ind w:left="720" w:hanging="360"/>
      </w:pPr>
      <w:rPr>
        <w:rFonts w:ascii="Arial Narrow" w:hAnsi="Arial Narrow"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301C3"/>
    <w:multiLevelType w:val="hybridMultilevel"/>
    <w:tmpl w:val="3724D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1615C"/>
    <w:multiLevelType w:val="hybridMultilevel"/>
    <w:tmpl w:val="C164C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82A89"/>
    <w:multiLevelType w:val="hybridMultilevel"/>
    <w:tmpl w:val="0860BB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1EF7490"/>
    <w:multiLevelType w:val="hybridMultilevel"/>
    <w:tmpl w:val="80B4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224A4"/>
    <w:multiLevelType w:val="hybridMultilevel"/>
    <w:tmpl w:val="AE52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40667"/>
    <w:multiLevelType w:val="hybridMultilevel"/>
    <w:tmpl w:val="AA5E55BC"/>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15:restartNumberingAfterBreak="0">
    <w:nsid w:val="65B81276"/>
    <w:multiLevelType w:val="hybridMultilevel"/>
    <w:tmpl w:val="CCE4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77039"/>
    <w:multiLevelType w:val="hybridMultilevel"/>
    <w:tmpl w:val="31F03C26"/>
    <w:lvl w:ilvl="0" w:tplc="0C9ACAA4">
      <w:start w:val="1"/>
      <w:numFmt w:val="bullet"/>
      <w:lvlText w:val=""/>
      <w:lvlJc w:val="left"/>
      <w:pPr>
        <w:ind w:left="720" w:hanging="360"/>
      </w:pPr>
      <w:rPr>
        <w:rFonts w:ascii="Symbol" w:hAnsi="Symbol" w:hint="default"/>
      </w:rPr>
    </w:lvl>
    <w:lvl w:ilvl="1" w:tplc="86F4AE16">
      <w:start w:val="1"/>
      <w:numFmt w:val="bullet"/>
      <w:lvlText w:val="o"/>
      <w:lvlJc w:val="left"/>
      <w:pPr>
        <w:ind w:left="1440" w:hanging="360"/>
      </w:pPr>
      <w:rPr>
        <w:rFonts w:ascii="Courier New" w:hAnsi="Courier New" w:hint="default"/>
      </w:rPr>
    </w:lvl>
    <w:lvl w:ilvl="2" w:tplc="FCB68F82">
      <w:start w:val="1"/>
      <w:numFmt w:val="bullet"/>
      <w:lvlText w:val=""/>
      <w:lvlJc w:val="left"/>
      <w:pPr>
        <w:ind w:left="2160" w:hanging="360"/>
      </w:pPr>
      <w:rPr>
        <w:rFonts w:ascii="Wingdings" w:hAnsi="Wingdings" w:hint="default"/>
      </w:rPr>
    </w:lvl>
    <w:lvl w:ilvl="3" w:tplc="0656752E">
      <w:start w:val="1"/>
      <w:numFmt w:val="bullet"/>
      <w:lvlText w:val=""/>
      <w:lvlJc w:val="left"/>
      <w:pPr>
        <w:ind w:left="2880" w:hanging="360"/>
      </w:pPr>
      <w:rPr>
        <w:rFonts w:ascii="Symbol" w:hAnsi="Symbol" w:hint="default"/>
      </w:rPr>
    </w:lvl>
    <w:lvl w:ilvl="4" w:tplc="D3144266">
      <w:start w:val="1"/>
      <w:numFmt w:val="bullet"/>
      <w:lvlText w:val="o"/>
      <w:lvlJc w:val="left"/>
      <w:pPr>
        <w:ind w:left="3600" w:hanging="360"/>
      </w:pPr>
      <w:rPr>
        <w:rFonts w:ascii="Courier New" w:hAnsi="Courier New" w:hint="default"/>
      </w:rPr>
    </w:lvl>
    <w:lvl w:ilvl="5" w:tplc="D67AC3CC">
      <w:start w:val="1"/>
      <w:numFmt w:val="bullet"/>
      <w:lvlText w:val=""/>
      <w:lvlJc w:val="left"/>
      <w:pPr>
        <w:ind w:left="4320" w:hanging="360"/>
      </w:pPr>
      <w:rPr>
        <w:rFonts w:ascii="Wingdings" w:hAnsi="Wingdings" w:hint="default"/>
      </w:rPr>
    </w:lvl>
    <w:lvl w:ilvl="6" w:tplc="E66EB062">
      <w:start w:val="1"/>
      <w:numFmt w:val="bullet"/>
      <w:lvlText w:val=""/>
      <w:lvlJc w:val="left"/>
      <w:pPr>
        <w:ind w:left="5040" w:hanging="360"/>
      </w:pPr>
      <w:rPr>
        <w:rFonts w:ascii="Symbol" w:hAnsi="Symbol" w:hint="default"/>
      </w:rPr>
    </w:lvl>
    <w:lvl w:ilvl="7" w:tplc="1BBA3394">
      <w:start w:val="1"/>
      <w:numFmt w:val="bullet"/>
      <w:lvlText w:val="o"/>
      <w:lvlJc w:val="left"/>
      <w:pPr>
        <w:ind w:left="5760" w:hanging="360"/>
      </w:pPr>
      <w:rPr>
        <w:rFonts w:ascii="Courier New" w:hAnsi="Courier New" w:hint="default"/>
      </w:rPr>
    </w:lvl>
    <w:lvl w:ilvl="8" w:tplc="FD683C84">
      <w:start w:val="1"/>
      <w:numFmt w:val="bullet"/>
      <w:lvlText w:val=""/>
      <w:lvlJc w:val="left"/>
      <w:pPr>
        <w:ind w:left="6480" w:hanging="360"/>
      </w:pPr>
      <w:rPr>
        <w:rFonts w:ascii="Wingdings" w:hAnsi="Wingdings" w:hint="default"/>
      </w:rPr>
    </w:lvl>
  </w:abstractNum>
  <w:abstractNum w:abstractNumId="26" w15:restartNumberingAfterBreak="0">
    <w:nsid w:val="6ECC6160"/>
    <w:multiLevelType w:val="hybridMultilevel"/>
    <w:tmpl w:val="B80088A6"/>
    <w:lvl w:ilvl="0" w:tplc="605C1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928CF"/>
    <w:multiLevelType w:val="hybridMultilevel"/>
    <w:tmpl w:val="874E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70829"/>
    <w:multiLevelType w:val="hybridMultilevel"/>
    <w:tmpl w:val="16F29C8E"/>
    <w:lvl w:ilvl="0" w:tplc="9FCA9C7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EE320C4"/>
    <w:multiLevelType w:val="hybridMultilevel"/>
    <w:tmpl w:val="DAA4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8"/>
  </w:num>
  <w:num w:numId="5">
    <w:abstractNumId w:val="22"/>
  </w:num>
  <w:num w:numId="6">
    <w:abstractNumId w:val="12"/>
  </w:num>
  <w:num w:numId="7">
    <w:abstractNumId w:val="19"/>
  </w:num>
  <w:num w:numId="8">
    <w:abstractNumId w:val="20"/>
  </w:num>
  <w:num w:numId="9">
    <w:abstractNumId w:val="24"/>
  </w:num>
  <w:num w:numId="10">
    <w:abstractNumId w:val="13"/>
  </w:num>
  <w:num w:numId="11">
    <w:abstractNumId w:val="16"/>
  </w:num>
  <w:num w:numId="12">
    <w:abstractNumId w:val="29"/>
  </w:num>
  <w:num w:numId="13">
    <w:abstractNumId w:val="21"/>
  </w:num>
  <w:num w:numId="14">
    <w:abstractNumId w:val="11"/>
  </w:num>
  <w:num w:numId="15">
    <w:abstractNumId w:val="27"/>
  </w:num>
  <w:num w:numId="16">
    <w:abstractNumId w:val="1"/>
  </w:num>
  <w:num w:numId="17">
    <w:abstractNumId w:val="6"/>
  </w:num>
  <w:num w:numId="18">
    <w:abstractNumId w:val="4"/>
  </w:num>
  <w:num w:numId="19">
    <w:abstractNumId w:val="18"/>
  </w:num>
  <w:num w:numId="20">
    <w:abstractNumId w:val="2"/>
  </w:num>
  <w:num w:numId="21">
    <w:abstractNumId w:val="7"/>
  </w:num>
  <w:num w:numId="22">
    <w:abstractNumId w:val="9"/>
  </w:num>
  <w:num w:numId="23">
    <w:abstractNumId w:val="28"/>
  </w:num>
  <w:num w:numId="24">
    <w:abstractNumId w:val="23"/>
  </w:num>
  <w:num w:numId="25">
    <w:abstractNumId w:val="10"/>
  </w:num>
  <w:num w:numId="26">
    <w:abstractNumId w:val="15"/>
  </w:num>
  <w:num w:numId="27">
    <w:abstractNumId w:val="0"/>
  </w:num>
  <w:num w:numId="28">
    <w:abstractNumId w:val="14"/>
  </w:num>
  <w:num w:numId="29">
    <w:abstractNumId w:val="17"/>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B6"/>
    <w:rsid w:val="00000C1C"/>
    <w:rsid w:val="00000EB3"/>
    <w:rsid w:val="000017DE"/>
    <w:rsid w:val="00001979"/>
    <w:rsid w:val="00002B3C"/>
    <w:rsid w:val="00002DDF"/>
    <w:rsid w:val="00003353"/>
    <w:rsid w:val="000043D9"/>
    <w:rsid w:val="000046F7"/>
    <w:rsid w:val="000046F9"/>
    <w:rsid w:val="00004886"/>
    <w:rsid w:val="00004B5B"/>
    <w:rsid w:val="000053C2"/>
    <w:rsid w:val="00005C23"/>
    <w:rsid w:val="00006E67"/>
    <w:rsid w:val="00007319"/>
    <w:rsid w:val="00007DFF"/>
    <w:rsid w:val="000100AF"/>
    <w:rsid w:val="000104FF"/>
    <w:rsid w:val="000106F5"/>
    <w:rsid w:val="0001148D"/>
    <w:rsid w:val="000120BE"/>
    <w:rsid w:val="0001238F"/>
    <w:rsid w:val="000124DC"/>
    <w:rsid w:val="00012B3D"/>
    <w:rsid w:val="00012C89"/>
    <w:rsid w:val="000130AD"/>
    <w:rsid w:val="00013187"/>
    <w:rsid w:val="000133BF"/>
    <w:rsid w:val="0001354F"/>
    <w:rsid w:val="00013CDF"/>
    <w:rsid w:val="00013DBD"/>
    <w:rsid w:val="0001405E"/>
    <w:rsid w:val="000144D4"/>
    <w:rsid w:val="000145B3"/>
    <w:rsid w:val="0001551F"/>
    <w:rsid w:val="000158D2"/>
    <w:rsid w:val="000160B1"/>
    <w:rsid w:val="000164C0"/>
    <w:rsid w:val="000175EF"/>
    <w:rsid w:val="0001784A"/>
    <w:rsid w:val="000178C4"/>
    <w:rsid w:val="000178EC"/>
    <w:rsid w:val="00017E18"/>
    <w:rsid w:val="00020473"/>
    <w:rsid w:val="00021424"/>
    <w:rsid w:val="0002163F"/>
    <w:rsid w:val="0002183A"/>
    <w:rsid w:val="00021D41"/>
    <w:rsid w:val="000221B9"/>
    <w:rsid w:val="00022754"/>
    <w:rsid w:val="000231AF"/>
    <w:rsid w:val="000232C9"/>
    <w:rsid w:val="000239E5"/>
    <w:rsid w:val="00023FAE"/>
    <w:rsid w:val="00024A91"/>
    <w:rsid w:val="00024B28"/>
    <w:rsid w:val="0002518B"/>
    <w:rsid w:val="000255C8"/>
    <w:rsid w:val="000256C4"/>
    <w:rsid w:val="0002571E"/>
    <w:rsid w:val="0002664F"/>
    <w:rsid w:val="0002744C"/>
    <w:rsid w:val="00027506"/>
    <w:rsid w:val="00027EDE"/>
    <w:rsid w:val="000302E7"/>
    <w:rsid w:val="0003073E"/>
    <w:rsid w:val="0003076E"/>
    <w:rsid w:val="00030857"/>
    <w:rsid w:val="0003087F"/>
    <w:rsid w:val="00030A8B"/>
    <w:rsid w:val="00030D93"/>
    <w:rsid w:val="000311D2"/>
    <w:rsid w:val="00031490"/>
    <w:rsid w:val="00031601"/>
    <w:rsid w:val="00031CD1"/>
    <w:rsid w:val="0003295A"/>
    <w:rsid w:val="00032D2B"/>
    <w:rsid w:val="00033067"/>
    <w:rsid w:val="00033407"/>
    <w:rsid w:val="000337E9"/>
    <w:rsid w:val="00034156"/>
    <w:rsid w:val="00034528"/>
    <w:rsid w:val="0003460D"/>
    <w:rsid w:val="00034ACA"/>
    <w:rsid w:val="00034EBC"/>
    <w:rsid w:val="00035105"/>
    <w:rsid w:val="000351F6"/>
    <w:rsid w:val="00035238"/>
    <w:rsid w:val="000372DC"/>
    <w:rsid w:val="0003754D"/>
    <w:rsid w:val="000379B9"/>
    <w:rsid w:val="000400C0"/>
    <w:rsid w:val="00040749"/>
    <w:rsid w:val="00040852"/>
    <w:rsid w:val="000409EC"/>
    <w:rsid w:val="00040B92"/>
    <w:rsid w:val="0004127A"/>
    <w:rsid w:val="000414A7"/>
    <w:rsid w:val="00041A12"/>
    <w:rsid w:val="00042328"/>
    <w:rsid w:val="000427F2"/>
    <w:rsid w:val="000430F3"/>
    <w:rsid w:val="00043A8F"/>
    <w:rsid w:val="00043ECF"/>
    <w:rsid w:val="0004465F"/>
    <w:rsid w:val="0004551D"/>
    <w:rsid w:val="0004595D"/>
    <w:rsid w:val="00045A80"/>
    <w:rsid w:val="00045AEF"/>
    <w:rsid w:val="00045D62"/>
    <w:rsid w:val="00045F68"/>
    <w:rsid w:val="000468C0"/>
    <w:rsid w:val="0004724C"/>
    <w:rsid w:val="0004725A"/>
    <w:rsid w:val="00047853"/>
    <w:rsid w:val="00047971"/>
    <w:rsid w:val="00050251"/>
    <w:rsid w:val="0005049B"/>
    <w:rsid w:val="0005054D"/>
    <w:rsid w:val="000508C7"/>
    <w:rsid w:val="00050FA4"/>
    <w:rsid w:val="000511F2"/>
    <w:rsid w:val="00051560"/>
    <w:rsid w:val="000517E4"/>
    <w:rsid w:val="000522F4"/>
    <w:rsid w:val="00052EBE"/>
    <w:rsid w:val="00053DAE"/>
    <w:rsid w:val="00053F5D"/>
    <w:rsid w:val="00054024"/>
    <w:rsid w:val="0005407D"/>
    <w:rsid w:val="000543A1"/>
    <w:rsid w:val="00054B8C"/>
    <w:rsid w:val="00054D35"/>
    <w:rsid w:val="00054DC9"/>
    <w:rsid w:val="0005623C"/>
    <w:rsid w:val="00056F3E"/>
    <w:rsid w:val="00056F79"/>
    <w:rsid w:val="0006020C"/>
    <w:rsid w:val="00060221"/>
    <w:rsid w:val="00060FAA"/>
    <w:rsid w:val="0006125F"/>
    <w:rsid w:val="00061C6B"/>
    <w:rsid w:val="00061E33"/>
    <w:rsid w:val="000621D9"/>
    <w:rsid w:val="00062343"/>
    <w:rsid w:val="00063A55"/>
    <w:rsid w:val="00063C26"/>
    <w:rsid w:val="00063D2C"/>
    <w:rsid w:val="00064062"/>
    <w:rsid w:val="00064243"/>
    <w:rsid w:val="000644E8"/>
    <w:rsid w:val="00064F55"/>
    <w:rsid w:val="0006506D"/>
    <w:rsid w:val="00065652"/>
    <w:rsid w:val="000667D4"/>
    <w:rsid w:val="00066FDA"/>
    <w:rsid w:val="00067013"/>
    <w:rsid w:val="000670EC"/>
    <w:rsid w:val="00067B1E"/>
    <w:rsid w:val="000701C8"/>
    <w:rsid w:val="0007081B"/>
    <w:rsid w:val="00070E43"/>
    <w:rsid w:val="00071D03"/>
    <w:rsid w:val="00071F85"/>
    <w:rsid w:val="000721B5"/>
    <w:rsid w:val="000721EB"/>
    <w:rsid w:val="00072954"/>
    <w:rsid w:val="000734E5"/>
    <w:rsid w:val="00073C32"/>
    <w:rsid w:val="00073D2F"/>
    <w:rsid w:val="00073D98"/>
    <w:rsid w:val="00074020"/>
    <w:rsid w:val="0007439F"/>
    <w:rsid w:val="00074A20"/>
    <w:rsid w:val="00074F6A"/>
    <w:rsid w:val="000758CF"/>
    <w:rsid w:val="000759CE"/>
    <w:rsid w:val="00075A08"/>
    <w:rsid w:val="00075FFF"/>
    <w:rsid w:val="000764AD"/>
    <w:rsid w:val="00076F58"/>
    <w:rsid w:val="0007719F"/>
    <w:rsid w:val="0007764E"/>
    <w:rsid w:val="000778FE"/>
    <w:rsid w:val="00080284"/>
    <w:rsid w:val="00080378"/>
    <w:rsid w:val="000804A6"/>
    <w:rsid w:val="000806A3"/>
    <w:rsid w:val="00080C8C"/>
    <w:rsid w:val="00080F95"/>
    <w:rsid w:val="0008177F"/>
    <w:rsid w:val="00081B8B"/>
    <w:rsid w:val="00081F79"/>
    <w:rsid w:val="00082065"/>
    <w:rsid w:val="0008285C"/>
    <w:rsid w:val="00082AEF"/>
    <w:rsid w:val="00082E4E"/>
    <w:rsid w:val="000830D0"/>
    <w:rsid w:val="00083141"/>
    <w:rsid w:val="000833F5"/>
    <w:rsid w:val="000836A9"/>
    <w:rsid w:val="00083B11"/>
    <w:rsid w:val="00083BE0"/>
    <w:rsid w:val="000844F0"/>
    <w:rsid w:val="00084AD3"/>
    <w:rsid w:val="00084D13"/>
    <w:rsid w:val="00084DCA"/>
    <w:rsid w:val="000858A7"/>
    <w:rsid w:val="000866C0"/>
    <w:rsid w:val="00086CAC"/>
    <w:rsid w:val="000875B7"/>
    <w:rsid w:val="00087706"/>
    <w:rsid w:val="00087B60"/>
    <w:rsid w:val="00087C1B"/>
    <w:rsid w:val="00087F6C"/>
    <w:rsid w:val="00090257"/>
    <w:rsid w:val="00090432"/>
    <w:rsid w:val="00090C49"/>
    <w:rsid w:val="00090F7D"/>
    <w:rsid w:val="000912A3"/>
    <w:rsid w:val="00091396"/>
    <w:rsid w:val="00091513"/>
    <w:rsid w:val="00091563"/>
    <w:rsid w:val="000917C1"/>
    <w:rsid w:val="000919AC"/>
    <w:rsid w:val="00091E0F"/>
    <w:rsid w:val="0009247C"/>
    <w:rsid w:val="00092AB1"/>
    <w:rsid w:val="00092AF3"/>
    <w:rsid w:val="00092D5B"/>
    <w:rsid w:val="00093559"/>
    <w:rsid w:val="0009410A"/>
    <w:rsid w:val="00094679"/>
    <w:rsid w:val="000948E1"/>
    <w:rsid w:val="00094BD0"/>
    <w:rsid w:val="00094D5D"/>
    <w:rsid w:val="000955AD"/>
    <w:rsid w:val="00095D37"/>
    <w:rsid w:val="00095DD1"/>
    <w:rsid w:val="0009766C"/>
    <w:rsid w:val="00097700"/>
    <w:rsid w:val="000978DA"/>
    <w:rsid w:val="00097ECF"/>
    <w:rsid w:val="000A00D0"/>
    <w:rsid w:val="000A0937"/>
    <w:rsid w:val="000A0C7F"/>
    <w:rsid w:val="000A0C88"/>
    <w:rsid w:val="000A1224"/>
    <w:rsid w:val="000A1478"/>
    <w:rsid w:val="000A187F"/>
    <w:rsid w:val="000A18E8"/>
    <w:rsid w:val="000A20B1"/>
    <w:rsid w:val="000A2121"/>
    <w:rsid w:val="000A2608"/>
    <w:rsid w:val="000A28FA"/>
    <w:rsid w:val="000A442F"/>
    <w:rsid w:val="000A4AB1"/>
    <w:rsid w:val="000A55C0"/>
    <w:rsid w:val="000A591A"/>
    <w:rsid w:val="000A5A06"/>
    <w:rsid w:val="000A5C2B"/>
    <w:rsid w:val="000A6266"/>
    <w:rsid w:val="000A6490"/>
    <w:rsid w:val="000A6A6F"/>
    <w:rsid w:val="000A6BD0"/>
    <w:rsid w:val="000A7296"/>
    <w:rsid w:val="000A783B"/>
    <w:rsid w:val="000A7D73"/>
    <w:rsid w:val="000B0385"/>
    <w:rsid w:val="000B097E"/>
    <w:rsid w:val="000B1EDE"/>
    <w:rsid w:val="000B3215"/>
    <w:rsid w:val="000B3E8F"/>
    <w:rsid w:val="000B4B15"/>
    <w:rsid w:val="000B4DA3"/>
    <w:rsid w:val="000B518D"/>
    <w:rsid w:val="000B5735"/>
    <w:rsid w:val="000B693B"/>
    <w:rsid w:val="000B69A3"/>
    <w:rsid w:val="000B6EA7"/>
    <w:rsid w:val="000B7145"/>
    <w:rsid w:val="000C01D0"/>
    <w:rsid w:val="000C01D2"/>
    <w:rsid w:val="000C1084"/>
    <w:rsid w:val="000C150B"/>
    <w:rsid w:val="000C1EC4"/>
    <w:rsid w:val="000C2344"/>
    <w:rsid w:val="000C2455"/>
    <w:rsid w:val="000C2723"/>
    <w:rsid w:val="000C2922"/>
    <w:rsid w:val="000C2D08"/>
    <w:rsid w:val="000C3682"/>
    <w:rsid w:val="000C38D3"/>
    <w:rsid w:val="000C3EA3"/>
    <w:rsid w:val="000C3F48"/>
    <w:rsid w:val="000C429A"/>
    <w:rsid w:val="000C465A"/>
    <w:rsid w:val="000C467B"/>
    <w:rsid w:val="000C4F90"/>
    <w:rsid w:val="000C5F1D"/>
    <w:rsid w:val="000C6650"/>
    <w:rsid w:val="000C68FF"/>
    <w:rsid w:val="000C6C6E"/>
    <w:rsid w:val="000C7484"/>
    <w:rsid w:val="000D0057"/>
    <w:rsid w:val="000D01C1"/>
    <w:rsid w:val="000D0AA0"/>
    <w:rsid w:val="000D0C37"/>
    <w:rsid w:val="000D0DCE"/>
    <w:rsid w:val="000D0F29"/>
    <w:rsid w:val="000D1354"/>
    <w:rsid w:val="000D1614"/>
    <w:rsid w:val="000D1857"/>
    <w:rsid w:val="000D22D6"/>
    <w:rsid w:val="000D2A16"/>
    <w:rsid w:val="000D2B4A"/>
    <w:rsid w:val="000D3BDA"/>
    <w:rsid w:val="000D3FC7"/>
    <w:rsid w:val="000D4499"/>
    <w:rsid w:val="000D449C"/>
    <w:rsid w:val="000D4DB0"/>
    <w:rsid w:val="000D5A1F"/>
    <w:rsid w:val="000D6206"/>
    <w:rsid w:val="000D64BA"/>
    <w:rsid w:val="000D6771"/>
    <w:rsid w:val="000D6786"/>
    <w:rsid w:val="000D7509"/>
    <w:rsid w:val="000D7576"/>
    <w:rsid w:val="000D7E7B"/>
    <w:rsid w:val="000E0086"/>
    <w:rsid w:val="000E00B4"/>
    <w:rsid w:val="000E148C"/>
    <w:rsid w:val="000E1F49"/>
    <w:rsid w:val="000E216E"/>
    <w:rsid w:val="000E2296"/>
    <w:rsid w:val="000E364A"/>
    <w:rsid w:val="000E37A4"/>
    <w:rsid w:val="000E4106"/>
    <w:rsid w:val="000E49B9"/>
    <w:rsid w:val="000E5E39"/>
    <w:rsid w:val="000E6115"/>
    <w:rsid w:val="000E7066"/>
    <w:rsid w:val="000E71FA"/>
    <w:rsid w:val="000E7712"/>
    <w:rsid w:val="000E796B"/>
    <w:rsid w:val="000F0CBD"/>
    <w:rsid w:val="000F0E05"/>
    <w:rsid w:val="000F105A"/>
    <w:rsid w:val="000F15F2"/>
    <w:rsid w:val="000F1635"/>
    <w:rsid w:val="000F1C8D"/>
    <w:rsid w:val="000F2240"/>
    <w:rsid w:val="000F2C15"/>
    <w:rsid w:val="000F2CEE"/>
    <w:rsid w:val="000F3A59"/>
    <w:rsid w:val="000F4199"/>
    <w:rsid w:val="000F4AD0"/>
    <w:rsid w:val="000F4ADF"/>
    <w:rsid w:val="000F4B7C"/>
    <w:rsid w:val="000F4FDB"/>
    <w:rsid w:val="000F56D1"/>
    <w:rsid w:val="000F5C64"/>
    <w:rsid w:val="000F6355"/>
    <w:rsid w:val="000F6BB8"/>
    <w:rsid w:val="000F708B"/>
    <w:rsid w:val="000F77D1"/>
    <w:rsid w:val="000F785F"/>
    <w:rsid w:val="00100039"/>
    <w:rsid w:val="001000CD"/>
    <w:rsid w:val="00100384"/>
    <w:rsid w:val="001008F7"/>
    <w:rsid w:val="00100BF2"/>
    <w:rsid w:val="00101457"/>
    <w:rsid w:val="00101666"/>
    <w:rsid w:val="0010166C"/>
    <w:rsid w:val="00101C66"/>
    <w:rsid w:val="00101DD9"/>
    <w:rsid w:val="001021C4"/>
    <w:rsid w:val="001027CF"/>
    <w:rsid w:val="00102B4F"/>
    <w:rsid w:val="00103254"/>
    <w:rsid w:val="00103F9E"/>
    <w:rsid w:val="0010439D"/>
    <w:rsid w:val="0010487A"/>
    <w:rsid w:val="00104CD4"/>
    <w:rsid w:val="0010577E"/>
    <w:rsid w:val="001058E9"/>
    <w:rsid w:val="00106764"/>
    <w:rsid w:val="001067B0"/>
    <w:rsid w:val="00106D70"/>
    <w:rsid w:val="00107A48"/>
    <w:rsid w:val="001118A9"/>
    <w:rsid w:val="0011254B"/>
    <w:rsid w:val="00112A73"/>
    <w:rsid w:val="00113395"/>
    <w:rsid w:val="00113928"/>
    <w:rsid w:val="00114495"/>
    <w:rsid w:val="001146ED"/>
    <w:rsid w:val="00114E3B"/>
    <w:rsid w:val="00115A20"/>
    <w:rsid w:val="00116038"/>
    <w:rsid w:val="00116049"/>
    <w:rsid w:val="00116C60"/>
    <w:rsid w:val="0011730B"/>
    <w:rsid w:val="00117DFE"/>
    <w:rsid w:val="00117E8D"/>
    <w:rsid w:val="00120E2D"/>
    <w:rsid w:val="00121488"/>
    <w:rsid w:val="001217DC"/>
    <w:rsid w:val="001218C8"/>
    <w:rsid w:val="00121EA4"/>
    <w:rsid w:val="0012263C"/>
    <w:rsid w:val="00122D3F"/>
    <w:rsid w:val="001235E8"/>
    <w:rsid w:val="00123C80"/>
    <w:rsid w:val="001242DA"/>
    <w:rsid w:val="00124403"/>
    <w:rsid w:val="00124685"/>
    <w:rsid w:val="00125065"/>
    <w:rsid w:val="00125C09"/>
    <w:rsid w:val="00125F7A"/>
    <w:rsid w:val="00126944"/>
    <w:rsid w:val="00127050"/>
    <w:rsid w:val="001270F4"/>
    <w:rsid w:val="00127143"/>
    <w:rsid w:val="0012780D"/>
    <w:rsid w:val="00127B74"/>
    <w:rsid w:val="00127C2A"/>
    <w:rsid w:val="001308B9"/>
    <w:rsid w:val="001313D9"/>
    <w:rsid w:val="00131C83"/>
    <w:rsid w:val="00132EFA"/>
    <w:rsid w:val="00133374"/>
    <w:rsid w:val="0013337B"/>
    <w:rsid w:val="0013340F"/>
    <w:rsid w:val="00133D26"/>
    <w:rsid w:val="00134654"/>
    <w:rsid w:val="00135505"/>
    <w:rsid w:val="00136785"/>
    <w:rsid w:val="001367EE"/>
    <w:rsid w:val="00136DDB"/>
    <w:rsid w:val="0013728C"/>
    <w:rsid w:val="0013782E"/>
    <w:rsid w:val="00137E91"/>
    <w:rsid w:val="00140EA1"/>
    <w:rsid w:val="001414E9"/>
    <w:rsid w:val="00141F16"/>
    <w:rsid w:val="0014267D"/>
    <w:rsid w:val="0014327D"/>
    <w:rsid w:val="0014331D"/>
    <w:rsid w:val="00143D78"/>
    <w:rsid w:val="00144779"/>
    <w:rsid w:val="001448EA"/>
    <w:rsid w:val="00145447"/>
    <w:rsid w:val="00145707"/>
    <w:rsid w:val="0014590E"/>
    <w:rsid w:val="00146372"/>
    <w:rsid w:val="00146651"/>
    <w:rsid w:val="0014738A"/>
    <w:rsid w:val="00147469"/>
    <w:rsid w:val="001479C1"/>
    <w:rsid w:val="00147A54"/>
    <w:rsid w:val="00147BE4"/>
    <w:rsid w:val="00150927"/>
    <w:rsid w:val="00151517"/>
    <w:rsid w:val="00151881"/>
    <w:rsid w:val="001524ED"/>
    <w:rsid w:val="00152BCA"/>
    <w:rsid w:val="00152C4D"/>
    <w:rsid w:val="00152D7E"/>
    <w:rsid w:val="00153747"/>
    <w:rsid w:val="0015429D"/>
    <w:rsid w:val="0015452E"/>
    <w:rsid w:val="00154647"/>
    <w:rsid w:val="00154C10"/>
    <w:rsid w:val="00155439"/>
    <w:rsid w:val="0015660E"/>
    <w:rsid w:val="00156DEF"/>
    <w:rsid w:val="00156FB1"/>
    <w:rsid w:val="00157224"/>
    <w:rsid w:val="00157861"/>
    <w:rsid w:val="00157A44"/>
    <w:rsid w:val="00157D29"/>
    <w:rsid w:val="00157E13"/>
    <w:rsid w:val="00157F55"/>
    <w:rsid w:val="0016071C"/>
    <w:rsid w:val="00160FF5"/>
    <w:rsid w:val="001610CA"/>
    <w:rsid w:val="0016138F"/>
    <w:rsid w:val="00161CD4"/>
    <w:rsid w:val="00162B03"/>
    <w:rsid w:val="00162BE4"/>
    <w:rsid w:val="00162DC6"/>
    <w:rsid w:val="001639C1"/>
    <w:rsid w:val="0016449C"/>
    <w:rsid w:val="00164E98"/>
    <w:rsid w:val="00165117"/>
    <w:rsid w:val="00165253"/>
    <w:rsid w:val="001665E8"/>
    <w:rsid w:val="00166912"/>
    <w:rsid w:val="0016692E"/>
    <w:rsid w:val="00166A52"/>
    <w:rsid w:val="0016759D"/>
    <w:rsid w:val="0017044E"/>
    <w:rsid w:val="00170699"/>
    <w:rsid w:val="001708DE"/>
    <w:rsid w:val="0017179E"/>
    <w:rsid w:val="001722DC"/>
    <w:rsid w:val="00172870"/>
    <w:rsid w:val="001736C1"/>
    <w:rsid w:val="00174447"/>
    <w:rsid w:val="0017457B"/>
    <w:rsid w:val="00175C3D"/>
    <w:rsid w:val="00175F8F"/>
    <w:rsid w:val="001763FC"/>
    <w:rsid w:val="001767F8"/>
    <w:rsid w:val="00177309"/>
    <w:rsid w:val="0017737A"/>
    <w:rsid w:val="001802A7"/>
    <w:rsid w:val="0018071B"/>
    <w:rsid w:val="00180A30"/>
    <w:rsid w:val="00181B5F"/>
    <w:rsid w:val="00182427"/>
    <w:rsid w:val="001827A8"/>
    <w:rsid w:val="00182805"/>
    <w:rsid w:val="00183799"/>
    <w:rsid w:val="00183BBA"/>
    <w:rsid w:val="00184157"/>
    <w:rsid w:val="00184B49"/>
    <w:rsid w:val="00185069"/>
    <w:rsid w:val="00185854"/>
    <w:rsid w:val="00185E42"/>
    <w:rsid w:val="0018766B"/>
    <w:rsid w:val="0019034F"/>
    <w:rsid w:val="001907C9"/>
    <w:rsid w:val="00190FBC"/>
    <w:rsid w:val="00192671"/>
    <w:rsid w:val="00192BF1"/>
    <w:rsid w:val="00192F4C"/>
    <w:rsid w:val="001942E3"/>
    <w:rsid w:val="00194332"/>
    <w:rsid w:val="00194B07"/>
    <w:rsid w:val="00194F3F"/>
    <w:rsid w:val="00195536"/>
    <w:rsid w:val="00195CF1"/>
    <w:rsid w:val="00195E6B"/>
    <w:rsid w:val="00196090"/>
    <w:rsid w:val="00196173"/>
    <w:rsid w:val="00196ABB"/>
    <w:rsid w:val="00196ABE"/>
    <w:rsid w:val="001972E3"/>
    <w:rsid w:val="00197B41"/>
    <w:rsid w:val="001A01C0"/>
    <w:rsid w:val="001A0825"/>
    <w:rsid w:val="001A0B27"/>
    <w:rsid w:val="001A1134"/>
    <w:rsid w:val="001A1384"/>
    <w:rsid w:val="001A1778"/>
    <w:rsid w:val="001A2750"/>
    <w:rsid w:val="001A2991"/>
    <w:rsid w:val="001A2E54"/>
    <w:rsid w:val="001A3251"/>
    <w:rsid w:val="001A364C"/>
    <w:rsid w:val="001A3798"/>
    <w:rsid w:val="001A4734"/>
    <w:rsid w:val="001A59AD"/>
    <w:rsid w:val="001A5B0D"/>
    <w:rsid w:val="001A5E85"/>
    <w:rsid w:val="001A602D"/>
    <w:rsid w:val="001A61D8"/>
    <w:rsid w:val="001A61F9"/>
    <w:rsid w:val="001A6872"/>
    <w:rsid w:val="001A68E3"/>
    <w:rsid w:val="001A6A22"/>
    <w:rsid w:val="001A6B96"/>
    <w:rsid w:val="001A73B4"/>
    <w:rsid w:val="001A7646"/>
    <w:rsid w:val="001A7B64"/>
    <w:rsid w:val="001A7B72"/>
    <w:rsid w:val="001B0822"/>
    <w:rsid w:val="001B0843"/>
    <w:rsid w:val="001B0983"/>
    <w:rsid w:val="001B0A26"/>
    <w:rsid w:val="001B13E4"/>
    <w:rsid w:val="001B145D"/>
    <w:rsid w:val="001B165A"/>
    <w:rsid w:val="001B16F5"/>
    <w:rsid w:val="001B2202"/>
    <w:rsid w:val="001B2A73"/>
    <w:rsid w:val="001B2EFB"/>
    <w:rsid w:val="001B3170"/>
    <w:rsid w:val="001B35FE"/>
    <w:rsid w:val="001B3702"/>
    <w:rsid w:val="001B376C"/>
    <w:rsid w:val="001B3DA7"/>
    <w:rsid w:val="001B4FB1"/>
    <w:rsid w:val="001B521C"/>
    <w:rsid w:val="001B5EA4"/>
    <w:rsid w:val="001B78EA"/>
    <w:rsid w:val="001B7BE1"/>
    <w:rsid w:val="001B7DA0"/>
    <w:rsid w:val="001B7F72"/>
    <w:rsid w:val="001B7FEC"/>
    <w:rsid w:val="001C08D5"/>
    <w:rsid w:val="001C1A50"/>
    <w:rsid w:val="001C1D29"/>
    <w:rsid w:val="001C2254"/>
    <w:rsid w:val="001C2381"/>
    <w:rsid w:val="001C262A"/>
    <w:rsid w:val="001C27A7"/>
    <w:rsid w:val="001C2B28"/>
    <w:rsid w:val="001C2C04"/>
    <w:rsid w:val="001C38D8"/>
    <w:rsid w:val="001C3B07"/>
    <w:rsid w:val="001C3F8E"/>
    <w:rsid w:val="001C4641"/>
    <w:rsid w:val="001C471E"/>
    <w:rsid w:val="001C4797"/>
    <w:rsid w:val="001C4C02"/>
    <w:rsid w:val="001C4CBB"/>
    <w:rsid w:val="001C55C8"/>
    <w:rsid w:val="001C5D7F"/>
    <w:rsid w:val="001C5F87"/>
    <w:rsid w:val="001C62DE"/>
    <w:rsid w:val="001C6384"/>
    <w:rsid w:val="001C672F"/>
    <w:rsid w:val="001C6D5B"/>
    <w:rsid w:val="001C76C9"/>
    <w:rsid w:val="001C79A7"/>
    <w:rsid w:val="001C7C2E"/>
    <w:rsid w:val="001D0073"/>
    <w:rsid w:val="001D0AA3"/>
    <w:rsid w:val="001D2683"/>
    <w:rsid w:val="001D397B"/>
    <w:rsid w:val="001D3B8D"/>
    <w:rsid w:val="001D3FAE"/>
    <w:rsid w:val="001D4082"/>
    <w:rsid w:val="001D46BF"/>
    <w:rsid w:val="001D4D36"/>
    <w:rsid w:val="001D5042"/>
    <w:rsid w:val="001D5B3A"/>
    <w:rsid w:val="001D5F6A"/>
    <w:rsid w:val="001D5F89"/>
    <w:rsid w:val="001D6F84"/>
    <w:rsid w:val="001D7352"/>
    <w:rsid w:val="001D76AE"/>
    <w:rsid w:val="001D7C28"/>
    <w:rsid w:val="001D7D2C"/>
    <w:rsid w:val="001E1021"/>
    <w:rsid w:val="001E14FA"/>
    <w:rsid w:val="001E1D5C"/>
    <w:rsid w:val="001E1E9F"/>
    <w:rsid w:val="001E1F93"/>
    <w:rsid w:val="001E1FE3"/>
    <w:rsid w:val="001E2CDD"/>
    <w:rsid w:val="001E2F75"/>
    <w:rsid w:val="001E4033"/>
    <w:rsid w:val="001E422C"/>
    <w:rsid w:val="001E4F9F"/>
    <w:rsid w:val="001E500D"/>
    <w:rsid w:val="001E55A0"/>
    <w:rsid w:val="001E6441"/>
    <w:rsid w:val="001E68B4"/>
    <w:rsid w:val="001E68C0"/>
    <w:rsid w:val="001E69D5"/>
    <w:rsid w:val="001E6DD0"/>
    <w:rsid w:val="001E79ED"/>
    <w:rsid w:val="001E7BE8"/>
    <w:rsid w:val="001F0573"/>
    <w:rsid w:val="001F0DE9"/>
    <w:rsid w:val="001F1866"/>
    <w:rsid w:val="001F2503"/>
    <w:rsid w:val="001F2A7B"/>
    <w:rsid w:val="001F2B37"/>
    <w:rsid w:val="001F2E6C"/>
    <w:rsid w:val="001F37EF"/>
    <w:rsid w:val="001F3839"/>
    <w:rsid w:val="001F3B11"/>
    <w:rsid w:val="001F4340"/>
    <w:rsid w:val="001F4492"/>
    <w:rsid w:val="001F4C6E"/>
    <w:rsid w:val="001F4DC0"/>
    <w:rsid w:val="001F513C"/>
    <w:rsid w:val="001F66E7"/>
    <w:rsid w:val="001F6AF3"/>
    <w:rsid w:val="001F6BDA"/>
    <w:rsid w:val="001F6C37"/>
    <w:rsid w:val="001F7054"/>
    <w:rsid w:val="001F722A"/>
    <w:rsid w:val="001F7A3B"/>
    <w:rsid w:val="001F7ADA"/>
    <w:rsid w:val="001F7BEB"/>
    <w:rsid w:val="001F7D4B"/>
    <w:rsid w:val="001F7E5F"/>
    <w:rsid w:val="002003DA"/>
    <w:rsid w:val="00200950"/>
    <w:rsid w:val="00200B0C"/>
    <w:rsid w:val="0020137F"/>
    <w:rsid w:val="00201396"/>
    <w:rsid w:val="00201569"/>
    <w:rsid w:val="00201BAD"/>
    <w:rsid w:val="00201CE2"/>
    <w:rsid w:val="00201DFF"/>
    <w:rsid w:val="00201E50"/>
    <w:rsid w:val="00201F9F"/>
    <w:rsid w:val="00202161"/>
    <w:rsid w:val="00202451"/>
    <w:rsid w:val="00203AE6"/>
    <w:rsid w:val="00203D1F"/>
    <w:rsid w:val="002040A5"/>
    <w:rsid w:val="002044B7"/>
    <w:rsid w:val="00204735"/>
    <w:rsid w:val="00204E6D"/>
    <w:rsid w:val="002050FC"/>
    <w:rsid w:val="002052B5"/>
    <w:rsid w:val="00206587"/>
    <w:rsid w:val="002065E5"/>
    <w:rsid w:val="0020688D"/>
    <w:rsid w:val="00206A60"/>
    <w:rsid w:val="00206BF3"/>
    <w:rsid w:val="002071A2"/>
    <w:rsid w:val="00207221"/>
    <w:rsid w:val="0020745A"/>
    <w:rsid w:val="002076F9"/>
    <w:rsid w:val="00207AF9"/>
    <w:rsid w:val="00207B32"/>
    <w:rsid w:val="00210479"/>
    <w:rsid w:val="002104A6"/>
    <w:rsid w:val="00210FA2"/>
    <w:rsid w:val="002110ED"/>
    <w:rsid w:val="002113BF"/>
    <w:rsid w:val="00212434"/>
    <w:rsid w:val="002127C2"/>
    <w:rsid w:val="00212D34"/>
    <w:rsid w:val="0021302A"/>
    <w:rsid w:val="002139C8"/>
    <w:rsid w:val="002139E5"/>
    <w:rsid w:val="002144E5"/>
    <w:rsid w:val="0021606F"/>
    <w:rsid w:val="00216F13"/>
    <w:rsid w:val="0021757C"/>
    <w:rsid w:val="00217B64"/>
    <w:rsid w:val="002204C9"/>
    <w:rsid w:val="00220B23"/>
    <w:rsid w:val="0022104D"/>
    <w:rsid w:val="00221061"/>
    <w:rsid w:val="00221618"/>
    <w:rsid w:val="002217C1"/>
    <w:rsid w:val="0022198B"/>
    <w:rsid w:val="002220BF"/>
    <w:rsid w:val="0022284B"/>
    <w:rsid w:val="00222B8A"/>
    <w:rsid w:val="00222C1E"/>
    <w:rsid w:val="0022333F"/>
    <w:rsid w:val="0022399B"/>
    <w:rsid w:val="00223AB2"/>
    <w:rsid w:val="00223ECB"/>
    <w:rsid w:val="00224157"/>
    <w:rsid w:val="00224DBE"/>
    <w:rsid w:val="0022545A"/>
    <w:rsid w:val="0022561D"/>
    <w:rsid w:val="0022569A"/>
    <w:rsid w:val="0022656E"/>
    <w:rsid w:val="00226CED"/>
    <w:rsid w:val="00226E0E"/>
    <w:rsid w:val="0022791D"/>
    <w:rsid w:val="002300D3"/>
    <w:rsid w:val="00230163"/>
    <w:rsid w:val="002304CC"/>
    <w:rsid w:val="0023069D"/>
    <w:rsid w:val="00230BD2"/>
    <w:rsid w:val="00230E3B"/>
    <w:rsid w:val="00231264"/>
    <w:rsid w:val="00231657"/>
    <w:rsid w:val="0023183C"/>
    <w:rsid w:val="002320FF"/>
    <w:rsid w:val="002321B7"/>
    <w:rsid w:val="00232311"/>
    <w:rsid w:val="0023247A"/>
    <w:rsid w:val="002326E7"/>
    <w:rsid w:val="002328E0"/>
    <w:rsid w:val="00232C21"/>
    <w:rsid w:val="00232CE9"/>
    <w:rsid w:val="00234723"/>
    <w:rsid w:val="00234B71"/>
    <w:rsid w:val="00234EF9"/>
    <w:rsid w:val="00234F7C"/>
    <w:rsid w:val="002351DE"/>
    <w:rsid w:val="0023525F"/>
    <w:rsid w:val="00235F2B"/>
    <w:rsid w:val="002360F7"/>
    <w:rsid w:val="00236292"/>
    <w:rsid w:val="00236961"/>
    <w:rsid w:val="00236F3D"/>
    <w:rsid w:val="00237E46"/>
    <w:rsid w:val="00241575"/>
    <w:rsid w:val="00241B4A"/>
    <w:rsid w:val="0024246E"/>
    <w:rsid w:val="00242E72"/>
    <w:rsid w:val="00242F64"/>
    <w:rsid w:val="00243CFD"/>
    <w:rsid w:val="00243D9F"/>
    <w:rsid w:val="00244457"/>
    <w:rsid w:val="00244502"/>
    <w:rsid w:val="00244A26"/>
    <w:rsid w:val="00245835"/>
    <w:rsid w:val="00245D83"/>
    <w:rsid w:val="0024600A"/>
    <w:rsid w:val="00246C42"/>
    <w:rsid w:val="002470E4"/>
    <w:rsid w:val="002473D2"/>
    <w:rsid w:val="00247B04"/>
    <w:rsid w:val="00247B35"/>
    <w:rsid w:val="00250271"/>
    <w:rsid w:val="002506C9"/>
    <w:rsid w:val="00250888"/>
    <w:rsid w:val="00250BB5"/>
    <w:rsid w:val="00250DC9"/>
    <w:rsid w:val="002510E8"/>
    <w:rsid w:val="00251363"/>
    <w:rsid w:val="0025193D"/>
    <w:rsid w:val="00251B03"/>
    <w:rsid w:val="00251BD4"/>
    <w:rsid w:val="00251DAA"/>
    <w:rsid w:val="00252A7B"/>
    <w:rsid w:val="00252B55"/>
    <w:rsid w:val="00252D4D"/>
    <w:rsid w:val="002531E8"/>
    <w:rsid w:val="002537AA"/>
    <w:rsid w:val="0025443B"/>
    <w:rsid w:val="0025450C"/>
    <w:rsid w:val="00254EE1"/>
    <w:rsid w:val="002557E5"/>
    <w:rsid w:val="00255B36"/>
    <w:rsid w:val="00255BA2"/>
    <w:rsid w:val="0025653E"/>
    <w:rsid w:val="00256BE2"/>
    <w:rsid w:val="00257CC9"/>
    <w:rsid w:val="00257E40"/>
    <w:rsid w:val="00257F6B"/>
    <w:rsid w:val="00260024"/>
    <w:rsid w:val="002604AC"/>
    <w:rsid w:val="00260650"/>
    <w:rsid w:val="00260809"/>
    <w:rsid w:val="00261323"/>
    <w:rsid w:val="00261377"/>
    <w:rsid w:val="0026168F"/>
    <w:rsid w:val="00261893"/>
    <w:rsid w:val="00261ADD"/>
    <w:rsid w:val="00261E38"/>
    <w:rsid w:val="002624B1"/>
    <w:rsid w:val="002628E2"/>
    <w:rsid w:val="00262DB4"/>
    <w:rsid w:val="00262FCC"/>
    <w:rsid w:val="00263994"/>
    <w:rsid w:val="00263ACD"/>
    <w:rsid w:val="00263B67"/>
    <w:rsid w:val="00263CE8"/>
    <w:rsid w:val="00263F20"/>
    <w:rsid w:val="00264D4B"/>
    <w:rsid w:val="00264EE3"/>
    <w:rsid w:val="002655C4"/>
    <w:rsid w:val="002657ED"/>
    <w:rsid w:val="002657F4"/>
    <w:rsid w:val="00265FC3"/>
    <w:rsid w:val="00266854"/>
    <w:rsid w:val="00266A73"/>
    <w:rsid w:val="00266AFB"/>
    <w:rsid w:val="00266DAD"/>
    <w:rsid w:val="00266DBF"/>
    <w:rsid w:val="00267276"/>
    <w:rsid w:val="002672BB"/>
    <w:rsid w:val="002673AC"/>
    <w:rsid w:val="00267F3B"/>
    <w:rsid w:val="00270433"/>
    <w:rsid w:val="00270C41"/>
    <w:rsid w:val="00270DA8"/>
    <w:rsid w:val="00270FD4"/>
    <w:rsid w:val="00271815"/>
    <w:rsid w:val="00271DD9"/>
    <w:rsid w:val="00272228"/>
    <w:rsid w:val="0027307A"/>
    <w:rsid w:val="00273D82"/>
    <w:rsid w:val="00273DA4"/>
    <w:rsid w:val="002743A8"/>
    <w:rsid w:val="00274B7F"/>
    <w:rsid w:val="00275068"/>
    <w:rsid w:val="002750D1"/>
    <w:rsid w:val="00275363"/>
    <w:rsid w:val="00275372"/>
    <w:rsid w:val="002755EC"/>
    <w:rsid w:val="0027568A"/>
    <w:rsid w:val="00276D88"/>
    <w:rsid w:val="00277B97"/>
    <w:rsid w:val="00280166"/>
    <w:rsid w:val="002811CA"/>
    <w:rsid w:val="002815A1"/>
    <w:rsid w:val="002816A3"/>
    <w:rsid w:val="00281736"/>
    <w:rsid w:val="00281E77"/>
    <w:rsid w:val="00282638"/>
    <w:rsid w:val="00283650"/>
    <w:rsid w:val="00283D3E"/>
    <w:rsid w:val="00284014"/>
    <w:rsid w:val="0028446E"/>
    <w:rsid w:val="0028484E"/>
    <w:rsid w:val="00284959"/>
    <w:rsid w:val="00285176"/>
    <w:rsid w:val="00285BAF"/>
    <w:rsid w:val="00285F09"/>
    <w:rsid w:val="00285F36"/>
    <w:rsid w:val="0028619B"/>
    <w:rsid w:val="002863EC"/>
    <w:rsid w:val="002872BB"/>
    <w:rsid w:val="0028778B"/>
    <w:rsid w:val="00287E53"/>
    <w:rsid w:val="00290029"/>
    <w:rsid w:val="00291E56"/>
    <w:rsid w:val="00291E66"/>
    <w:rsid w:val="0029247F"/>
    <w:rsid w:val="002929CA"/>
    <w:rsid w:val="00292B67"/>
    <w:rsid w:val="00292BDE"/>
    <w:rsid w:val="00293ACA"/>
    <w:rsid w:val="00293DFD"/>
    <w:rsid w:val="00294994"/>
    <w:rsid w:val="00295274"/>
    <w:rsid w:val="00295902"/>
    <w:rsid w:val="00295926"/>
    <w:rsid w:val="002959DF"/>
    <w:rsid w:val="00295B44"/>
    <w:rsid w:val="002965FE"/>
    <w:rsid w:val="00296EDE"/>
    <w:rsid w:val="00297441"/>
    <w:rsid w:val="00297A31"/>
    <w:rsid w:val="00297C77"/>
    <w:rsid w:val="002A0469"/>
    <w:rsid w:val="002A09A6"/>
    <w:rsid w:val="002A0B9E"/>
    <w:rsid w:val="002A0EAA"/>
    <w:rsid w:val="002A1073"/>
    <w:rsid w:val="002A10AB"/>
    <w:rsid w:val="002A111A"/>
    <w:rsid w:val="002A23B2"/>
    <w:rsid w:val="002A29FD"/>
    <w:rsid w:val="002A2A95"/>
    <w:rsid w:val="002A3080"/>
    <w:rsid w:val="002A315F"/>
    <w:rsid w:val="002A3A9C"/>
    <w:rsid w:val="002A3C97"/>
    <w:rsid w:val="002A3E6B"/>
    <w:rsid w:val="002A43A0"/>
    <w:rsid w:val="002A4415"/>
    <w:rsid w:val="002A477F"/>
    <w:rsid w:val="002A49FB"/>
    <w:rsid w:val="002A4EAF"/>
    <w:rsid w:val="002A4F89"/>
    <w:rsid w:val="002A518C"/>
    <w:rsid w:val="002A578E"/>
    <w:rsid w:val="002A6696"/>
    <w:rsid w:val="002A703C"/>
    <w:rsid w:val="002A7154"/>
    <w:rsid w:val="002A74E4"/>
    <w:rsid w:val="002A75C6"/>
    <w:rsid w:val="002A768F"/>
    <w:rsid w:val="002A77A4"/>
    <w:rsid w:val="002A7C90"/>
    <w:rsid w:val="002B037C"/>
    <w:rsid w:val="002B0407"/>
    <w:rsid w:val="002B109A"/>
    <w:rsid w:val="002B1329"/>
    <w:rsid w:val="002B1411"/>
    <w:rsid w:val="002B14E1"/>
    <w:rsid w:val="002B1A81"/>
    <w:rsid w:val="002B1C10"/>
    <w:rsid w:val="002B1CBA"/>
    <w:rsid w:val="002B232A"/>
    <w:rsid w:val="002B28D8"/>
    <w:rsid w:val="002B415C"/>
    <w:rsid w:val="002B4554"/>
    <w:rsid w:val="002B4FC3"/>
    <w:rsid w:val="002B5392"/>
    <w:rsid w:val="002B5864"/>
    <w:rsid w:val="002B5B9F"/>
    <w:rsid w:val="002B5E10"/>
    <w:rsid w:val="002B73F8"/>
    <w:rsid w:val="002B7EB7"/>
    <w:rsid w:val="002C0805"/>
    <w:rsid w:val="002C123C"/>
    <w:rsid w:val="002C127D"/>
    <w:rsid w:val="002C1550"/>
    <w:rsid w:val="002C245A"/>
    <w:rsid w:val="002C2909"/>
    <w:rsid w:val="002C2985"/>
    <w:rsid w:val="002C2AB5"/>
    <w:rsid w:val="002C35BE"/>
    <w:rsid w:val="002C3A76"/>
    <w:rsid w:val="002C3CA4"/>
    <w:rsid w:val="002C4209"/>
    <w:rsid w:val="002C4ED5"/>
    <w:rsid w:val="002C516B"/>
    <w:rsid w:val="002C562C"/>
    <w:rsid w:val="002C56F2"/>
    <w:rsid w:val="002C5A3C"/>
    <w:rsid w:val="002C5BF1"/>
    <w:rsid w:val="002C5F42"/>
    <w:rsid w:val="002C6307"/>
    <w:rsid w:val="002C6B37"/>
    <w:rsid w:val="002C6EC1"/>
    <w:rsid w:val="002C73DE"/>
    <w:rsid w:val="002C74AF"/>
    <w:rsid w:val="002C79A6"/>
    <w:rsid w:val="002C7F98"/>
    <w:rsid w:val="002D02B7"/>
    <w:rsid w:val="002D05A5"/>
    <w:rsid w:val="002D06FE"/>
    <w:rsid w:val="002D0AAA"/>
    <w:rsid w:val="002D0F74"/>
    <w:rsid w:val="002D131B"/>
    <w:rsid w:val="002D1AEB"/>
    <w:rsid w:val="002D1F80"/>
    <w:rsid w:val="002D24B5"/>
    <w:rsid w:val="002D26AE"/>
    <w:rsid w:val="002D289B"/>
    <w:rsid w:val="002D2CAE"/>
    <w:rsid w:val="002D2DB8"/>
    <w:rsid w:val="002D32ED"/>
    <w:rsid w:val="002D3C9D"/>
    <w:rsid w:val="002D3E74"/>
    <w:rsid w:val="002D5073"/>
    <w:rsid w:val="002D50D3"/>
    <w:rsid w:val="002D560C"/>
    <w:rsid w:val="002D5DA2"/>
    <w:rsid w:val="002D6619"/>
    <w:rsid w:val="002D6746"/>
    <w:rsid w:val="002D67F2"/>
    <w:rsid w:val="002D719A"/>
    <w:rsid w:val="002D794B"/>
    <w:rsid w:val="002D7A61"/>
    <w:rsid w:val="002D7C94"/>
    <w:rsid w:val="002E08BE"/>
    <w:rsid w:val="002E0942"/>
    <w:rsid w:val="002E0A3D"/>
    <w:rsid w:val="002E0D19"/>
    <w:rsid w:val="002E1B9B"/>
    <w:rsid w:val="002E1C3F"/>
    <w:rsid w:val="002E1D96"/>
    <w:rsid w:val="002E22F1"/>
    <w:rsid w:val="002E25C0"/>
    <w:rsid w:val="002E25E8"/>
    <w:rsid w:val="002E2A80"/>
    <w:rsid w:val="002E32CC"/>
    <w:rsid w:val="002E400C"/>
    <w:rsid w:val="002E40BE"/>
    <w:rsid w:val="002E4364"/>
    <w:rsid w:val="002E446C"/>
    <w:rsid w:val="002E464F"/>
    <w:rsid w:val="002E4761"/>
    <w:rsid w:val="002E4FD0"/>
    <w:rsid w:val="002E59D4"/>
    <w:rsid w:val="002E5B20"/>
    <w:rsid w:val="002E69F0"/>
    <w:rsid w:val="002E6C72"/>
    <w:rsid w:val="002E7A91"/>
    <w:rsid w:val="002E7F58"/>
    <w:rsid w:val="002F0DBB"/>
    <w:rsid w:val="002F16A9"/>
    <w:rsid w:val="002F280D"/>
    <w:rsid w:val="002F2AA5"/>
    <w:rsid w:val="002F2AF4"/>
    <w:rsid w:val="002F3504"/>
    <w:rsid w:val="002F3981"/>
    <w:rsid w:val="002F3C7F"/>
    <w:rsid w:val="002F4547"/>
    <w:rsid w:val="002F471E"/>
    <w:rsid w:val="002F4B1C"/>
    <w:rsid w:val="002F5747"/>
    <w:rsid w:val="002F649A"/>
    <w:rsid w:val="002F683E"/>
    <w:rsid w:val="002F71A5"/>
    <w:rsid w:val="002F74C8"/>
    <w:rsid w:val="002F7580"/>
    <w:rsid w:val="002F77DF"/>
    <w:rsid w:val="002F7EE9"/>
    <w:rsid w:val="00300151"/>
    <w:rsid w:val="00300406"/>
    <w:rsid w:val="003005E2"/>
    <w:rsid w:val="003008E4"/>
    <w:rsid w:val="00300CBB"/>
    <w:rsid w:val="003011A0"/>
    <w:rsid w:val="0030141A"/>
    <w:rsid w:val="003018B6"/>
    <w:rsid w:val="00301B13"/>
    <w:rsid w:val="00301D48"/>
    <w:rsid w:val="00302D12"/>
    <w:rsid w:val="00303599"/>
    <w:rsid w:val="0030389F"/>
    <w:rsid w:val="00304320"/>
    <w:rsid w:val="00305363"/>
    <w:rsid w:val="00305400"/>
    <w:rsid w:val="003058D5"/>
    <w:rsid w:val="00305FF4"/>
    <w:rsid w:val="00307113"/>
    <w:rsid w:val="003074EF"/>
    <w:rsid w:val="00307620"/>
    <w:rsid w:val="00307A2E"/>
    <w:rsid w:val="00307B5D"/>
    <w:rsid w:val="0031006F"/>
    <w:rsid w:val="003103E6"/>
    <w:rsid w:val="00310714"/>
    <w:rsid w:val="00310749"/>
    <w:rsid w:val="00310D09"/>
    <w:rsid w:val="0031138A"/>
    <w:rsid w:val="003114B2"/>
    <w:rsid w:val="003114F5"/>
    <w:rsid w:val="00311709"/>
    <w:rsid w:val="003117F9"/>
    <w:rsid w:val="00311909"/>
    <w:rsid w:val="00311A2F"/>
    <w:rsid w:val="00311B34"/>
    <w:rsid w:val="003122E1"/>
    <w:rsid w:val="003128FC"/>
    <w:rsid w:val="00312E7B"/>
    <w:rsid w:val="003130BD"/>
    <w:rsid w:val="00313280"/>
    <w:rsid w:val="003137FA"/>
    <w:rsid w:val="003147EC"/>
    <w:rsid w:val="00316855"/>
    <w:rsid w:val="0031694F"/>
    <w:rsid w:val="00316A1F"/>
    <w:rsid w:val="00317664"/>
    <w:rsid w:val="00317D95"/>
    <w:rsid w:val="00317EFE"/>
    <w:rsid w:val="00317FED"/>
    <w:rsid w:val="003205B2"/>
    <w:rsid w:val="003205C8"/>
    <w:rsid w:val="003207C9"/>
    <w:rsid w:val="00320E67"/>
    <w:rsid w:val="003211FA"/>
    <w:rsid w:val="0032123B"/>
    <w:rsid w:val="00321257"/>
    <w:rsid w:val="0032180B"/>
    <w:rsid w:val="00321EA4"/>
    <w:rsid w:val="00322011"/>
    <w:rsid w:val="00322401"/>
    <w:rsid w:val="00322AD6"/>
    <w:rsid w:val="00322C7C"/>
    <w:rsid w:val="00324395"/>
    <w:rsid w:val="0032489F"/>
    <w:rsid w:val="00324B87"/>
    <w:rsid w:val="00324D5C"/>
    <w:rsid w:val="00324FB1"/>
    <w:rsid w:val="00324FF6"/>
    <w:rsid w:val="0032547E"/>
    <w:rsid w:val="00325C85"/>
    <w:rsid w:val="00326662"/>
    <w:rsid w:val="003268C8"/>
    <w:rsid w:val="003306E0"/>
    <w:rsid w:val="0033070A"/>
    <w:rsid w:val="00330766"/>
    <w:rsid w:val="00330934"/>
    <w:rsid w:val="00330AD7"/>
    <w:rsid w:val="00330EFF"/>
    <w:rsid w:val="00330F9F"/>
    <w:rsid w:val="00331336"/>
    <w:rsid w:val="003322C9"/>
    <w:rsid w:val="003326B7"/>
    <w:rsid w:val="00332859"/>
    <w:rsid w:val="0033291F"/>
    <w:rsid w:val="00332945"/>
    <w:rsid w:val="00333035"/>
    <w:rsid w:val="00333678"/>
    <w:rsid w:val="0033389E"/>
    <w:rsid w:val="003340B6"/>
    <w:rsid w:val="003348C5"/>
    <w:rsid w:val="00335536"/>
    <w:rsid w:val="00335B49"/>
    <w:rsid w:val="00335BF0"/>
    <w:rsid w:val="0033686B"/>
    <w:rsid w:val="00336D93"/>
    <w:rsid w:val="00337940"/>
    <w:rsid w:val="00337F2A"/>
    <w:rsid w:val="00340188"/>
    <w:rsid w:val="00340419"/>
    <w:rsid w:val="00340630"/>
    <w:rsid w:val="00340ED2"/>
    <w:rsid w:val="00340F00"/>
    <w:rsid w:val="00341036"/>
    <w:rsid w:val="003418C1"/>
    <w:rsid w:val="003419A0"/>
    <w:rsid w:val="003426BB"/>
    <w:rsid w:val="00342A44"/>
    <w:rsid w:val="0034332A"/>
    <w:rsid w:val="0034397D"/>
    <w:rsid w:val="003440B9"/>
    <w:rsid w:val="00344103"/>
    <w:rsid w:val="0034423B"/>
    <w:rsid w:val="0034461B"/>
    <w:rsid w:val="00344A18"/>
    <w:rsid w:val="00344C41"/>
    <w:rsid w:val="00344F24"/>
    <w:rsid w:val="003451C4"/>
    <w:rsid w:val="003453F2"/>
    <w:rsid w:val="00345469"/>
    <w:rsid w:val="0034551F"/>
    <w:rsid w:val="0034554B"/>
    <w:rsid w:val="00345849"/>
    <w:rsid w:val="00345FE7"/>
    <w:rsid w:val="003467CA"/>
    <w:rsid w:val="003476BE"/>
    <w:rsid w:val="00347B79"/>
    <w:rsid w:val="00347C89"/>
    <w:rsid w:val="00350AEC"/>
    <w:rsid w:val="00350E27"/>
    <w:rsid w:val="00350E84"/>
    <w:rsid w:val="0035169D"/>
    <w:rsid w:val="00351731"/>
    <w:rsid w:val="00352FC8"/>
    <w:rsid w:val="003532EF"/>
    <w:rsid w:val="003537C2"/>
    <w:rsid w:val="003539C5"/>
    <w:rsid w:val="00353B41"/>
    <w:rsid w:val="00353BDF"/>
    <w:rsid w:val="0035434A"/>
    <w:rsid w:val="00354B22"/>
    <w:rsid w:val="00354B98"/>
    <w:rsid w:val="00355505"/>
    <w:rsid w:val="003557D3"/>
    <w:rsid w:val="0035584A"/>
    <w:rsid w:val="0035584B"/>
    <w:rsid w:val="00356942"/>
    <w:rsid w:val="00356C1B"/>
    <w:rsid w:val="00356FE8"/>
    <w:rsid w:val="0035759F"/>
    <w:rsid w:val="00357701"/>
    <w:rsid w:val="00357A2E"/>
    <w:rsid w:val="003606C2"/>
    <w:rsid w:val="003609AA"/>
    <w:rsid w:val="00360F61"/>
    <w:rsid w:val="003614F4"/>
    <w:rsid w:val="003617ED"/>
    <w:rsid w:val="00361D2B"/>
    <w:rsid w:val="00361E56"/>
    <w:rsid w:val="00361F38"/>
    <w:rsid w:val="003631C7"/>
    <w:rsid w:val="00363348"/>
    <w:rsid w:val="003636EB"/>
    <w:rsid w:val="00363ACB"/>
    <w:rsid w:val="00363C21"/>
    <w:rsid w:val="00363F9E"/>
    <w:rsid w:val="00363FAA"/>
    <w:rsid w:val="00364084"/>
    <w:rsid w:val="003648D2"/>
    <w:rsid w:val="00364E2D"/>
    <w:rsid w:val="00367AA9"/>
    <w:rsid w:val="00370662"/>
    <w:rsid w:val="00370867"/>
    <w:rsid w:val="003715FD"/>
    <w:rsid w:val="00372183"/>
    <w:rsid w:val="00372DAF"/>
    <w:rsid w:val="003733C4"/>
    <w:rsid w:val="003737EB"/>
    <w:rsid w:val="00373F54"/>
    <w:rsid w:val="003741CC"/>
    <w:rsid w:val="00374587"/>
    <w:rsid w:val="00374DD9"/>
    <w:rsid w:val="00375370"/>
    <w:rsid w:val="003753D1"/>
    <w:rsid w:val="00375695"/>
    <w:rsid w:val="003756F1"/>
    <w:rsid w:val="003765CF"/>
    <w:rsid w:val="0037699A"/>
    <w:rsid w:val="00376A78"/>
    <w:rsid w:val="0037F41D"/>
    <w:rsid w:val="003812AC"/>
    <w:rsid w:val="003816D0"/>
    <w:rsid w:val="00381765"/>
    <w:rsid w:val="003818D1"/>
    <w:rsid w:val="00382CCC"/>
    <w:rsid w:val="0038316E"/>
    <w:rsid w:val="0038333D"/>
    <w:rsid w:val="00383BF4"/>
    <w:rsid w:val="00383D29"/>
    <w:rsid w:val="00384289"/>
    <w:rsid w:val="003842D2"/>
    <w:rsid w:val="0038448B"/>
    <w:rsid w:val="00385058"/>
    <w:rsid w:val="00385C66"/>
    <w:rsid w:val="0038673A"/>
    <w:rsid w:val="0038793E"/>
    <w:rsid w:val="00387AAD"/>
    <w:rsid w:val="00387C01"/>
    <w:rsid w:val="00390088"/>
    <w:rsid w:val="00390D80"/>
    <w:rsid w:val="00390E0C"/>
    <w:rsid w:val="003913A5"/>
    <w:rsid w:val="00392A73"/>
    <w:rsid w:val="00393609"/>
    <w:rsid w:val="003936D4"/>
    <w:rsid w:val="00393720"/>
    <w:rsid w:val="00393B02"/>
    <w:rsid w:val="00393FA9"/>
    <w:rsid w:val="003944BA"/>
    <w:rsid w:val="003944FD"/>
    <w:rsid w:val="00394DBC"/>
    <w:rsid w:val="00394E48"/>
    <w:rsid w:val="00394E5F"/>
    <w:rsid w:val="003950FD"/>
    <w:rsid w:val="0039555A"/>
    <w:rsid w:val="00396E97"/>
    <w:rsid w:val="0039768C"/>
    <w:rsid w:val="003979CF"/>
    <w:rsid w:val="00397ACF"/>
    <w:rsid w:val="00397E1A"/>
    <w:rsid w:val="003A00F9"/>
    <w:rsid w:val="003A01E7"/>
    <w:rsid w:val="003A1419"/>
    <w:rsid w:val="003A1619"/>
    <w:rsid w:val="003A1A1E"/>
    <w:rsid w:val="003A1B4D"/>
    <w:rsid w:val="003A26F1"/>
    <w:rsid w:val="003A2D92"/>
    <w:rsid w:val="003A330D"/>
    <w:rsid w:val="003A372E"/>
    <w:rsid w:val="003A3C2E"/>
    <w:rsid w:val="003A3F13"/>
    <w:rsid w:val="003A5FE1"/>
    <w:rsid w:val="003A6501"/>
    <w:rsid w:val="003A69F0"/>
    <w:rsid w:val="003A6AEE"/>
    <w:rsid w:val="003A6C64"/>
    <w:rsid w:val="003A7203"/>
    <w:rsid w:val="003B0305"/>
    <w:rsid w:val="003B039E"/>
    <w:rsid w:val="003B0464"/>
    <w:rsid w:val="003B091D"/>
    <w:rsid w:val="003B09B0"/>
    <w:rsid w:val="003B0CFA"/>
    <w:rsid w:val="003B1955"/>
    <w:rsid w:val="003B1B95"/>
    <w:rsid w:val="003B1C3D"/>
    <w:rsid w:val="003B1C9C"/>
    <w:rsid w:val="003B2739"/>
    <w:rsid w:val="003B3147"/>
    <w:rsid w:val="003B32E5"/>
    <w:rsid w:val="003B33DB"/>
    <w:rsid w:val="003B380A"/>
    <w:rsid w:val="003B3868"/>
    <w:rsid w:val="003B46B6"/>
    <w:rsid w:val="003B5468"/>
    <w:rsid w:val="003B5F18"/>
    <w:rsid w:val="003B68E7"/>
    <w:rsid w:val="003B71E8"/>
    <w:rsid w:val="003B7434"/>
    <w:rsid w:val="003B74D6"/>
    <w:rsid w:val="003B75EE"/>
    <w:rsid w:val="003B7C4D"/>
    <w:rsid w:val="003B7E71"/>
    <w:rsid w:val="003C0C93"/>
    <w:rsid w:val="003C0EBC"/>
    <w:rsid w:val="003C111C"/>
    <w:rsid w:val="003C120F"/>
    <w:rsid w:val="003C25D2"/>
    <w:rsid w:val="003C27B3"/>
    <w:rsid w:val="003C28F9"/>
    <w:rsid w:val="003C2A2D"/>
    <w:rsid w:val="003C2AFD"/>
    <w:rsid w:val="003C2ECF"/>
    <w:rsid w:val="003C3BBF"/>
    <w:rsid w:val="003C4297"/>
    <w:rsid w:val="003C451E"/>
    <w:rsid w:val="003C53F4"/>
    <w:rsid w:val="003C55F1"/>
    <w:rsid w:val="003C5765"/>
    <w:rsid w:val="003C5774"/>
    <w:rsid w:val="003C5BAB"/>
    <w:rsid w:val="003C6BBD"/>
    <w:rsid w:val="003C6EEA"/>
    <w:rsid w:val="003D073E"/>
    <w:rsid w:val="003D111C"/>
    <w:rsid w:val="003D173B"/>
    <w:rsid w:val="003D2208"/>
    <w:rsid w:val="003D369D"/>
    <w:rsid w:val="003D3A97"/>
    <w:rsid w:val="003D3F9D"/>
    <w:rsid w:val="003D40D2"/>
    <w:rsid w:val="003D4341"/>
    <w:rsid w:val="003D456C"/>
    <w:rsid w:val="003D457A"/>
    <w:rsid w:val="003D4CD1"/>
    <w:rsid w:val="003D5067"/>
    <w:rsid w:val="003D5A6C"/>
    <w:rsid w:val="003D65B3"/>
    <w:rsid w:val="003D6C11"/>
    <w:rsid w:val="003D71C6"/>
    <w:rsid w:val="003D7423"/>
    <w:rsid w:val="003D7763"/>
    <w:rsid w:val="003D792A"/>
    <w:rsid w:val="003E03ED"/>
    <w:rsid w:val="003E0986"/>
    <w:rsid w:val="003E101E"/>
    <w:rsid w:val="003E1770"/>
    <w:rsid w:val="003E1CBB"/>
    <w:rsid w:val="003E2047"/>
    <w:rsid w:val="003E23BB"/>
    <w:rsid w:val="003E2673"/>
    <w:rsid w:val="003E3241"/>
    <w:rsid w:val="003E325B"/>
    <w:rsid w:val="003E370F"/>
    <w:rsid w:val="003E3C8D"/>
    <w:rsid w:val="003E440A"/>
    <w:rsid w:val="003E461E"/>
    <w:rsid w:val="003E465A"/>
    <w:rsid w:val="003E4957"/>
    <w:rsid w:val="003E53F3"/>
    <w:rsid w:val="003E5461"/>
    <w:rsid w:val="003E5B9D"/>
    <w:rsid w:val="003E6005"/>
    <w:rsid w:val="003E60FE"/>
    <w:rsid w:val="003E61AC"/>
    <w:rsid w:val="003E64AD"/>
    <w:rsid w:val="003E6647"/>
    <w:rsid w:val="003E7456"/>
    <w:rsid w:val="003E7A30"/>
    <w:rsid w:val="003E7BC9"/>
    <w:rsid w:val="003F01F7"/>
    <w:rsid w:val="003F04D6"/>
    <w:rsid w:val="003F05F6"/>
    <w:rsid w:val="003F0681"/>
    <w:rsid w:val="003F1023"/>
    <w:rsid w:val="003F1342"/>
    <w:rsid w:val="003F1B08"/>
    <w:rsid w:val="003F1B24"/>
    <w:rsid w:val="003F1BA5"/>
    <w:rsid w:val="003F1E18"/>
    <w:rsid w:val="003F2164"/>
    <w:rsid w:val="003F24BC"/>
    <w:rsid w:val="003F2571"/>
    <w:rsid w:val="003F25A6"/>
    <w:rsid w:val="003F2A3B"/>
    <w:rsid w:val="003F3FD9"/>
    <w:rsid w:val="003F43AE"/>
    <w:rsid w:val="003F49C4"/>
    <w:rsid w:val="003F4C56"/>
    <w:rsid w:val="003F546F"/>
    <w:rsid w:val="003F64DB"/>
    <w:rsid w:val="003F6A6C"/>
    <w:rsid w:val="003F6BD7"/>
    <w:rsid w:val="003F6F4A"/>
    <w:rsid w:val="003F711B"/>
    <w:rsid w:val="003F74FC"/>
    <w:rsid w:val="003F7555"/>
    <w:rsid w:val="003F7748"/>
    <w:rsid w:val="00400294"/>
    <w:rsid w:val="00400B32"/>
    <w:rsid w:val="00400B34"/>
    <w:rsid w:val="00400CD7"/>
    <w:rsid w:val="004014ED"/>
    <w:rsid w:val="00401D62"/>
    <w:rsid w:val="00401F0B"/>
    <w:rsid w:val="00402360"/>
    <w:rsid w:val="004023EE"/>
    <w:rsid w:val="004024EA"/>
    <w:rsid w:val="004030B1"/>
    <w:rsid w:val="00403FE0"/>
    <w:rsid w:val="00404630"/>
    <w:rsid w:val="00404E65"/>
    <w:rsid w:val="004054E8"/>
    <w:rsid w:val="004055F8"/>
    <w:rsid w:val="00405FC8"/>
    <w:rsid w:val="00405FCC"/>
    <w:rsid w:val="004060BB"/>
    <w:rsid w:val="00406811"/>
    <w:rsid w:val="00407E58"/>
    <w:rsid w:val="00407F9E"/>
    <w:rsid w:val="004104DE"/>
    <w:rsid w:val="00410BBC"/>
    <w:rsid w:val="00410EA9"/>
    <w:rsid w:val="0041120B"/>
    <w:rsid w:val="00411761"/>
    <w:rsid w:val="0041180B"/>
    <w:rsid w:val="00411E5F"/>
    <w:rsid w:val="0041200B"/>
    <w:rsid w:val="00412046"/>
    <w:rsid w:val="00412A57"/>
    <w:rsid w:val="00413446"/>
    <w:rsid w:val="00413F74"/>
    <w:rsid w:val="00413FB1"/>
    <w:rsid w:val="0041410B"/>
    <w:rsid w:val="00414496"/>
    <w:rsid w:val="004144B8"/>
    <w:rsid w:val="004148C5"/>
    <w:rsid w:val="00414AF6"/>
    <w:rsid w:val="00414DCF"/>
    <w:rsid w:val="00415439"/>
    <w:rsid w:val="004157DC"/>
    <w:rsid w:val="00415AE6"/>
    <w:rsid w:val="00415B73"/>
    <w:rsid w:val="00417208"/>
    <w:rsid w:val="00417917"/>
    <w:rsid w:val="00417928"/>
    <w:rsid w:val="00417F78"/>
    <w:rsid w:val="004200A4"/>
    <w:rsid w:val="0042013A"/>
    <w:rsid w:val="00421CB3"/>
    <w:rsid w:val="0042250E"/>
    <w:rsid w:val="00422914"/>
    <w:rsid w:val="00422C84"/>
    <w:rsid w:val="00423687"/>
    <w:rsid w:val="00424132"/>
    <w:rsid w:val="004241D6"/>
    <w:rsid w:val="004244C8"/>
    <w:rsid w:val="00424D5B"/>
    <w:rsid w:val="004259FA"/>
    <w:rsid w:val="00425E7A"/>
    <w:rsid w:val="004263ED"/>
    <w:rsid w:val="00426A10"/>
    <w:rsid w:val="00426B26"/>
    <w:rsid w:val="00426E47"/>
    <w:rsid w:val="0042729E"/>
    <w:rsid w:val="00427BEA"/>
    <w:rsid w:val="00427BEB"/>
    <w:rsid w:val="0043033A"/>
    <w:rsid w:val="004317C5"/>
    <w:rsid w:val="00432EE6"/>
    <w:rsid w:val="0043390B"/>
    <w:rsid w:val="004339C7"/>
    <w:rsid w:val="0043404A"/>
    <w:rsid w:val="004340C0"/>
    <w:rsid w:val="004340E2"/>
    <w:rsid w:val="00434166"/>
    <w:rsid w:val="0043501D"/>
    <w:rsid w:val="0043598A"/>
    <w:rsid w:val="00435E8E"/>
    <w:rsid w:val="0043617E"/>
    <w:rsid w:val="004363E7"/>
    <w:rsid w:val="0043707D"/>
    <w:rsid w:val="00437174"/>
    <w:rsid w:val="004411F7"/>
    <w:rsid w:val="004417EB"/>
    <w:rsid w:val="00442151"/>
    <w:rsid w:val="00442639"/>
    <w:rsid w:val="004427A4"/>
    <w:rsid w:val="00442BF0"/>
    <w:rsid w:val="0044359D"/>
    <w:rsid w:val="00443725"/>
    <w:rsid w:val="004438BD"/>
    <w:rsid w:val="00443CEF"/>
    <w:rsid w:val="00443F14"/>
    <w:rsid w:val="004444A0"/>
    <w:rsid w:val="00444D34"/>
    <w:rsid w:val="004450D8"/>
    <w:rsid w:val="004459EC"/>
    <w:rsid w:val="00445BA8"/>
    <w:rsid w:val="00446D52"/>
    <w:rsid w:val="004474A5"/>
    <w:rsid w:val="004476F2"/>
    <w:rsid w:val="00447A79"/>
    <w:rsid w:val="00447EF9"/>
    <w:rsid w:val="004503C3"/>
    <w:rsid w:val="00450539"/>
    <w:rsid w:val="00450B1B"/>
    <w:rsid w:val="0045169D"/>
    <w:rsid w:val="00451C2C"/>
    <w:rsid w:val="0045289A"/>
    <w:rsid w:val="00452EFA"/>
    <w:rsid w:val="00453633"/>
    <w:rsid w:val="00453724"/>
    <w:rsid w:val="004539C4"/>
    <w:rsid w:val="00454FBF"/>
    <w:rsid w:val="004557D4"/>
    <w:rsid w:val="00455DBC"/>
    <w:rsid w:val="004562C5"/>
    <w:rsid w:val="00456C10"/>
    <w:rsid w:val="00456D01"/>
    <w:rsid w:val="00456EA7"/>
    <w:rsid w:val="004570B8"/>
    <w:rsid w:val="004571AA"/>
    <w:rsid w:val="00457C81"/>
    <w:rsid w:val="00457F46"/>
    <w:rsid w:val="004609E9"/>
    <w:rsid w:val="00460A4B"/>
    <w:rsid w:val="00460D13"/>
    <w:rsid w:val="0046119E"/>
    <w:rsid w:val="0046289C"/>
    <w:rsid w:val="00463421"/>
    <w:rsid w:val="00463845"/>
    <w:rsid w:val="00464806"/>
    <w:rsid w:val="00464C86"/>
    <w:rsid w:val="0046504D"/>
    <w:rsid w:val="004650EB"/>
    <w:rsid w:val="0046630A"/>
    <w:rsid w:val="0046689B"/>
    <w:rsid w:val="00466E48"/>
    <w:rsid w:val="004674F9"/>
    <w:rsid w:val="00470708"/>
    <w:rsid w:val="004708C7"/>
    <w:rsid w:val="00470B0B"/>
    <w:rsid w:val="00472A9F"/>
    <w:rsid w:val="00472BFB"/>
    <w:rsid w:val="00472D7C"/>
    <w:rsid w:val="00472F78"/>
    <w:rsid w:val="004735BE"/>
    <w:rsid w:val="00473B82"/>
    <w:rsid w:val="00473E2B"/>
    <w:rsid w:val="00473E40"/>
    <w:rsid w:val="00473F83"/>
    <w:rsid w:val="0047431D"/>
    <w:rsid w:val="0047471D"/>
    <w:rsid w:val="00474907"/>
    <w:rsid w:val="00474D33"/>
    <w:rsid w:val="00474FD3"/>
    <w:rsid w:val="0047517E"/>
    <w:rsid w:val="00475858"/>
    <w:rsid w:val="00475FDE"/>
    <w:rsid w:val="0047666E"/>
    <w:rsid w:val="00476744"/>
    <w:rsid w:val="00476C9C"/>
    <w:rsid w:val="00476F6F"/>
    <w:rsid w:val="004774BC"/>
    <w:rsid w:val="00477E88"/>
    <w:rsid w:val="00477F8E"/>
    <w:rsid w:val="00480198"/>
    <w:rsid w:val="0048024A"/>
    <w:rsid w:val="004807E3"/>
    <w:rsid w:val="00480D07"/>
    <w:rsid w:val="00481A8A"/>
    <w:rsid w:val="00481EC3"/>
    <w:rsid w:val="0048205E"/>
    <w:rsid w:val="004826D6"/>
    <w:rsid w:val="00483010"/>
    <w:rsid w:val="004836D4"/>
    <w:rsid w:val="00483D4F"/>
    <w:rsid w:val="00483E0E"/>
    <w:rsid w:val="00484F45"/>
    <w:rsid w:val="004853EF"/>
    <w:rsid w:val="00485A81"/>
    <w:rsid w:val="00485B75"/>
    <w:rsid w:val="00485C1E"/>
    <w:rsid w:val="00485CEF"/>
    <w:rsid w:val="004863FA"/>
    <w:rsid w:val="0048669D"/>
    <w:rsid w:val="00486D0E"/>
    <w:rsid w:val="00487038"/>
    <w:rsid w:val="004875AD"/>
    <w:rsid w:val="004875EB"/>
    <w:rsid w:val="0048760A"/>
    <w:rsid w:val="004876C4"/>
    <w:rsid w:val="00487B1E"/>
    <w:rsid w:val="00487DAC"/>
    <w:rsid w:val="0049026E"/>
    <w:rsid w:val="004906D5"/>
    <w:rsid w:val="00490827"/>
    <w:rsid w:val="00490BD5"/>
    <w:rsid w:val="004914DF"/>
    <w:rsid w:val="004917E4"/>
    <w:rsid w:val="00491994"/>
    <w:rsid w:val="00491FD0"/>
    <w:rsid w:val="0049223F"/>
    <w:rsid w:val="004928FC"/>
    <w:rsid w:val="004932D1"/>
    <w:rsid w:val="004933B4"/>
    <w:rsid w:val="004935B9"/>
    <w:rsid w:val="00493813"/>
    <w:rsid w:val="00494417"/>
    <w:rsid w:val="00494E95"/>
    <w:rsid w:val="00494EA1"/>
    <w:rsid w:val="00494EA2"/>
    <w:rsid w:val="00495201"/>
    <w:rsid w:val="0049520C"/>
    <w:rsid w:val="0049555B"/>
    <w:rsid w:val="004961F8"/>
    <w:rsid w:val="004963D3"/>
    <w:rsid w:val="00496675"/>
    <w:rsid w:val="00497267"/>
    <w:rsid w:val="004973D1"/>
    <w:rsid w:val="004A0745"/>
    <w:rsid w:val="004A09DA"/>
    <w:rsid w:val="004A0AD1"/>
    <w:rsid w:val="004A0EAE"/>
    <w:rsid w:val="004A17C5"/>
    <w:rsid w:val="004A1E72"/>
    <w:rsid w:val="004A23EA"/>
    <w:rsid w:val="004A2483"/>
    <w:rsid w:val="004A2E46"/>
    <w:rsid w:val="004A31B8"/>
    <w:rsid w:val="004A3407"/>
    <w:rsid w:val="004A34D0"/>
    <w:rsid w:val="004A3F6B"/>
    <w:rsid w:val="004A43A3"/>
    <w:rsid w:val="004A46E8"/>
    <w:rsid w:val="004A46F1"/>
    <w:rsid w:val="004A64C5"/>
    <w:rsid w:val="004A6CEF"/>
    <w:rsid w:val="004A6E2C"/>
    <w:rsid w:val="004A7039"/>
    <w:rsid w:val="004A7259"/>
    <w:rsid w:val="004A7468"/>
    <w:rsid w:val="004A7B70"/>
    <w:rsid w:val="004A7D21"/>
    <w:rsid w:val="004B014B"/>
    <w:rsid w:val="004B0528"/>
    <w:rsid w:val="004B0B3C"/>
    <w:rsid w:val="004B0E1B"/>
    <w:rsid w:val="004B0E7B"/>
    <w:rsid w:val="004B1529"/>
    <w:rsid w:val="004B1AAB"/>
    <w:rsid w:val="004B1BB6"/>
    <w:rsid w:val="004B2288"/>
    <w:rsid w:val="004B2666"/>
    <w:rsid w:val="004B2DBB"/>
    <w:rsid w:val="004B2E28"/>
    <w:rsid w:val="004B2E9A"/>
    <w:rsid w:val="004B3024"/>
    <w:rsid w:val="004B366B"/>
    <w:rsid w:val="004B3675"/>
    <w:rsid w:val="004B3B3A"/>
    <w:rsid w:val="004B3CBF"/>
    <w:rsid w:val="004B3F76"/>
    <w:rsid w:val="004B4288"/>
    <w:rsid w:val="004B452E"/>
    <w:rsid w:val="004B487D"/>
    <w:rsid w:val="004B549B"/>
    <w:rsid w:val="004B5811"/>
    <w:rsid w:val="004B5AC7"/>
    <w:rsid w:val="004B5D1F"/>
    <w:rsid w:val="004B5D30"/>
    <w:rsid w:val="004B635E"/>
    <w:rsid w:val="004B6B1F"/>
    <w:rsid w:val="004B6D79"/>
    <w:rsid w:val="004B6DBA"/>
    <w:rsid w:val="004B6E2B"/>
    <w:rsid w:val="004B7188"/>
    <w:rsid w:val="004B786A"/>
    <w:rsid w:val="004B7F92"/>
    <w:rsid w:val="004C010B"/>
    <w:rsid w:val="004C0AF6"/>
    <w:rsid w:val="004C2286"/>
    <w:rsid w:val="004C2AE8"/>
    <w:rsid w:val="004C3C31"/>
    <w:rsid w:val="004C3EDE"/>
    <w:rsid w:val="004C448B"/>
    <w:rsid w:val="004C44A5"/>
    <w:rsid w:val="004C4704"/>
    <w:rsid w:val="004C48C9"/>
    <w:rsid w:val="004C4A9C"/>
    <w:rsid w:val="004C58CB"/>
    <w:rsid w:val="004C6730"/>
    <w:rsid w:val="004C684B"/>
    <w:rsid w:val="004C6F9C"/>
    <w:rsid w:val="004C728F"/>
    <w:rsid w:val="004C7D38"/>
    <w:rsid w:val="004D10AD"/>
    <w:rsid w:val="004D1797"/>
    <w:rsid w:val="004D1E53"/>
    <w:rsid w:val="004D21A1"/>
    <w:rsid w:val="004D2D87"/>
    <w:rsid w:val="004D2FCE"/>
    <w:rsid w:val="004D3146"/>
    <w:rsid w:val="004D3256"/>
    <w:rsid w:val="004D3AA4"/>
    <w:rsid w:val="004D43B9"/>
    <w:rsid w:val="004D4848"/>
    <w:rsid w:val="004D4B5F"/>
    <w:rsid w:val="004D5004"/>
    <w:rsid w:val="004D5023"/>
    <w:rsid w:val="004D5B87"/>
    <w:rsid w:val="004D5BD0"/>
    <w:rsid w:val="004D60B3"/>
    <w:rsid w:val="004D674E"/>
    <w:rsid w:val="004D6AF6"/>
    <w:rsid w:val="004D6D22"/>
    <w:rsid w:val="004D77BA"/>
    <w:rsid w:val="004D7D88"/>
    <w:rsid w:val="004E029B"/>
    <w:rsid w:val="004E0663"/>
    <w:rsid w:val="004E0BC4"/>
    <w:rsid w:val="004E0C44"/>
    <w:rsid w:val="004E0F08"/>
    <w:rsid w:val="004E198E"/>
    <w:rsid w:val="004E2050"/>
    <w:rsid w:val="004E2319"/>
    <w:rsid w:val="004E27A2"/>
    <w:rsid w:val="004E2AB3"/>
    <w:rsid w:val="004E3166"/>
    <w:rsid w:val="004E3DE6"/>
    <w:rsid w:val="004E406B"/>
    <w:rsid w:val="004E40D4"/>
    <w:rsid w:val="004E49E5"/>
    <w:rsid w:val="004E4F8E"/>
    <w:rsid w:val="004E512A"/>
    <w:rsid w:val="004E5465"/>
    <w:rsid w:val="004E5927"/>
    <w:rsid w:val="004E64FC"/>
    <w:rsid w:val="004E65E8"/>
    <w:rsid w:val="004E6754"/>
    <w:rsid w:val="004E7813"/>
    <w:rsid w:val="004E7CB7"/>
    <w:rsid w:val="004F046A"/>
    <w:rsid w:val="004F04E8"/>
    <w:rsid w:val="004F076A"/>
    <w:rsid w:val="004F1235"/>
    <w:rsid w:val="004F130F"/>
    <w:rsid w:val="004F28D2"/>
    <w:rsid w:val="004F3A1D"/>
    <w:rsid w:val="004F40CF"/>
    <w:rsid w:val="004F44AB"/>
    <w:rsid w:val="004F4ACB"/>
    <w:rsid w:val="004F4D77"/>
    <w:rsid w:val="004F52E5"/>
    <w:rsid w:val="004F5B22"/>
    <w:rsid w:val="004F5E01"/>
    <w:rsid w:val="004F604A"/>
    <w:rsid w:val="004F6363"/>
    <w:rsid w:val="004F6586"/>
    <w:rsid w:val="004F67BE"/>
    <w:rsid w:val="004F6C8A"/>
    <w:rsid w:val="004F6CD2"/>
    <w:rsid w:val="004F7417"/>
    <w:rsid w:val="004F76E3"/>
    <w:rsid w:val="004F7BDE"/>
    <w:rsid w:val="004F7C66"/>
    <w:rsid w:val="0050124D"/>
    <w:rsid w:val="0050174B"/>
    <w:rsid w:val="00501AF8"/>
    <w:rsid w:val="00502636"/>
    <w:rsid w:val="00502C99"/>
    <w:rsid w:val="005033D5"/>
    <w:rsid w:val="00503473"/>
    <w:rsid w:val="0050348D"/>
    <w:rsid w:val="0050398E"/>
    <w:rsid w:val="00503AC2"/>
    <w:rsid w:val="00503DAC"/>
    <w:rsid w:val="00503E9D"/>
    <w:rsid w:val="005044DD"/>
    <w:rsid w:val="00504942"/>
    <w:rsid w:val="00504F59"/>
    <w:rsid w:val="00504FB4"/>
    <w:rsid w:val="005050A4"/>
    <w:rsid w:val="00505728"/>
    <w:rsid w:val="00505855"/>
    <w:rsid w:val="00506F44"/>
    <w:rsid w:val="00507ED1"/>
    <w:rsid w:val="00507F01"/>
    <w:rsid w:val="00510487"/>
    <w:rsid w:val="005107B7"/>
    <w:rsid w:val="00511414"/>
    <w:rsid w:val="005114CB"/>
    <w:rsid w:val="00511794"/>
    <w:rsid w:val="00511BB0"/>
    <w:rsid w:val="00512019"/>
    <w:rsid w:val="0051208E"/>
    <w:rsid w:val="0051220C"/>
    <w:rsid w:val="00512952"/>
    <w:rsid w:val="00512DC4"/>
    <w:rsid w:val="005133E7"/>
    <w:rsid w:val="005138AB"/>
    <w:rsid w:val="00513B62"/>
    <w:rsid w:val="00513C45"/>
    <w:rsid w:val="00514AEB"/>
    <w:rsid w:val="00515510"/>
    <w:rsid w:val="00515596"/>
    <w:rsid w:val="00516190"/>
    <w:rsid w:val="00516200"/>
    <w:rsid w:val="00516620"/>
    <w:rsid w:val="00516769"/>
    <w:rsid w:val="00516A7B"/>
    <w:rsid w:val="00517020"/>
    <w:rsid w:val="00517228"/>
    <w:rsid w:val="00520181"/>
    <w:rsid w:val="005201E4"/>
    <w:rsid w:val="005205FD"/>
    <w:rsid w:val="00520773"/>
    <w:rsid w:val="00520CCE"/>
    <w:rsid w:val="00520CDC"/>
    <w:rsid w:val="005213E1"/>
    <w:rsid w:val="005218BA"/>
    <w:rsid w:val="005238AD"/>
    <w:rsid w:val="005243A1"/>
    <w:rsid w:val="00524772"/>
    <w:rsid w:val="00525517"/>
    <w:rsid w:val="00526117"/>
    <w:rsid w:val="005262A8"/>
    <w:rsid w:val="00526A2C"/>
    <w:rsid w:val="00526DA7"/>
    <w:rsid w:val="00527701"/>
    <w:rsid w:val="00527E2B"/>
    <w:rsid w:val="005301E1"/>
    <w:rsid w:val="00530224"/>
    <w:rsid w:val="005304A0"/>
    <w:rsid w:val="00530C7C"/>
    <w:rsid w:val="00530DB6"/>
    <w:rsid w:val="005311CA"/>
    <w:rsid w:val="005313A6"/>
    <w:rsid w:val="00531F28"/>
    <w:rsid w:val="00531FB6"/>
    <w:rsid w:val="005322D6"/>
    <w:rsid w:val="00533BA7"/>
    <w:rsid w:val="00534052"/>
    <w:rsid w:val="00534155"/>
    <w:rsid w:val="00534286"/>
    <w:rsid w:val="005344BF"/>
    <w:rsid w:val="00534CF6"/>
    <w:rsid w:val="00534D5B"/>
    <w:rsid w:val="00534FE1"/>
    <w:rsid w:val="005351FD"/>
    <w:rsid w:val="0053523B"/>
    <w:rsid w:val="00535610"/>
    <w:rsid w:val="00536380"/>
    <w:rsid w:val="0053666D"/>
    <w:rsid w:val="005366F9"/>
    <w:rsid w:val="005367B9"/>
    <w:rsid w:val="00536930"/>
    <w:rsid w:val="00536E30"/>
    <w:rsid w:val="00537CAE"/>
    <w:rsid w:val="00540CB3"/>
    <w:rsid w:val="00540E23"/>
    <w:rsid w:val="005413BB"/>
    <w:rsid w:val="0054165E"/>
    <w:rsid w:val="0054246B"/>
    <w:rsid w:val="0054250A"/>
    <w:rsid w:val="00542921"/>
    <w:rsid w:val="00542F30"/>
    <w:rsid w:val="00543085"/>
    <w:rsid w:val="00543288"/>
    <w:rsid w:val="00544BFF"/>
    <w:rsid w:val="00544D34"/>
    <w:rsid w:val="00545097"/>
    <w:rsid w:val="0054518F"/>
    <w:rsid w:val="005452F2"/>
    <w:rsid w:val="00545523"/>
    <w:rsid w:val="0054593F"/>
    <w:rsid w:val="00545B81"/>
    <w:rsid w:val="00546021"/>
    <w:rsid w:val="00546669"/>
    <w:rsid w:val="00546B75"/>
    <w:rsid w:val="00547061"/>
    <w:rsid w:val="00550A73"/>
    <w:rsid w:val="00551353"/>
    <w:rsid w:val="005517BC"/>
    <w:rsid w:val="005518D8"/>
    <w:rsid w:val="00552295"/>
    <w:rsid w:val="0055247D"/>
    <w:rsid w:val="00552CF8"/>
    <w:rsid w:val="00553B51"/>
    <w:rsid w:val="00553F3C"/>
    <w:rsid w:val="00554004"/>
    <w:rsid w:val="00554CF2"/>
    <w:rsid w:val="005551BD"/>
    <w:rsid w:val="0055557B"/>
    <w:rsid w:val="00555868"/>
    <w:rsid w:val="00555EDB"/>
    <w:rsid w:val="005562F2"/>
    <w:rsid w:val="005563F7"/>
    <w:rsid w:val="00556465"/>
    <w:rsid w:val="00556D4F"/>
    <w:rsid w:val="005570BA"/>
    <w:rsid w:val="005575DE"/>
    <w:rsid w:val="00557643"/>
    <w:rsid w:val="00557792"/>
    <w:rsid w:val="0056085D"/>
    <w:rsid w:val="00560D98"/>
    <w:rsid w:val="00560E3D"/>
    <w:rsid w:val="0056144F"/>
    <w:rsid w:val="00561876"/>
    <w:rsid w:val="00561D9E"/>
    <w:rsid w:val="0056200C"/>
    <w:rsid w:val="00562AB1"/>
    <w:rsid w:val="00562CDF"/>
    <w:rsid w:val="005633CE"/>
    <w:rsid w:val="00564A3F"/>
    <w:rsid w:val="005650F8"/>
    <w:rsid w:val="0056584A"/>
    <w:rsid w:val="005662B2"/>
    <w:rsid w:val="0056659E"/>
    <w:rsid w:val="005668C6"/>
    <w:rsid w:val="005669F7"/>
    <w:rsid w:val="005670AB"/>
    <w:rsid w:val="00567303"/>
    <w:rsid w:val="00567322"/>
    <w:rsid w:val="00567995"/>
    <w:rsid w:val="0056BBBA"/>
    <w:rsid w:val="0057048D"/>
    <w:rsid w:val="005705BF"/>
    <w:rsid w:val="00570613"/>
    <w:rsid w:val="00570EB0"/>
    <w:rsid w:val="00571820"/>
    <w:rsid w:val="005719AB"/>
    <w:rsid w:val="00571BB6"/>
    <w:rsid w:val="0057202B"/>
    <w:rsid w:val="00572148"/>
    <w:rsid w:val="0057270E"/>
    <w:rsid w:val="00572735"/>
    <w:rsid w:val="00572F54"/>
    <w:rsid w:val="0057312D"/>
    <w:rsid w:val="00573159"/>
    <w:rsid w:val="00573533"/>
    <w:rsid w:val="00573D7A"/>
    <w:rsid w:val="00573DCD"/>
    <w:rsid w:val="005744B6"/>
    <w:rsid w:val="0057463C"/>
    <w:rsid w:val="00575237"/>
    <w:rsid w:val="00575BDF"/>
    <w:rsid w:val="00575CB3"/>
    <w:rsid w:val="00575ECC"/>
    <w:rsid w:val="005764C9"/>
    <w:rsid w:val="00576DBF"/>
    <w:rsid w:val="00577AB4"/>
    <w:rsid w:val="00577ACC"/>
    <w:rsid w:val="00577B54"/>
    <w:rsid w:val="00577D79"/>
    <w:rsid w:val="00577FA6"/>
    <w:rsid w:val="005801C9"/>
    <w:rsid w:val="00580AB9"/>
    <w:rsid w:val="00580C54"/>
    <w:rsid w:val="00581643"/>
    <w:rsid w:val="005820B4"/>
    <w:rsid w:val="00582641"/>
    <w:rsid w:val="00582D21"/>
    <w:rsid w:val="00584B9B"/>
    <w:rsid w:val="00584EA8"/>
    <w:rsid w:val="00585095"/>
    <w:rsid w:val="0058523F"/>
    <w:rsid w:val="0058571F"/>
    <w:rsid w:val="005859F7"/>
    <w:rsid w:val="00585BE4"/>
    <w:rsid w:val="00586498"/>
    <w:rsid w:val="005865AC"/>
    <w:rsid w:val="00587975"/>
    <w:rsid w:val="00587EEA"/>
    <w:rsid w:val="00587F34"/>
    <w:rsid w:val="005902A1"/>
    <w:rsid w:val="005903B4"/>
    <w:rsid w:val="005909D5"/>
    <w:rsid w:val="00590D98"/>
    <w:rsid w:val="00591450"/>
    <w:rsid w:val="005926E1"/>
    <w:rsid w:val="00593169"/>
    <w:rsid w:val="0059338F"/>
    <w:rsid w:val="0059429E"/>
    <w:rsid w:val="005950E7"/>
    <w:rsid w:val="00595138"/>
    <w:rsid w:val="00595218"/>
    <w:rsid w:val="005954D0"/>
    <w:rsid w:val="00595EAB"/>
    <w:rsid w:val="005963E4"/>
    <w:rsid w:val="005A06DC"/>
    <w:rsid w:val="005A0F51"/>
    <w:rsid w:val="005A15AB"/>
    <w:rsid w:val="005A1D69"/>
    <w:rsid w:val="005A2056"/>
    <w:rsid w:val="005A3428"/>
    <w:rsid w:val="005A35AB"/>
    <w:rsid w:val="005A3769"/>
    <w:rsid w:val="005A3776"/>
    <w:rsid w:val="005A3AF3"/>
    <w:rsid w:val="005A43C0"/>
    <w:rsid w:val="005A4828"/>
    <w:rsid w:val="005A4969"/>
    <w:rsid w:val="005A510B"/>
    <w:rsid w:val="005A5214"/>
    <w:rsid w:val="005A55CE"/>
    <w:rsid w:val="005A674E"/>
    <w:rsid w:val="005A6B9D"/>
    <w:rsid w:val="005A6FCF"/>
    <w:rsid w:val="005A7068"/>
    <w:rsid w:val="005A7277"/>
    <w:rsid w:val="005A7605"/>
    <w:rsid w:val="005A7696"/>
    <w:rsid w:val="005A7E25"/>
    <w:rsid w:val="005B003E"/>
    <w:rsid w:val="005B0247"/>
    <w:rsid w:val="005B0C9D"/>
    <w:rsid w:val="005B170E"/>
    <w:rsid w:val="005B1743"/>
    <w:rsid w:val="005B17A6"/>
    <w:rsid w:val="005B182E"/>
    <w:rsid w:val="005B1A35"/>
    <w:rsid w:val="005B1BE8"/>
    <w:rsid w:val="005B1DA1"/>
    <w:rsid w:val="005B1E8F"/>
    <w:rsid w:val="005B1ECE"/>
    <w:rsid w:val="005B2118"/>
    <w:rsid w:val="005B2BED"/>
    <w:rsid w:val="005B2D75"/>
    <w:rsid w:val="005B2EC6"/>
    <w:rsid w:val="005B2F26"/>
    <w:rsid w:val="005B3331"/>
    <w:rsid w:val="005B3661"/>
    <w:rsid w:val="005B367F"/>
    <w:rsid w:val="005B3C3D"/>
    <w:rsid w:val="005B3D4A"/>
    <w:rsid w:val="005B3F38"/>
    <w:rsid w:val="005B48C5"/>
    <w:rsid w:val="005B5512"/>
    <w:rsid w:val="005B5669"/>
    <w:rsid w:val="005B56E0"/>
    <w:rsid w:val="005B5986"/>
    <w:rsid w:val="005B5F49"/>
    <w:rsid w:val="005B6DA8"/>
    <w:rsid w:val="005C02B6"/>
    <w:rsid w:val="005C0460"/>
    <w:rsid w:val="005C0670"/>
    <w:rsid w:val="005C06AF"/>
    <w:rsid w:val="005C0AF2"/>
    <w:rsid w:val="005C1905"/>
    <w:rsid w:val="005C20EE"/>
    <w:rsid w:val="005C24D2"/>
    <w:rsid w:val="005C2981"/>
    <w:rsid w:val="005C2A4D"/>
    <w:rsid w:val="005C3216"/>
    <w:rsid w:val="005C362C"/>
    <w:rsid w:val="005C36CF"/>
    <w:rsid w:val="005C399B"/>
    <w:rsid w:val="005C3C74"/>
    <w:rsid w:val="005C424A"/>
    <w:rsid w:val="005C4D9E"/>
    <w:rsid w:val="005C533A"/>
    <w:rsid w:val="005C53B3"/>
    <w:rsid w:val="005C595C"/>
    <w:rsid w:val="005C63D3"/>
    <w:rsid w:val="005C69A4"/>
    <w:rsid w:val="005C6BA3"/>
    <w:rsid w:val="005C6DC5"/>
    <w:rsid w:val="005C7182"/>
    <w:rsid w:val="005C71FD"/>
    <w:rsid w:val="005C7356"/>
    <w:rsid w:val="005C760A"/>
    <w:rsid w:val="005C7840"/>
    <w:rsid w:val="005D032D"/>
    <w:rsid w:val="005D0753"/>
    <w:rsid w:val="005D0B13"/>
    <w:rsid w:val="005D18CE"/>
    <w:rsid w:val="005D1C44"/>
    <w:rsid w:val="005D283E"/>
    <w:rsid w:val="005D28B7"/>
    <w:rsid w:val="005D28DC"/>
    <w:rsid w:val="005D2DA8"/>
    <w:rsid w:val="005D4DD0"/>
    <w:rsid w:val="005D560F"/>
    <w:rsid w:val="005D6886"/>
    <w:rsid w:val="005D6F2F"/>
    <w:rsid w:val="005D6FE5"/>
    <w:rsid w:val="005D7248"/>
    <w:rsid w:val="005D7447"/>
    <w:rsid w:val="005D7BE3"/>
    <w:rsid w:val="005D7FB7"/>
    <w:rsid w:val="005E0E02"/>
    <w:rsid w:val="005E1859"/>
    <w:rsid w:val="005E2045"/>
    <w:rsid w:val="005E21E6"/>
    <w:rsid w:val="005E2337"/>
    <w:rsid w:val="005E25A7"/>
    <w:rsid w:val="005E2765"/>
    <w:rsid w:val="005E2D91"/>
    <w:rsid w:val="005E2EF9"/>
    <w:rsid w:val="005E3037"/>
    <w:rsid w:val="005E49FF"/>
    <w:rsid w:val="005E4E5C"/>
    <w:rsid w:val="005E4F4B"/>
    <w:rsid w:val="005E53E0"/>
    <w:rsid w:val="005E5732"/>
    <w:rsid w:val="005E5FA2"/>
    <w:rsid w:val="005E6575"/>
    <w:rsid w:val="005E66A7"/>
    <w:rsid w:val="005E67F2"/>
    <w:rsid w:val="005E69E2"/>
    <w:rsid w:val="005E7ABF"/>
    <w:rsid w:val="005E7BEB"/>
    <w:rsid w:val="005F0170"/>
    <w:rsid w:val="005F0524"/>
    <w:rsid w:val="005F0A50"/>
    <w:rsid w:val="005F0C77"/>
    <w:rsid w:val="005F1881"/>
    <w:rsid w:val="005F19A8"/>
    <w:rsid w:val="005F1CE8"/>
    <w:rsid w:val="005F2144"/>
    <w:rsid w:val="005F2554"/>
    <w:rsid w:val="005F3697"/>
    <w:rsid w:val="005F38CE"/>
    <w:rsid w:val="005F3AA8"/>
    <w:rsid w:val="005F3ABA"/>
    <w:rsid w:val="005F3C28"/>
    <w:rsid w:val="005F3C79"/>
    <w:rsid w:val="005F3DE7"/>
    <w:rsid w:val="005F4722"/>
    <w:rsid w:val="005F55A0"/>
    <w:rsid w:val="005F5A90"/>
    <w:rsid w:val="005F5CE6"/>
    <w:rsid w:val="005F6529"/>
    <w:rsid w:val="005F6690"/>
    <w:rsid w:val="005F6B98"/>
    <w:rsid w:val="005F7133"/>
    <w:rsid w:val="005F722C"/>
    <w:rsid w:val="005F77E7"/>
    <w:rsid w:val="005F7E9E"/>
    <w:rsid w:val="00600938"/>
    <w:rsid w:val="00600983"/>
    <w:rsid w:val="00600F54"/>
    <w:rsid w:val="006010BA"/>
    <w:rsid w:val="00601252"/>
    <w:rsid w:val="0060162A"/>
    <w:rsid w:val="006019E3"/>
    <w:rsid w:val="00601D56"/>
    <w:rsid w:val="0060211E"/>
    <w:rsid w:val="00602B38"/>
    <w:rsid w:val="00603562"/>
    <w:rsid w:val="006036CD"/>
    <w:rsid w:val="00604099"/>
    <w:rsid w:val="006047CD"/>
    <w:rsid w:val="00604CD6"/>
    <w:rsid w:val="006055F7"/>
    <w:rsid w:val="0060567E"/>
    <w:rsid w:val="006058A1"/>
    <w:rsid w:val="0060657E"/>
    <w:rsid w:val="00606709"/>
    <w:rsid w:val="00606961"/>
    <w:rsid w:val="00607382"/>
    <w:rsid w:val="0060787D"/>
    <w:rsid w:val="00607B93"/>
    <w:rsid w:val="00607E95"/>
    <w:rsid w:val="00607F5D"/>
    <w:rsid w:val="006102C5"/>
    <w:rsid w:val="006103F6"/>
    <w:rsid w:val="00610714"/>
    <w:rsid w:val="00610917"/>
    <w:rsid w:val="00610B0F"/>
    <w:rsid w:val="00611419"/>
    <w:rsid w:val="006115E8"/>
    <w:rsid w:val="00611A48"/>
    <w:rsid w:val="006125E3"/>
    <w:rsid w:val="00612DD4"/>
    <w:rsid w:val="00612F10"/>
    <w:rsid w:val="00613F43"/>
    <w:rsid w:val="0061427A"/>
    <w:rsid w:val="00614613"/>
    <w:rsid w:val="00614F4F"/>
    <w:rsid w:val="00615BC2"/>
    <w:rsid w:val="00616170"/>
    <w:rsid w:val="00616936"/>
    <w:rsid w:val="006175A5"/>
    <w:rsid w:val="00617635"/>
    <w:rsid w:val="00617CE5"/>
    <w:rsid w:val="00617D52"/>
    <w:rsid w:val="0062047D"/>
    <w:rsid w:val="0062099C"/>
    <w:rsid w:val="00621763"/>
    <w:rsid w:val="00621BA7"/>
    <w:rsid w:val="006223D3"/>
    <w:rsid w:val="00622962"/>
    <w:rsid w:val="00622BC0"/>
    <w:rsid w:val="00623556"/>
    <w:rsid w:val="00623734"/>
    <w:rsid w:val="006247FB"/>
    <w:rsid w:val="006249CD"/>
    <w:rsid w:val="00624BDB"/>
    <w:rsid w:val="00624C5F"/>
    <w:rsid w:val="00624D59"/>
    <w:rsid w:val="00624E20"/>
    <w:rsid w:val="00626473"/>
    <w:rsid w:val="00626A48"/>
    <w:rsid w:val="00627965"/>
    <w:rsid w:val="00627AE0"/>
    <w:rsid w:val="00627DCF"/>
    <w:rsid w:val="006306EF"/>
    <w:rsid w:val="006309DC"/>
    <w:rsid w:val="00630DAD"/>
    <w:rsid w:val="0063155A"/>
    <w:rsid w:val="00631598"/>
    <w:rsid w:val="006316C5"/>
    <w:rsid w:val="00631F12"/>
    <w:rsid w:val="00633242"/>
    <w:rsid w:val="0063374C"/>
    <w:rsid w:val="006337E8"/>
    <w:rsid w:val="00633C3F"/>
    <w:rsid w:val="006341A3"/>
    <w:rsid w:val="00634BEA"/>
    <w:rsid w:val="006359B1"/>
    <w:rsid w:val="006359C8"/>
    <w:rsid w:val="00635BB2"/>
    <w:rsid w:val="00635CFF"/>
    <w:rsid w:val="00636151"/>
    <w:rsid w:val="00636D59"/>
    <w:rsid w:val="006370FA"/>
    <w:rsid w:val="00637DAA"/>
    <w:rsid w:val="00637E13"/>
    <w:rsid w:val="006401D2"/>
    <w:rsid w:val="00640238"/>
    <w:rsid w:val="00640648"/>
    <w:rsid w:val="00640774"/>
    <w:rsid w:val="00640E55"/>
    <w:rsid w:val="006410E1"/>
    <w:rsid w:val="00641862"/>
    <w:rsid w:val="00641975"/>
    <w:rsid w:val="00641E79"/>
    <w:rsid w:val="006426CE"/>
    <w:rsid w:val="00642BE1"/>
    <w:rsid w:val="00642FD4"/>
    <w:rsid w:val="0064409E"/>
    <w:rsid w:val="006441C4"/>
    <w:rsid w:val="00644571"/>
    <w:rsid w:val="0064473B"/>
    <w:rsid w:val="00644C5D"/>
    <w:rsid w:val="006450F6"/>
    <w:rsid w:val="006451A3"/>
    <w:rsid w:val="00645D75"/>
    <w:rsid w:val="00645EB2"/>
    <w:rsid w:val="00645FCF"/>
    <w:rsid w:val="0064679C"/>
    <w:rsid w:val="006478FA"/>
    <w:rsid w:val="00647D46"/>
    <w:rsid w:val="00650E54"/>
    <w:rsid w:val="00651070"/>
    <w:rsid w:val="006516AF"/>
    <w:rsid w:val="00651772"/>
    <w:rsid w:val="00651C7F"/>
    <w:rsid w:val="00651E7A"/>
    <w:rsid w:val="006526AE"/>
    <w:rsid w:val="006530D0"/>
    <w:rsid w:val="00653173"/>
    <w:rsid w:val="0065326A"/>
    <w:rsid w:val="006535EE"/>
    <w:rsid w:val="00653B28"/>
    <w:rsid w:val="00654037"/>
    <w:rsid w:val="00654428"/>
    <w:rsid w:val="006545ED"/>
    <w:rsid w:val="00654FA4"/>
    <w:rsid w:val="0065503A"/>
    <w:rsid w:val="00655774"/>
    <w:rsid w:val="006566A9"/>
    <w:rsid w:val="0065691F"/>
    <w:rsid w:val="00657071"/>
    <w:rsid w:val="006574C4"/>
    <w:rsid w:val="006575EE"/>
    <w:rsid w:val="0065763D"/>
    <w:rsid w:val="006576C5"/>
    <w:rsid w:val="00657BE1"/>
    <w:rsid w:val="00657BED"/>
    <w:rsid w:val="0066086F"/>
    <w:rsid w:val="006609DA"/>
    <w:rsid w:val="00660A83"/>
    <w:rsid w:val="00661151"/>
    <w:rsid w:val="00661268"/>
    <w:rsid w:val="006614B2"/>
    <w:rsid w:val="006618B3"/>
    <w:rsid w:val="00661AC3"/>
    <w:rsid w:val="00662289"/>
    <w:rsid w:val="0066232D"/>
    <w:rsid w:val="006626B5"/>
    <w:rsid w:val="00662B18"/>
    <w:rsid w:val="00662F90"/>
    <w:rsid w:val="00663273"/>
    <w:rsid w:val="006639BB"/>
    <w:rsid w:val="00663BEF"/>
    <w:rsid w:val="00664295"/>
    <w:rsid w:val="006642FC"/>
    <w:rsid w:val="0066458D"/>
    <w:rsid w:val="00665CBD"/>
    <w:rsid w:val="00666061"/>
    <w:rsid w:val="00666451"/>
    <w:rsid w:val="00666A25"/>
    <w:rsid w:val="00666FB7"/>
    <w:rsid w:val="00666FD7"/>
    <w:rsid w:val="00666FF8"/>
    <w:rsid w:val="0066742B"/>
    <w:rsid w:val="0066769C"/>
    <w:rsid w:val="00667736"/>
    <w:rsid w:val="00667876"/>
    <w:rsid w:val="006679CC"/>
    <w:rsid w:val="00667C32"/>
    <w:rsid w:val="00667C89"/>
    <w:rsid w:val="00670C4F"/>
    <w:rsid w:val="00670CE6"/>
    <w:rsid w:val="00670F70"/>
    <w:rsid w:val="0067117E"/>
    <w:rsid w:val="006718F6"/>
    <w:rsid w:val="00671FA7"/>
    <w:rsid w:val="006725DA"/>
    <w:rsid w:val="006729EF"/>
    <w:rsid w:val="00672A4A"/>
    <w:rsid w:val="00672B3B"/>
    <w:rsid w:val="0067403F"/>
    <w:rsid w:val="006743D2"/>
    <w:rsid w:val="00674E16"/>
    <w:rsid w:val="0067648B"/>
    <w:rsid w:val="006769EC"/>
    <w:rsid w:val="00676B76"/>
    <w:rsid w:val="00677609"/>
    <w:rsid w:val="0068031E"/>
    <w:rsid w:val="00680C38"/>
    <w:rsid w:val="006812C7"/>
    <w:rsid w:val="00681901"/>
    <w:rsid w:val="006821AA"/>
    <w:rsid w:val="00682386"/>
    <w:rsid w:val="00682395"/>
    <w:rsid w:val="0068240C"/>
    <w:rsid w:val="00682825"/>
    <w:rsid w:val="006831D0"/>
    <w:rsid w:val="0068351D"/>
    <w:rsid w:val="006838DE"/>
    <w:rsid w:val="00683962"/>
    <w:rsid w:val="00683F89"/>
    <w:rsid w:val="006840EA"/>
    <w:rsid w:val="00684B34"/>
    <w:rsid w:val="0068503E"/>
    <w:rsid w:val="0068510C"/>
    <w:rsid w:val="006853AE"/>
    <w:rsid w:val="0068556B"/>
    <w:rsid w:val="00686B12"/>
    <w:rsid w:val="00687541"/>
    <w:rsid w:val="00690EC3"/>
    <w:rsid w:val="00690FE2"/>
    <w:rsid w:val="006924D8"/>
    <w:rsid w:val="0069315D"/>
    <w:rsid w:val="006932FF"/>
    <w:rsid w:val="00693FE1"/>
    <w:rsid w:val="00694602"/>
    <w:rsid w:val="0069596A"/>
    <w:rsid w:val="00695C10"/>
    <w:rsid w:val="006967BE"/>
    <w:rsid w:val="00696A47"/>
    <w:rsid w:val="006971C6"/>
    <w:rsid w:val="00697507"/>
    <w:rsid w:val="00697AF5"/>
    <w:rsid w:val="00697BD0"/>
    <w:rsid w:val="00697E97"/>
    <w:rsid w:val="006A03EF"/>
    <w:rsid w:val="006A047E"/>
    <w:rsid w:val="006A0AE4"/>
    <w:rsid w:val="006A0BF7"/>
    <w:rsid w:val="006A0C93"/>
    <w:rsid w:val="006A0F62"/>
    <w:rsid w:val="006A118C"/>
    <w:rsid w:val="006A17C6"/>
    <w:rsid w:val="006A1D06"/>
    <w:rsid w:val="006A20A3"/>
    <w:rsid w:val="006A2945"/>
    <w:rsid w:val="006A305B"/>
    <w:rsid w:val="006A3649"/>
    <w:rsid w:val="006A3678"/>
    <w:rsid w:val="006A3B8D"/>
    <w:rsid w:val="006A68C5"/>
    <w:rsid w:val="006A7787"/>
    <w:rsid w:val="006B0BCA"/>
    <w:rsid w:val="006B101F"/>
    <w:rsid w:val="006B1021"/>
    <w:rsid w:val="006B1050"/>
    <w:rsid w:val="006B1812"/>
    <w:rsid w:val="006B1CC1"/>
    <w:rsid w:val="006B2265"/>
    <w:rsid w:val="006B303E"/>
    <w:rsid w:val="006B3542"/>
    <w:rsid w:val="006B3A87"/>
    <w:rsid w:val="006B4189"/>
    <w:rsid w:val="006B41CA"/>
    <w:rsid w:val="006B481D"/>
    <w:rsid w:val="006B4946"/>
    <w:rsid w:val="006B5347"/>
    <w:rsid w:val="006B546A"/>
    <w:rsid w:val="006B550D"/>
    <w:rsid w:val="006B5C82"/>
    <w:rsid w:val="006B5D06"/>
    <w:rsid w:val="006B7795"/>
    <w:rsid w:val="006B7803"/>
    <w:rsid w:val="006B7D7D"/>
    <w:rsid w:val="006C0244"/>
    <w:rsid w:val="006C08E1"/>
    <w:rsid w:val="006C0969"/>
    <w:rsid w:val="006C0A94"/>
    <w:rsid w:val="006C0ACC"/>
    <w:rsid w:val="006C0ACD"/>
    <w:rsid w:val="006C0F06"/>
    <w:rsid w:val="006C1A89"/>
    <w:rsid w:val="006C202A"/>
    <w:rsid w:val="006C2669"/>
    <w:rsid w:val="006C293E"/>
    <w:rsid w:val="006C2B41"/>
    <w:rsid w:val="006C2BC3"/>
    <w:rsid w:val="006C2E42"/>
    <w:rsid w:val="006C322A"/>
    <w:rsid w:val="006C32D4"/>
    <w:rsid w:val="006C5442"/>
    <w:rsid w:val="006C5833"/>
    <w:rsid w:val="006C59A5"/>
    <w:rsid w:val="006C602A"/>
    <w:rsid w:val="006C733F"/>
    <w:rsid w:val="006C745B"/>
    <w:rsid w:val="006C77A7"/>
    <w:rsid w:val="006C77D0"/>
    <w:rsid w:val="006C7CD9"/>
    <w:rsid w:val="006D051A"/>
    <w:rsid w:val="006D1979"/>
    <w:rsid w:val="006D1D7E"/>
    <w:rsid w:val="006D26E4"/>
    <w:rsid w:val="006D3E64"/>
    <w:rsid w:val="006D40A6"/>
    <w:rsid w:val="006D45A0"/>
    <w:rsid w:val="006D4AA4"/>
    <w:rsid w:val="006D5D97"/>
    <w:rsid w:val="006D6521"/>
    <w:rsid w:val="006D6861"/>
    <w:rsid w:val="006D6906"/>
    <w:rsid w:val="006D76A0"/>
    <w:rsid w:val="006D7D2B"/>
    <w:rsid w:val="006E0461"/>
    <w:rsid w:val="006E088B"/>
    <w:rsid w:val="006E0B80"/>
    <w:rsid w:val="006E179D"/>
    <w:rsid w:val="006E1DC9"/>
    <w:rsid w:val="006E1FED"/>
    <w:rsid w:val="006E24C6"/>
    <w:rsid w:val="006E2812"/>
    <w:rsid w:val="006E29E4"/>
    <w:rsid w:val="006E41A9"/>
    <w:rsid w:val="006E485B"/>
    <w:rsid w:val="006E4A4C"/>
    <w:rsid w:val="006E4B6F"/>
    <w:rsid w:val="006E4BF2"/>
    <w:rsid w:val="006E4C1C"/>
    <w:rsid w:val="006E521F"/>
    <w:rsid w:val="006E5ADB"/>
    <w:rsid w:val="006E5B90"/>
    <w:rsid w:val="006E6AAF"/>
    <w:rsid w:val="006E6AF8"/>
    <w:rsid w:val="006E7869"/>
    <w:rsid w:val="006E79B5"/>
    <w:rsid w:val="006E7E6A"/>
    <w:rsid w:val="006F00E5"/>
    <w:rsid w:val="006F0131"/>
    <w:rsid w:val="006F037E"/>
    <w:rsid w:val="006F03D1"/>
    <w:rsid w:val="006F041A"/>
    <w:rsid w:val="006F1194"/>
    <w:rsid w:val="006F133E"/>
    <w:rsid w:val="006F145F"/>
    <w:rsid w:val="006F164E"/>
    <w:rsid w:val="006F17A2"/>
    <w:rsid w:val="006F188C"/>
    <w:rsid w:val="006F1ABA"/>
    <w:rsid w:val="006F1B37"/>
    <w:rsid w:val="006F2029"/>
    <w:rsid w:val="006F224E"/>
    <w:rsid w:val="006F35A1"/>
    <w:rsid w:val="006F373B"/>
    <w:rsid w:val="006F3B98"/>
    <w:rsid w:val="006F3F76"/>
    <w:rsid w:val="006F49DA"/>
    <w:rsid w:val="006F4AD9"/>
    <w:rsid w:val="006F5AC8"/>
    <w:rsid w:val="006F5AD6"/>
    <w:rsid w:val="006F5D17"/>
    <w:rsid w:val="006F5FAE"/>
    <w:rsid w:val="006F63EC"/>
    <w:rsid w:val="006F6F95"/>
    <w:rsid w:val="006F7159"/>
    <w:rsid w:val="006F72F4"/>
    <w:rsid w:val="006F7F01"/>
    <w:rsid w:val="0070017D"/>
    <w:rsid w:val="007005D8"/>
    <w:rsid w:val="0070067B"/>
    <w:rsid w:val="00700749"/>
    <w:rsid w:val="00700800"/>
    <w:rsid w:val="00700AD6"/>
    <w:rsid w:val="0070161B"/>
    <w:rsid w:val="00701772"/>
    <w:rsid w:val="00701785"/>
    <w:rsid w:val="00701C9E"/>
    <w:rsid w:val="007028B0"/>
    <w:rsid w:val="00702F4C"/>
    <w:rsid w:val="007037D6"/>
    <w:rsid w:val="00704147"/>
    <w:rsid w:val="007041C4"/>
    <w:rsid w:val="007041E3"/>
    <w:rsid w:val="00705210"/>
    <w:rsid w:val="00705AF4"/>
    <w:rsid w:val="00705B6D"/>
    <w:rsid w:val="00705BA0"/>
    <w:rsid w:val="007061B4"/>
    <w:rsid w:val="007069F0"/>
    <w:rsid w:val="00706B45"/>
    <w:rsid w:val="0070772B"/>
    <w:rsid w:val="00707A21"/>
    <w:rsid w:val="00707B4D"/>
    <w:rsid w:val="00707CA2"/>
    <w:rsid w:val="00707D8A"/>
    <w:rsid w:val="00707EED"/>
    <w:rsid w:val="00707FC9"/>
    <w:rsid w:val="0071033F"/>
    <w:rsid w:val="007108FB"/>
    <w:rsid w:val="00711625"/>
    <w:rsid w:val="00711825"/>
    <w:rsid w:val="007118AD"/>
    <w:rsid w:val="007119FD"/>
    <w:rsid w:val="00711D96"/>
    <w:rsid w:val="00712662"/>
    <w:rsid w:val="00712D7A"/>
    <w:rsid w:val="00713582"/>
    <w:rsid w:val="00713846"/>
    <w:rsid w:val="00713892"/>
    <w:rsid w:val="0071475D"/>
    <w:rsid w:val="00715FEB"/>
    <w:rsid w:val="00716BA5"/>
    <w:rsid w:val="00716F81"/>
    <w:rsid w:val="007178F4"/>
    <w:rsid w:val="00717911"/>
    <w:rsid w:val="00717989"/>
    <w:rsid w:val="00717CA1"/>
    <w:rsid w:val="00717FBA"/>
    <w:rsid w:val="00720EF1"/>
    <w:rsid w:val="00720F7A"/>
    <w:rsid w:val="0072118B"/>
    <w:rsid w:val="00721A70"/>
    <w:rsid w:val="00721AF4"/>
    <w:rsid w:val="0072212E"/>
    <w:rsid w:val="007226A3"/>
    <w:rsid w:val="00722F8C"/>
    <w:rsid w:val="007232AB"/>
    <w:rsid w:val="007238C6"/>
    <w:rsid w:val="007240B3"/>
    <w:rsid w:val="0072417A"/>
    <w:rsid w:val="007242FB"/>
    <w:rsid w:val="007244B4"/>
    <w:rsid w:val="00724595"/>
    <w:rsid w:val="00724C49"/>
    <w:rsid w:val="00724D06"/>
    <w:rsid w:val="00725157"/>
    <w:rsid w:val="007259CE"/>
    <w:rsid w:val="00725B3C"/>
    <w:rsid w:val="00725BDE"/>
    <w:rsid w:val="00725CE7"/>
    <w:rsid w:val="00726275"/>
    <w:rsid w:val="0072686E"/>
    <w:rsid w:val="007268A3"/>
    <w:rsid w:val="00727369"/>
    <w:rsid w:val="00727D8F"/>
    <w:rsid w:val="007307CD"/>
    <w:rsid w:val="007308E5"/>
    <w:rsid w:val="00730918"/>
    <w:rsid w:val="0073134F"/>
    <w:rsid w:val="00731A77"/>
    <w:rsid w:val="007324B5"/>
    <w:rsid w:val="00732830"/>
    <w:rsid w:val="00732EDE"/>
    <w:rsid w:val="00732F7D"/>
    <w:rsid w:val="007333BE"/>
    <w:rsid w:val="00733AA5"/>
    <w:rsid w:val="00733B4B"/>
    <w:rsid w:val="00733CB5"/>
    <w:rsid w:val="0073491F"/>
    <w:rsid w:val="0073574F"/>
    <w:rsid w:val="0073592D"/>
    <w:rsid w:val="00735ACF"/>
    <w:rsid w:val="00735C7B"/>
    <w:rsid w:val="00736232"/>
    <w:rsid w:val="00736288"/>
    <w:rsid w:val="00736466"/>
    <w:rsid w:val="00736DC3"/>
    <w:rsid w:val="0074037A"/>
    <w:rsid w:val="0074090A"/>
    <w:rsid w:val="00740D35"/>
    <w:rsid w:val="007415BD"/>
    <w:rsid w:val="00742577"/>
    <w:rsid w:val="00742BF3"/>
    <w:rsid w:val="00742DCA"/>
    <w:rsid w:val="00743E1A"/>
    <w:rsid w:val="00745883"/>
    <w:rsid w:val="00745932"/>
    <w:rsid w:val="00745BA2"/>
    <w:rsid w:val="007460BE"/>
    <w:rsid w:val="0074668C"/>
    <w:rsid w:val="00746C92"/>
    <w:rsid w:val="0074724E"/>
    <w:rsid w:val="00747F8B"/>
    <w:rsid w:val="007504BF"/>
    <w:rsid w:val="00750C51"/>
    <w:rsid w:val="00752A1F"/>
    <w:rsid w:val="00752D3B"/>
    <w:rsid w:val="0075383D"/>
    <w:rsid w:val="007546B6"/>
    <w:rsid w:val="00754E10"/>
    <w:rsid w:val="00754ED5"/>
    <w:rsid w:val="0075531C"/>
    <w:rsid w:val="00755430"/>
    <w:rsid w:val="00755BA4"/>
    <w:rsid w:val="00755BF0"/>
    <w:rsid w:val="007560D9"/>
    <w:rsid w:val="00756398"/>
    <w:rsid w:val="007603D1"/>
    <w:rsid w:val="007612F0"/>
    <w:rsid w:val="0076142D"/>
    <w:rsid w:val="0076221D"/>
    <w:rsid w:val="0076282A"/>
    <w:rsid w:val="00762EEF"/>
    <w:rsid w:val="0076323C"/>
    <w:rsid w:val="00763A75"/>
    <w:rsid w:val="00764292"/>
    <w:rsid w:val="00764D69"/>
    <w:rsid w:val="007651DD"/>
    <w:rsid w:val="00765771"/>
    <w:rsid w:val="00765812"/>
    <w:rsid w:val="007659CF"/>
    <w:rsid w:val="00765F7D"/>
    <w:rsid w:val="0076604E"/>
    <w:rsid w:val="00766B1E"/>
    <w:rsid w:val="0076782D"/>
    <w:rsid w:val="00767D47"/>
    <w:rsid w:val="007706DE"/>
    <w:rsid w:val="00771602"/>
    <w:rsid w:val="007718BB"/>
    <w:rsid w:val="00771EA6"/>
    <w:rsid w:val="007732E5"/>
    <w:rsid w:val="0077339E"/>
    <w:rsid w:val="007741BA"/>
    <w:rsid w:val="00774515"/>
    <w:rsid w:val="00774621"/>
    <w:rsid w:val="00775B0F"/>
    <w:rsid w:val="00775E3D"/>
    <w:rsid w:val="00776132"/>
    <w:rsid w:val="007761EF"/>
    <w:rsid w:val="007767B6"/>
    <w:rsid w:val="007769B9"/>
    <w:rsid w:val="00777158"/>
    <w:rsid w:val="007778D6"/>
    <w:rsid w:val="00777C3E"/>
    <w:rsid w:val="0078016D"/>
    <w:rsid w:val="00780BB9"/>
    <w:rsid w:val="00780D5C"/>
    <w:rsid w:val="00780DC4"/>
    <w:rsid w:val="00780FDD"/>
    <w:rsid w:val="007817DE"/>
    <w:rsid w:val="007819F1"/>
    <w:rsid w:val="00783306"/>
    <w:rsid w:val="00783D9F"/>
    <w:rsid w:val="00783DBC"/>
    <w:rsid w:val="007841DB"/>
    <w:rsid w:val="007842CD"/>
    <w:rsid w:val="00784EA6"/>
    <w:rsid w:val="007858C1"/>
    <w:rsid w:val="00785C01"/>
    <w:rsid w:val="00786308"/>
    <w:rsid w:val="007863F0"/>
    <w:rsid w:val="00786799"/>
    <w:rsid w:val="00786D6F"/>
    <w:rsid w:val="00787271"/>
    <w:rsid w:val="00787273"/>
    <w:rsid w:val="00787AD4"/>
    <w:rsid w:val="00787C25"/>
    <w:rsid w:val="007900DE"/>
    <w:rsid w:val="007902FB"/>
    <w:rsid w:val="007903BB"/>
    <w:rsid w:val="00790B32"/>
    <w:rsid w:val="00790DD7"/>
    <w:rsid w:val="007912FB"/>
    <w:rsid w:val="00791F08"/>
    <w:rsid w:val="00792157"/>
    <w:rsid w:val="00794507"/>
    <w:rsid w:val="00794B8B"/>
    <w:rsid w:val="00794E34"/>
    <w:rsid w:val="00795057"/>
    <w:rsid w:val="007951E3"/>
    <w:rsid w:val="00795A18"/>
    <w:rsid w:val="00795B5D"/>
    <w:rsid w:val="0079602B"/>
    <w:rsid w:val="007968F0"/>
    <w:rsid w:val="00796B23"/>
    <w:rsid w:val="00796C56"/>
    <w:rsid w:val="00797530"/>
    <w:rsid w:val="00797705"/>
    <w:rsid w:val="007A0890"/>
    <w:rsid w:val="007A09B6"/>
    <w:rsid w:val="007A0A35"/>
    <w:rsid w:val="007A0B27"/>
    <w:rsid w:val="007A11FA"/>
    <w:rsid w:val="007A1399"/>
    <w:rsid w:val="007A1DA9"/>
    <w:rsid w:val="007A238F"/>
    <w:rsid w:val="007A23B6"/>
    <w:rsid w:val="007A2447"/>
    <w:rsid w:val="007A2D73"/>
    <w:rsid w:val="007A31A6"/>
    <w:rsid w:val="007A3B23"/>
    <w:rsid w:val="007A3D15"/>
    <w:rsid w:val="007A405B"/>
    <w:rsid w:val="007A4603"/>
    <w:rsid w:val="007A52D5"/>
    <w:rsid w:val="007A65F0"/>
    <w:rsid w:val="007A6763"/>
    <w:rsid w:val="007A6A05"/>
    <w:rsid w:val="007A6B7F"/>
    <w:rsid w:val="007A7286"/>
    <w:rsid w:val="007A7563"/>
    <w:rsid w:val="007A774E"/>
    <w:rsid w:val="007A7FB7"/>
    <w:rsid w:val="007A7FD7"/>
    <w:rsid w:val="007B04D3"/>
    <w:rsid w:val="007B0C8A"/>
    <w:rsid w:val="007B14BF"/>
    <w:rsid w:val="007B1625"/>
    <w:rsid w:val="007B239B"/>
    <w:rsid w:val="007B2E71"/>
    <w:rsid w:val="007B40DB"/>
    <w:rsid w:val="007B414C"/>
    <w:rsid w:val="007B4298"/>
    <w:rsid w:val="007B4776"/>
    <w:rsid w:val="007B4F3B"/>
    <w:rsid w:val="007B5378"/>
    <w:rsid w:val="007B5438"/>
    <w:rsid w:val="007B5831"/>
    <w:rsid w:val="007B58A9"/>
    <w:rsid w:val="007B5C59"/>
    <w:rsid w:val="007B5EBD"/>
    <w:rsid w:val="007B6B3E"/>
    <w:rsid w:val="007B746D"/>
    <w:rsid w:val="007B7643"/>
    <w:rsid w:val="007B7CEE"/>
    <w:rsid w:val="007C1273"/>
    <w:rsid w:val="007C1F4F"/>
    <w:rsid w:val="007C2A3A"/>
    <w:rsid w:val="007C2A66"/>
    <w:rsid w:val="007C2A6C"/>
    <w:rsid w:val="007C2B69"/>
    <w:rsid w:val="007C2F54"/>
    <w:rsid w:val="007C3255"/>
    <w:rsid w:val="007C348B"/>
    <w:rsid w:val="007C3BF0"/>
    <w:rsid w:val="007C3D40"/>
    <w:rsid w:val="007C3FA5"/>
    <w:rsid w:val="007C401C"/>
    <w:rsid w:val="007C424E"/>
    <w:rsid w:val="007C434E"/>
    <w:rsid w:val="007C46CD"/>
    <w:rsid w:val="007C55A1"/>
    <w:rsid w:val="007C57E8"/>
    <w:rsid w:val="007C5E02"/>
    <w:rsid w:val="007C5EAA"/>
    <w:rsid w:val="007C5FFE"/>
    <w:rsid w:val="007C63CF"/>
    <w:rsid w:val="007C72B1"/>
    <w:rsid w:val="007C7830"/>
    <w:rsid w:val="007D00EF"/>
    <w:rsid w:val="007D075C"/>
    <w:rsid w:val="007D0D77"/>
    <w:rsid w:val="007D1B02"/>
    <w:rsid w:val="007D1D5E"/>
    <w:rsid w:val="007D2244"/>
    <w:rsid w:val="007D2512"/>
    <w:rsid w:val="007D33C5"/>
    <w:rsid w:val="007D3419"/>
    <w:rsid w:val="007D3805"/>
    <w:rsid w:val="007D41DD"/>
    <w:rsid w:val="007D460A"/>
    <w:rsid w:val="007D4AF6"/>
    <w:rsid w:val="007D6272"/>
    <w:rsid w:val="007D66A3"/>
    <w:rsid w:val="007D6845"/>
    <w:rsid w:val="007D68E2"/>
    <w:rsid w:val="007D7036"/>
    <w:rsid w:val="007D73B7"/>
    <w:rsid w:val="007E03C1"/>
    <w:rsid w:val="007E0940"/>
    <w:rsid w:val="007E0976"/>
    <w:rsid w:val="007E1359"/>
    <w:rsid w:val="007E1599"/>
    <w:rsid w:val="007E161D"/>
    <w:rsid w:val="007E1680"/>
    <w:rsid w:val="007E234A"/>
    <w:rsid w:val="007E2C7C"/>
    <w:rsid w:val="007E2F11"/>
    <w:rsid w:val="007E343B"/>
    <w:rsid w:val="007E3537"/>
    <w:rsid w:val="007E35DE"/>
    <w:rsid w:val="007E3B90"/>
    <w:rsid w:val="007E4187"/>
    <w:rsid w:val="007E4846"/>
    <w:rsid w:val="007E5F43"/>
    <w:rsid w:val="007E6042"/>
    <w:rsid w:val="007E6CDA"/>
    <w:rsid w:val="007E70B6"/>
    <w:rsid w:val="007E7996"/>
    <w:rsid w:val="007E79A6"/>
    <w:rsid w:val="007F078D"/>
    <w:rsid w:val="007F11C6"/>
    <w:rsid w:val="007F14CD"/>
    <w:rsid w:val="007F170B"/>
    <w:rsid w:val="007F1C45"/>
    <w:rsid w:val="007F2DA5"/>
    <w:rsid w:val="007F33B1"/>
    <w:rsid w:val="007F369A"/>
    <w:rsid w:val="007F3942"/>
    <w:rsid w:val="007F3BE4"/>
    <w:rsid w:val="007F3CC5"/>
    <w:rsid w:val="007F4C3C"/>
    <w:rsid w:val="007F4F4A"/>
    <w:rsid w:val="007F52B5"/>
    <w:rsid w:val="007F5749"/>
    <w:rsid w:val="007F57D3"/>
    <w:rsid w:val="007F6024"/>
    <w:rsid w:val="007F6862"/>
    <w:rsid w:val="007F68DA"/>
    <w:rsid w:val="007F6C81"/>
    <w:rsid w:val="007F6CBB"/>
    <w:rsid w:val="007F7999"/>
    <w:rsid w:val="007F7B26"/>
    <w:rsid w:val="00800491"/>
    <w:rsid w:val="00800F45"/>
    <w:rsid w:val="00801148"/>
    <w:rsid w:val="00802531"/>
    <w:rsid w:val="00803A17"/>
    <w:rsid w:val="00803A31"/>
    <w:rsid w:val="00803B6D"/>
    <w:rsid w:val="0080424B"/>
    <w:rsid w:val="008044CF"/>
    <w:rsid w:val="008049BE"/>
    <w:rsid w:val="00804FD9"/>
    <w:rsid w:val="0080547B"/>
    <w:rsid w:val="00805658"/>
    <w:rsid w:val="00805BC6"/>
    <w:rsid w:val="008066B4"/>
    <w:rsid w:val="00806705"/>
    <w:rsid w:val="00806EA9"/>
    <w:rsid w:val="00807417"/>
    <w:rsid w:val="00807637"/>
    <w:rsid w:val="008076D8"/>
    <w:rsid w:val="008078E6"/>
    <w:rsid w:val="00807A4F"/>
    <w:rsid w:val="008109C6"/>
    <w:rsid w:val="00810D65"/>
    <w:rsid w:val="00811C09"/>
    <w:rsid w:val="008123C5"/>
    <w:rsid w:val="0081297B"/>
    <w:rsid w:val="00812F11"/>
    <w:rsid w:val="00813457"/>
    <w:rsid w:val="008137CD"/>
    <w:rsid w:val="00813968"/>
    <w:rsid w:val="00814198"/>
    <w:rsid w:val="0081482E"/>
    <w:rsid w:val="00814B3F"/>
    <w:rsid w:val="00814C89"/>
    <w:rsid w:val="00815560"/>
    <w:rsid w:val="00815B90"/>
    <w:rsid w:val="00815D08"/>
    <w:rsid w:val="008163D3"/>
    <w:rsid w:val="00816991"/>
    <w:rsid w:val="00816B96"/>
    <w:rsid w:val="008172FA"/>
    <w:rsid w:val="00817674"/>
    <w:rsid w:val="008179C3"/>
    <w:rsid w:val="00817F46"/>
    <w:rsid w:val="00820225"/>
    <w:rsid w:val="00820271"/>
    <w:rsid w:val="008205F6"/>
    <w:rsid w:val="0082066E"/>
    <w:rsid w:val="00820812"/>
    <w:rsid w:val="0082090C"/>
    <w:rsid w:val="00820FE4"/>
    <w:rsid w:val="00821849"/>
    <w:rsid w:val="00821B8D"/>
    <w:rsid w:val="008224B3"/>
    <w:rsid w:val="008226F8"/>
    <w:rsid w:val="00822E03"/>
    <w:rsid w:val="008230E8"/>
    <w:rsid w:val="0082346B"/>
    <w:rsid w:val="008234C7"/>
    <w:rsid w:val="00824263"/>
    <w:rsid w:val="008249B9"/>
    <w:rsid w:val="008263C8"/>
    <w:rsid w:val="00826579"/>
    <w:rsid w:val="00826C05"/>
    <w:rsid w:val="00826F39"/>
    <w:rsid w:val="008272DC"/>
    <w:rsid w:val="008273EE"/>
    <w:rsid w:val="00827B14"/>
    <w:rsid w:val="00827CC5"/>
    <w:rsid w:val="00830054"/>
    <w:rsid w:val="00831F91"/>
    <w:rsid w:val="008321F2"/>
    <w:rsid w:val="008326FC"/>
    <w:rsid w:val="00832D55"/>
    <w:rsid w:val="008330DF"/>
    <w:rsid w:val="00833DB9"/>
    <w:rsid w:val="00833E24"/>
    <w:rsid w:val="0083422E"/>
    <w:rsid w:val="0083464C"/>
    <w:rsid w:val="008349AF"/>
    <w:rsid w:val="00834C0A"/>
    <w:rsid w:val="00835B79"/>
    <w:rsid w:val="00835CFF"/>
    <w:rsid w:val="00835EF7"/>
    <w:rsid w:val="00836272"/>
    <w:rsid w:val="008368F9"/>
    <w:rsid w:val="00836AE6"/>
    <w:rsid w:val="00837138"/>
    <w:rsid w:val="00837471"/>
    <w:rsid w:val="008374EB"/>
    <w:rsid w:val="008377A0"/>
    <w:rsid w:val="008403C2"/>
    <w:rsid w:val="008405D3"/>
    <w:rsid w:val="00840D64"/>
    <w:rsid w:val="00840E90"/>
    <w:rsid w:val="00841A2F"/>
    <w:rsid w:val="00841D35"/>
    <w:rsid w:val="00841E61"/>
    <w:rsid w:val="00842424"/>
    <w:rsid w:val="00842477"/>
    <w:rsid w:val="00842575"/>
    <w:rsid w:val="008426A0"/>
    <w:rsid w:val="008428B1"/>
    <w:rsid w:val="008436C1"/>
    <w:rsid w:val="00843773"/>
    <w:rsid w:val="00844410"/>
    <w:rsid w:val="00844783"/>
    <w:rsid w:val="008447E8"/>
    <w:rsid w:val="00844FFA"/>
    <w:rsid w:val="00845825"/>
    <w:rsid w:val="00845903"/>
    <w:rsid w:val="00845A25"/>
    <w:rsid w:val="00845E57"/>
    <w:rsid w:val="00846254"/>
    <w:rsid w:val="0085037C"/>
    <w:rsid w:val="0085042D"/>
    <w:rsid w:val="0085049E"/>
    <w:rsid w:val="00851346"/>
    <w:rsid w:val="008513E3"/>
    <w:rsid w:val="008514A2"/>
    <w:rsid w:val="00851963"/>
    <w:rsid w:val="00851A66"/>
    <w:rsid w:val="00851DC9"/>
    <w:rsid w:val="008520DD"/>
    <w:rsid w:val="00852AD7"/>
    <w:rsid w:val="0085329E"/>
    <w:rsid w:val="008535EF"/>
    <w:rsid w:val="0085379E"/>
    <w:rsid w:val="008537D1"/>
    <w:rsid w:val="008545CF"/>
    <w:rsid w:val="00854DF4"/>
    <w:rsid w:val="008552B1"/>
    <w:rsid w:val="00855801"/>
    <w:rsid w:val="00855ADB"/>
    <w:rsid w:val="00855BCF"/>
    <w:rsid w:val="008562BE"/>
    <w:rsid w:val="0085647A"/>
    <w:rsid w:val="00856F52"/>
    <w:rsid w:val="008572DD"/>
    <w:rsid w:val="0085774A"/>
    <w:rsid w:val="00857CE5"/>
    <w:rsid w:val="008600A6"/>
    <w:rsid w:val="008600D4"/>
    <w:rsid w:val="0086040E"/>
    <w:rsid w:val="008604C3"/>
    <w:rsid w:val="00860994"/>
    <w:rsid w:val="00860BF8"/>
    <w:rsid w:val="00860EAA"/>
    <w:rsid w:val="00861261"/>
    <w:rsid w:val="008615C5"/>
    <w:rsid w:val="008615DB"/>
    <w:rsid w:val="008616A2"/>
    <w:rsid w:val="00861EA4"/>
    <w:rsid w:val="00862079"/>
    <w:rsid w:val="00863089"/>
    <w:rsid w:val="00863A5F"/>
    <w:rsid w:val="008641B1"/>
    <w:rsid w:val="0086444E"/>
    <w:rsid w:val="0086450A"/>
    <w:rsid w:val="00864569"/>
    <w:rsid w:val="00864A03"/>
    <w:rsid w:val="00865358"/>
    <w:rsid w:val="00865C10"/>
    <w:rsid w:val="00866673"/>
    <w:rsid w:val="00866904"/>
    <w:rsid w:val="00870371"/>
    <w:rsid w:val="0087062B"/>
    <w:rsid w:val="00870891"/>
    <w:rsid w:val="008709E6"/>
    <w:rsid w:val="008715F0"/>
    <w:rsid w:val="00871A02"/>
    <w:rsid w:val="00872026"/>
    <w:rsid w:val="0087286E"/>
    <w:rsid w:val="00872AA2"/>
    <w:rsid w:val="00872B22"/>
    <w:rsid w:val="00872C0D"/>
    <w:rsid w:val="00874748"/>
    <w:rsid w:val="0087554D"/>
    <w:rsid w:val="00875CD2"/>
    <w:rsid w:val="008762CC"/>
    <w:rsid w:val="0087647C"/>
    <w:rsid w:val="00876556"/>
    <w:rsid w:val="00876FAC"/>
    <w:rsid w:val="00876FDC"/>
    <w:rsid w:val="0087712C"/>
    <w:rsid w:val="00877206"/>
    <w:rsid w:val="00877533"/>
    <w:rsid w:val="00877ADD"/>
    <w:rsid w:val="00880B5D"/>
    <w:rsid w:val="00880DD1"/>
    <w:rsid w:val="00880E36"/>
    <w:rsid w:val="00880F7E"/>
    <w:rsid w:val="0088190F"/>
    <w:rsid w:val="0088300C"/>
    <w:rsid w:val="008832DD"/>
    <w:rsid w:val="00884B37"/>
    <w:rsid w:val="00885394"/>
    <w:rsid w:val="008857CC"/>
    <w:rsid w:val="00886B54"/>
    <w:rsid w:val="0088772B"/>
    <w:rsid w:val="008877FC"/>
    <w:rsid w:val="00887AC0"/>
    <w:rsid w:val="00887C0C"/>
    <w:rsid w:val="00887F7B"/>
    <w:rsid w:val="008902F3"/>
    <w:rsid w:val="0089054F"/>
    <w:rsid w:val="00890E77"/>
    <w:rsid w:val="00891798"/>
    <w:rsid w:val="00891D73"/>
    <w:rsid w:val="008922E6"/>
    <w:rsid w:val="00892427"/>
    <w:rsid w:val="00892816"/>
    <w:rsid w:val="0089340F"/>
    <w:rsid w:val="008935B7"/>
    <w:rsid w:val="008940A3"/>
    <w:rsid w:val="00894441"/>
    <w:rsid w:val="0089467C"/>
    <w:rsid w:val="00894C55"/>
    <w:rsid w:val="00895656"/>
    <w:rsid w:val="00895BDF"/>
    <w:rsid w:val="00895C3A"/>
    <w:rsid w:val="00896E06"/>
    <w:rsid w:val="0089722A"/>
    <w:rsid w:val="008972F2"/>
    <w:rsid w:val="008975CD"/>
    <w:rsid w:val="00897AB7"/>
    <w:rsid w:val="008A076D"/>
    <w:rsid w:val="008A13EB"/>
    <w:rsid w:val="008A1568"/>
    <w:rsid w:val="008A201B"/>
    <w:rsid w:val="008A2348"/>
    <w:rsid w:val="008A242C"/>
    <w:rsid w:val="008A2437"/>
    <w:rsid w:val="008A31A1"/>
    <w:rsid w:val="008A45D9"/>
    <w:rsid w:val="008A45EE"/>
    <w:rsid w:val="008A4F45"/>
    <w:rsid w:val="008A55A1"/>
    <w:rsid w:val="008A5611"/>
    <w:rsid w:val="008A6302"/>
    <w:rsid w:val="008A7405"/>
    <w:rsid w:val="008A75E5"/>
    <w:rsid w:val="008A76EE"/>
    <w:rsid w:val="008B11D1"/>
    <w:rsid w:val="008B11D2"/>
    <w:rsid w:val="008B1302"/>
    <w:rsid w:val="008B1B5F"/>
    <w:rsid w:val="008B2525"/>
    <w:rsid w:val="008B25E6"/>
    <w:rsid w:val="008B2C37"/>
    <w:rsid w:val="008B3964"/>
    <w:rsid w:val="008B444A"/>
    <w:rsid w:val="008B4C9D"/>
    <w:rsid w:val="008B4FAB"/>
    <w:rsid w:val="008B4FDD"/>
    <w:rsid w:val="008B591F"/>
    <w:rsid w:val="008B5D97"/>
    <w:rsid w:val="008B72C0"/>
    <w:rsid w:val="008B7AD8"/>
    <w:rsid w:val="008C02B2"/>
    <w:rsid w:val="008C0494"/>
    <w:rsid w:val="008C078F"/>
    <w:rsid w:val="008C09D2"/>
    <w:rsid w:val="008C0CD1"/>
    <w:rsid w:val="008C15DE"/>
    <w:rsid w:val="008C19A7"/>
    <w:rsid w:val="008C1A6B"/>
    <w:rsid w:val="008C304D"/>
    <w:rsid w:val="008C3A26"/>
    <w:rsid w:val="008C4129"/>
    <w:rsid w:val="008C44AD"/>
    <w:rsid w:val="008C4879"/>
    <w:rsid w:val="008C4F84"/>
    <w:rsid w:val="008C5652"/>
    <w:rsid w:val="008C6406"/>
    <w:rsid w:val="008C6D2C"/>
    <w:rsid w:val="008C6EE0"/>
    <w:rsid w:val="008C714B"/>
    <w:rsid w:val="008C7C7A"/>
    <w:rsid w:val="008C7DA8"/>
    <w:rsid w:val="008C7DC6"/>
    <w:rsid w:val="008D01A4"/>
    <w:rsid w:val="008D050E"/>
    <w:rsid w:val="008D13A0"/>
    <w:rsid w:val="008D13D2"/>
    <w:rsid w:val="008D158D"/>
    <w:rsid w:val="008D1673"/>
    <w:rsid w:val="008D1905"/>
    <w:rsid w:val="008D2096"/>
    <w:rsid w:val="008D225C"/>
    <w:rsid w:val="008D23A8"/>
    <w:rsid w:val="008D25FE"/>
    <w:rsid w:val="008D28F8"/>
    <w:rsid w:val="008D381C"/>
    <w:rsid w:val="008D406E"/>
    <w:rsid w:val="008D4315"/>
    <w:rsid w:val="008D4589"/>
    <w:rsid w:val="008D45BB"/>
    <w:rsid w:val="008D46E6"/>
    <w:rsid w:val="008D4D08"/>
    <w:rsid w:val="008D515D"/>
    <w:rsid w:val="008D5A9E"/>
    <w:rsid w:val="008D5E91"/>
    <w:rsid w:val="008D5FA0"/>
    <w:rsid w:val="008D646B"/>
    <w:rsid w:val="008D67C4"/>
    <w:rsid w:val="008D683B"/>
    <w:rsid w:val="008D6847"/>
    <w:rsid w:val="008D7126"/>
    <w:rsid w:val="008D75D4"/>
    <w:rsid w:val="008E01C1"/>
    <w:rsid w:val="008E01C2"/>
    <w:rsid w:val="008E05C0"/>
    <w:rsid w:val="008E07D5"/>
    <w:rsid w:val="008E0C29"/>
    <w:rsid w:val="008E1F19"/>
    <w:rsid w:val="008E202F"/>
    <w:rsid w:val="008E2986"/>
    <w:rsid w:val="008E2F94"/>
    <w:rsid w:val="008E49A5"/>
    <w:rsid w:val="008E544D"/>
    <w:rsid w:val="008E5633"/>
    <w:rsid w:val="008E6942"/>
    <w:rsid w:val="008E76CD"/>
    <w:rsid w:val="008E7770"/>
    <w:rsid w:val="008E7873"/>
    <w:rsid w:val="008F0044"/>
    <w:rsid w:val="008F01B1"/>
    <w:rsid w:val="008F057F"/>
    <w:rsid w:val="008F0D32"/>
    <w:rsid w:val="008F0FB5"/>
    <w:rsid w:val="008F1715"/>
    <w:rsid w:val="008F196F"/>
    <w:rsid w:val="008F1F9B"/>
    <w:rsid w:val="008F2097"/>
    <w:rsid w:val="008F22DE"/>
    <w:rsid w:val="008F2407"/>
    <w:rsid w:val="008F2B04"/>
    <w:rsid w:val="008F30A6"/>
    <w:rsid w:val="008F3679"/>
    <w:rsid w:val="008F45E1"/>
    <w:rsid w:val="008F4729"/>
    <w:rsid w:val="008F535F"/>
    <w:rsid w:val="008F5902"/>
    <w:rsid w:val="008F5914"/>
    <w:rsid w:val="008F5AF5"/>
    <w:rsid w:val="008F5C0A"/>
    <w:rsid w:val="008F5F44"/>
    <w:rsid w:val="008F6BFD"/>
    <w:rsid w:val="008F7889"/>
    <w:rsid w:val="008F78AF"/>
    <w:rsid w:val="008F7AD6"/>
    <w:rsid w:val="008F7F37"/>
    <w:rsid w:val="00900090"/>
    <w:rsid w:val="0090024D"/>
    <w:rsid w:val="0090073A"/>
    <w:rsid w:val="00900CB3"/>
    <w:rsid w:val="00901312"/>
    <w:rsid w:val="00901B82"/>
    <w:rsid w:val="00901FBC"/>
    <w:rsid w:val="00902C17"/>
    <w:rsid w:val="00902D2C"/>
    <w:rsid w:val="00903849"/>
    <w:rsid w:val="00904896"/>
    <w:rsid w:val="009048A6"/>
    <w:rsid w:val="00905A36"/>
    <w:rsid w:val="00905A6C"/>
    <w:rsid w:val="00905E9B"/>
    <w:rsid w:val="00906106"/>
    <w:rsid w:val="00906243"/>
    <w:rsid w:val="009063C1"/>
    <w:rsid w:val="00907074"/>
    <w:rsid w:val="0090766E"/>
    <w:rsid w:val="009078E1"/>
    <w:rsid w:val="009078E4"/>
    <w:rsid w:val="00907C7C"/>
    <w:rsid w:val="009100F7"/>
    <w:rsid w:val="0091013A"/>
    <w:rsid w:val="0091079F"/>
    <w:rsid w:val="009107D4"/>
    <w:rsid w:val="0091083B"/>
    <w:rsid w:val="00911538"/>
    <w:rsid w:val="0091260A"/>
    <w:rsid w:val="0091293F"/>
    <w:rsid w:val="00912F92"/>
    <w:rsid w:val="00913428"/>
    <w:rsid w:val="0091425E"/>
    <w:rsid w:val="00914383"/>
    <w:rsid w:val="009144D1"/>
    <w:rsid w:val="00914B91"/>
    <w:rsid w:val="00914D3D"/>
    <w:rsid w:val="00914DBA"/>
    <w:rsid w:val="0091528F"/>
    <w:rsid w:val="0091649E"/>
    <w:rsid w:val="00917233"/>
    <w:rsid w:val="009174F7"/>
    <w:rsid w:val="009177EB"/>
    <w:rsid w:val="00917FC9"/>
    <w:rsid w:val="009206DC"/>
    <w:rsid w:val="00921670"/>
    <w:rsid w:val="009217E4"/>
    <w:rsid w:val="00921DA3"/>
    <w:rsid w:val="00922433"/>
    <w:rsid w:val="0092282B"/>
    <w:rsid w:val="0092288B"/>
    <w:rsid w:val="009228C0"/>
    <w:rsid w:val="00922AA9"/>
    <w:rsid w:val="00922CE5"/>
    <w:rsid w:val="00922D0E"/>
    <w:rsid w:val="009230AB"/>
    <w:rsid w:val="0092377C"/>
    <w:rsid w:val="00923886"/>
    <w:rsid w:val="00923F0A"/>
    <w:rsid w:val="00924368"/>
    <w:rsid w:val="009243E8"/>
    <w:rsid w:val="00924854"/>
    <w:rsid w:val="00924866"/>
    <w:rsid w:val="009249A5"/>
    <w:rsid w:val="00926515"/>
    <w:rsid w:val="009266AC"/>
    <w:rsid w:val="009277A7"/>
    <w:rsid w:val="009279E4"/>
    <w:rsid w:val="00927A7B"/>
    <w:rsid w:val="009306CF"/>
    <w:rsid w:val="009307A5"/>
    <w:rsid w:val="00930C73"/>
    <w:rsid w:val="009313F3"/>
    <w:rsid w:val="00931A1E"/>
    <w:rsid w:val="00931C5E"/>
    <w:rsid w:val="00932A63"/>
    <w:rsid w:val="00932C29"/>
    <w:rsid w:val="00932CF3"/>
    <w:rsid w:val="009335A2"/>
    <w:rsid w:val="00933ADB"/>
    <w:rsid w:val="00933BF2"/>
    <w:rsid w:val="00933C08"/>
    <w:rsid w:val="0093469E"/>
    <w:rsid w:val="009349E5"/>
    <w:rsid w:val="00934F67"/>
    <w:rsid w:val="0093538B"/>
    <w:rsid w:val="009359E9"/>
    <w:rsid w:val="00935A20"/>
    <w:rsid w:val="00935D19"/>
    <w:rsid w:val="00937442"/>
    <w:rsid w:val="0093786A"/>
    <w:rsid w:val="00937D75"/>
    <w:rsid w:val="00937F71"/>
    <w:rsid w:val="009407F0"/>
    <w:rsid w:val="00940A5D"/>
    <w:rsid w:val="00941A05"/>
    <w:rsid w:val="009420D7"/>
    <w:rsid w:val="009435C2"/>
    <w:rsid w:val="00943D6B"/>
    <w:rsid w:val="00944068"/>
    <w:rsid w:val="009446C3"/>
    <w:rsid w:val="0094472D"/>
    <w:rsid w:val="009448FA"/>
    <w:rsid w:val="00944B07"/>
    <w:rsid w:val="009459A6"/>
    <w:rsid w:val="009459ED"/>
    <w:rsid w:val="00945ACB"/>
    <w:rsid w:val="0094607E"/>
    <w:rsid w:val="00946237"/>
    <w:rsid w:val="00946239"/>
    <w:rsid w:val="00946C03"/>
    <w:rsid w:val="0094772A"/>
    <w:rsid w:val="00947D41"/>
    <w:rsid w:val="00947F79"/>
    <w:rsid w:val="00947FC6"/>
    <w:rsid w:val="0095010F"/>
    <w:rsid w:val="009505F9"/>
    <w:rsid w:val="00950704"/>
    <w:rsid w:val="0095141C"/>
    <w:rsid w:val="009516BA"/>
    <w:rsid w:val="00951E1D"/>
    <w:rsid w:val="00952723"/>
    <w:rsid w:val="009529E9"/>
    <w:rsid w:val="00952B6B"/>
    <w:rsid w:val="00953409"/>
    <w:rsid w:val="009536E5"/>
    <w:rsid w:val="00953C68"/>
    <w:rsid w:val="00953C9A"/>
    <w:rsid w:val="00953DED"/>
    <w:rsid w:val="00954492"/>
    <w:rsid w:val="00954AA9"/>
    <w:rsid w:val="00955209"/>
    <w:rsid w:val="00955264"/>
    <w:rsid w:val="00955490"/>
    <w:rsid w:val="00955639"/>
    <w:rsid w:val="00955FA0"/>
    <w:rsid w:val="009561C3"/>
    <w:rsid w:val="00956874"/>
    <w:rsid w:val="00957036"/>
    <w:rsid w:val="0095724E"/>
    <w:rsid w:val="00957E0E"/>
    <w:rsid w:val="00957E4C"/>
    <w:rsid w:val="00960110"/>
    <w:rsid w:val="00960884"/>
    <w:rsid w:val="00960D9D"/>
    <w:rsid w:val="00960E05"/>
    <w:rsid w:val="00960E9A"/>
    <w:rsid w:val="00960F25"/>
    <w:rsid w:val="00961B03"/>
    <w:rsid w:val="0096201C"/>
    <w:rsid w:val="00962224"/>
    <w:rsid w:val="00962CCF"/>
    <w:rsid w:val="00962E65"/>
    <w:rsid w:val="00962ED2"/>
    <w:rsid w:val="00962F66"/>
    <w:rsid w:val="0096364C"/>
    <w:rsid w:val="0096378E"/>
    <w:rsid w:val="00963F0C"/>
    <w:rsid w:val="00965363"/>
    <w:rsid w:val="009654FF"/>
    <w:rsid w:val="009655E0"/>
    <w:rsid w:val="009658D1"/>
    <w:rsid w:val="00965D19"/>
    <w:rsid w:val="00965D26"/>
    <w:rsid w:val="00965D28"/>
    <w:rsid w:val="00966186"/>
    <w:rsid w:val="0096696E"/>
    <w:rsid w:val="00966994"/>
    <w:rsid w:val="00966CF5"/>
    <w:rsid w:val="009673D1"/>
    <w:rsid w:val="00967A1B"/>
    <w:rsid w:val="00967EEA"/>
    <w:rsid w:val="009704DA"/>
    <w:rsid w:val="009705AA"/>
    <w:rsid w:val="009705C4"/>
    <w:rsid w:val="0097090A"/>
    <w:rsid w:val="009712C0"/>
    <w:rsid w:val="009715FF"/>
    <w:rsid w:val="0097196D"/>
    <w:rsid w:val="00972B3C"/>
    <w:rsid w:val="00972F2C"/>
    <w:rsid w:val="00973C80"/>
    <w:rsid w:val="00973CFC"/>
    <w:rsid w:val="009741CE"/>
    <w:rsid w:val="00974D7F"/>
    <w:rsid w:val="00975118"/>
    <w:rsid w:val="00975917"/>
    <w:rsid w:val="009759B3"/>
    <w:rsid w:val="00975B58"/>
    <w:rsid w:val="00975DA6"/>
    <w:rsid w:val="0097651A"/>
    <w:rsid w:val="009769FD"/>
    <w:rsid w:val="00976A43"/>
    <w:rsid w:val="00976A57"/>
    <w:rsid w:val="00976B7E"/>
    <w:rsid w:val="00976C8B"/>
    <w:rsid w:val="00976F5C"/>
    <w:rsid w:val="00977008"/>
    <w:rsid w:val="0097789B"/>
    <w:rsid w:val="00980377"/>
    <w:rsid w:val="00980D54"/>
    <w:rsid w:val="009814DE"/>
    <w:rsid w:val="00981584"/>
    <w:rsid w:val="009819BD"/>
    <w:rsid w:val="00981D25"/>
    <w:rsid w:val="00982096"/>
    <w:rsid w:val="009820F3"/>
    <w:rsid w:val="009826EA"/>
    <w:rsid w:val="00982729"/>
    <w:rsid w:val="00982A0F"/>
    <w:rsid w:val="00982D78"/>
    <w:rsid w:val="00983459"/>
    <w:rsid w:val="00983DCC"/>
    <w:rsid w:val="0098440D"/>
    <w:rsid w:val="00985322"/>
    <w:rsid w:val="00985347"/>
    <w:rsid w:val="0098593F"/>
    <w:rsid w:val="009862E6"/>
    <w:rsid w:val="00986B52"/>
    <w:rsid w:val="00986C91"/>
    <w:rsid w:val="00987542"/>
    <w:rsid w:val="00987772"/>
    <w:rsid w:val="00987AA8"/>
    <w:rsid w:val="009904CB"/>
    <w:rsid w:val="009905CE"/>
    <w:rsid w:val="00990E19"/>
    <w:rsid w:val="009915C3"/>
    <w:rsid w:val="009916A6"/>
    <w:rsid w:val="0099182E"/>
    <w:rsid w:val="00991A56"/>
    <w:rsid w:val="00992201"/>
    <w:rsid w:val="009924F5"/>
    <w:rsid w:val="00992F0F"/>
    <w:rsid w:val="00992FEE"/>
    <w:rsid w:val="009930DA"/>
    <w:rsid w:val="00993D97"/>
    <w:rsid w:val="009940C9"/>
    <w:rsid w:val="009943ED"/>
    <w:rsid w:val="0099474E"/>
    <w:rsid w:val="00994AF8"/>
    <w:rsid w:val="00995F5E"/>
    <w:rsid w:val="009960CB"/>
    <w:rsid w:val="00996C9E"/>
    <w:rsid w:val="00997462"/>
    <w:rsid w:val="00997712"/>
    <w:rsid w:val="00997A14"/>
    <w:rsid w:val="009A01C2"/>
    <w:rsid w:val="009A0315"/>
    <w:rsid w:val="009A0E2A"/>
    <w:rsid w:val="009A1178"/>
    <w:rsid w:val="009A19D4"/>
    <w:rsid w:val="009A25D1"/>
    <w:rsid w:val="009A2987"/>
    <w:rsid w:val="009A298E"/>
    <w:rsid w:val="009A4032"/>
    <w:rsid w:val="009A40E8"/>
    <w:rsid w:val="009A440F"/>
    <w:rsid w:val="009A5113"/>
    <w:rsid w:val="009A52DB"/>
    <w:rsid w:val="009A542D"/>
    <w:rsid w:val="009A5DD6"/>
    <w:rsid w:val="009A5E73"/>
    <w:rsid w:val="009A610D"/>
    <w:rsid w:val="009A623F"/>
    <w:rsid w:val="009A70DF"/>
    <w:rsid w:val="009A725B"/>
    <w:rsid w:val="009A7341"/>
    <w:rsid w:val="009A7F74"/>
    <w:rsid w:val="009B05CD"/>
    <w:rsid w:val="009B0618"/>
    <w:rsid w:val="009B1054"/>
    <w:rsid w:val="009B112A"/>
    <w:rsid w:val="009B151C"/>
    <w:rsid w:val="009B1D19"/>
    <w:rsid w:val="009B1DD2"/>
    <w:rsid w:val="009B1E22"/>
    <w:rsid w:val="009B1F9F"/>
    <w:rsid w:val="009B2F31"/>
    <w:rsid w:val="009B40CD"/>
    <w:rsid w:val="009B4188"/>
    <w:rsid w:val="009B46D0"/>
    <w:rsid w:val="009B6C86"/>
    <w:rsid w:val="009B7185"/>
    <w:rsid w:val="009B75E7"/>
    <w:rsid w:val="009B78E1"/>
    <w:rsid w:val="009B7B4E"/>
    <w:rsid w:val="009B7CCA"/>
    <w:rsid w:val="009C03A7"/>
    <w:rsid w:val="009C03EF"/>
    <w:rsid w:val="009C0603"/>
    <w:rsid w:val="009C0BE6"/>
    <w:rsid w:val="009C1461"/>
    <w:rsid w:val="009C16C0"/>
    <w:rsid w:val="009C1B94"/>
    <w:rsid w:val="009C1D17"/>
    <w:rsid w:val="009C1D7C"/>
    <w:rsid w:val="009C2106"/>
    <w:rsid w:val="009C2969"/>
    <w:rsid w:val="009C2FC1"/>
    <w:rsid w:val="009C3EB3"/>
    <w:rsid w:val="009C4314"/>
    <w:rsid w:val="009C44FF"/>
    <w:rsid w:val="009C523F"/>
    <w:rsid w:val="009C525B"/>
    <w:rsid w:val="009C5477"/>
    <w:rsid w:val="009C5600"/>
    <w:rsid w:val="009C5F6F"/>
    <w:rsid w:val="009C69A0"/>
    <w:rsid w:val="009C69AB"/>
    <w:rsid w:val="009C7414"/>
    <w:rsid w:val="009C7580"/>
    <w:rsid w:val="009C76A5"/>
    <w:rsid w:val="009D0E0D"/>
    <w:rsid w:val="009D149C"/>
    <w:rsid w:val="009D1EF9"/>
    <w:rsid w:val="009D29D1"/>
    <w:rsid w:val="009D2C57"/>
    <w:rsid w:val="009D2FB0"/>
    <w:rsid w:val="009D3369"/>
    <w:rsid w:val="009D34D7"/>
    <w:rsid w:val="009D3947"/>
    <w:rsid w:val="009D3B4E"/>
    <w:rsid w:val="009D3EA8"/>
    <w:rsid w:val="009D3FD5"/>
    <w:rsid w:val="009D4713"/>
    <w:rsid w:val="009D4A20"/>
    <w:rsid w:val="009D4E31"/>
    <w:rsid w:val="009D60D1"/>
    <w:rsid w:val="009D6641"/>
    <w:rsid w:val="009D6A97"/>
    <w:rsid w:val="009D6D7E"/>
    <w:rsid w:val="009D6EA7"/>
    <w:rsid w:val="009D7A8A"/>
    <w:rsid w:val="009D7B0F"/>
    <w:rsid w:val="009E05DB"/>
    <w:rsid w:val="009E0E45"/>
    <w:rsid w:val="009E1043"/>
    <w:rsid w:val="009E15E4"/>
    <w:rsid w:val="009E1824"/>
    <w:rsid w:val="009E2D3F"/>
    <w:rsid w:val="009E35B6"/>
    <w:rsid w:val="009E3797"/>
    <w:rsid w:val="009E3A59"/>
    <w:rsid w:val="009E3CE3"/>
    <w:rsid w:val="009E45A3"/>
    <w:rsid w:val="009E4A20"/>
    <w:rsid w:val="009E4EDD"/>
    <w:rsid w:val="009E5952"/>
    <w:rsid w:val="009E5F9C"/>
    <w:rsid w:val="009E6294"/>
    <w:rsid w:val="009E63FA"/>
    <w:rsid w:val="009E68BE"/>
    <w:rsid w:val="009E69CB"/>
    <w:rsid w:val="009E73ED"/>
    <w:rsid w:val="009E75FB"/>
    <w:rsid w:val="009E771D"/>
    <w:rsid w:val="009E79F9"/>
    <w:rsid w:val="009E7C0D"/>
    <w:rsid w:val="009E7F06"/>
    <w:rsid w:val="009F00B1"/>
    <w:rsid w:val="009F03CC"/>
    <w:rsid w:val="009F105B"/>
    <w:rsid w:val="009F13C9"/>
    <w:rsid w:val="009F2750"/>
    <w:rsid w:val="009F28AB"/>
    <w:rsid w:val="009F36FA"/>
    <w:rsid w:val="009F43EC"/>
    <w:rsid w:val="009F484A"/>
    <w:rsid w:val="009F48AF"/>
    <w:rsid w:val="009F51E5"/>
    <w:rsid w:val="009F5D4A"/>
    <w:rsid w:val="009F6265"/>
    <w:rsid w:val="009F6CD1"/>
    <w:rsid w:val="009F6F51"/>
    <w:rsid w:val="009F71EC"/>
    <w:rsid w:val="009F738F"/>
    <w:rsid w:val="009F749E"/>
    <w:rsid w:val="009F78EE"/>
    <w:rsid w:val="00A00019"/>
    <w:rsid w:val="00A000DB"/>
    <w:rsid w:val="00A00227"/>
    <w:rsid w:val="00A0088E"/>
    <w:rsid w:val="00A00C2F"/>
    <w:rsid w:val="00A00F06"/>
    <w:rsid w:val="00A013CE"/>
    <w:rsid w:val="00A013FE"/>
    <w:rsid w:val="00A01523"/>
    <w:rsid w:val="00A021B7"/>
    <w:rsid w:val="00A032C9"/>
    <w:rsid w:val="00A03818"/>
    <w:rsid w:val="00A038AB"/>
    <w:rsid w:val="00A0393D"/>
    <w:rsid w:val="00A03C40"/>
    <w:rsid w:val="00A03DE9"/>
    <w:rsid w:val="00A03F52"/>
    <w:rsid w:val="00A03FBA"/>
    <w:rsid w:val="00A052D6"/>
    <w:rsid w:val="00A05B64"/>
    <w:rsid w:val="00A063D4"/>
    <w:rsid w:val="00A067E1"/>
    <w:rsid w:val="00A06B34"/>
    <w:rsid w:val="00A072FD"/>
    <w:rsid w:val="00A10230"/>
    <w:rsid w:val="00A102B5"/>
    <w:rsid w:val="00A10439"/>
    <w:rsid w:val="00A10797"/>
    <w:rsid w:val="00A10E37"/>
    <w:rsid w:val="00A110CC"/>
    <w:rsid w:val="00A1151D"/>
    <w:rsid w:val="00A119D0"/>
    <w:rsid w:val="00A11F46"/>
    <w:rsid w:val="00A12201"/>
    <w:rsid w:val="00A1245B"/>
    <w:rsid w:val="00A12691"/>
    <w:rsid w:val="00A13A78"/>
    <w:rsid w:val="00A13EC2"/>
    <w:rsid w:val="00A141B5"/>
    <w:rsid w:val="00A1423F"/>
    <w:rsid w:val="00A15AF7"/>
    <w:rsid w:val="00A15CBE"/>
    <w:rsid w:val="00A15E1E"/>
    <w:rsid w:val="00A164C9"/>
    <w:rsid w:val="00A16B18"/>
    <w:rsid w:val="00A1719B"/>
    <w:rsid w:val="00A175BC"/>
    <w:rsid w:val="00A17873"/>
    <w:rsid w:val="00A17A06"/>
    <w:rsid w:val="00A200CC"/>
    <w:rsid w:val="00A210C1"/>
    <w:rsid w:val="00A21EC8"/>
    <w:rsid w:val="00A21FA7"/>
    <w:rsid w:val="00A22125"/>
    <w:rsid w:val="00A22775"/>
    <w:rsid w:val="00A228AD"/>
    <w:rsid w:val="00A232F7"/>
    <w:rsid w:val="00A233B6"/>
    <w:rsid w:val="00A23B97"/>
    <w:rsid w:val="00A2420F"/>
    <w:rsid w:val="00A24C5E"/>
    <w:rsid w:val="00A25606"/>
    <w:rsid w:val="00A259DF"/>
    <w:rsid w:val="00A25A99"/>
    <w:rsid w:val="00A25ACB"/>
    <w:rsid w:val="00A26B2D"/>
    <w:rsid w:val="00A27249"/>
    <w:rsid w:val="00A273A8"/>
    <w:rsid w:val="00A27DAC"/>
    <w:rsid w:val="00A30F28"/>
    <w:rsid w:val="00A31DCB"/>
    <w:rsid w:val="00A31ECA"/>
    <w:rsid w:val="00A3239D"/>
    <w:rsid w:val="00A333B1"/>
    <w:rsid w:val="00A33CBC"/>
    <w:rsid w:val="00A34211"/>
    <w:rsid w:val="00A34772"/>
    <w:rsid w:val="00A34971"/>
    <w:rsid w:val="00A3551E"/>
    <w:rsid w:val="00A358DE"/>
    <w:rsid w:val="00A35D33"/>
    <w:rsid w:val="00A3685B"/>
    <w:rsid w:val="00A36B0D"/>
    <w:rsid w:val="00A371AA"/>
    <w:rsid w:val="00A374C6"/>
    <w:rsid w:val="00A37CCE"/>
    <w:rsid w:val="00A37FDE"/>
    <w:rsid w:val="00A40831"/>
    <w:rsid w:val="00A40A86"/>
    <w:rsid w:val="00A40CFA"/>
    <w:rsid w:val="00A4171C"/>
    <w:rsid w:val="00A4179C"/>
    <w:rsid w:val="00A43278"/>
    <w:rsid w:val="00A43ED8"/>
    <w:rsid w:val="00A43EEE"/>
    <w:rsid w:val="00A44D76"/>
    <w:rsid w:val="00A451F5"/>
    <w:rsid w:val="00A4561B"/>
    <w:rsid w:val="00A4573E"/>
    <w:rsid w:val="00A45C76"/>
    <w:rsid w:val="00A462B7"/>
    <w:rsid w:val="00A46485"/>
    <w:rsid w:val="00A46EC5"/>
    <w:rsid w:val="00A500E9"/>
    <w:rsid w:val="00A5050C"/>
    <w:rsid w:val="00A509E5"/>
    <w:rsid w:val="00A50F5E"/>
    <w:rsid w:val="00A510F2"/>
    <w:rsid w:val="00A519E1"/>
    <w:rsid w:val="00A51B77"/>
    <w:rsid w:val="00A52079"/>
    <w:rsid w:val="00A520EE"/>
    <w:rsid w:val="00A52187"/>
    <w:rsid w:val="00A5272E"/>
    <w:rsid w:val="00A52C04"/>
    <w:rsid w:val="00A53C8D"/>
    <w:rsid w:val="00A54F7A"/>
    <w:rsid w:val="00A55B68"/>
    <w:rsid w:val="00A563D7"/>
    <w:rsid w:val="00A570FA"/>
    <w:rsid w:val="00A57C1E"/>
    <w:rsid w:val="00A57D62"/>
    <w:rsid w:val="00A57E7E"/>
    <w:rsid w:val="00A605E5"/>
    <w:rsid w:val="00A605F9"/>
    <w:rsid w:val="00A60C5A"/>
    <w:rsid w:val="00A61C5C"/>
    <w:rsid w:val="00A61FA5"/>
    <w:rsid w:val="00A623EA"/>
    <w:rsid w:val="00A625B3"/>
    <w:rsid w:val="00A62640"/>
    <w:rsid w:val="00A62737"/>
    <w:rsid w:val="00A62B3F"/>
    <w:rsid w:val="00A63A5D"/>
    <w:rsid w:val="00A63F75"/>
    <w:rsid w:val="00A6406F"/>
    <w:rsid w:val="00A6412C"/>
    <w:rsid w:val="00A644D6"/>
    <w:rsid w:val="00A65997"/>
    <w:rsid w:val="00A65F86"/>
    <w:rsid w:val="00A66082"/>
    <w:rsid w:val="00A662BE"/>
    <w:rsid w:val="00A66C95"/>
    <w:rsid w:val="00A66C9F"/>
    <w:rsid w:val="00A66F55"/>
    <w:rsid w:val="00A6750B"/>
    <w:rsid w:val="00A67925"/>
    <w:rsid w:val="00A6799C"/>
    <w:rsid w:val="00A715AF"/>
    <w:rsid w:val="00A71943"/>
    <w:rsid w:val="00A72401"/>
    <w:rsid w:val="00A72A72"/>
    <w:rsid w:val="00A72B5C"/>
    <w:rsid w:val="00A72E9D"/>
    <w:rsid w:val="00A73042"/>
    <w:rsid w:val="00A73540"/>
    <w:rsid w:val="00A735FD"/>
    <w:rsid w:val="00A73E76"/>
    <w:rsid w:val="00A74C08"/>
    <w:rsid w:val="00A74E69"/>
    <w:rsid w:val="00A74EBC"/>
    <w:rsid w:val="00A74FB0"/>
    <w:rsid w:val="00A7518F"/>
    <w:rsid w:val="00A753DB"/>
    <w:rsid w:val="00A75850"/>
    <w:rsid w:val="00A75B79"/>
    <w:rsid w:val="00A765FC"/>
    <w:rsid w:val="00A7671E"/>
    <w:rsid w:val="00A76800"/>
    <w:rsid w:val="00A76857"/>
    <w:rsid w:val="00A7751E"/>
    <w:rsid w:val="00A80011"/>
    <w:rsid w:val="00A800B0"/>
    <w:rsid w:val="00A809DB"/>
    <w:rsid w:val="00A812D8"/>
    <w:rsid w:val="00A81935"/>
    <w:rsid w:val="00A824B4"/>
    <w:rsid w:val="00A8306B"/>
    <w:rsid w:val="00A83348"/>
    <w:rsid w:val="00A8374A"/>
    <w:rsid w:val="00A8397A"/>
    <w:rsid w:val="00A83E4C"/>
    <w:rsid w:val="00A84284"/>
    <w:rsid w:val="00A84391"/>
    <w:rsid w:val="00A843E9"/>
    <w:rsid w:val="00A84B5F"/>
    <w:rsid w:val="00A850A5"/>
    <w:rsid w:val="00A85DB9"/>
    <w:rsid w:val="00A866AA"/>
    <w:rsid w:val="00A868F1"/>
    <w:rsid w:val="00A87AEC"/>
    <w:rsid w:val="00A902D1"/>
    <w:rsid w:val="00A904F8"/>
    <w:rsid w:val="00A9097D"/>
    <w:rsid w:val="00A914E5"/>
    <w:rsid w:val="00A91F5F"/>
    <w:rsid w:val="00A9225D"/>
    <w:rsid w:val="00A92292"/>
    <w:rsid w:val="00A922A6"/>
    <w:rsid w:val="00A92BB0"/>
    <w:rsid w:val="00A93A4A"/>
    <w:rsid w:val="00A93C6C"/>
    <w:rsid w:val="00A9552B"/>
    <w:rsid w:val="00A956BE"/>
    <w:rsid w:val="00A95879"/>
    <w:rsid w:val="00A96009"/>
    <w:rsid w:val="00A965DA"/>
    <w:rsid w:val="00A96688"/>
    <w:rsid w:val="00A96828"/>
    <w:rsid w:val="00A96F51"/>
    <w:rsid w:val="00A9755B"/>
    <w:rsid w:val="00A978F7"/>
    <w:rsid w:val="00A97A61"/>
    <w:rsid w:val="00A97EEE"/>
    <w:rsid w:val="00AA0E3D"/>
    <w:rsid w:val="00AA1262"/>
    <w:rsid w:val="00AA14CB"/>
    <w:rsid w:val="00AA163E"/>
    <w:rsid w:val="00AA183D"/>
    <w:rsid w:val="00AA1B93"/>
    <w:rsid w:val="00AA1CE2"/>
    <w:rsid w:val="00AA1DAA"/>
    <w:rsid w:val="00AA264E"/>
    <w:rsid w:val="00AA2798"/>
    <w:rsid w:val="00AA2901"/>
    <w:rsid w:val="00AA2978"/>
    <w:rsid w:val="00AA3A50"/>
    <w:rsid w:val="00AA3FBE"/>
    <w:rsid w:val="00AA4112"/>
    <w:rsid w:val="00AA41D3"/>
    <w:rsid w:val="00AA42D3"/>
    <w:rsid w:val="00AA4373"/>
    <w:rsid w:val="00AA472C"/>
    <w:rsid w:val="00AA4793"/>
    <w:rsid w:val="00AA4B0E"/>
    <w:rsid w:val="00AA4CD6"/>
    <w:rsid w:val="00AA4E28"/>
    <w:rsid w:val="00AA550D"/>
    <w:rsid w:val="00AA58FE"/>
    <w:rsid w:val="00AA5DE7"/>
    <w:rsid w:val="00AA5DEE"/>
    <w:rsid w:val="00AA6982"/>
    <w:rsid w:val="00AA7409"/>
    <w:rsid w:val="00AB0052"/>
    <w:rsid w:val="00AB06D9"/>
    <w:rsid w:val="00AB08D1"/>
    <w:rsid w:val="00AB1353"/>
    <w:rsid w:val="00AB1F4C"/>
    <w:rsid w:val="00AB2117"/>
    <w:rsid w:val="00AB26DA"/>
    <w:rsid w:val="00AB30EF"/>
    <w:rsid w:val="00AB351D"/>
    <w:rsid w:val="00AB484F"/>
    <w:rsid w:val="00AB4DB6"/>
    <w:rsid w:val="00AB4DC7"/>
    <w:rsid w:val="00AB5288"/>
    <w:rsid w:val="00AB57FD"/>
    <w:rsid w:val="00AB5C59"/>
    <w:rsid w:val="00AB6008"/>
    <w:rsid w:val="00AB6252"/>
    <w:rsid w:val="00AB65F0"/>
    <w:rsid w:val="00AC064C"/>
    <w:rsid w:val="00AC0651"/>
    <w:rsid w:val="00AC087C"/>
    <w:rsid w:val="00AC0C6F"/>
    <w:rsid w:val="00AC13F9"/>
    <w:rsid w:val="00AC170A"/>
    <w:rsid w:val="00AC209F"/>
    <w:rsid w:val="00AC2126"/>
    <w:rsid w:val="00AC21DB"/>
    <w:rsid w:val="00AC2220"/>
    <w:rsid w:val="00AC2667"/>
    <w:rsid w:val="00AC2B4B"/>
    <w:rsid w:val="00AC30BA"/>
    <w:rsid w:val="00AC3503"/>
    <w:rsid w:val="00AC39F7"/>
    <w:rsid w:val="00AC46C4"/>
    <w:rsid w:val="00AC4EA1"/>
    <w:rsid w:val="00AC51FE"/>
    <w:rsid w:val="00AC5342"/>
    <w:rsid w:val="00AC6AF8"/>
    <w:rsid w:val="00AC71FF"/>
    <w:rsid w:val="00AC7215"/>
    <w:rsid w:val="00AC7C43"/>
    <w:rsid w:val="00AD01A8"/>
    <w:rsid w:val="00AD07B5"/>
    <w:rsid w:val="00AD0A6A"/>
    <w:rsid w:val="00AD1030"/>
    <w:rsid w:val="00AD1476"/>
    <w:rsid w:val="00AD1DB3"/>
    <w:rsid w:val="00AD2307"/>
    <w:rsid w:val="00AD259E"/>
    <w:rsid w:val="00AD25C4"/>
    <w:rsid w:val="00AD265C"/>
    <w:rsid w:val="00AD2CA2"/>
    <w:rsid w:val="00AD3197"/>
    <w:rsid w:val="00AD3729"/>
    <w:rsid w:val="00AD3902"/>
    <w:rsid w:val="00AD3AB3"/>
    <w:rsid w:val="00AD3D4B"/>
    <w:rsid w:val="00AD43D6"/>
    <w:rsid w:val="00AD45DE"/>
    <w:rsid w:val="00AD4637"/>
    <w:rsid w:val="00AD4C01"/>
    <w:rsid w:val="00AD4CB4"/>
    <w:rsid w:val="00AD4D5A"/>
    <w:rsid w:val="00AD50B5"/>
    <w:rsid w:val="00AD5828"/>
    <w:rsid w:val="00AD5A76"/>
    <w:rsid w:val="00AD5B4D"/>
    <w:rsid w:val="00AD5CF3"/>
    <w:rsid w:val="00AD5DDD"/>
    <w:rsid w:val="00AD6E7D"/>
    <w:rsid w:val="00AD7211"/>
    <w:rsid w:val="00AE015D"/>
    <w:rsid w:val="00AE0E8A"/>
    <w:rsid w:val="00AE0FC1"/>
    <w:rsid w:val="00AE10F6"/>
    <w:rsid w:val="00AE1248"/>
    <w:rsid w:val="00AE1692"/>
    <w:rsid w:val="00AE1884"/>
    <w:rsid w:val="00AE1B80"/>
    <w:rsid w:val="00AE29C0"/>
    <w:rsid w:val="00AE2C14"/>
    <w:rsid w:val="00AE405E"/>
    <w:rsid w:val="00AE4D95"/>
    <w:rsid w:val="00AE4DD5"/>
    <w:rsid w:val="00AE5DFB"/>
    <w:rsid w:val="00AE63FC"/>
    <w:rsid w:val="00AE6BAF"/>
    <w:rsid w:val="00AE71CB"/>
    <w:rsid w:val="00AE75E9"/>
    <w:rsid w:val="00AF0660"/>
    <w:rsid w:val="00AF1100"/>
    <w:rsid w:val="00AF208E"/>
    <w:rsid w:val="00AF2860"/>
    <w:rsid w:val="00AF2905"/>
    <w:rsid w:val="00AF3852"/>
    <w:rsid w:val="00AF3882"/>
    <w:rsid w:val="00AF3D4A"/>
    <w:rsid w:val="00AF3D6B"/>
    <w:rsid w:val="00AF40BB"/>
    <w:rsid w:val="00AF4A41"/>
    <w:rsid w:val="00AF5337"/>
    <w:rsid w:val="00AF5C0C"/>
    <w:rsid w:val="00AF600A"/>
    <w:rsid w:val="00AF632C"/>
    <w:rsid w:val="00AF633D"/>
    <w:rsid w:val="00AF646F"/>
    <w:rsid w:val="00AF65DC"/>
    <w:rsid w:val="00AF6B53"/>
    <w:rsid w:val="00AF778C"/>
    <w:rsid w:val="00AF7B9B"/>
    <w:rsid w:val="00B0031C"/>
    <w:rsid w:val="00B006FF"/>
    <w:rsid w:val="00B00A5D"/>
    <w:rsid w:val="00B00FD6"/>
    <w:rsid w:val="00B0114B"/>
    <w:rsid w:val="00B01DD6"/>
    <w:rsid w:val="00B01EBA"/>
    <w:rsid w:val="00B0214B"/>
    <w:rsid w:val="00B025EF"/>
    <w:rsid w:val="00B02B0A"/>
    <w:rsid w:val="00B02C91"/>
    <w:rsid w:val="00B02E77"/>
    <w:rsid w:val="00B0324F"/>
    <w:rsid w:val="00B0358B"/>
    <w:rsid w:val="00B035C5"/>
    <w:rsid w:val="00B03965"/>
    <w:rsid w:val="00B03E4C"/>
    <w:rsid w:val="00B048CF"/>
    <w:rsid w:val="00B048F7"/>
    <w:rsid w:val="00B04C10"/>
    <w:rsid w:val="00B04D20"/>
    <w:rsid w:val="00B050F3"/>
    <w:rsid w:val="00B056C3"/>
    <w:rsid w:val="00B06501"/>
    <w:rsid w:val="00B06B93"/>
    <w:rsid w:val="00B07705"/>
    <w:rsid w:val="00B07805"/>
    <w:rsid w:val="00B07D4D"/>
    <w:rsid w:val="00B100B9"/>
    <w:rsid w:val="00B10606"/>
    <w:rsid w:val="00B10A76"/>
    <w:rsid w:val="00B11D09"/>
    <w:rsid w:val="00B12048"/>
    <w:rsid w:val="00B12189"/>
    <w:rsid w:val="00B129F6"/>
    <w:rsid w:val="00B12AC5"/>
    <w:rsid w:val="00B13302"/>
    <w:rsid w:val="00B13E9C"/>
    <w:rsid w:val="00B13F7B"/>
    <w:rsid w:val="00B14306"/>
    <w:rsid w:val="00B144CF"/>
    <w:rsid w:val="00B1497A"/>
    <w:rsid w:val="00B149B8"/>
    <w:rsid w:val="00B14B3E"/>
    <w:rsid w:val="00B1561B"/>
    <w:rsid w:val="00B158FC"/>
    <w:rsid w:val="00B15E44"/>
    <w:rsid w:val="00B15F7F"/>
    <w:rsid w:val="00B168CF"/>
    <w:rsid w:val="00B16988"/>
    <w:rsid w:val="00B16D96"/>
    <w:rsid w:val="00B16DD0"/>
    <w:rsid w:val="00B20515"/>
    <w:rsid w:val="00B207E1"/>
    <w:rsid w:val="00B209A4"/>
    <w:rsid w:val="00B214F4"/>
    <w:rsid w:val="00B21633"/>
    <w:rsid w:val="00B21708"/>
    <w:rsid w:val="00B21E13"/>
    <w:rsid w:val="00B220B6"/>
    <w:rsid w:val="00B221F2"/>
    <w:rsid w:val="00B2236E"/>
    <w:rsid w:val="00B2384E"/>
    <w:rsid w:val="00B23C81"/>
    <w:rsid w:val="00B23C9C"/>
    <w:rsid w:val="00B2531A"/>
    <w:rsid w:val="00B25D66"/>
    <w:rsid w:val="00B26606"/>
    <w:rsid w:val="00B26802"/>
    <w:rsid w:val="00B26C30"/>
    <w:rsid w:val="00B26DE6"/>
    <w:rsid w:val="00B272B2"/>
    <w:rsid w:val="00B27B46"/>
    <w:rsid w:val="00B30157"/>
    <w:rsid w:val="00B3080F"/>
    <w:rsid w:val="00B309C2"/>
    <w:rsid w:val="00B32022"/>
    <w:rsid w:val="00B32040"/>
    <w:rsid w:val="00B32394"/>
    <w:rsid w:val="00B3261B"/>
    <w:rsid w:val="00B330FE"/>
    <w:rsid w:val="00B33134"/>
    <w:rsid w:val="00B33236"/>
    <w:rsid w:val="00B338EE"/>
    <w:rsid w:val="00B33B4C"/>
    <w:rsid w:val="00B3454A"/>
    <w:rsid w:val="00B346B2"/>
    <w:rsid w:val="00B34765"/>
    <w:rsid w:val="00B34E1D"/>
    <w:rsid w:val="00B34E6F"/>
    <w:rsid w:val="00B34EDB"/>
    <w:rsid w:val="00B354E3"/>
    <w:rsid w:val="00B35DE8"/>
    <w:rsid w:val="00B364CB"/>
    <w:rsid w:val="00B367BD"/>
    <w:rsid w:val="00B37294"/>
    <w:rsid w:val="00B373F4"/>
    <w:rsid w:val="00B374E2"/>
    <w:rsid w:val="00B37DF0"/>
    <w:rsid w:val="00B37E94"/>
    <w:rsid w:val="00B407DA"/>
    <w:rsid w:val="00B41A54"/>
    <w:rsid w:val="00B41FB2"/>
    <w:rsid w:val="00B42BE4"/>
    <w:rsid w:val="00B42C9F"/>
    <w:rsid w:val="00B42F6D"/>
    <w:rsid w:val="00B43541"/>
    <w:rsid w:val="00B435AE"/>
    <w:rsid w:val="00B436F8"/>
    <w:rsid w:val="00B43C07"/>
    <w:rsid w:val="00B44424"/>
    <w:rsid w:val="00B4484D"/>
    <w:rsid w:val="00B44B23"/>
    <w:rsid w:val="00B44D0B"/>
    <w:rsid w:val="00B45D05"/>
    <w:rsid w:val="00B45F37"/>
    <w:rsid w:val="00B4612E"/>
    <w:rsid w:val="00B4769C"/>
    <w:rsid w:val="00B502FA"/>
    <w:rsid w:val="00B51B22"/>
    <w:rsid w:val="00B51E55"/>
    <w:rsid w:val="00B52D51"/>
    <w:rsid w:val="00B531E3"/>
    <w:rsid w:val="00B5416A"/>
    <w:rsid w:val="00B5493A"/>
    <w:rsid w:val="00B549D6"/>
    <w:rsid w:val="00B54CAA"/>
    <w:rsid w:val="00B54D95"/>
    <w:rsid w:val="00B55D17"/>
    <w:rsid w:val="00B5611C"/>
    <w:rsid w:val="00B57CB6"/>
    <w:rsid w:val="00B61438"/>
    <w:rsid w:val="00B618A1"/>
    <w:rsid w:val="00B61EC2"/>
    <w:rsid w:val="00B621F7"/>
    <w:rsid w:val="00B622DF"/>
    <w:rsid w:val="00B626BA"/>
    <w:rsid w:val="00B627F9"/>
    <w:rsid w:val="00B62B94"/>
    <w:rsid w:val="00B633D2"/>
    <w:rsid w:val="00B63699"/>
    <w:rsid w:val="00B63832"/>
    <w:rsid w:val="00B63D21"/>
    <w:rsid w:val="00B640A1"/>
    <w:rsid w:val="00B640D8"/>
    <w:rsid w:val="00B6426C"/>
    <w:rsid w:val="00B64D1A"/>
    <w:rsid w:val="00B64F49"/>
    <w:rsid w:val="00B65458"/>
    <w:rsid w:val="00B65565"/>
    <w:rsid w:val="00B65B89"/>
    <w:rsid w:val="00B65D8B"/>
    <w:rsid w:val="00B66760"/>
    <w:rsid w:val="00B66B3B"/>
    <w:rsid w:val="00B66D92"/>
    <w:rsid w:val="00B66F5A"/>
    <w:rsid w:val="00B66F96"/>
    <w:rsid w:val="00B6744C"/>
    <w:rsid w:val="00B67632"/>
    <w:rsid w:val="00B67E6A"/>
    <w:rsid w:val="00B703A4"/>
    <w:rsid w:val="00B706FD"/>
    <w:rsid w:val="00B70789"/>
    <w:rsid w:val="00B70D11"/>
    <w:rsid w:val="00B70D15"/>
    <w:rsid w:val="00B71100"/>
    <w:rsid w:val="00B71577"/>
    <w:rsid w:val="00B71647"/>
    <w:rsid w:val="00B71B7F"/>
    <w:rsid w:val="00B71FE4"/>
    <w:rsid w:val="00B72074"/>
    <w:rsid w:val="00B721F6"/>
    <w:rsid w:val="00B72375"/>
    <w:rsid w:val="00B72B6D"/>
    <w:rsid w:val="00B7316E"/>
    <w:rsid w:val="00B734B2"/>
    <w:rsid w:val="00B73E7A"/>
    <w:rsid w:val="00B74047"/>
    <w:rsid w:val="00B74457"/>
    <w:rsid w:val="00B74C19"/>
    <w:rsid w:val="00B7511C"/>
    <w:rsid w:val="00B755F7"/>
    <w:rsid w:val="00B75B64"/>
    <w:rsid w:val="00B75D42"/>
    <w:rsid w:val="00B76F25"/>
    <w:rsid w:val="00B7733E"/>
    <w:rsid w:val="00B77D1A"/>
    <w:rsid w:val="00B80452"/>
    <w:rsid w:val="00B80C05"/>
    <w:rsid w:val="00B811C3"/>
    <w:rsid w:val="00B818EF"/>
    <w:rsid w:val="00B81C75"/>
    <w:rsid w:val="00B822AB"/>
    <w:rsid w:val="00B824CA"/>
    <w:rsid w:val="00B82925"/>
    <w:rsid w:val="00B8336D"/>
    <w:rsid w:val="00B837C4"/>
    <w:rsid w:val="00B84401"/>
    <w:rsid w:val="00B8580C"/>
    <w:rsid w:val="00B85AF1"/>
    <w:rsid w:val="00B86236"/>
    <w:rsid w:val="00B863D6"/>
    <w:rsid w:val="00B8720E"/>
    <w:rsid w:val="00B87D9B"/>
    <w:rsid w:val="00B900D5"/>
    <w:rsid w:val="00B904F8"/>
    <w:rsid w:val="00B90886"/>
    <w:rsid w:val="00B9168A"/>
    <w:rsid w:val="00B918B6"/>
    <w:rsid w:val="00B91C4C"/>
    <w:rsid w:val="00B929DA"/>
    <w:rsid w:val="00B92F36"/>
    <w:rsid w:val="00B93201"/>
    <w:rsid w:val="00B93900"/>
    <w:rsid w:val="00B93AB4"/>
    <w:rsid w:val="00B946E6"/>
    <w:rsid w:val="00B947F8"/>
    <w:rsid w:val="00B94830"/>
    <w:rsid w:val="00B94FC1"/>
    <w:rsid w:val="00B94FF6"/>
    <w:rsid w:val="00B95518"/>
    <w:rsid w:val="00B955E0"/>
    <w:rsid w:val="00B95FA9"/>
    <w:rsid w:val="00B96F87"/>
    <w:rsid w:val="00B97523"/>
    <w:rsid w:val="00B976D4"/>
    <w:rsid w:val="00B97923"/>
    <w:rsid w:val="00B97CD6"/>
    <w:rsid w:val="00B97CE9"/>
    <w:rsid w:val="00BA048E"/>
    <w:rsid w:val="00BA0594"/>
    <w:rsid w:val="00BA09B1"/>
    <w:rsid w:val="00BA0BF6"/>
    <w:rsid w:val="00BA0C73"/>
    <w:rsid w:val="00BA1551"/>
    <w:rsid w:val="00BA1B90"/>
    <w:rsid w:val="00BA2164"/>
    <w:rsid w:val="00BA2375"/>
    <w:rsid w:val="00BA3261"/>
    <w:rsid w:val="00BA35E3"/>
    <w:rsid w:val="00BA3914"/>
    <w:rsid w:val="00BA4C15"/>
    <w:rsid w:val="00BA5263"/>
    <w:rsid w:val="00BA5332"/>
    <w:rsid w:val="00BA5852"/>
    <w:rsid w:val="00BA58EB"/>
    <w:rsid w:val="00BA5A0A"/>
    <w:rsid w:val="00BA746D"/>
    <w:rsid w:val="00BA78E9"/>
    <w:rsid w:val="00BA7A4B"/>
    <w:rsid w:val="00BA7C3B"/>
    <w:rsid w:val="00BB03E8"/>
    <w:rsid w:val="00BB07DF"/>
    <w:rsid w:val="00BB16DF"/>
    <w:rsid w:val="00BB1928"/>
    <w:rsid w:val="00BB1B56"/>
    <w:rsid w:val="00BB2472"/>
    <w:rsid w:val="00BB24E5"/>
    <w:rsid w:val="00BB25AB"/>
    <w:rsid w:val="00BB2D48"/>
    <w:rsid w:val="00BB37E0"/>
    <w:rsid w:val="00BB39DB"/>
    <w:rsid w:val="00BB3A7F"/>
    <w:rsid w:val="00BB4161"/>
    <w:rsid w:val="00BB48A9"/>
    <w:rsid w:val="00BB4BC6"/>
    <w:rsid w:val="00BB4F81"/>
    <w:rsid w:val="00BB5336"/>
    <w:rsid w:val="00BB65E2"/>
    <w:rsid w:val="00BB75B1"/>
    <w:rsid w:val="00BB7E5A"/>
    <w:rsid w:val="00BB7F02"/>
    <w:rsid w:val="00BC0231"/>
    <w:rsid w:val="00BC02AD"/>
    <w:rsid w:val="00BC0E65"/>
    <w:rsid w:val="00BC11DF"/>
    <w:rsid w:val="00BC1414"/>
    <w:rsid w:val="00BC147C"/>
    <w:rsid w:val="00BC1697"/>
    <w:rsid w:val="00BC1C54"/>
    <w:rsid w:val="00BC249C"/>
    <w:rsid w:val="00BC3337"/>
    <w:rsid w:val="00BC3385"/>
    <w:rsid w:val="00BC3D86"/>
    <w:rsid w:val="00BC4192"/>
    <w:rsid w:val="00BC41F8"/>
    <w:rsid w:val="00BC4B1D"/>
    <w:rsid w:val="00BC5898"/>
    <w:rsid w:val="00BC69E0"/>
    <w:rsid w:val="00BC7189"/>
    <w:rsid w:val="00BC7197"/>
    <w:rsid w:val="00BC7533"/>
    <w:rsid w:val="00BC7606"/>
    <w:rsid w:val="00BC7E38"/>
    <w:rsid w:val="00BD06C0"/>
    <w:rsid w:val="00BD07B2"/>
    <w:rsid w:val="00BD0B2D"/>
    <w:rsid w:val="00BD0CAB"/>
    <w:rsid w:val="00BD1048"/>
    <w:rsid w:val="00BD1067"/>
    <w:rsid w:val="00BD1188"/>
    <w:rsid w:val="00BD11B1"/>
    <w:rsid w:val="00BD1D84"/>
    <w:rsid w:val="00BD1E09"/>
    <w:rsid w:val="00BD2263"/>
    <w:rsid w:val="00BD27F7"/>
    <w:rsid w:val="00BD2F80"/>
    <w:rsid w:val="00BD3391"/>
    <w:rsid w:val="00BD3BE3"/>
    <w:rsid w:val="00BD3FC5"/>
    <w:rsid w:val="00BD43A1"/>
    <w:rsid w:val="00BD43E3"/>
    <w:rsid w:val="00BD49B4"/>
    <w:rsid w:val="00BD4FAA"/>
    <w:rsid w:val="00BD521D"/>
    <w:rsid w:val="00BD5256"/>
    <w:rsid w:val="00BD573D"/>
    <w:rsid w:val="00BD591E"/>
    <w:rsid w:val="00BD6024"/>
    <w:rsid w:val="00BD6C3E"/>
    <w:rsid w:val="00BD6D50"/>
    <w:rsid w:val="00BD6D6D"/>
    <w:rsid w:val="00BD799B"/>
    <w:rsid w:val="00BD7D8E"/>
    <w:rsid w:val="00BD7EAD"/>
    <w:rsid w:val="00BD7EF3"/>
    <w:rsid w:val="00BE0212"/>
    <w:rsid w:val="00BE05DF"/>
    <w:rsid w:val="00BE0666"/>
    <w:rsid w:val="00BE08B8"/>
    <w:rsid w:val="00BE13C1"/>
    <w:rsid w:val="00BE1A14"/>
    <w:rsid w:val="00BE1FDD"/>
    <w:rsid w:val="00BE20DC"/>
    <w:rsid w:val="00BE24D1"/>
    <w:rsid w:val="00BE2587"/>
    <w:rsid w:val="00BE2B6D"/>
    <w:rsid w:val="00BE2FCE"/>
    <w:rsid w:val="00BE35BA"/>
    <w:rsid w:val="00BE4440"/>
    <w:rsid w:val="00BE4646"/>
    <w:rsid w:val="00BE47EF"/>
    <w:rsid w:val="00BE4A78"/>
    <w:rsid w:val="00BE5812"/>
    <w:rsid w:val="00BE5ABE"/>
    <w:rsid w:val="00BE5DB1"/>
    <w:rsid w:val="00BE5EA0"/>
    <w:rsid w:val="00BE5F53"/>
    <w:rsid w:val="00BE5F99"/>
    <w:rsid w:val="00BE6176"/>
    <w:rsid w:val="00BE6C84"/>
    <w:rsid w:val="00BE7E37"/>
    <w:rsid w:val="00BF0741"/>
    <w:rsid w:val="00BF078C"/>
    <w:rsid w:val="00BF14F2"/>
    <w:rsid w:val="00BF14F6"/>
    <w:rsid w:val="00BF2297"/>
    <w:rsid w:val="00BF2618"/>
    <w:rsid w:val="00BF275E"/>
    <w:rsid w:val="00BF398F"/>
    <w:rsid w:val="00BF3C0C"/>
    <w:rsid w:val="00BF4867"/>
    <w:rsid w:val="00BF5923"/>
    <w:rsid w:val="00BF5D7B"/>
    <w:rsid w:val="00BF5F09"/>
    <w:rsid w:val="00BF615E"/>
    <w:rsid w:val="00BF6356"/>
    <w:rsid w:val="00BF640C"/>
    <w:rsid w:val="00BF79A3"/>
    <w:rsid w:val="00BF7F93"/>
    <w:rsid w:val="00C01CD4"/>
    <w:rsid w:val="00C01DF4"/>
    <w:rsid w:val="00C020BE"/>
    <w:rsid w:val="00C024DF"/>
    <w:rsid w:val="00C0289C"/>
    <w:rsid w:val="00C028AA"/>
    <w:rsid w:val="00C02F95"/>
    <w:rsid w:val="00C0338C"/>
    <w:rsid w:val="00C0368F"/>
    <w:rsid w:val="00C038F5"/>
    <w:rsid w:val="00C044C8"/>
    <w:rsid w:val="00C0470C"/>
    <w:rsid w:val="00C050E9"/>
    <w:rsid w:val="00C062E1"/>
    <w:rsid w:val="00C06714"/>
    <w:rsid w:val="00C067DC"/>
    <w:rsid w:val="00C06E6C"/>
    <w:rsid w:val="00C06E94"/>
    <w:rsid w:val="00C072C7"/>
    <w:rsid w:val="00C07999"/>
    <w:rsid w:val="00C07B61"/>
    <w:rsid w:val="00C07E1D"/>
    <w:rsid w:val="00C10A77"/>
    <w:rsid w:val="00C1122D"/>
    <w:rsid w:val="00C11A16"/>
    <w:rsid w:val="00C121CB"/>
    <w:rsid w:val="00C12235"/>
    <w:rsid w:val="00C12425"/>
    <w:rsid w:val="00C124E6"/>
    <w:rsid w:val="00C125C0"/>
    <w:rsid w:val="00C1290D"/>
    <w:rsid w:val="00C13569"/>
    <w:rsid w:val="00C13B6A"/>
    <w:rsid w:val="00C143E0"/>
    <w:rsid w:val="00C145F6"/>
    <w:rsid w:val="00C148B9"/>
    <w:rsid w:val="00C15ACD"/>
    <w:rsid w:val="00C15DA4"/>
    <w:rsid w:val="00C15FA2"/>
    <w:rsid w:val="00C16BCA"/>
    <w:rsid w:val="00C17818"/>
    <w:rsid w:val="00C20112"/>
    <w:rsid w:val="00C205C1"/>
    <w:rsid w:val="00C207E2"/>
    <w:rsid w:val="00C217B9"/>
    <w:rsid w:val="00C22761"/>
    <w:rsid w:val="00C227C5"/>
    <w:rsid w:val="00C22903"/>
    <w:rsid w:val="00C22A41"/>
    <w:rsid w:val="00C22F5D"/>
    <w:rsid w:val="00C230BF"/>
    <w:rsid w:val="00C231D4"/>
    <w:rsid w:val="00C23200"/>
    <w:rsid w:val="00C23661"/>
    <w:rsid w:val="00C23E46"/>
    <w:rsid w:val="00C24F4E"/>
    <w:rsid w:val="00C25044"/>
    <w:rsid w:val="00C254A9"/>
    <w:rsid w:val="00C25687"/>
    <w:rsid w:val="00C26342"/>
    <w:rsid w:val="00C278FB"/>
    <w:rsid w:val="00C27B47"/>
    <w:rsid w:val="00C27F22"/>
    <w:rsid w:val="00C3089E"/>
    <w:rsid w:val="00C30DB6"/>
    <w:rsid w:val="00C3101B"/>
    <w:rsid w:val="00C31432"/>
    <w:rsid w:val="00C315B5"/>
    <w:rsid w:val="00C31866"/>
    <w:rsid w:val="00C31C51"/>
    <w:rsid w:val="00C31FC1"/>
    <w:rsid w:val="00C322E0"/>
    <w:rsid w:val="00C32B89"/>
    <w:rsid w:val="00C32F44"/>
    <w:rsid w:val="00C33BC4"/>
    <w:rsid w:val="00C33C41"/>
    <w:rsid w:val="00C34FE5"/>
    <w:rsid w:val="00C35A62"/>
    <w:rsid w:val="00C36124"/>
    <w:rsid w:val="00C36165"/>
    <w:rsid w:val="00C3640A"/>
    <w:rsid w:val="00C36C8E"/>
    <w:rsid w:val="00C36D1A"/>
    <w:rsid w:val="00C37149"/>
    <w:rsid w:val="00C37369"/>
    <w:rsid w:val="00C37393"/>
    <w:rsid w:val="00C40820"/>
    <w:rsid w:val="00C4085E"/>
    <w:rsid w:val="00C40B23"/>
    <w:rsid w:val="00C40DEA"/>
    <w:rsid w:val="00C411BD"/>
    <w:rsid w:val="00C4139D"/>
    <w:rsid w:val="00C422DA"/>
    <w:rsid w:val="00C429B9"/>
    <w:rsid w:val="00C43073"/>
    <w:rsid w:val="00C43742"/>
    <w:rsid w:val="00C43865"/>
    <w:rsid w:val="00C43B74"/>
    <w:rsid w:val="00C43E6E"/>
    <w:rsid w:val="00C43EF3"/>
    <w:rsid w:val="00C43F3E"/>
    <w:rsid w:val="00C44F99"/>
    <w:rsid w:val="00C45ECB"/>
    <w:rsid w:val="00C460F7"/>
    <w:rsid w:val="00C4652B"/>
    <w:rsid w:val="00C467B1"/>
    <w:rsid w:val="00C46F7E"/>
    <w:rsid w:val="00C47890"/>
    <w:rsid w:val="00C47B13"/>
    <w:rsid w:val="00C47FBF"/>
    <w:rsid w:val="00C5028F"/>
    <w:rsid w:val="00C5066A"/>
    <w:rsid w:val="00C50B24"/>
    <w:rsid w:val="00C50E4B"/>
    <w:rsid w:val="00C51473"/>
    <w:rsid w:val="00C51698"/>
    <w:rsid w:val="00C51D25"/>
    <w:rsid w:val="00C51FD9"/>
    <w:rsid w:val="00C5229F"/>
    <w:rsid w:val="00C52492"/>
    <w:rsid w:val="00C52848"/>
    <w:rsid w:val="00C52E1C"/>
    <w:rsid w:val="00C52F22"/>
    <w:rsid w:val="00C530F7"/>
    <w:rsid w:val="00C53175"/>
    <w:rsid w:val="00C53300"/>
    <w:rsid w:val="00C5330F"/>
    <w:rsid w:val="00C53410"/>
    <w:rsid w:val="00C53C3A"/>
    <w:rsid w:val="00C54026"/>
    <w:rsid w:val="00C547A4"/>
    <w:rsid w:val="00C549B7"/>
    <w:rsid w:val="00C54B71"/>
    <w:rsid w:val="00C54BEB"/>
    <w:rsid w:val="00C54DE9"/>
    <w:rsid w:val="00C55AB5"/>
    <w:rsid w:val="00C55CC1"/>
    <w:rsid w:val="00C55F6B"/>
    <w:rsid w:val="00C562C0"/>
    <w:rsid w:val="00C56382"/>
    <w:rsid w:val="00C571F1"/>
    <w:rsid w:val="00C57582"/>
    <w:rsid w:val="00C57B59"/>
    <w:rsid w:val="00C57C06"/>
    <w:rsid w:val="00C57CB4"/>
    <w:rsid w:val="00C602DC"/>
    <w:rsid w:val="00C6040B"/>
    <w:rsid w:val="00C6055B"/>
    <w:rsid w:val="00C61610"/>
    <w:rsid w:val="00C62051"/>
    <w:rsid w:val="00C621FB"/>
    <w:rsid w:val="00C62241"/>
    <w:rsid w:val="00C624E6"/>
    <w:rsid w:val="00C62644"/>
    <w:rsid w:val="00C63D84"/>
    <w:rsid w:val="00C63DAD"/>
    <w:rsid w:val="00C6413E"/>
    <w:rsid w:val="00C645CA"/>
    <w:rsid w:val="00C648CB"/>
    <w:rsid w:val="00C649BB"/>
    <w:rsid w:val="00C64B3A"/>
    <w:rsid w:val="00C66130"/>
    <w:rsid w:val="00C66209"/>
    <w:rsid w:val="00C6634F"/>
    <w:rsid w:val="00C663BA"/>
    <w:rsid w:val="00C67057"/>
    <w:rsid w:val="00C674DA"/>
    <w:rsid w:val="00C67666"/>
    <w:rsid w:val="00C6794F"/>
    <w:rsid w:val="00C70043"/>
    <w:rsid w:val="00C70988"/>
    <w:rsid w:val="00C709DB"/>
    <w:rsid w:val="00C70D37"/>
    <w:rsid w:val="00C7150E"/>
    <w:rsid w:val="00C72150"/>
    <w:rsid w:val="00C73231"/>
    <w:rsid w:val="00C7329F"/>
    <w:rsid w:val="00C734CC"/>
    <w:rsid w:val="00C73899"/>
    <w:rsid w:val="00C741BB"/>
    <w:rsid w:val="00C74351"/>
    <w:rsid w:val="00C743CA"/>
    <w:rsid w:val="00C74917"/>
    <w:rsid w:val="00C74946"/>
    <w:rsid w:val="00C74B58"/>
    <w:rsid w:val="00C74D98"/>
    <w:rsid w:val="00C7537E"/>
    <w:rsid w:val="00C75AD7"/>
    <w:rsid w:val="00C75BBE"/>
    <w:rsid w:val="00C75E87"/>
    <w:rsid w:val="00C76C5D"/>
    <w:rsid w:val="00C77035"/>
    <w:rsid w:val="00C77EDE"/>
    <w:rsid w:val="00C77FD7"/>
    <w:rsid w:val="00C8002D"/>
    <w:rsid w:val="00C800CD"/>
    <w:rsid w:val="00C801F9"/>
    <w:rsid w:val="00C80A42"/>
    <w:rsid w:val="00C8151F"/>
    <w:rsid w:val="00C81722"/>
    <w:rsid w:val="00C821BF"/>
    <w:rsid w:val="00C828F6"/>
    <w:rsid w:val="00C829B6"/>
    <w:rsid w:val="00C82F8A"/>
    <w:rsid w:val="00C8317C"/>
    <w:rsid w:val="00C835C3"/>
    <w:rsid w:val="00C83B0E"/>
    <w:rsid w:val="00C83F1E"/>
    <w:rsid w:val="00C8416E"/>
    <w:rsid w:val="00C849B5"/>
    <w:rsid w:val="00C84C4C"/>
    <w:rsid w:val="00C85B52"/>
    <w:rsid w:val="00C85E7D"/>
    <w:rsid w:val="00C86098"/>
    <w:rsid w:val="00C86676"/>
    <w:rsid w:val="00C86DBE"/>
    <w:rsid w:val="00C87149"/>
    <w:rsid w:val="00C87436"/>
    <w:rsid w:val="00C87ACD"/>
    <w:rsid w:val="00C9007A"/>
    <w:rsid w:val="00C90D71"/>
    <w:rsid w:val="00C91758"/>
    <w:rsid w:val="00C91922"/>
    <w:rsid w:val="00C91C28"/>
    <w:rsid w:val="00C91FDB"/>
    <w:rsid w:val="00C923AD"/>
    <w:rsid w:val="00C92469"/>
    <w:rsid w:val="00C9247F"/>
    <w:rsid w:val="00C9269E"/>
    <w:rsid w:val="00C9275E"/>
    <w:rsid w:val="00C9397D"/>
    <w:rsid w:val="00C93D83"/>
    <w:rsid w:val="00C93FB2"/>
    <w:rsid w:val="00C941D7"/>
    <w:rsid w:val="00C94DC4"/>
    <w:rsid w:val="00C956D1"/>
    <w:rsid w:val="00C956DA"/>
    <w:rsid w:val="00C9607B"/>
    <w:rsid w:val="00C961DE"/>
    <w:rsid w:val="00C96392"/>
    <w:rsid w:val="00C966EE"/>
    <w:rsid w:val="00C9719D"/>
    <w:rsid w:val="00C97B72"/>
    <w:rsid w:val="00C97C05"/>
    <w:rsid w:val="00C97F18"/>
    <w:rsid w:val="00CA0463"/>
    <w:rsid w:val="00CA1273"/>
    <w:rsid w:val="00CA1646"/>
    <w:rsid w:val="00CA18FC"/>
    <w:rsid w:val="00CA28AB"/>
    <w:rsid w:val="00CA2CED"/>
    <w:rsid w:val="00CA2E56"/>
    <w:rsid w:val="00CA2E5C"/>
    <w:rsid w:val="00CA2EEB"/>
    <w:rsid w:val="00CA2F3C"/>
    <w:rsid w:val="00CA30D7"/>
    <w:rsid w:val="00CA400C"/>
    <w:rsid w:val="00CA4497"/>
    <w:rsid w:val="00CA463C"/>
    <w:rsid w:val="00CA4917"/>
    <w:rsid w:val="00CA4BD5"/>
    <w:rsid w:val="00CA4D2D"/>
    <w:rsid w:val="00CA4D53"/>
    <w:rsid w:val="00CA4EEB"/>
    <w:rsid w:val="00CA4FED"/>
    <w:rsid w:val="00CA51B8"/>
    <w:rsid w:val="00CA52D9"/>
    <w:rsid w:val="00CA57EB"/>
    <w:rsid w:val="00CA5DEF"/>
    <w:rsid w:val="00CA5FF7"/>
    <w:rsid w:val="00CA6D4F"/>
    <w:rsid w:val="00CA74F6"/>
    <w:rsid w:val="00CA7F60"/>
    <w:rsid w:val="00CB0C2B"/>
    <w:rsid w:val="00CB0D8A"/>
    <w:rsid w:val="00CB0FAE"/>
    <w:rsid w:val="00CB1633"/>
    <w:rsid w:val="00CB18F7"/>
    <w:rsid w:val="00CB1E11"/>
    <w:rsid w:val="00CB21A3"/>
    <w:rsid w:val="00CB26B6"/>
    <w:rsid w:val="00CB2ABC"/>
    <w:rsid w:val="00CB31EF"/>
    <w:rsid w:val="00CB3BE3"/>
    <w:rsid w:val="00CB42EF"/>
    <w:rsid w:val="00CB5129"/>
    <w:rsid w:val="00CB531A"/>
    <w:rsid w:val="00CB5624"/>
    <w:rsid w:val="00CB5CB6"/>
    <w:rsid w:val="00CB6803"/>
    <w:rsid w:val="00CB69EB"/>
    <w:rsid w:val="00CB69FF"/>
    <w:rsid w:val="00CB6F75"/>
    <w:rsid w:val="00CB718F"/>
    <w:rsid w:val="00CB7534"/>
    <w:rsid w:val="00CB7814"/>
    <w:rsid w:val="00CB7875"/>
    <w:rsid w:val="00CB790A"/>
    <w:rsid w:val="00CC0152"/>
    <w:rsid w:val="00CC050C"/>
    <w:rsid w:val="00CC097F"/>
    <w:rsid w:val="00CC10AC"/>
    <w:rsid w:val="00CC1880"/>
    <w:rsid w:val="00CC188E"/>
    <w:rsid w:val="00CC18C3"/>
    <w:rsid w:val="00CC1F01"/>
    <w:rsid w:val="00CC23B7"/>
    <w:rsid w:val="00CC2410"/>
    <w:rsid w:val="00CC246C"/>
    <w:rsid w:val="00CC2B23"/>
    <w:rsid w:val="00CC3520"/>
    <w:rsid w:val="00CC3BA7"/>
    <w:rsid w:val="00CC3D18"/>
    <w:rsid w:val="00CC3D53"/>
    <w:rsid w:val="00CC3E4F"/>
    <w:rsid w:val="00CC3E51"/>
    <w:rsid w:val="00CC435A"/>
    <w:rsid w:val="00CC4420"/>
    <w:rsid w:val="00CC4454"/>
    <w:rsid w:val="00CC4748"/>
    <w:rsid w:val="00CC48FE"/>
    <w:rsid w:val="00CC49A3"/>
    <w:rsid w:val="00CC5194"/>
    <w:rsid w:val="00CC5C6F"/>
    <w:rsid w:val="00CC5F21"/>
    <w:rsid w:val="00CC6922"/>
    <w:rsid w:val="00CC6C1B"/>
    <w:rsid w:val="00CC7031"/>
    <w:rsid w:val="00CD03F3"/>
    <w:rsid w:val="00CD04EA"/>
    <w:rsid w:val="00CD0789"/>
    <w:rsid w:val="00CD0C69"/>
    <w:rsid w:val="00CD0FAB"/>
    <w:rsid w:val="00CD1F4C"/>
    <w:rsid w:val="00CD1F82"/>
    <w:rsid w:val="00CD2A59"/>
    <w:rsid w:val="00CD2B0B"/>
    <w:rsid w:val="00CD2F96"/>
    <w:rsid w:val="00CD3CF7"/>
    <w:rsid w:val="00CD42AF"/>
    <w:rsid w:val="00CD4761"/>
    <w:rsid w:val="00CD47F2"/>
    <w:rsid w:val="00CD4B59"/>
    <w:rsid w:val="00CD536C"/>
    <w:rsid w:val="00CD552B"/>
    <w:rsid w:val="00CD5807"/>
    <w:rsid w:val="00CD5A1B"/>
    <w:rsid w:val="00CD64FF"/>
    <w:rsid w:val="00CD66DB"/>
    <w:rsid w:val="00CD6D00"/>
    <w:rsid w:val="00CD6D2E"/>
    <w:rsid w:val="00CD6D7F"/>
    <w:rsid w:val="00CD6E7F"/>
    <w:rsid w:val="00CD6F7D"/>
    <w:rsid w:val="00CD7073"/>
    <w:rsid w:val="00CD74C9"/>
    <w:rsid w:val="00CD7727"/>
    <w:rsid w:val="00CD7770"/>
    <w:rsid w:val="00CD7BC3"/>
    <w:rsid w:val="00CD7C20"/>
    <w:rsid w:val="00CD7C6A"/>
    <w:rsid w:val="00CD7C82"/>
    <w:rsid w:val="00CD7E15"/>
    <w:rsid w:val="00CE02DB"/>
    <w:rsid w:val="00CE088F"/>
    <w:rsid w:val="00CE13DD"/>
    <w:rsid w:val="00CE205B"/>
    <w:rsid w:val="00CE28D5"/>
    <w:rsid w:val="00CE2D1B"/>
    <w:rsid w:val="00CE33D1"/>
    <w:rsid w:val="00CE3778"/>
    <w:rsid w:val="00CE490D"/>
    <w:rsid w:val="00CE4951"/>
    <w:rsid w:val="00CE50BD"/>
    <w:rsid w:val="00CE5513"/>
    <w:rsid w:val="00CE55B0"/>
    <w:rsid w:val="00CE5783"/>
    <w:rsid w:val="00CE67B4"/>
    <w:rsid w:val="00CE6A15"/>
    <w:rsid w:val="00CE70AB"/>
    <w:rsid w:val="00CE70FB"/>
    <w:rsid w:val="00CE73DE"/>
    <w:rsid w:val="00CE758D"/>
    <w:rsid w:val="00CE7F60"/>
    <w:rsid w:val="00CE7F83"/>
    <w:rsid w:val="00CF0115"/>
    <w:rsid w:val="00CF0558"/>
    <w:rsid w:val="00CF0EF2"/>
    <w:rsid w:val="00CF1F48"/>
    <w:rsid w:val="00CF2435"/>
    <w:rsid w:val="00CF2617"/>
    <w:rsid w:val="00CF2CCC"/>
    <w:rsid w:val="00CF33EA"/>
    <w:rsid w:val="00CF3F44"/>
    <w:rsid w:val="00CF4CDD"/>
    <w:rsid w:val="00CF62E9"/>
    <w:rsid w:val="00CF6620"/>
    <w:rsid w:val="00CF68A7"/>
    <w:rsid w:val="00CF6BDB"/>
    <w:rsid w:val="00CF6FF0"/>
    <w:rsid w:val="00CF7E7C"/>
    <w:rsid w:val="00D00196"/>
    <w:rsid w:val="00D002CC"/>
    <w:rsid w:val="00D00392"/>
    <w:rsid w:val="00D01759"/>
    <w:rsid w:val="00D01F7A"/>
    <w:rsid w:val="00D01F92"/>
    <w:rsid w:val="00D0221F"/>
    <w:rsid w:val="00D03063"/>
    <w:rsid w:val="00D03956"/>
    <w:rsid w:val="00D039C9"/>
    <w:rsid w:val="00D03DCD"/>
    <w:rsid w:val="00D0490D"/>
    <w:rsid w:val="00D04A85"/>
    <w:rsid w:val="00D04D69"/>
    <w:rsid w:val="00D04D7B"/>
    <w:rsid w:val="00D04F31"/>
    <w:rsid w:val="00D05A9D"/>
    <w:rsid w:val="00D06192"/>
    <w:rsid w:val="00D0628A"/>
    <w:rsid w:val="00D065DA"/>
    <w:rsid w:val="00D06E68"/>
    <w:rsid w:val="00D06FE8"/>
    <w:rsid w:val="00D072AD"/>
    <w:rsid w:val="00D07482"/>
    <w:rsid w:val="00D07884"/>
    <w:rsid w:val="00D07E33"/>
    <w:rsid w:val="00D1068C"/>
    <w:rsid w:val="00D10915"/>
    <w:rsid w:val="00D11487"/>
    <w:rsid w:val="00D117DF"/>
    <w:rsid w:val="00D11BB4"/>
    <w:rsid w:val="00D120EE"/>
    <w:rsid w:val="00D12117"/>
    <w:rsid w:val="00D1223A"/>
    <w:rsid w:val="00D13678"/>
    <w:rsid w:val="00D13F05"/>
    <w:rsid w:val="00D141C0"/>
    <w:rsid w:val="00D1486F"/>
    <w:rsid w:val="00D14ABF"/>
    <w:rsid w:val="00D14D6D"/>
    <w:rsid w:val="00D15506"/>
    <w:rsid w:val="00D15A05"/>
    <w:rsid w:val="00D15A47"/>
    <w:rsid w:val="00D15FCA"/>
    <w:rsid w:val="00D1603A"/>
    <w:rsid w:val="00D16ACC"/>
    <w:rsid w:val="00D16FB4"/>
    <w:rsid w:val="00D17098"/>
    <w:rsid w:val="00D173C8"/>
    <w:rsid w:val="00D17FAC"/>
    <w:rsid w:val="00D2083D"/>
    <w:rsid w:val="00D20CF7"/>
    <w:rsid w:val="00D2147D"/>
    <w:rsid w:val="00D21C65"/>
    <w:rsid w:val="00D21FA3"/>
    <w:rsid w:val="00D2286E"/>
    <w:rsid w:val="00D22A70"/>
    <w:rsid w:val="00D22CCA"/>
    <w:rsid w:val="00D22D3F"/>
    <w:rsid w:val="00D22F5C"/>
    <w:rsid w:val="00D23CDF"/>
    <w:rsid w:val="00D23FFB"/>
    <w:rsid w:val="00D24782"/>
    <w:rsid w:val="00D24804"/>
    <w:rsid w:val="00D24E76"/>
    <w:rsid w:val="00D2560D"/>
    <w:rsid w:val="00D25D73"/>
    <w:rsid w:val="00D25ED5"/>
    <w:rsid w:val="00D265FE"/>
    <w:rsid w:val="00D26EFE"/>
    <w:rsid w:val="00D26FEA"/>
    <w:rsid w:val="00D27AA0"/>
    <w:rsid w:val="00D27F05"/>
    <w:rsid w:val="00D3006A"/>
    <w:rsid w:val="00D30229"/>
    <w:rsid w:val="00D306D4"/>
    <w:rsid w:val="00D3124F"/>
    <w:rsid w:val="00D31362"/>
    <w:rsid w:val="00D31CD6"/>
    <w:rsid w:val="00D3220E"/>
    <w:rsid w:val="00D3222F"/>
    <w:rsid w:val="00D32C0B"/>
    <w:rsid w:val="00D33E94"/>
    <w:rsid w:val="00D34B12"/>
    <w:rsid w:val="00D3574E"/>
    <w:rsid w:val="00D35CC4"/>
    <w:rsid w:val="00D35E35"/>
    <w:rsid w:val="00D363FA"/>
    <w:rsid w:val="00D3674C"/>
    <w:rsid w:val="00D369C0"/>
    <w:rsid w:val="00D36AC6"/>
    <w:rsid w:val="00D36ED8"/>
    <w:rsid w:val="00D36F94"/>
    <w:rsid w:val="00D3714B"/>
    <w:rsid w:val="00D373EB"/>
    <w:rsid w:val="00D40E54"/>
    <w:rsid w:val="00D40E59"/>
    <w:rsid w:val="00D41219"/>
    <w:rsid w:val="00D41788"/>
    <w:rsid w:val="00D418F3"/>
    <w:rsid w:val="00D41D25"/>
    <w:rsid w:val="00D41D2C"/>
    <w:rsid w:val="00D41EDA"/>
    <w:rsid w:val="00D425D8"/>
    <w:rsid w:val="00D426E3"/>
    <w:rsid w:val="00D42702"/>
    <w:rsid w:val="00D43475"/>
    <w:rsid w:val="00D44346"/>
    <w:rsid w:val="00D447E1"/>
    <w:rsid w:val="00D45761"/>
    <w:rsid w:val="00D45BA4"/>
    <w:rsid w:val="00D47243"/>
    <w:rsid w:val="00D472A5"/>
    <w:rsid w:val="00D47820"/>
    <w:rsid w:val="00D47E66"/>
    <w:rsid w:val="00D508FE"/>
    <w:rsid w:val="00D514BD"/>
    <w:rsid w:val="00D51568"/>
    <w:rsid w:val="00D515D2"/>
    <w:rsid w:val="00D51885"/>
    <w:rsid w:val="00D51FD9"/>
    <w:rsid w:val="00D527EE"/>
    <w:rsid w:val="00D52ED3"/>
    <w:rsid w:val="00D53102"/>
    <w:rsid w:val="00D533BC"/>
    <w:rsid w:val="00D533EE"/>
    <w:rsid w:val="00D536C1"/>
    <w:rsid w:val="00D53C9D"/>
    <w:rsid w:val="00D53CD8"/>
    <w:rsid w:val="00D53F59"/>
    <w:rsid w:val="00D5439F"/>
    <w:rsid w:val="00D54A8B"/>
    <w:rsid w:val="00D54AED"/>
    <w:rsid w:val="00D5565F"/>
    <w:rsid w:val="00D55AF9"/>
    <w:rsid w:val="00D55DE9"/>
    <w:rsid w:val="00D55E29"/>
    <w:rsid w:val="00D55F9E"/>
    <w:rsid w:val="00D5674F"/>
    <w:rsid w:val="00D56E70"/>
    <w:rsid w:val="00D573FC"/>
    <w:rsid w:val="00D5755B"/>
    <w:rsid w:val="00D57F6A"/>
    <w:rsid w:val="00D60210"/>
    <w:rsid w:val="00D60322"/>
    <w:rsid w:val="00D609F8"/>
    <w:rsid w:val="00D60A2A"/>
    <w:rsid w:val="00D60DA3"/>
    <w:rsid w:val="00D614DB"/>
    <w:rsid w:val="00D6255F"/>
    <w:rsid w:val="00D62C45"/>
    <w:rsid w:val="00D6355F"/>
    <w:rsid w:val="00D64790"/>
    <w:rsid w:val="00D64BEE"/>
    <w:rsid w:val="00D64C7D"/>
    <w:rsid w:val="00D64F46"/>
    <w:rsid w:val="00D651F6"/>
    <w:rsid w:val="00D654ED"/>
    <w:rsid w:val="00D655A1"/>
    <w:rsid w:val="00D6586E"/>
    <w:rsid w:val="00D65A19"/>
    <w:rsid w:val="00D65BE0"/>
    <w:rsid w:val="00D65D92"/>
    <w:rsid w:val="00D65F88"/>
    <w:rsid w:val="00D66125"/>
    <w:rsid w:val="00D6632C"/>
    <w:rsid w:val="00D663A6"/>
    <w:rsid w:val="00D664E7"/>
    <w:rsid w:val="00D6665C"/>
    <w:rsid w:val="00D66B08"/>
    <w:rsid w:val="00D67065"/>
    <w:rsid w:val="00D6790A"/>
    <w:rsid w:val="00D70585"/>
    <w:rsid w:val="00D70698"/>
    <w:rsid w:val="00D70CA1"/>
    <w:rsid w:val="00D71086"/>
    <w:rsid w:val="00D71365"/>
    <w:rsid w:val="00D716DA"/>
    <w:rsid w:val="00D71B74"/>
    <w:rsid w:val="00D71CDF"/>
    <w:rsid w:val="00D71DCB"/>
    <w:rsid w:val="00D7286D"/>
    <w:rsid w:val="00D72F45"/>
    <w:rsid w:val="00D73C73"/>
    <w:rsid w:val="00D73F1D"/>
    <w:rsid w:val="00D74437"/>
    <w:rsid w:val="00D7484A"/>
    <w:rsid w:val="00D75052"/>
    <w:rsid w:val="00D75203"/>
    <w:rsid w:val="00D75439"/>
    <w:rsid w:val="00D75A16"/>
    <w:rsid w:val="00D7683A"/>
    <w:rsid w:val="00D76AD4"/>
    <w:rsid w:val="00D76E52"/>
    <w:rsid w:val="00D7730A"/>
    <w:rsid w:val="00D77731"/>
    <w:rsid w:val="00D77779"/>
    <w:rsid w:val="00D77C69"/>
    <w:rsid w:val="00D77E2E"/>
    <w:rsid w:val="00D8020D"/>
    <w:rsid w:val="00D80AE3"/>
    <w:rsid w:val="00D80D19"/>
    <w:rsid w:val="00D8105C"/>
    <w:rsid w:val="00D83877"/>
    <w:rsid w:val="00D83A2D"/>
    <w:rsid w:val="00D83B2A"/>
    <w:rsid w:val="00D83D87"/>
    <w:rsid w:val="00D83ED9"/>
    <w:rsid w:val="00D84490"/>
    <w:rsid w:val="00D845BE"/>
    <w:rsid w:val="00D8471F"/>
    <w:rsid w:val="00D84A0B"/>
    <w:rsid w:val="00D84E8D"/>
    <w:rsid w:val="00D851E2"/>
    <w:rsid w:val="00D85884"/>
    <w:rsid w:val="00D85B7E"/>
    <w:rsid w:val="00D85CED"/>
    <w:rsid w:val="00D86DBC"/>
    <w:rsid w:val="00D86F92"/>
    <w:rsid w:val="00D875D7"/>
    <w:rsid w:val="00D90175"/>
    <w:rsid w:val="00D90200"/>
    <w:rsid w:val="00D908B3"/>
    <w:rsid w:val="00D90DB0"/>
    <w:rsid w:val="00D9174A"/>
    <w:rsid w:val="00D91D30"/>
    <w:rsid w:val="00D9239A"/>
    <w:rsid w:val="00D92465"/>
    <w:rsid w:val="00D92B7C"/>
    <w:rsid w:val="00D93496"/>
    <w:rsid w:val="00D93626"/>
    <w:rsid w:val="00D93955"/>
    <w:rsid w:val="00D93AF3"/>
    <w:rsid w:val="00D93BA3"/>
    <w:rsid w:val="00D93FD7"/>
    <w:rsid w:val="00D941C6"/>
    <w:rsid w:val="00D94273"/>
    <w:rsid w:val="00D94AA5"/>
    <w:rsid w:val="00D95A64"/>
    <w:rsid w:val="00D96046"/>
    <w:rsid w:val="00D96197"/>
    <w:rsid w:val="00D9663F"/>
    <w:rsid w:val="00D967B2"/>
    <w:rsid w:val="00D96878"/>
    <w:rsid w:val="00D96F68"/>
    <w:rsid w:val="00DA0060"/>
    <w:rsid w:val="00DA19F7"/>
    <w:rsid w:val="00DA2262"/>
    <w:rsid w:val="00DA2529"/>
    <w:rsid w:val="00DA28EC"/>
    <w:rsid w:val="00DA36D1"/>
    <w:rsid w:val="00DA3A0E"/>
    <w:rsid w:val="00DA3DBC"/>
    <w:rsid w:val="00DA48D2"/>
    <w:rsid w:val="00DA4FB7"/>
    <w:rsid w:val="00DA5180"/>
    <w:rsid w:val="00DA527B"/>
    <w:rsid w:val="00DA64B3"/>
    <w:rsid w:val="00DA6765"/>
    <w:rsid w:val="00DA68B4"/>
    <w:rsid w:val="00DA7BFB"/>
    <w:rsid w:val="00DA7C1A"/>
    <w:rsid w:val="00DB04DE"/>
    <w:rsid w:val="00DB09A6"/>
    <w:rsid w:val="00DB0F0F"/>
    <w:rsid w:val="00DB0FAA"/>
    <w:rsid w:val="00DB17CA"/>
    <w:rsid w:val="00DB1895"/>
    <w:rsid w:val="00DB1CD7"/>
    <w:rsid w:val="00DB2974"/>
    <w:rsid w:val="00DB2A9F"/>
    <w:rsid w:val="00DB34EF"/>
    <w:rsid w:val="00DB3A77"/>
    <w:rsid w:val="00DB4DED"/>
    <w:rsid w:val="00DB5C45"/>
    <w:rsid w:val="00DB6098"/>
    <w:rsid w:val="00DB6419"/>
    <w:rsid w:val="00DB68E8"/>
    <w:rsid w:val="00DB6F0B"/>
    <w:rsid w:val="00DB6F95"/>
    <w:rsid w:val="00DB7634"/>
    <w:rsid w:val="00DB77D9"/>
    <w:rsid w:val="00DC008C"/>
    <w:rsid w:val="00DC08D5"/>
    <w:rsid w:val="00DC0937"/>
    <w:rsid w:val="00DC0EC8"/>
    <w:rsid w:val="00DC190E"/>
    <w:rsid w:val="00DC2B61"/>
    <w:rsid w:val="00DC2DC0"/>
    <w:rsid w:val="00DC2FEA"/>
    <w:rsid w:val="00DC3417"/>
    <w:rsid w:val="00DC35F5"/>
    <w:rsid w:val="00DC3CAA"/>
    <w:rsid w:val="00DC3E1F"/>
    <w:rsid w:val="00DC4F6F"/>
    <w:rsid w:val="00DC4F95"/>
    <w:rsid w:val="00DC57A9"/>
    <w:rsid w:val="00DC6496"/>
    <w:rsid w:val="00DC73A7"/>
    <w:rsid w:val="00DC755C"/>
    <w:rsid w:val="00DC7827"/>
    <w:rsid w:val="00DC7ABE"/>
    <w:rsid w:val="00DC7B42"/>
    <w:rsid w:val="00DC7E8A"/>
    <w:rsid w:val="00DD0376"/>
    <w:rsid w:val="00DD077C"/>
    <w:rsid w:val="00DD0C02"/>
    <w:rsid w:val="00DD12B2"/>
    <w:rsid w:val="00DD1759"/>
    <w:rsid w:val="00DD1F2D"/>
    <w:rsid w:val="00DD21C9"/>
    <w:rsid w:val="00DD29A7"/>
    <w:rsid w:val="00DD33F1"/>
    <w:rsid w:val="00DD368B"/>
    <w:rsid w:val="00DD3C05"/>
    <w:rsid w:val="00DD43AD"/>
    <w:rsid w:val="00DD54CC"/>
    <w:rsid w:val="00DD5729"/>
    <w:rsid w:val="00DD572B"/>
    <w:rsid w:val="00DD57BD"/>
    <w:rsid w:val="00DD57D3"/>
    <w:rsid w:val="00DD65A6"/>
    <w:rsid w:val="00DD6847"/>
    <w:rsid w:val="00DD6913"/>
    <w:rsid w:val="00DD6F4F"/>
    <w:rsid w:val="00DD7050"/>
    <w:rsid w:val="00DD77C6"/>
    <w:rsid w:val="00DD7BA7"/>
    <w:rsid w:val="00DE01C5"/>
    <w:rsid w:val="00DE0979"/>
    <w:rsid w:val="00DE0D7C"/>
    <w:rsid w:val="00DE0FB0"/>
    <w:rsid w:val="00DE121B"/>
    <w:rsid w:val="00DE1679"/>
    <w:rsid w:val="00DE170B"/>
    <w:rsid w:val="00DE1850"/>
    <w:rsid w:val="00DE1A3A"/>
    <w:rsid w:val="00DE1B5A"/>
    <w:rsid w:val="00DE1EB5"/>
    <w:rsid w:val="00DE27F1"/>
    <w:rsid w:val="00DE292D"/>
    <w:rsid w:val="00DE2B50"/>
    <w:rsid w:val="00DE4A4C"/>
    <w:rsid w:val="00DE504F"/>
    <w:rsid w:val="00DE5353"/>
    <w:rsid w:val="00DE5ED5"/>
    <w:rsid w:val="00DE62A6"/>
    <w:rsid w:val="00DE6604"/>
    <w:rsid w:val="00DE6619"/>
    <w:rsid w:val="00DE6BDD"/>
    <w:rsid w:val="00DE70FC"/>
    <w:rsid w:val="00DE72AF"/>
    <w:rsid w:val="00DE734D"/>
    <w:rsid w:val="00DE75EA"/>
    <w:rsid w:val="00DE77AF"/>
    <w:rsid w:val="00DE79F5"/>
    <w:rsid w:val="00DE7AE5"/>
    <w:rsid w:val="00DF0109"/>
    <w:rsid w:val="00DF04C5"/>
    <w:rsid w:val="00DF08B7"/>
    <w:rsid w:val="00DF0DE5"/>
    <w:rsid w:val="00DF0F37"/>
    <w:rsid w:val="00DF11C5"/>
    <w:rsid w:val="00DF1281"/>
    <w:rsid w:val="00DF1D24"/>
    <w:rsid w:val="00DF1D4B"/>
    <w:rsid w:val="00DF227E"/>
    <w:rsid w:val="00DF22B5"/>
    <w:rsid w:val="00DF25AA"/>
    <w:rsid w:val="00DF2739"/>
    <w:rsid w:val="00DF2E57"/>
    <w:rsid w:val="00DF3522"/>
    <w:rsid w:val="00DF3579"/>
    <w:rsid w:val="00DF3D56"/>
    <w:rsid w:val="00DF40E4"/>
    <w:rsid w:val="00DF4DE2"/>
    <w:rsid w:val="00DF4E5D"/>
    <w:rsid w:val="00DF6178"/>
    <w:rsid w:val="00DF6212"/>
    <w:rsid w:val="00DF6304"/>
    <w:rsid w:val="00DF6354"/>
    <w:rsid w:val="00DF65A1"/>
    <w:rsid w:val="00DF65DE"/>
    <w:rsid w:val="00DF69A0"/>
    <w:rsid w:val="00DF6DD8"/>
    <w:rsid w:val="00DF741D"/>
    <w:rsid w:val="00DF7962"/>
    <w:rsid w:val="00E00046"/>
    <w:rsid w:val="00E0061B"/>
    <w:rsid w:val="00E00DAB"/>
    <w:rsid w:val="00E018B1"/>
    <w:rsid w:val="00E01AE6"/>
    <w:rsid w:val="00E02616"/>
    <w:rsid w:val="00E042E5"/>
    <w:rsid w:val="00E04D5B"/>
    <w:rsid w:val="00E04FBF"/>
    <w:rsid w:val="00E059D3"/>
    <w:rsid w:val="00E05A4C"/>
    <w:rsid w:val="00E05D60"/>
    <w:rsid w:val="00E06314"/>
    <w:rsid w:val="00E07C8E"/>
    <w:rsid w:val="00E0DEFB"/>
    <w:rsid w:val="00E103A8"/>
    <w:rsid w:val="00E103D4"/>
    <w:rsid w:val="00E11182"/>
    <w:rsid w:val="00E11895"/>
    <w:rsid w:val="00E132CF"/>
    <w:rsid w:val="00E1428A"/>
    <w:rsid w:val="00E1446E"/>
    <w:rsid w:val="00E15D77"/>
    <w:rsid w:val="00E16346"/>
    <w:rsid w:val="00E163D6"/>
    <w:rsid w:val="00E167FD"/>
    <w:rsid w:val="00E16BC4"/>
    <w:rsid w:val="00E16CC6"/>
    <w:rsid w:val="00E16FCC"/>
    <w:rsid w:val="00E1722B"/>
    <w:rsid w:val="00E177CF"/>
    <w:rsid w:val="00E17BCD"/>
    <w:rsid w:val="00E17C05"/>
    <w:rsid w:val="00E17C89"/>
    <w:rsid w:val="00E17ED7"/>
    <w:rsid w:val="00E2021C"/>
    <w:rsid w:val="00E20A98"/>
    <w:rsid w:val="00E20AC0"/>
    <w:rsid w:val="00E21DD5"/>
    <w:rsid w:val="00E22148"/>
    <w:rsid w:val="00E22493"/>
    <w:rsid w:val="00E22C86"/>
    <w:rsid w:val="00E23412"/>
    <w:rsid w:val="00E258C8"/>
    <w:rsid w:val="00E25DF4"/>
    <w:rsid w:val="00E26122"/>
    <w:rsid w:val="00E265C0"/>
    <w:rsid w:val="00E26CD5"/>
    <w:rsid w:val="00E276C2"/>
    <w:rsid w:val="00E27DC2"/>
    <w:rsid w:val="00E3019C"/>
    <w:rsid w:val="00E3064F"/>
    <w:rsid w:val="00E30A29"/>
    <w:rsid w:val="00E31C57"/>
    <w:rsid w:val="00E31E55"/>
    <w:rsid w:val="00E322FF"/>
    <w:rsid w:val="00E32764"/>
    <w:rsid w:val="00E32C57"/>
    <w:rsid w:val="00E3310A"/>
    <w:rsid w:val="00E3460C"/>
    <w:rsid w:val="00E35383"/>
    <w:rsid w:val="00E35660"/>
    <w:rsid w:val="00E356B6"/>
    <w:rsid w:val="00E35C54"/>
    <w:rsid w:val="00E35D23"/>
    <w:rsid w:val="00E36279"/>
    <w:rsid w:val="00E36B7C"/>
    <w:rsid w:val="00E370A1"/>
    <w:rsid w:val="00E37620"/>
    <w:rsid w:val="00E3787F"/>
    <w:rsid w:val="00E40247"/>
    <w:rsid w:val="00E4071D"/>
    <w:rsid w:val="00E409F2"/>
    <w:rsid w:val="00E40CD3"/>
    <w:rsid w:val="00E40D91"/>
    <w:rsid w:val="00E41031"/>
    <w:rsid w:val="00E4192F"/>
    <w:rsid w:val="00E42ADE"/>
    <w:rsid w:val="00E43A56"/>
    <w:rsid w:val="00E43B99"/>
    <w:rsid w:val="00E43D45"/>
    <w:rsid w:val="00E43FA2"/>
    <w:rsid w:val="00E44191"/>
    <w:rsid w:val="00E44438"/>
    <w:rsid w:val="00E44AF6"/>
    <w:rsid w:val="00E44E99"/>
    <w:rsid w:val="00E44F65"/>
    <w:rsid w:val="00E45169"/>
    <w:rsid w:val="00E45203"/>
    <w:rsid w:val="00E454F4"/>
    <w:rsid w:val="00E46DAB"/>
    <w:rsid w:val="00E47194"/>
    <w:rsid w:val="00E47578"/>
    <w:rsid w:val="00E47D0D"/>
    <w:rsid w:val="00E47FDC"/>
    <w:rsid w:val="00E5009B"/>
    <w:rsid w:val="00E50583"/>
    <w:rsid w:val="00E50970"/>
    <w:rsid w:val="00E50A35"/>
    <w:rsid w:val="00E50A52"/>
    <w:rsid w:val="00E5178C"/>
    <w:rsid w:val="00E52B78"/>
    <w:rsid w:val="00E52FC6"/>
    <w:rsid w:val="00E53261"/>
    <w:rsid w:val="00E53D9A"/>
    <w:rsid w:val="00E5429C"/>
    <w:rsid w:val="00E54D78"/>
    <w:rsid w:val="00E553B5"/>
    <w:rsid w:val="00E5547F"/>
    <w:rsid w:val="00E561D5"/>
    <w:rsid w:val="00E563BC"/>
    <w:rsid w:val="00E5643A"/>
    <w:rsid w:val="00E564EE"/>
    <w:rsid w:val="00E565E2"/>
    <w:rsid w:val="00E56981"/>
    <w:rsid w:val="00E56BA6"/>
    <w:rsid w:val="00E56FA3"/>
    <w:rsid w:val="00E5717B"/>
    <w:rsid w:val="00E57787"/>
    <w:rsid w:val="00E57D05"/>
    <w:rsid w:val="00E60722"/>
    <w:rsid w:val="00E6077B"/>
    <w:rsid w:val="00E60ACA"/>
    <w:rsid w:val="00E61532"/>
    <w:rsid w:val="00E61FEF"/>
    <w:rsid w:val="00E620F9"/>
    <w:rsid w:val="00E62976"/>
    <w:rsid w:val="00E6298F"/>
    <w:rsid w:val="00E62AE1"/>
    <w:rsid w:val="00E62E56"/>
    <w:rsid w:val="00E63120"/>
    <w:rsid w:val="00E64051"/>
    <w:rsid w:val="00E6444A"/>
    <w:rsid w:val="00E64792"/>
    <w:rsid w:val="00E648FF"/>
    <w:rsid w:val="00E6507E"/>
    <w:rsid w:val="00E65138"/>
    <w:rsid w:val="00E65185"/>
    <w:rsid w:val="00E6524A"/>
    <w:rsid w:val="00E655BC"/>
    <w:rsid w:val="00E65C36"/>
    <w:rsid w:val="00E66568"/>
    <w:rsid w:val="00E66A63"/>
    <w:rsid w:val="00E700C2"/>
    <w:rsid w:val="00E7078B"/>
    <w:rsid w:val="00E70D3C"/>
    <w:rsid w:val="00E7108B"/>
    <w:rsid w:val="00E71298"/>
    <w:rsid w:val="00E717F4"/>
    <w:rsid w:val="00E7185C"/>
    <w:rsid w:val="00E71D9D"/>
    <w:rsid w:val="00E723D8"/>
    <w:rsid w:val="00E7312A"/>
    <w:rsid w:val="00E73690"/>
    <w:rsid w:val="00E74278"/>
    <w:rsid w:val="00E7495E"/>
    <w:rsid w:val="00E750F5"/>
    <w:rsid w:val="00E75E74"/>
    <w:rsid w:val="00E76099"/>
    <w:rsid w:val="00E7645E"/>
    <w:rsid w:val="00E771EB"/>
    <w:rsid w:val="00E773A5"/>
    <w:rsid w:val="00E77938"/>
    <w:rsid w:val="00E77D5C"/>
    <w:rsid w:val="00E80359"/>
    <w:rsid w:val="00E80770"/>
    <w:rsid w:val="00E807DC"/>
    <w:rsid w:val="00E80CB6"/>
    <w:rsid w:val="00E80F54"/>
    <w:rsid w:val="00E81088"/>
    <w:rsid w:val="00E8158F"/>
    <w:rsid w:val="00E81794"/>
    <w:rsid w:val="00E81F82"/>
    <w:rsid w:val="00E82DB5"/>
    <w:rsid w:val="00E83191"/>
    <w:rsid w:val="00E83990"/>
    <w:rsid w:val="00E84444"/>
    <w:rsid w:val="00E844C5"/>
    <w:rsid w:val="00E8486B"/>
    <w:rsid w:val="00E84DD5"/>
    <w:rsid w:val="00E86C74"/>
    <w:rsid w:val="00E871FD"/>
    <w:rsid w:val="00E873B7"/>
    <w:rsid w:val="00E87465"/>
    <w:rsid w:val="00E902AE"/>
    <w:rsid w:val="00E90A39"/>
    <w:rsid w:val="00E9120C"/>
    <w:rsid w:val="00E912EC"/>
    <w:rsid w:val="00E9182F"/>
    <w:rsid w:val="00E92261"/>
    <w:rsid w:val="00E92527"/>
    <w:rsid w:val="00E92CF7"/>
    <w:rsid w:val="00E93100"/>
    <w:rsid w:val="00E93AD9"/>
    <w:rsid w:val="00E93C5C"/>
    <w:rsid w:val="00E94138"/>
    <w:rsid w:val="00E94222"/>
    <w:rsid w:val="00E9458D"/>
    <w:rsid w:val="00E947C5"/>
    <w:rsid w:val="00E94981"/>
    <w:rsid w:val="00E94A82"/>
    <w:rsid w:val="00E94B22"/>
    <w:rsid w:val="00E94D37"/>
    <w:rsid w:val="00E961A9"/>
    <w:rsid w:val="00E96350"/>
    <w:rsid w:val="00E96508"/>
    <w:rsid w:val="00E969AD"/>
    <w:rsid w:val="00E96A6A"/>
    <w:rsid w:val="00E96D3E"/>
    <w:rsid w:val="00E97BAD"/>
    <w:rsid w:val="00EA05CE"/>
    <w:rsid w:val="00EA0F4B"/>
    <w:rsid w:val="00EA1A1D"/>
    <w:rsid w:val="00EA1D7E"/>
    <w:rsid w:val="00EA1DD2"/>
    <w:rsid w:val="00EA2342"/>
    <w:rsid w:val="00EA29DA"/>
    <w:rsid w:val="00EA2A5E"/>
    <w:rsid w:val="00EA2E98"/>
    <w:rsid w:val="00EA34DB"/>
    <w:rsid w:val="00EA36D1"/>
    <w:rsid w:val="00EA3837"/>
    <w:rsid w:val="00EA4003"/>
    <w:rsid w:val="00EA4096"/>
    <w:rsid w:val="00EA42E1"/>
    <w:rsid w:val="00EA43C3"/>
    <w:rsid w:val="00EA469B"/>
    <w:rsid w:val="00EA47A1"/>
    <w:rsid w:val="00EA53E3"/>
    <w:rsid w:val="00EA5628"/>
    <w:rsid w:val="00EA5916"/>
    <w:rsid w:val="00EA680A"/>
    <w:rsid w:val="00EA6B35"/>
    <w:rsid w:val="00EA79B7"/>
    <w:rsid w:val="00EB020F"/>
    <w:rsid w:val="00EB0CBA"/>
    <w:rsid w:val="00EB28B9"/>
    <w:rsid w:val="00EB2A50"/>
    <w:rsid w:val="00EB2CF1"/>
    <w:rsid w:val="00EB38E2"/>
    <w:rsid w:val="00EB4557"/>
    <w:rsid w:val="00EB47A7"/>
    <w:rsid w:val="00EB4849"/>
    <w:rsid w:val="00EB58E1"/>
    <w:rsid w:val="00EB5F2A"/>
    <w:rsid w:val="00EB61C0"/>
    <w:rsid w:val="00EB63D5"/>
    <w:rsid w:val="00EB64A8"/>
    <w:rsid w:val="00EB64DB"/>
    <w:rsid w:val="00EB6C2B"/>
    <w:rsid w:val="00EB73BC"/>
    <w:rsid w:val="00EB7612"/>
    <w:rsid w:val="00EB7A0D"/>
    <w:rsid w:val="00EB7A77"/>
    <w:rsid w:val="00EB7C2C"/>
    <w:rsid w:val="00EB7CC0"/>
    <w:rsid w:val="00EC037C"/>
    <w:rsid w:val="00EC04A6"/>
    <w:rsid w:val="00EC0AAE"/>
    <w:rsid w:val="00EC13A0"/>
    <w:rsid w:val="00EC1538"/>
    <w:rsid w:val="00EC21CB"/>
    <w:rsid w:val="00EC2294"/>
    <w:rsid w:val="00EC2335"/>
    <w:rsid w:val="00EC2B4E"/>
    <w:rsid w:val="00EC31F5"/>
    <w:rsid w:val="00EC416E"/>
    <w:rsid w:val="00EC4E47"/>
    <w:rsid w:val="00EC4FB3"/>
    <w:rsid w:val="00EC55A1"/>
    <w:rsid w:val="00EC5790"/>
    <w:rsid w:val="00EC5A2C"/>
    <w:rsid w:val="00EC5A5F"/>
    <w:rsid w:val="00EC6274"/>
    <w:rsid w:val="00EC631F"/>
    <w:rsid w:val="00EC64E2"/>
    <w:rsid w:val="00EC690F"/>
    <w:rsid w:val="00EC69C0"/>
    <w:rsid w:val="00EC6F9B"/>
    <w:rsid w:val="00EC7AFE"/>
    <w:rsid w:val="00EC7DAA"/>
    <w:rsid w:val="00ED0629"/>
    <w:rsid w:val="00ED1330"/>
    <w:rsid w:val="00ED15FA"/>
    <w:rsid w:val="00ED1D6F"/>
    <w:rsid w:val="00ED1F3C"/>
    <w:rsid w:val="00ED2BB5"/>
    <w:rsid w:val="00ED332F"/>
    <w:rsid w:val="00ED3C10"/>
    <w:rsid w:val="00ED4335"/>
    <w:rsid w:val="00ED44CE"/>
    <w:rsid w:val="00ED4708"/>
    <w:rsid w:val="00ED5043"/>
    <w:rsid w:val="00ED5326"/>
    <w:rsid w:val="00ED593E"/>
    <w:rsid w:val="00ED671A"/>
    <w:rsid w:val="00ED747D"/>
    <w:rsid w:val="00ED7E3F"/>
    <w:rsid w:val="00EE0218"/>
    <w:rsid w:val="00EE0C5F"/>
    <w:rsid w:val="00EE0F00"/>
    <w:rsid w:val="00EE1242"/>
    <w:rsid w:val="00EE1E26"/>
    <w:rsid w:val="00EE1E6A"/>
    <w:rsid w:val="00EE2171"/>
    <w:rsid w:val="00EE2312"/>
    <w:rsid w:val="00EE2EA8"/>
    <w:rsid w:val="00EE3C03"/>
    <w:rsid w:val="00EE3D04"/>
    <w:rsid w:val="00EE4143"/>
    <w:rsid w:val="00EE4198"/>
    <w:rsid w:val="00EE4594"/>
    <w:rsid w:val="00EE4BC1"/>
    <w:rsid w:val="00EE4C5C"/>
    <w:rsid w:val="00EE51BB"/>
    <w:rsid w:val="00EE5382"/>
    <w:rsid w:val="00EE581B"/>
    <w:rsid w:val="00EE583A"/>
    <w:rsid w:val="00EE5969"/>
    <w:rsid w:val="00EE6441"/>
    <w:rsid w:val="00EE647B"/>
    <w:rsid w:val="00EE6B34"/>
    <w:rsid w:val="00EE713A"/>
    <w:rsid w:val="00EE77E8"/>
    <w:rsid w:val="00EF0003"/>
    <w:rsid w:val="00EF0574"/>
    <w:rsid w:val="00EF078D"/>
    <w:rsid w:val="00EF0DAA"/>
    <w:rsid w:val="00EF166E"/>
    <w:rsid w:val="00EF17E8"/>
    <w:rsid w:val="00EF2C53"/>
    <w:rsid w:val="00EF4243"/>
    <w:rsid w:val="00EF4347"/>
    <w:rsid w:val="00EF4423"/>
    <w:rsid w:val="00EF4588"/>
    <w:rsid w:val="00EF4AFF"/>
    <w:rsid w:val="00EF5958"/>
    <w:rsid w:val="00EF5E4D"/>
    <w:rsid w:val="00EF633B"/>
    <w:rsid w:val="00EF64D2"/>
    <w:rsid w:val="00EF6516"/>
    <w:rsid w:val="00EF6853"/>
    <w:rsid w:val="00EF6CAB"/>
    <w:rsid w:val="00EF716D"/>
    <w:rsid w:val="00EF7E04"/>
    <w:rsid w:val="00F008F9"/>
    <w:rsid w:val="00F00C82"/>
    <w:rsid w:val="00F01084"/>
    <w:rsid w:val="00F01441"/>
    <w:rsid w:val="00F01629"/>
    <w:rsid w:val="00F01AF3"/>
    <w:rsid w:val="00F01D2B"/>
    <w:rsid w:val="00F02567"/>
    <w:rsid w:val="00F02769"/>
    <w:rsid w:val="00F02B98"/>
    <w:rsid w:val="00F02F70"/>
    <w:rsid w:val="00F03D7E"/>
    <w:rsid w:val="00F03EFE"/>
    <w:rsid w:val="00F03F19"/>
    <w:rsid w:val="00F040BE"/>
    <w:rsid w:val="00F043CF"/>
    <w:rsid w:val="00F045A9"/>
    <w:rsid w:val="00F048EA"/>
    <w:rsid w:val="00F04B1D"/>
    <w:rsid w:val="00F05D89"/>
    <w:rsid w:val="00F0670A"/>
    <w:rsid w:val="00F077C6"/>
    <w:rsid w:val="00F07A3D"/>
    <w:rsid w:val="00F07CAC"/>
    <w:rsid w:val="00F1052C"/>
    <w:rsid w:val="00F113F0"/>
    <w:rsid w:val="00F11950"/>
    <w:rsid w:val="00F1205E"/>
    <w:rsid w:val="00F121A2"/>
    <w:rsid w:val="00F12899"/>
    <w:rsid w:val="00F12AA8"/>
    <w:rsid w:val="00F1335A"/>
    <w:rsid w:val="00F13BD6"/>
    <w:rsid w:val="00F14724"/>
    <w:rsid w:val="00F14D3E"/>
    <w:rsid w:val="00F14ECA"/>
    <w:rsid w:val="00F152A6"/>
    <w:rsid w:val="00F15648"/>
    <w:rsid w:val="00F156C9"/>
    <w:rsid w:val="00F163AB"/>
    <w:rsid w:val="00F1649A"/>
    <w:rsid w:val="00F16859"/>
    <w:rsid w:val="00F16B77"/>
    <w:rsid w:val="00F1705B"/>
    <w:rsid w:val="00F1719F"/>
    <w:rsid w:val="00F20D6A"/>
    <w:rsid w:val="00F20DCB"/>
    <w:rsid w:val="00F221C9"/>
    <w:rsid w:val="00F22349"/>
    <w:rsid w:val="00F223CE"/>
    <w:rsid w:val="00F231E0"/>
    <w:rsid w:val="00F23DD1"/>
    <w:rsid w:val="00F2411C"/>
    <w:rsid w:val="00F24212"/>
    <w:rsid w:val="00F24230"/>
    <w:rsid w:val="00F244D0"/>
    <w:rsid w:val="00F24B02"/>
    <w:rsid w:val="00F24D03"/>
    <w:rsid w:val="00F24DCD"/>
    <w:rsid w:val="00F25638"/>
    <w:rsid w:val="00F2648C"/>
    <w:rsid w:val="00F279B4"/>
    <w:rsid w:val="00F27F04"/>
    <w:rsid w:val="00F31021"/>
    <w:rsid w:val="00F310B1"/>
    <w:rsid w:val="00F31DC2"/>
    <w:rsid w:val="00F31FBF"/>
    <w:rsid w:val="00F3203A"/>
    <w:rsid w:val="00F32962"/>
    <w:rsid w:val="00F34810"/>
    <w:rsid w:val="00F35A9D"/>
    <w:rsid w:val="00F35B19"/>
    <w:rsid w:val="00F363F0"/>
    <w:rsid w:val="00F36ACD"/>
    <w:rsid w:val="00F36AF2"/>
    <w:rsid w:val="00F37117"/>
    <w:rsid w:val="00F37883"/>
    <w:rsid w:val="00F4035C"/>
    <w:rsid w:val="00F4083B"/>
    <w:rsid w:val="00F40888"/>
    <w:rsid w:val="00F40BE3"/>
    <w:rsid w:val="00F41B9A"/>
    <w:rsid w:val="00F4236D"/>
    <w:rsid w:val="00F42389"/>
    <w:rsid w:val="00F42695"/>
    <w:rsid w:val="00F42EFA"/>
    <w:rsid w:val="00F4321F"/>
    <w:rsid w:val="00F436A7"/>
    <w:rsid w:val="00F43943"/>
    <w:rsid w:val="00F43F1E"/>
    <w:rsid w:val="00F44B44"/>
    <w:rsid w:val="00F44D9D"/>
    <w:rsid w:val="00F453CF"/>
    <w:rsid w:val="00F4543B"/>
    <w:rsid w:val="00F45462"/>
    <w:rsid w:val="00F458F8"/>
    <w:rsid w:val="00F460DD"/>
    <w:rsid w:val="00F47685"/>
    <w:rsid w:val="00F4774C"/>
    <w:rsid w:val="00F50239"/>
    <w:rsid w:val="00F50324"/>
    <w:rsid w:val="00F503BA"/>
    <w:rsid w:val="00F503ED"/>
    <w:rsid w:val="00F50637"/>
    <w:rsid w:val="00F51A8F"/>
    <w:rsid w:val="00F51B09"/>
    <w:rsid w:val="00F51BC0"/>
    <w:rsid w:val="00F51F1F"/>
    <w:rsid w:val="00F5207A"/>
    <w:rsid w:val="00F5254E"/>
    <w:rsid w:val="00F5288D"/>
    <w:rsid w:val="00F534B2"/>
    <w:rsid w:val="00F5396A"/>
    <w:rsid w:val="00F5448D"/>
    <w:rsid w:val="00F5493E"/>
    <w:rsid w:val="00F55065"/>
    <w:rsid w:val="00F55227"/>
    <w:rsid w:val="00F56A94"/>
    <w:rsid w:val="00F5756B"/>
    <w:rsid w:val="00F57BF1"/>
    <w:rsid w:val="00F615A3"/>
    <w:rsid w:val="00F618C2"/>
    <w:rsid w:val="00F61A1B"/>
    <w:rsid w:val="00F6219D"/>
    <w:rsid w:val="00F6258E"/>
    <w:rsid w:val="00F62A6F"/>
    <w:rsid w:val="00F635E9"/>
    <w:rsid w:val="00F6394B"/>
    <w:rsid w:val="00F639DF"/>
    <w:rsid w:val="00F64509"/>
    <w:rsid w:val="00F64A0A"/>
    <w:rsid w:val="00F64C77"/>
    <w:rsid w:val="00F652E0"/>
    <w:rsid w:val="00F65332"/>
    <w:rsid w:val="00F65721"/>
    <w:rsid w:val="00F6573C"/>
    <w:rsid w:val="00F658DA"/>
    <w:rsid w:val="00F65A3D"/>
    <w:rsid w:val="00F65D69"/>
    <w:rsid w:val="00F65EA0"/>
    <w:rsid w:val="00F66626"/>
    <w:rsid w:val="00F673E3"/>
    <w:rsid w:val="00F6756B"/>
    <w:rsid w:val="00F70636"/>
    <w:rsid w:val="00F7070B"/>
    <w:rsid w:val="00F70AEE"/>
    <w:rsid w:val="00F70C0E"/>
    <w:rsid w:val="00F713F3"/>
    <w:rsid w:val="00F71BF6"/>
    <w:rsid w:val="00F72735"/>
    <w:rsid w:val="00F7390F"/>
    <w:rsid w:val="00F74361"/>
    <w:rsid w:val="00F743FC"/>
    <w:rsid w:val="00F746CD"/>
    <w:rsid w:val="00F748E2"/>
    <w:rsid w:val="00F74F11"/>
    <w:rsid w:val="00F750E0"/>
    <w:rsid w:val="00F7533B"/>
    <w:rsid w:val="00F75C4D"/>
    <w:rsid w:val="00F7671C"/>
    <w:rsid w:val="00F76A69"/>
    <w:rsid w:val="00F76B10"/>
    <w:rsid w:val="00F76FA7"/>
    <w:rsid w:val="00F77253"/>
    <w:rsid w:val="00F77504"/>
    <w:rsid w:val="00F779E2"/>
    <w:rsid w:val="00F77B8B"/>
    <w:rsid w:val="00F77E60"/>
    <w:rsid w:val="00F77E73"/>
    <w:rsid w:val="00F8051E"/>
    <w:rsid w:val="00F80F09"/>
    <w:rsid w:val="00F80FC6"/>
    <w:rsid w:val="00F80FD2"/>
    <w:rsid w:val="00F81019"/>
    <w:rsid w:val="00F81092"/>
    <w:rsid w:val="00F810C6"/>
    <w:rsid w:val="00F81170"/>
    <w:rsid w:val="00F81458"/>
    <w:rsid w:val="00F824AA"/>
    <w:rsid w:val="00F82651"/>
    <w:rsid w:val="00F8288F"/>
    <w:rsid w:val="00F828EF"/>
    <w:rsid w:val="00F83153"/>
    <w:rsid w:val="00F832F5"/>
    <w:rsid w:val="00F8336D"/>
    <w:rsid w:val="00F83441"/>
    <w:rsid w:val="00F83ADC"/>
    <w:rsid w:val="00F84608"/>
    <w:rsid w:val="00F84852"/>
    <w:rsid w:val="00F849F8"/>
    <w:rsid w:val="00F856F6"/>
    <w:rsid w:val="00F85FC9"/>
    <w:rsid w:val="00F86233"/>
    <w:rsid w:val="00F8666B"/>
    <w:rsid w:val="00F866B6"/>
    <w:rsid w:val="00F86D52"/>
    <w:rsid w:val="00F87953"/>
    <w:rsid w:val="00F87C9E"/>
    <w:rsid w:val="00F90087"/>
    <w:rsid w:val="00F90B22"/>
    <w:rsid w:val="00F90DA1"/>
    <w:rsid w:val="00F9140A"/>
    <w:rsid w:val="00F9177E"/>
    <w:rsid w:val="00F91981"/>
    <w:rsid w:val="00F919DA"/>
    <w:rsid w:val="00F91DA5"/>
    <w:rsid w:val="00F91F47"/>
    <w:rsid w:val="00F9214A"/>
    <w:rsid w:val="00F92268"/>
    <w:rsid w:val="00F92459"/>
    <w:rsid w:val="00F93780"/>
    <w:rsid w:val="00F93A14"/>
    <w:rsid w:val="00F93A42"/>
    <w:rsid w:val="00F95732"/>
    <w:rsid w:val="00F95974"/>
    <w:rsid w:val="00F95C6A"/>
    <w:rsid w:val="00F95EDE"/>
    <w:rsid w:val="00F96057"/>
    <w:rsid w:val="00F9629C"/>
    <w:rsid w:val="00F96D18"/>
    <w:rsid w:val="00F973DA"/>
    <w:rsid w:val="00F974CA"/>
    <w:rsid w:val="00F974F4"/>
    <w:rsid w:val="00F97757"/>
    <w:rsid w:val="00F97D92"/>
    <w:rsid w:val="00F97DAD"/>
    <w:rsid w:val="00FA01B1"/>
    <w:rsid w:val="00FA0369"/>
    <w:rsid w:val="00FA0404"/>
    <w:rsid w:val="00FA052C"/>
    <w:rsid w:val="00FA0546"/>
    <w:rsid w:val="00FA0EBC"/>
    <w:rsid w:val="00FA127A"/>
    <w:rsid w:val="00FA193D"/>
    <w:rsid w:val="00FA1E64"/>
    <w:rsid w:val="00FA2DA4"/>
    <w:rsid w:val="00FA35AB"/>
    <w:rsid w:val="00FA41EF"/>
    <w:rsid w:val="00FA4AE7"/>
    <w:rsid w:val="00FA542E"/>
    <w:rsid w:val="00FA58E1"/>
    <w:rsid w:val="00FA5A85"/>
    <w:rsid w:val="00FA5D1B"/>
    <w:rsid w:val="00FA6329"/>
    <w:rsid w:val="00FA6F54"/>
    <w:rsid w:val="00FA7138"/>
    <w:rsid w:val="00FB0A9C"/>
    <w:rsid w:val="00FB0C84"/>
    <w:rsid w:val="00FB0F1B"/>
    <w:rsid w:val="00FB125F"/>
    <w:rsid w:val="00FB1A96"/>
    <w:rsid w:val="00FB22B0"/>
    <w:rsid w:val="00FB2452"/>
    <w:rsid w:val="00FB303A"/>
    <w:rsid w:val="00FB3414"/>
    <w:rsid w:val="00FB3CD2"/>
    <w:rsid w:val="00FB40A8"/>
    <w:rsid w:val="00FB43A7"/>
    <w:rsid w:val="00FB4475"/>
    <w:rsid w:val="00FB45F2"/>
    <w:rsid w:val="00FB4DEF"/>
    <w:rsid w:val="00FB54C7"/>
    <w:rsid w:val="00FB5E63"/>
    <w:rsid w:val="00FB6085"/>
    <w:rsid w:val="00FB61E0"/>
    <w:rsid w:val="00FB64F5"/>
    <w:rsid w:val="00FB6551"/>
    <w:rsid w:val="00FB6645"/>
    <w:rsid w:val="00FB6E8C"/>
    <w:rsid w:val="00FB73CC"/>
    <w:rsid w:val="00FB752B"/>
    <w:rsid w:val="00FB79BE"/>
    <w:rsid w:val="00FB7A5A"/>
    <w:rsid w:val="00FB7B7D"/>
    <w:rsid w:val="00FB7E6F"/>
    <w:rsid w:val="00FC025A"/>
    <w:rsid w:val="00FC034B"/>
    <w:rsid w:val="00FC069D"/>
    <w:rsid w:val="00FC06F1"/>
    <w:rsid w:val="00FC0880"/>
    <w:rsid w:val="00FC08F9"/>
    <w:rsid w:val="00FC0C2A"/>
    <w:rsid w:val="00FC0D6A"/>
    <w:rsid w:val="00FC18F8"/>
    <w:rsid w:val="00FC1962"/>
    <w:rsid w:val="00FC1D1F"/>
    <w:rsid w:val="00FC2497"/>
    <w:rsid w:val="00FC2696"/>
    <w:rsid w:val="00FC26FF"/>
    <w:rsid w:val="00FC27A5"/>
    <w:rsid w:val="00FC31D2"/>
    <w:rsid w:val="00FC329C"/>
    <w:rsid w:val="00FC3555"/>
    <w:rsid w:val="00FC37FB"/>
    <w:rsid w:val="00FC3D7B"/>
    <w:rsid w:val="00FC443F"/>
    <w:rsid w:val="00FC448A"/>
    <w:rsid w:val="00FC47B9"/>
    <w:rsid w:val="00FC528F"/>
    <w:rsid w:val="00FC54DB"/>
    <w:rsid w:val="00FC5556"/>
    <w:rsid w:val="00FC5571"/>
    <w:rsid w:val="00FC6116"/>
    <w:rsid w:val="00FC6999"/>
    <w:rsid w:val="00FC6E37"/>
    <w:rsid w:val="00FC6F04"/>
    <w:rsid w:val="00FC7001"/>
    <w:rsid w:val="00FC7CDA"/>
    <w:rsid w:val="00FD0334"/>
    <w:rsid w:val="00FD0C10"/>
    <w:rsid w:val="00FD1173"/>
    <w:rsid w:val="00FD11A3"/>
    <w:rsid w:val="00FD17EA"/>
    <w:rsid w:val="00FD1A9D"/>
    <w:rsid w:val="00FD1BA6"/>
    <w:rsid w:val="00FD1C93"/>
    <w:rsid w:val="00FD2154"/>
    <w:rsid w:val="00FD224C"/>
    <w:rsid w:val="00FD2F76"/>
    <w:rsid w:val="00FD325A"/>
    <w:rsid w:val="00FD3263"/>
    <w:rsid w:val="00FD45C4"/>
    <w:rsid w:val="00FD4F30"/>
    <w:rsid w:val="00FD4F98"/>
    <w:rsid w:val="00FD55AE"/>
    <w:rsid w:val="00FD55DB"/>
    <w:rsid w:val="00FD6634"/>
    <w:rsid w:val="00FD665B"/>
    <w:rsid w:val="00FD79A6"/>
    <w:rsid w:val="00FE041F"/>
    <w:rsid w:val="00FE084A"/>
    <w:rsid w:val="00FE08C3"/>
    <w:rsid w:val="00FE0BDD"/>
    <w:rsid w:val="00FE15C5"/>
    <w:rsid w:val="00FE17DB"/>
    <w:rsid w:val="00FE1B3D"/>
    <w:rsid w:val="00FE294B"/>
    <w:rsid w:val="00FE3107"/>
    <w:rsid w:val="00FE3F2A"/>
    <w:rsid w:val="00FE409C"/>
    <w:rsid w:val="00FE42F8"/>
    <w:rsid w:val="00FE4728"/>
    <w:rsid w:val="00FE51D1"/>
    <w:rsid w:val="00FE68DD"/>
    <w:rsid w:val="00FE7009"/>
    <w:rsid w:val="00FE7276"/>
    <w:rsid w:val="00FE7D8E"/>
    <w:rsid w:val="00FF0B18"/>
    <w:rsid w:val="00FF0DEE"/>
    <w:rsid w:val="00FF0E92"/>
    <w:rsid w:val="00FF11CD"/>
    <w:rsid w:val="00FF1C79"/>
    <w:rsid w:val="00FF2F95"/>
    <w:rsid w:val="00FF35D1"/>
    <w:rsid w:val="00FF397B"/>
    <w:rsid w:val="00FF3CF6"/>
    <w:rsid w:val="00FF4472"/>
    <w:rsid w:val="00FF4F43"/>
    <w:rsid w:val="00FF51F2"/>
    <w:rsid w:val="00FF52A9"/>
    <w:rsid w:val="00FF53A9"/>
    <w:rsid w:val="00FF56D1"/>
    <w:rsid w:val="00FF5A64"/>
    <w:rsid w:val="00FF5EDE"/>
    <w:rsid w:val="00FF7770"/>
    <w:rsid w:val="01078E60"/>
    <w:rsid w:val="010D6F4E"/>
    <w:rsid w:val="011F0E99"/>
    <w:rsid w:val="017472B7"/>
    <w:rsid w:val="019D9336"/>
    <w:rsid w:val="01B0F616"/>
    <w:rsid w:val="01C98AAF"/>
    <w:rsid w:val="01F92DD7"/>
    <w:rsid w:val="01FBDEDC"/>
    <w:rsid w:val="0209331F"/>
    <w:rsid w:val="0212B13E"/>
    <w:rsid w:val="02235692"/>
    <w:rsid w:val="022F4774"/>
    <w:rsid w:val="02318867"/>
    <w:rsid w:val="02367DFA"/>
    <w:rsid w:val="025A6BFB"/>
    <w:rsid w:val="026350FD"/>
    <w:rsid w:val="02707B3F"/>
    <w:rsid w:val="027C544B"/>
    <w:rsid w:val="02884A2B"/>
    <w:rsid w:val="028E3494"/>
    <w:rsid w:val="02935FD1"/>
    <w:rsid w:val="02A6DCBF"/>
    <w:rsid w:val="02CEAAAD"/>
    <w:rsid w:val="02D24AD2"/>
    <w:rsid w:val="02D2CBD3"/>
    <w:rsid w:val="02D70A5F"/>
    <w:rsid w:val="02F588A2"/>
    <w:rsid w:val="02F6C148"/>
    <w:rsid w:val="0313C295"/>
    <w:rsid w:val="0313DFB3"/>
    <w:rsid w:val="032CB0DA"/>
    <w:rsid w:val="033D10EF"/>
    <w:rsid w:val="0353976C"/>
    <w:rsid w:val="0356149A"/>
    <w:rsid w:val="0359781C"/>
    <w:rsid w:val="038BDC04"/>
    <w:rsid w:val="03938764"/>
    <w:rsid w:val="039F3019"/>
    <w:rsid w:val="03A8FEEF"/>
    <w:rsid w:val="03AB125A"/>
    <w:rsid w:val="03BFE499"/>
    <w:rsid w:val="03C6CE45"/>
    <w:rsid w:val="03C6ECCF"/>
    <w:rsid w:val="03C9DEBE"/>
    <w:rsid w:val="03E0C02E"/>
    <w:rsid w:val="041B6A42"/>
    <w:rsid w:val="042103F5"/>
    <w:rsid w:val="0423CF15"/>
    <w:rsid w:val="0426CCD6"/>
    <w:rsid w:val="04300BBB"/>
    <w:rsid w:val="04367F95"/>
    <w:rsid w:val="044C9D38"/>
    <w:rsid w:val="0458E792"/>
    <w:rsid w:val="047B4F14"/>
    <w:rsid w:val="04976E2C"/>
    <w:rsid w:val="04A6201A"/>
    <w:rsid w:val="04A81A18"/>
    <w:rsid w:val="04B0665A"/>
    <w:rsid w:val="04B67651"/>
    <w:rsid w:val="04C7FC1F"/>
    <w:rsid w:val="04E82CF2"/>
    <w:rsid w:val="04EA6946"/>
    <w:rsid w:val="04EB4143"/>
    <w:rsid w:val="04F927E6"/>
    <w:rsid w:val="04FA5616"/>
    <w:rsid w:val="04FD9840"/>
    <w:rsid w:val="05097E48"/>
    <w:rsid w:val="05282B9A"/>
    <w:rsid w:val="05394122"/>
    <w:rsid w:val="053A5D91"/>
    <w:rsid w:val="0546E2BB"/>
    <w:rsid w:val="0549AFDA"/>
    <w:rsid w:val="0550B620"/>
    <w:rsid w:val="055E3381"/>
    <w:rsid w:val="05881053"/>
    <w:rsid w:val="05A68483"/>
    <w:rsid w:val="05AB5ED5"/>
    <w:rsid w:val="05BE2371"/>
    <w:rsid w:val="05C1EE5C"/>
    <w:rsid w:val="05C9E42E"/>
    <w:rsid w:val="05D2A199"/>
    <w:rsid w:val="05DF9EDB"/>
    <w:rsid w:val="05F5C156"/>
    <w:rsid w:val="062234C0"/>
    <w:rsid w:val="06333E8D"/>
    <w:rsid w:val="06395CD5"/>
    <w:rsid w:val="06421B84"/>
    <w:rsid w:val="066EDA3B"/>
    <w:rsid w:val="0676CCC1"/>
    <w:rsid w:val="068EABBB"/>
    <w:rsid w:val="069F51BB"/>
    <w:rsid w:val="06A43B3C"/>
    <w:rsid w:val="06C247F2"/>
    <w:rsid w:val="06C2B89C"/>
    <w:rsid w:val="06C5355E"/>
    <w:rsid w:val="06E5803B"/>
    <w:rsid w:val="06F194B7"/>
    <w:rsid w:val="0728B844"/>
    <w:rsid w:val="07330B74"/>
    <w:rsid w:val="07385144"/>
    <w:rsid w:val="0745316F"/>
    <w:rsid w:val="0746CD25"/>
    <w:rsid w:val="0758AC01"/>
    <w:rsid w:val="076BFD52"/>
    <w:rsid w:val="077B9895"/>
    <w:rsid w:val="07900A48"/>
    <w:rsid w:val="0796BEA3"/>
    <w:rsid w:val="079E0458"/>
    <w:rsid w:val="07C5CEF9"/>
    <w:rsid w:val="07CBEE22"/>
    <w:rsid w:val="07CBF9B2"/>
    <w:rsid w:val="07CF0EEE"/>
    <w:rsid w:val="07D30F46"/>
    <w:rsid w:val="07E0DC57"/>
    <w:rsid w:val="08056256"/>
    <w:rsid w:val="080694F4"/>
    <w:rsid w:val="0808111E"/>
    <w:rsid w:val="0818029C"/>
    <w:rsid w:val="083B0963"/>
    <w:rsid w:val="08408348"/>
    <w:rsid w:val="08424051"/>
    <w:rsid w:val="0843CFAF"/>
    <w:rsid w:val="0855CFCE"/>
    <w:rsid w:val="0868283F"/>
    <w:rsid w:val="0871C490"/>
    <w:rsid w:val="0881248D"/>
    <w:rsid w:val="0882BCF5"/>
    <w:rsid w:val="08883D46"/>
    <w:rsid w:val="088E0FA6"/>
    <w:rsid w:val="0894BE5F"/>
    <w:rsid w:val="089C6842"/>
    <w:rsid w:val="08A367F1"/>
    <w:rsid w:val="08AF8D41"/>
    <w:rsid w:val="08BEC01B"/>
    <w:rsid w:val="08E0868E"/>
    <w:rsid w:val="0902BF37"/>
    <w:rsid w:val="09186D0A"/>
    <w:rsid w:val="092AF7C6"/>
    <w:rsid w:val="0943D0D5"/>
    <w:rsid w:val="0978B207"/>
    <w:rsid w:val="09841C99"/>
    <w:rsid w:val="0995C3F7"/>
    <w:rsid w:val="09A91EA2"/>
    <w:rsid w:val="09C27A6E"/>
    <w:rsid w:val="0A142103"/>
    <w:rsid w:val="0A14B6D3"/>
    <w:rsid w:val="0A32F640"/>
    <w:rsid w:val="0A3CF0F6"/>
    <w:rsid w:val="0A662A7A"/>
    <w:rsid w:val="0A69715D"/>
    <w:rsid w:val="0A8A16E8"/>
    <w:rsid w:val="0A8BCF95"/>
    <w:rsid w:val="0A943DDC"/>
    <w:rsid w:val="0A9D0368"/>
    <w:rsid w:val="0AADEFC3"/>
    <w:rsid w:val="0AB102B5"/>
    <w:rsid w:val="0ABBD7B8"/>
    <w:rsid w:val="0ABDBEF4"/>
    <w:rsid w:val="0AC645AD"/>
    <w:rsid w:val="0AD25505"/>
    <w:rsid w:val="0AD3F96F"/>
    <w:rsid w:val="0AD97F3A"/>
    <w:rsid w:val="0ADFEE7C"/>
    <w:rsid w:val="0AE7722A"/>
    <w:rsid w:val="0AE8F044"/>
    <w:rsid w:val="0AEF11C8"/>
    <w:rsid w:val="0AFDAE1F"/>
    <w:rsid w:val="0B161E89"/>
    <w:rsid w:val="0B190BEA"/>
    <w:rsid w:val="0B291871"/>
    <w:rsid w:val="0B36289D"/>
    <w:rsid w:val="0B3AED45"/>
    <w:rsid w:val="0B4C1AE9"/>
    <w:rsid w:val="0B4C7166"/>
    <w:rsid w:val="0B6515A3"/>
    <w:rsid w:val="0B69AC83"/>
    <w:rsid w:val="0B725A99"/>
    <w:rsid w:val="0B8DFC74"/>
    <w:rsid w:val="0B9D96B8"/>
    <w:rsid w:val="0BDB6F10"/>
    <w:rsid w:val="0BEB3708"/>
    <w:rsid w:val="0BEEC472"/>
    <w:rsid w:val="0BF07DCE"/>
    <w:rsid w:val="0BFBC823"/>
    <w:rsid w:val="0C0033E8"/>
    <w:rsid w:val="0C016EAE"/>
    <w:rsid w:val="0C39B0E4"/>
    <w:rsid w:val="0C3AF7F3"/>
    <w:rsid w:val="0C4F8A66"/>
    <w:rsid w:val="0C78F036"/>
    <w:rsid w:val="0C7B2E3C"/>
    <w:rsid w:val="0C94BB67"/>
    <w:rsid w:val="0C95EB7C"/>
    <w:rsid w:val="0CCCC3CC"/>
    <w:rsid w:val="0CEBBDD1"/>
    <w:rsid w:val="0D0BA148"/>
    <w:rsid w:val="0D1C06FB"/>
    <w:rsid w:val="0D4232B3"/>
    <w:rsid w:val="0D4470F9"/>
    <w:rsid w:val="0D51F484"/>
    <w:rsid w:val="0D5BA72D"/>
    <w:rsid w:val="0D77D5AF"/>
    <w:rsid w:val="0D79F5DC"/>
    <w:rsid w:val="0D86A6DF"/>
    <w:rsid w:val="0D89E71E"/>
    <w:rsid w:val="0DA5563C"/>
    <w:rsid w:val="0DB7F5BD"/>
    <w:rsid w:val="0DD3B114"/>
    <w:rsid w:val="0DD42B6D"/>
    <w:rsid w:val="0DF24448"/>
    <w:rsid w:val="0DFAD29B"/>
    <w:rsid w:val="0E0838A0"/>
    <w:rsid w:val="0E0E42E3"/>
    <w:rsid w:val="0E23C44F"/>
    <w:rsid w:val="0E252815"/>
    <w:rsid w:val="0E2BC685"/>
    <w:rsid w:val="0E44F9BB"/>
    <w:rsid w:val="0E499E09"/>
    <w:rsid w:val="0E53E687"/>
    <w:rsid w:val="0E6BFCCD"/>
    <w:rsid w:val="0E7242A6"/>
    <w:rsid w:val="0E85D566"/>
    <w:rsid w:val="0E87EDFA"/>
    <w:rsid w:val="0E8AA2FF"/>
    <w:rsid w:val="0EB36D04"/>
    <w:rsid w:val="0ECAE4FA"/>
    <w:rsid w:val="0ED2C65E"/>
    <w:rsid w:val="0ED3F197"/>
    <w:rsid w:val="0EDA90F1"/>
    <w:rsid w:val="0EF53BFC"/>
    <w:rsid w:val="0EF5E4E0"/>
    <w:rsid w:val="0F0A4943"/>
    <w:rsid w:val="0F0CB528"/>
    <w:rsid w:val="0F240A6E"/>
    <w:rsid w:val="0F5AF554"/>
    <w:rsid w:val="0F6F97A0"/>
    <w:rsid w:val="0F766E4E"/>
    <w:rsid w:val="0F7F02D9"/>
    <w:rsid w:val="0FE0592B"/>
    <w:rsid w:val="0FE52D7D"/>
    <w:rsid w:val="10105676"/>
    <w:rsid w:val="101EA9CE"/>
    <w:rsid w:val="104F70C0"/>
    <w:rsid w:val="106B7C31"/>
    <w:rsid w:val="10708DC8"/>
    <w:rsid w:val="108D8C17"/>
    <w:rsid w:val="10A0703B"/>
    <w:rsid w:val="10A173C7"/>
    <w:rsid w:val="10D8BDDB"/>
    <w:rsid w:val="10E9B34B"/>
    <w:rsid w:val="10FB4FBF"/>
    <w:rsid w:val="1137BB88"/>
    <w:rsid w:val="1140B754"/>
    <w:rsid w:val="1141AB64"/>
    <w:rsid w:val="1146F75F"/>
    <w:rsid w:val="114AD4DE"/>
    <w:rsid w:val="11613B9B"/>
    <w:rsid w:val="11EA7697"/>
    <w:rsid w:val="121231B3"/>
    <w:rsid w:val="1213D1E6"/>
    <w:rsid w:val="1222CB5C"/>
    <w:rsid w:val="1233CAE5"/>
    <w:rsid w:val="123442BA"/>
    <w:rsid w:val="1234E5C5"/>
    <w:rsid w:val="124DC6A6"/>
    <w:rsid w:val="124EC9BC"/>
    <w:rsid w:val="12637273"/>
    <w:rsid w:val="1263E64F"/>
    <w:rsid w:val="126CEF98"/>
    <w:rsid w:val="1274EA7C"/>
    <w:rsid w:val="1281C295"/>
    <w:rsid w:val="1297FC44"/>
    <w:rsid w:val="12EC97CD"/>
    <w:rsid w:val="12FD94D0"/>
    <w:rsid w:val="1302651E"/>
    <w:rsid w:val="13059180"/>
    <w:rsid w:val="131CDFE6"/>
    <w:rsid w:val="132E2AA5"/>
    <w:rsid w:val="1332FAE6"/>
    <w:rsid w:val="133881B3"/>
    <w:rsid w:val="1346B0DD"/>
    <w:rsid w:val="135B6077"/>
    <w:rsid w:val="135F471F"/>
    <w:rsid w:val="138411CE"/>
    <w:rsid w:val="13887895"/>
    <w:rsid w:val="13C64D10"/>
    <w:rsid w:val="13C8BAF7"/>
    <w:rsid w:val="13C8E141"/>
    <w:rsid w:val="13D05A5F"/>
    <w:rsid w:val="13DE4EE4"/>
    <w:rsid w:val="13E64EC1"/>
    <w:rsid w:val="13E93B5F"/>
    <w:rsid w:val="13EC2ABF"/>
    <w:rsid w:val="13F781F2"/>
    <w:rsid w:val="1404674B"/>
    <w:rsid w:val="1415285D"/>
    <w:rsid w:val="142C4F6F"/>
    <w:rsid w:val="1430839D"/>
    <w:rsid w:val="14355C1A"/>
    <w:rsid w:val="14522A2E"/>
    <w:rsid w:val="14573E7C"/>
    <w:rsid w:val="145B2CD8"/>
    <w:rsid w:val="146E08B1"/>
    <w:rsid w:val="148998EC"/>
    <w:rsid w:val="14973E3C"/>
    <w:rsid w:val="149E9DD9"/>
    <w:rsid w:val="14A4D7E3"/>
    <w:rsid w:val="14C47BCC"/>
    <w:rsid w:val="14C7A668"/>
    <w:rsid w:val="14CC438C"/>
    <w:rsid w:val="14D6FC5B"/>
    <w:rsid w:val="14EF7BE5"/>
    <w:rsid w:val="14FB1780"/>
    <w:rsid w:val="1507668D"/>
    <w:rsid w:val="1509247A"/>
    <w:rsid w:val="15162E79"/>
    <w:rsid w:val="1523B423"/>
    <w:rsid w:val="1527DB52"/>
    <w:rsid w:val="153A0E38"/>
    <w:rsid w:val="15441682"/>
    <w:rsid w:val="15451417"/>
    <w:rsid w:val="154FDBB7"/>
    <w:rsid w:val="1553A69C"/>
    <w:rsid w:val="155592F1"/>
    <w:rsid w:val="15686FD7"/>
    <w:rsid w:val="1568C29C"/>
    <w:rsid w:val="1583663A"/>
    <w:rsid w:val="1593E0C5"/>
    <w:rsid w:val="159925C1"/>
    <w:rsid w:val="159BEA88"/>
    <w:rsid w:val="15A51C8A"/>
    <w:rsid w:val="15B031E0"/>
    <w:rsid w:val="15C706B2"/>
    <w:rsid w:val="15DBC2D0"/>
    <w:rsid w:val="15EED4AD"/>
    <w:rsid w:val="1612F5C6"/>
    <w:rsid w:val="161773FB"/>
    <w:rsid w:val="162EA80E"/>
    <w:rsid w:val="16341666"/>
    <w:rsid w:val="1647049D"/>
    <w:rsid w:val="164AA241"/>
    <w:rsid w:val="164E2F11"/>
    <w:rsid w:val="165222E0"/>
    <w:rsid w:val="1653C241"/>
    <w:rsid w:val="16602CD4"/>
    <w:rsid w:val="16625F8D"/>
    <w:rsid w:val="168024E8"/>
    <w:rsid w:val="1685E05E"/>
    <w:rsid w:val="16887EF7"/>
    <w:rsid w:val="16B09C8B"/>
    <w:rsid w:val="16C8FC39"/>
    <w:rsid w:val="16CAC53F"/>
    <w:rsid w:val="16CCA0D7"/>
    <w:rsid w:val="16D34707"/>
    <w:rsid w:val="16FF4DF6"/>
    <w:rsid w:val="17184EFF"/>
    <w:rsid w:val="17289584"/>
    <w:rsid w:val="175E12A9"/>
    <w:rsid w:val="175FA359"/>
    <w:rsid w:val="1763693A"/>
    <w:rsid w:val="176730DE"/>
    <w:rsid w:val="1768B172"/>
    <w:rsid w:val="17751228"/>
    <w:rsid w:val="179BC825"/>
    <w:rsid w:val="17AE99A4"/>
    <w:rsid w:val="17B183DA"/>
    <w:rsid w:val="17B997EC"/>
    <w:rsid w:val="17BDF03E"/>
    <w:rsid w:val="17C5A610"/>
    <w:rsid w:val="17D33B70"/>
    <w:rsid w:val="17FD0B49"/>
    <w:rsid w:val="18157C3D"/>
    <w:rsid w:val="181DBC98"/>
    <w:rsid w:val="1843601F"/>
    <w:rsid w:val="18743104"/>
    <w:rsid w:val="1886398F"/>
    <w:rsid w:val="1890A214"/>
    <w:rsid w:val="18B2C2F4"/>
    <w:rsid w:val="18D491C6"/>
    <w:rsid w:val="18D644BD"/>
    <w:rsid w:val="18E65AA1"/>
    <w:rsid w:val="18E7D2A2"/>
    <w:rsid w:val="18F0A027"/>
    <w:rsid w:val="191D3CAB"/>
    <w:rsid w:val="192E9FB0"/>
    <w:rsid w:val="193CB8F1"/>
    <w:rsid w:val="19411988"/>
    <w:rsid w:val="194F5333"/>
    <w:rsid w:val="195751E5"/>
    <w:rsid w:val="196F41DD"/>
    <w:rsid w:val="198F1067"/>
    <w:rsid w:val="1995D423"/>
    <w:rsid w:val="19C600C3"/>
    <w:rsid w:val="19DAA72D"/>
    <w:rsid w:val="1A04D3DA"/>
    <w:rsid w:val="1A155A07"/>
    <w:rsid w:val="1A52A27F"/>
    <w:rsid w:val="1A5EDE83"/>
    <w:rsid w:val="1A70E800"/>
    <w:rsid w:val="1A74A897"/>
    <w:rsid w:val="1A889B31"/>
    <w:rsid w:val="1A8E6423"/>
    <w:rsid w:val="1AC249F6"/>
    <w:rsid w:val="1AC2ECC3"/>
    <w:rsid w:val="1AE9E29E"/>
    <w:rsid w:val="1AF9633C"/>
    <w:rsid w:val="1B0A4EAD"/>
    <w:rsid w:val="1B0C4B56"/>
    <w:rsid w:val="1B0E11A5"/>
    <w:rsid w:val="1B1225A8"/>
    <w:rsid w:val="1B23635C"/>
    <w:rsid w:val="1B2C884C"/>
    <w:rsid w:val="1B476839"/>
    <w:rsid w:val="1B485F24"/>
    <w:rsid w:val="1B4D42C2"/>
    <w:rsid w:val="1B64EE25"/>
    <w:rsid w:val="1B708544"/>
    <w:rsid w:val="1B71B767"/>
    <w:rsid w:val="1B7B6DB5"/>
    <w:rsid w:val="1B7B809F"/>
    <w:rsid w:val="1B7B8B77"/>
    <w:rsid w:val="1B86A6C1"/>
    <w:rsid w:val="1B88D89A"/>
    <w:rsid w:val="1B99B88B"/>
    <w:rsid w:val="1B9E1CB9"/>
    <w:rsid w:val="1BB0F3DD"/>
    <w:rsid w:val="1BBB8BF9"/>
    <w:rsid w:val="1BDBB585"/>
    <w:rsid w:val="1BFF60EE"/>
    <w:rsid w:val="1C0DC736"/>
    <w:rsid w:val="1C1404CD"/>
    <w:rsid w:val="1C2096ED"/>
    <w:rsid w:val="1C44F6A7"/>
    <w:rsid w:val="1C5225A2"/>
    <w:rsid w:val="1C5767D9"/>
    <w:rsid w:val="1C599895"/>
    <w:rsid w:val="1C623F41"/>
    <w:rsid w:val="1C72E1AD"/>
    <w:rsid w:val="1C7720B0"/>
    <w:rsid w:val="1C7E4EB5"/>
    <w:rsid w:val="1C96C8C7"/>
    <w:rsid w:val="1C96D757"/>
    <w:rsid w:val="1CAF26B5"/>
    <w:rsid w:val="1CDA3630"/>
    <w:rsid w:val="1CDBDE39"/>
    <w:rsid w:val="1CEFA014"/>
    <w:rsid w:val="1D11EB18"/>
    <w:rsid w:val="1D1354EF"/>
    <w:rsid w:val="1D17B590"/>
    <w:rsid w:val="1D1E8727"/>
    <w:rsid w:val="1D23BF72"/>
    <w:rsid w:val="1D2E8335"/>
    <w:rsid w:val="1D3110C8"/>
    <w:rsid w:val="1D462BA9"/>
    <w:rsid w:val="1D4A1594"/>
    <w:rsid w:val="1D5886C6"/>
    <w:rsid w:val="1D612DF9"/>
    <w:rsid w:val="1D6CA5C5"/>
    <w:rsid w:val="1DAC4CE0"/>
    <w:rsid w:val="1DBFDFE4"/>
    <w:rsid w:val="1DE99DED"/>
    <w:rsid w:val="1E158B63"/>
    <w:rsid w:val="1E1C07D3"/>
    <w:rsid w:val="1E2CE6E5"/>
    <w:rsid w:val="1E358D4B"/>
    <w:rsid w:val="1E3F58C9"/>
    <w:rsid w:val="1E3FB1BF"/>
    <w:rsid w:val="1E5167E3"/>
    <w:rsid w:val="1E5905E8"/>
    <w:rsid w:val="1E5D7136"/>
    <w:rsid w:val="1E6DC18E"/>
    <w:rsid w:val="1E8A2915"/>
    <w:rsid w:val="1E8E151B"/>
    <w:rsid w:val="1E96DB9C"/>
    <w:rsid w:val="1E9D2972"/>
    <w:rsid w:val="1EC40D74"/>
    <w:rsid w:val="1F024FC6"/>
    <w:rsid w:val="1F053A0D"/>
    <w:rsid w:val="1F06DF90"/>
    <w:rsid w:val="1F152E3A"/>
    <w:rsid w:val="1F1DCD9F"/>
    <w:rsid w:val="1F4E86A8"/>
    <w:rsid w:val="1F512F21"/>
    <w:rsid w:val="1F557BDD"/>
    <w:rsid w:val="1F590399"/>
    <w:rsid w:val="1F5F5567"/>
    <w:rsid w:val="1F6462DE"/>
    <w:rsid w:val="1F69FD8A"/>
    <w:rsid w:val="1F8E678D"/>
    <w:rsid w:val="1FA53C78"/>
    <w:rsid w:val="1FA77EB0"/>
    <w:rsid w:val="1FD90AD9"/>
    <w:rsid w:val="1FE8CCB2"/>
    <w:rsid w:val="1FEA2817"/>
    <w:rsid w:val="1FEF33EA"/>
    <w:rsid w:val="2023A7C2"/>
    <w:rsid w:val="204997CB"/>
    <w:rsid w:val="20551F2A"/>
    <w:rsid w:val="2063CD28"/>
    <w:rsid w:val="207193CA"/>
    <w:rsid w:val="2079F7C2"/>
    <w:rsid w:val="20882E29"/>
    <w:rsid w:val="209B6608"/>
    <w:rsid w:val="20A01758"/>
    <w:rsid w:val="20AA8FBC"/>
    <w:rsid w:val="20C56880"/>
    <w:rsid w:val="20D85FDD"/>
    <w:rsid w:val="20ED98C1"/>
    <w:rsid w:val="20FC74DC"/>
    <w:rsid w:val="211755A7"/>
    <w:rsid w:val="2122BAC2"/>
    <w:rsid w:val="21261746"/>
    <w:rsid w:val="214EE97D"/>
    <w:rsid w:val="214F28E8"/>
    <w:rsid w:val="215840CD"/>
    <w:rsid w:val="215BC5BE"/>
    <w:rsid w:val="21644F82"/>
    <w:rsid w:val="2174C4FE"/>
    <w:rsid w:val="2180480F"/>
    <w:rsid w:val="21A3ED8E"/>
    <w:rsid w:val="21B2602D"/>
    <w:rsid w:val="21DD8D8E"/>
    <w:rsid w:val="21E8BCE1"/>
    <w:rsid w:val="21E9A8AC"/>
    <w:rsid w:val="21EBCF79"/>
    <w:rsid w:val="21EF4549"/>
    <w:rsid w:val="21F47C3B"/>
    <w:rsid w:val="220DAED5"/>
    <w:rsid w:val="2214E859"/>
    <w:rsid w:val="22154039"/>
    <w:rsid w:val="2223FAF4"/>
    <w:rsid w:val="222DF99F"/>
    <w:rsid w:val="2238CC3A"/>
    <w:rsid w:val="2238EF26"/>
    <w:rsid w:val="223D94BA"/>
    <w:rsid w:val="225D0094"/>
    <w:rsid w:val="22665FB4"/>
    <w:rsid w:val="226EF31D"/>
    <w:rsid w:val="226F56F8"/>
    <w:rsid w:val="228D075B"/>
    <w:rsid w:val="2299AF38"/>
    <w:rsid w:val="22CE0005"/>
    <w:rsid w:val="22CEFA59"/>
    <w:rsid w:val="22CFA5BF"/>
    <w:rsid w:val="22CFDF90"/>
    <w:rsid w:val="22D8907B"/>
    <w:rsid w:val="22E96F1C"/>
    <w:rsid w:val="22EFB4B3"/>
    <w:rsid w:val="2309CF44"/>
    <w:rsid w:val="231C1870"/>
    <w:rsid w:val="231D6787"/>
    <w:rsid w:val="23275029"/>
    <w:rsid w:val="232E9AFB"/>
    <w:rsid w:val="232F9869"/>
    <w:rsid w:val="233AF136"/>
    <w:rsid w:val="23493F01"/>
    <w:rsid w:val="2350AD9C"/>
    <w:rsid w:val="23598FCF"/>
    <w:rsid w:val="2374F615"/>
    <w:rsid w:val="2379780B"/>
    <w:rsid w:val="237C6226"/>
    <w:rsid w:val="237DB222"/>
    <w:rsid w:val="237F887E"/>
    <w:rsid w:val="238A91AF"/>
    <w:rsid w:val="239D95E5"/>
    <w:rsid w:val="23BFA427"/>
    <w:rsid w:val="23E31128"/>
    <w:rsid w:val="23EBEE3A"/>
    <w:rsid w:val="23EE65AB"/>
    <w:rsid w:val="23FE7A59"/>
    <w:rsid w:val="2416D10E"/>
    <w:rsid w:val="241A227D"/>
    <w:rsid w:val="244516A6"/>
    <w:rsid w:val="244D815C"/>
    <w:rsid w:val="244E1F13"/>
    <w:rsid w:val="246AC837"/>
    <w:rsid w:val="24B17EE2"/>
    <w:rsid w:val="24B70B70"/>
    <w:rsid w:val="24BB2BAC"/>
    <w:rsid w:val="24C8EBF1"/>
    <w:rsid w:val="24D875C6"/>
    <w:rsid w:val="24E222C4"/>
    <w:rsid w:val="2536253D"/>
    <w:rsid w:val="253B6506"/>
    <w:rsid w:val="2558DF34"/>
    <w:rsid w:val="25688912"/>
    <w:rsid w:val="25742D88"/>
    <w:rsid w:val="258473DD"/>
    <w:rsid w:val="2590B77F"/>
    <w:rsid w:val="25983B46"/>
    <w:rsid w:val="25B6CE7C"/>
    <w:rsid w:val="25C2F627"/>
    <w:rsid w:val="25CF3601"/>
    <w:rsid w:val="25D7C15B"/>
    <w:rsid w:val="25E938F7"/>
    <w:rsid w:val="25F6856D"/>
    <w:rsid w:val="26076A3E"/>
    <w:rsid w:val="263DC48E"/>
    <w:rsid w:val="265A0ACB"/>
    <w:rsid w:val="26603F96"/>
    <w:rsid w:val="2678709D"/>
    <w:rsid w:val="268410B3"/>
    <w:rsid w:val="26845993"/>
    <w:rsid w:val="2699A395"/>
    <w:rsid w:val="269C0AAE"/>
    <w:rsid w:val="26C5E015"/>
    <w:rsid w:val="26D2854A"/>
    <w:rsid w:val="26D4F692"/>
    <w:rsid w:val="26DF08B8"/>
    <w:rsid w:val="26E1E02A"/>
    <w:rsid w:val="271DD5B7"/>
    <w:rsid w:val="27502848"/>
    <w:rsid w:val="276CA7C9"/>
    <w:rsid w:val="27826EE4"/>
    <w:rsid w:val="278B18F5"/>
    <w:rsid w:val="278EF055"/>
    <w:rsid w:val="279CF042"/>
    <w:rsid w:val="27E1F39D"/>
    <w:rsid w:val="27EC628A"/>
    <w:rsid w:val="27FEDE4A"/>
    <w:rsid w:val="2809DE52"/>
    <w:rsid w:val="281211FD"/>
    <w:rsid w:val="2819DD14"/>
    <w:rsid w:val="281FE114"/>
    <w:rsid w:val="282804D2"/>
    <w:rsid w:val="2829CD53"/>
    <w:rsid w:val="28374E02"/>
    <w:rsid w:val="285ACEDC"/>
    <w:rsid w:val="285DEEF2"/>
    <w:rsid w:val="28611B20"/>
    <w:rsid w:val="287198CC"/>
    <w:rsid w:val="2871E471"/>
    <w:rsid w:val="287F1E32"/>
    <w:rsid w:val="28890548"/>
    <w:rsid w:val="28B3F435"/>
    <w:rsid w:val="28B71F55"/>
    <w:rsid w:val="28C1969E"/>
    <w:rsid w:val="28D5F118"/>
    <w:rsid w:val="28DA29F1"/>
    <w:rsid w:val="28E02558"/>
    <w:rsid w:val="290D1104"/>
    <w:rsid w:val="290F85F5"/>
    <w:rsid w:val="29250C11"/>
    <w:rsid w:val="29356D1F"/>
    <w:rsid w:val="294775A4"/>
    <w:rsid w:val="29552F19"/>
    <w:rsid w:val="2968814C"/>
    <w:rsid w:val="2982CB40"/>
    <w:rsid w:val="29910A5D"/>
    <w:rsid w:val="29A882A7"/>
    <w:rsid w:val="29B29948"/>
    <w:rsid w:val="29DC3AE4"/>
    <w:rsid w:val="29EA5A65"/>
    <w:rsid w:val="29FB4439"/>
    <w:rsid w:val="2A1465C9"/>
    <w:rsid w:val="2A1B8925"/>
    <w:rsid w:val="2A1F5C5B"/>
    <w:rsid w:val="2A2B9973"/>
    <w:rsid w:val="2A2C45D7"/>
    <w:rsid w:val="2A319EE6"/>
    <w:rsid w:val="2A42FBA0"/>
    <w:rsid w:val="2A4F04EE"/>
    <w:rsid w:val="2A51ACF1"/>
    <w:rsid w:val="2A6E14AA"/>
    <w:rsid w:val="2A71A394"/>
    <w:rsid w:val="2A7B6DD5"/>
    <w:rsid w:val="2A7CC41F"/>
    <w:rsid w:val="2A8FB390"/>
    <w:rsid w:val="2A96723A"/>
    <w:rsid w:val="2A9DAE59"/>
    <w:rsid w:val="2AB12D8D"/>
    <w:rsid w:val="2AE48569"/>
    <w:rsid w:val="2AEB1615"/>
    <w:rsid w:val="2AF6A0B8"/>
    <w:rsid w:val="2AF7E739"/>
    <w:rsid w:val="2B081716"/>
    <w:rsid w:val="2B0B8069"/>
    <w:rsid w:val="2B0CBD40"/>
    <w:rsid w:val="2B415D86"/>
    <w:rsid w:val="2B416563"/>
    <w:rsid w:val="2B518411"/>
    <w:rsid w:val="2B527506"/>
    <w:rsid w:val="2BA1C205"/>
    <w:rsid w:val="2BC84608"/>
    <w:rsid w:val="2BCC0A48"/>
    <w:rsid w:val="2BCCDADE"/>
    <w:rsid w:val="2BD44912"/>
    <w:rsid w:val="2BD8A5A0"/>
    <w:rsid w:val="2BEFED88"/>
    <w:rsid w:val="2C0A710E"/>
    <w:rsid w:val="2C161181"/>
    <w:rsid w:val="2C1820AC"/>
    <w:rsid w:val="2C1A3173"/>
    <w:rsid w:val="2C26009D"/>
    <w:rsid w:val="2C47AA1C"/>
    <w:rsid w:val="2C60A291"/>
    <w:rsid w:val="2C778AC8"/>
    <w:rsid w:val="2C7CB325"/>
    <w:rsid w:val="2C8DC463"/>
    <w:rsid w:val="2C937DB1"/>
    <w:rsid w:val="2C9ECC0F"/>
    <w:rsid w:val="2CA233E5"/>
    <w:rsid w:val="2CBE565C"/>
    <w:rsid w:val="2CF63235"/>
    <w:rsid w:val="2D0280B8"/>
    <w:rsid w:val="2D0DCDFC"/>
    <w:rsid w:val="2D182CED"/>
    <w:rsid w:val="2D1B547A"/>
    <w:rsid w:val="2D1E1A4C"/>
    <w:rsid w:val="2D383E2F"/>
    <w:rsid w:val="2D3FA6D0"/>
    <w:rsid w:val="2D48F848"/>
    <w:rsid w:val="2D6AC670"/>
    <w:rsid w:val="2D6D5F19"/>
    <w:rsid w:val="2D775862"/>
    <w:rsid w:val="2D923559"/>
    <w:rsid w:val="2DA23ACD"/>
    <w:rsid w:val="2DA311DA"/>
    <w:rsid w:val="2DAB458D"/>
    <w:rsid w:val="2DC9C533"/>
    <w:rsid w:val="2DD478D2"/>
    <w:rsid w:val="2DDB0A4A"/>
    <w:rsid w:val="2E07AEB2"/>
    <w:rsid w:val="2E0B93FC"/>
    <w:rsid w:val="2E0C3414"/>
    <w:rsid w:val="2E2F8E73"/>
    <w:rsid w:val="2E3AB3E8"/>
    <w:rsid w:val="2E3C3912"/>
    <w:rsid w:val="2E509F1E"/>
    <w:rsid w:val="2E604E82"/>
    <w:rsid w:val="2E727382"/>
    <w:rsid w:val="2E8F458B"/>
    <w:rsid w:val="2ED4B0FC"/>
    <w:rsid w:val="2EDC8384"/>
    <w:rsid w:val="2F021384"/>
    <w:rsid w:val="2F19B6A3"/>
    <w:rsid w:val="2F290F4A"/>
    <w:rsid w:val="2F325D4E"/>
    <w:rsid w:val="2F3D2535"/>
    <w:rsid w:val="2F422305"/>
    <w:rsid w:val="2F49892D"/>
    <w:rsid w:val="2F49B92D"/>
    <w:rsid w:val="2F63E783"/>
    <w:rsid w:val="2F758AA5"/>
    <w:rsid w:val="2F7CADB2"/>
    <w:rsid w:val="2FA1B7F5"/>
    <w:rsid w:val="2FB1A23F"/>
    <w:rsid w:val="2FBF9150"/>
    <w:rsid w:val="2FC005A4"/>
    <w:rsid w:val="2FE69E51"/>
    <w:rsid w:val="2FE6E7B2"/>
    <w:rsid w:val="2FF8E630"/>
    <w:rsid w:val="2FFA6EF5"/>
    <w:rsid w:val="300288FE"/>
    <w:rsid w:val="3005EC40"/>
    <w:rsid w:val="300E1A00"/>
    <w:rsid w:val="3011CA9C"/>
    <w:rsid w:val="30152E13"/>
    <w:rsid w:val="3026F809"/>
    <w:rsid w:val="302B10B9"/>
    <w:rsid w:val="302EFDE1"/>
    <w:rsid w:val="304EFD20"/>
    <w:rsid w:val="305F735F"/>
    <w:rsid w:val="308D5D41"/>
    <w:rsid w:val="30AC26F2"/>
    <w:rsid w:val="30BEB258"/>
    <w:rsid w:val="30D8F993"/>
    <w:rsid w:val="30E4836A"/>
    <w:rsid w:val="30F64F38"/>
    <w:rsid w:val="31035A65"/>
    <w:rsid w:val="3103717D"/>
    <w:rsid w:val="3126EE50"/>
    <w:rsid w:val="31372DB1"/>
    <w:rsid w:val="3147FB3C"/>
    <w:rsid w:val="3154C592"/>
    <w:rsid w:val="315A2186"/>
    <w:rsid w:val="3169346E"/>
    <w:rsid w:val="316F8605"/>
    <w:rsid w:val="3170B5DD"/>
    <w:rsid w:val="3170C3BD"/>
    <w:rsid w:val="317E9A8C"/>
    <w:rsid w:val="31814012"/>
    <w:rsid w:val="31AD7060"/>
    <w:rsid w:val="31B38254"/>
    <w:rsid w:val="31C108DC"/>
    <w:rsid w:val="31CC2743"/>
    <w:rsid w:val="3213271C"/>
    <w:rsid w:val="322C610F"/>
    <w:rsid w:val="32345431"/>
    <w:rsid w:val="3240F801"/>
    <w:rsid w:val="3261642B"/>
    <w:rsid w:val="327543A8"/>
    <w:rsid w:val="32897C9C"/>
    <w:rsid w:val="328D6CE6"/>
    <w:rsid w:val="328EA498"/>
    <w:rsid w:val="32B86406"/>
    <w:rsid w:val="32BACA93"/>
    <w:rsid w:val="32D96452"/>
    <w:rsid w:val="32DB7B79"/>
    <w:rsid w:val="33180442"/>
    <w:rsid w:val="333A29C0"/>
    <w:rsid w:val="334C6F6B"/>
    <w:rsid w:val="335329B9"/>
    <w:rsid w:val="336318DD"/>
    <w:rsid w:val="336EDDBE"/>
    <w:rsid w:val="3387F966"/>
    <w:rsid w:val="339F73C1"/>
    <w:rsid w:val="33DAA98B"/>
    <w:rsid w:val="33E20AAB"/>
    <w:rsid w:val="33EDE9DA"/>
    <w:rsid w:val="3401F82A"/>
    <w:rsid w:val="34151505"/>
    <w:rsid w:val="34167DA9"/>
    <w:rsid w:val="3439EFC9"/>
    <w:rsid w:val="343C2333"/>
    <w:rsid w:val="344A9CD9"/>
    <w:rsid w:val="344F29F6"/>
    <w:rsid w:val="34512755"/>
    <w:rsid w:val="346303A9"/>
    <w:rsid w:val="3469DFA8"/>
    <w:rsid w:val="34839599"/>
    <w:rsid w:val="349DBB68"/>
    <w:rsid w:val="34A51B5B"/>
    <w:rsid w:val="34A7E30F"/>
    <w:rsid w:val="34C40865"/>
    <w:rsid w:val="350C66B2"/>
    <w:rsid w:val="351573BF"/>
    <w:rsid w:val="3516CC27"/>
    <w:rsid w:val="3520242D"/>
    <w:rsid w:val="3551DE05"/>
    <w:rsid w:val="356401D1"/>
    <w:rsid w:val="35687A16"/>
    <w:rsid w:val="357F1408"/>
    <w:rsid w:val="359B01A3"/>
    <w:rsid w:val="359BBF9F"/>
    <w:rsid w:val="35BC4A98"/>
    <w:rsid w:val="35C01357"/>
    <w:rsid w:val="35C52311"/>
    <w:rsid w:val="35C88708"/>
    <w:rsid w:val="35C9D379"/>
    <w:rsid w:val="35D0D477"/>
    <w:rsid w:val="35F73565"/>
    <w:rsid w:val="3600F455"/>
    <w:rsid w:val="360B228F"/>
    <w:rsid w:val="360DC181"/>
    <w:rsid w:val="360FADC3"/>
    <w:rsid w:val="361BE19C"/>
    <w:rsid w:val="36515D9C"/>
    <w:rsid w:val="3651A2B7"/>
    <w:rsid w:val="3656789A"/>
    <w:rsid w:val="3660532B"/>
    <w:rsid w:val="3667AE9C"/>
    <w:rsid w:val="366A0FF4"/>
    <w:rsid w:val="368F45C8"/>
    <w:rsid w:val="36988700"/>
    <w:rsid w:val="36A3E046"/>
    <w:rsid w:val="36ABD061"/>
    <w:rsid w:val="36AC1B05"/>
    <w:rsid w:val="36AF3581"/>
    <w:rsid w:val="36B210D9"/>
    <w:rsid w:val="36DE2982"/>
    <w:rsid w:val="36E1526F"/>
    <w:rsid w:val="36E3BA13"/>
    <w:rsid w:val="36F071B9"/>
    <w:rsid w:val="36F82C47"/>
    <w:rsid w:val="36F90C5D"/>
    <w:rsid w:val="3700BD4B"/>
    <w:rsid w:val="370B2CB6"/>
    <w:rsid w:val="371673B2"/>
    <w:rsid w:val="372DB6C7"/>
    <w:rsid w:val="373FA149"/>
    <w:rsid w:val="375640A1"/>
    <w:rsid w:val="37668899"/>
    <w:rsid w:val="37745228"/>
    <w:rsid w:val="37A314D5"/>
    <w:rsid w:val="37A52486"/>
    <w:rsid w:val="37B583D2"/>
    <w:rsid w:val="37D3800C"/>
    <w:rsid w:val="37D7BB8F"/>
    <w:rsid w:val="37F32FB9"/>
    <w:rsid w:val="380201FC"/>
    <w:rsid w:val="38049522"/>
    <w:rsid w:val="380580DA"/>
    <w:rsid w:val="382371BE"/>
    <w:rsid w:val="38354646"/>
    <w:rsid w:val="384313E8"/>
    <w:rsid w:val="3857DE44"/>
    <w:rsid w:val="3894C8FD"/>
    <w:rsid w:val="389B4120"/>
    <w:rsid w:val="38A05211"/>
    <w:rsid w:val="38B57BCE"/>
    <w:rsid w:val="38B679EF"/>
    <w:rsid w:val="38B8221C"/>
    <w:rsid w:val="38C9BEDD"/>
    <w:rsid w:val="38CA3E2D"/>
    <w:rsid w:val="38D7B93F"/>
    <w:rsid w:val="38DD8B07"/>
    <w:rsid w:val="38DED8B4"/>
    <w:rsid w:val="38EEAD2B"/>
    <w:rsid w:val="38F86AEB"/>
    <w:rsid w:val="39137F4C"/>
    <w:rsid w:val="3916687B"/>
    <w:rsid w:val="39423699"/>
    <w:rsid w:val="39425C74"/>
    <w:rsid w:val="394BCEA9"/>
    <w:rsid w:val="396EBAB4"/>
    <w:rsid w:val="39703634"/>
    <w:rsid w:val="3984BFD6"/>
    <w:rsid w:val="398DF1ED"/>
    <w:rsid w:val="39A285D8"/>
    <w:rsid w:val="39A5E0DE"/>
    <w:rsid w:val="39A88A59"/>
    <w:rsid w:val="39B6C16F"/>
    <w:rsid w:val="39CA735D"/>
    <w:rsid w:val="39DD5F80"/>
    <w:rsid w:val="39E3F50B"/>
    <w:rsid w:val="39E9C269"/>
    <w:rsid w:val="3A24A3EB"/>
    <w:rsid w:val="3A383A61"/>
    <w:rsid w:val="3A65283F"/>
    <w:rsid w:val="3A82BD3E"/>
    <w:rsid w:val="3A82DEF9"/>
    <w:rsid w:val="3A9DCC0D"/>
    <w:rsid w:val="3ABDA9EC"/>
    <w:rsid w:val="3ABE50D1"/>
    <w:rsid w:val="3AC1264D"/>
    <w:rsid w:val="3ACAB2DF"/>
    <w:rsid w:val="3AD079FC"/>
    <w:rsid w:val="3ADE0006"/>
    <w:rsid w:val="3ADFE7B8"/>
    <w:rsid w:val="3AE82F3F"/>
    <w:rsid w:val="3AEE16D1"/>
    <w:rsid w:val="3B209037"/>
    <w:rsid w:val="3B29D015"/>
    <w:rsid w:val="3B450F22"/>
    <w:rsid w:val="3B613956"/>
    <w:rsid w:val="3B6473FA"/>
    <w:rsid w:val="3B71F9F7"/>
    <w:rsid w:val="3B79CE75"/>
    <w:rsid w:val="3BB28A14"/>
    <w:rsid w:val="3BC185F0"/>
    <w:rsid w:val="3BCD094C"/>
    <w:rsid w:val="3BDC860A"/>
    <w:rsid w:val="3BE18760"/>
    <w:rsid w:val="3C2C40D4"/>
    <w:rsid w:val="3C81D9C0"/>
    <w:rsid w:val="3C847CC1"/>
    <w:rsid w:val="3C8D3E38"/>
    <w:rsid w:val="3C91F72A"/>
    <w:rsid w:val="3CAF473B"/>
    <w:rsid w:val="3CB0444E"/>
    <w:rsid w:val="3CB18F3F"/>
    <w:rsid w:val="3CF28CAA"/>
    <w:rsid w:val="3CF9784A"/>
    <w:rsid w:val="3D029C9E"/>
    <w:rsid w:val="3D103848"/>
    <w:rsid w:val="3D1D5B32"/>
    <w:rsid w:val="3D2F6D2C"/>
    <w:rsid w:val="3D38177B"/>
    <w:rsid w:val="3D3E2DD9"/>
    <w:rsid w:val="3D44D667"/>
    <w:rsid w:val="3D4A66CC"/>
    <w:rsid w:val="3D573E71"/>
    <w:rsid w:val="3D64FE21"/>
    <w:rsid w:val="3D783D12"/>
    <w:rsid w:val="3D78EAD4"/>
    <w:rsid w:val="3D895580"/>
    <w:rsid w:val="3D90CFB0"/>
    <w:rsid w:val="3D9A74F0"/>
    <w:rsid w:val="3DAA1F15"/>
    <w:rsid w:val="3DC4FF93"/>
    <w:rsid w:val="3DD856C2"/>
    <w:rsid w:val="3DDF9FC1"/>
    <w:rsid w:val="3DF15AF2"/>
    <w:rsid w:val="3E025EBB"/>
    <w:rsid w:val="3E0C0B53"/>
    <w:rsid w:val="3E0E9825"/>
    <w:rsid w:val="3E2973F4"/>
    <w:rsid w:val="3E2F9768"/>
    <w:rsid w:val="3E35F356"/>
    <w:rsid w:val="3E4C4469"/>
    <w:rsid w:val="3E53831F"/>
    <w:rsid w:val="3E5B2556"/>
    <w:rsid w:val="3E68FDC7"/>
    <w:rsid w:val="3E76231B"/>
    <w:rsid w:val="3E7D0A6B"/>
    <w:rsid w:val="3E858736"/>
    <w:rsid w:val="3E86E5FD"/>
    <w:rsid w:val="3E912F17"/>
    <w:rsid w:val="3E9E56AE"/>
    <w:rsid w:val="3E9E7AAF"/>
    <w:rsid w:val="3EA5A35B"/>
    <w:rsid w:val="3EA932EE"/>
    <w:rsid w:val="3EB86517"/>
    <w:rsid w:val="3EF48330"/>
    <w:rsid w:val="3EF710F7"/>
    <w:rsid w:val="3F1C5B21"/>
    <w:rsid w:val="3F28443F"/>
    <w:rsid w:val="3F2C8016"/>
    <w:rsid w:val="3F48F5B6"/>
    <w:rsid w:val="3F552E7F"/>
    <w:rsid w:val="3F59D634"/>
    <w:rsid w:val="3F602320"/>
    <w:rsid w:val="3F6D0177"/>
    <w:rsid w:val="3F82355D"/>
    <w:rsid w:val="3F84C570"/>
    <w:rsid w:val="3F8AA647"/>
    <w:rsid w:val="3F8D8E52"/>
    <w:rsid w:val="3F9D6849"/>
    <w:rsid w:val="3FA5A677"/>
    <w:rsid w:val="3FAB0A03"/>
    <w:rsid w:val="3FBBAA8A"/>
    <w:rsid w:val="3FBC6769"/>
    <w:rsid w:val="3FBFD37A"/>
    <w:rsid w:val="3FE72D75"/>
    <w:rsid w:val="3FE86463"/>
    <w:rsid w:val="401E5D31"/>
    <w:rsid w:val="401F85DA"/>
    <w:rsid w:val="40355DE4"/>
    <w:rsid w:val="4035AA46"/>
    <w:rsid w:val="4059F94C"/>
    <w:rsid w:val="405F8A0A"/>
    <w:rsid w:val="40603089"/>
    <w:rsid w:val="40694006"/>
    <w:rsid w:val="407D5253"/>
    <w:rsid w:val="40A489F4"/>
    <w:rsid w:val="40ABB280"/>
    <w:rsid w:val="40ADA10E"/>
    <w:rsid w:val="40AF7F5F"/>
    <w:rsid w:val="40B0398C"/>
    <w:rsid w:val="40D08996"/>
    <w:rsid w:val="40D79927"/>
    <w:rsid w:val="40E07474"/>
    <w:rsid w:val="40E2DF3B"/>
    <w:rsid w:val="40E31516"/>
    <w:rsid w:val="40E9E702"/>
    <w:rsid w:val="40F02030"/>
    <w:rsid w:val="40F10A41"/>
    <w:rsid w:val="40F435EF"/>
    <w:rsid w:val="40F4F32D"/>
    <w:rsid w:val="40F79BCF"/>
    <w:rsid w:val="4109DC50"/>
    <w:rsid w:val="410DED70"/>
    <w:rsid w:val="410E4F68"/>
    <w:rsid w:val="411952CE"/>
    <w:rsid w:val="411C2CCA"/>
    <w:rsid w:val="411E2FA0"/>
    <w:rsid w:val="412D51D3"/>
    <w:rsid w:val="4145417D"/>
    <w:rsid w:val="4145FA9F"/>
    <w:rsid w:val="4153BF83"/>
    <w:rsid w:val="4164A92A"/>
    <w:rsid w:val="417849C7"/>
    <w:rsid w:val="417E5790"/>
    <w:rsid w:val="419181B2"/>
    <w:rsid w:val="41982D9E"/>
    <w:rsid w:val="41984605"/>
    <w:rsid w:val="419FCEFA"/>
    <w:rsid w:val="41A3EB8B"/>
    <w:rsid w:val="41B81931"/>
    <w:rsid w:val="41BF701C"/>
    <w:rsid w:val="41D99769"/>
    <w:rsid w:val="41E42BD4"/>
    <w:rsid w:val="41F1543D"/>
    <w:rsid w:val="41F63959"/>
    <w:rsid w:val="420773AE"/>
    <w:rsid w:val="421A7B1B"/>
    <w:rsid w:val="422B3FCE"/>
    <w:rsid w:val="4235419B"/>
    <w:rsid w:val="424284D9"/>
    <w:rsid w:val="4244411B"/>
    <w:rsid w:val="425D4936"/>
    <w:rsid w:val="42A68B2B"/>
    <w:rsid w:val="42BA1950"/>
    <w:rsid w:val="42BE4060"/>
    <w:rsid w:val="42C7C17E"/>
    <w:rsid w:val="43071259"/>
    <w:rsid w:val="431279BF"/>
    <w:rsid w:val="43167EDD"/>
    <w:rsid w:val="43248015"/>
    <w:rsid w:val="434C9D1D"/>
    <w:rsid w:val="4370149A"/>
    <w:rsid w:val="437B9BBD"/>
    <w:rsid w:val="43854787"/>
    <w:rsid w:val="438C7E37"/>
    <w:rsid w:val="43A58AE9"/>
    <w:rsid w:val="43D4663A"/>
    <w:rsid w:val="43D74A28"/>
    <w:rsid w:val="43D74C5E"/>
    <w:rsid w:val="4409AAEF"/>
    <w:rsid w:val="440D1BF2"/>
    <w:rsid w:val="4416C83D"/>
    <w:rsid w:val="4422596C"/>
    <w:rsid w:val="4425FB91"/>
    <w:rsid w:val="442DE3C7"/>
    <w:rsid w:val="44345123"/>
    <w:rsid w:val="4453521B"/>
    <w:rsid w:val="44566D0D"/>
    <w:rsid w:val="4483D2F2"/>
    <w:rsid w:val="448E5233"/>
    <w:rsid w:val="449509A7"/>
    <w:rsid w:val="44B372C1"/>
    <w:rsid w:val="44BD0C98"/>
    <w:rsid w:val="44CA0CFB"/>
    <w:rsid w:val="44F70E83"/>
    <w:rsid w:val="44FD28ED"/>
    <w:rsid w:val="4506511C"/>
    <w:rsid w:val="451C6DF6"/>
    <w:rsid w:val="45229F69"/>
    <w:rsid w:val="452A88F9"/>
    <w:rsid w:val="454D2A1E"/>
    <w:rsid w:val="45576E73"/>
    <w:rsid w:val="45613971"/>
    <w:rsid w:val="4565B653"/>
    <w:rsid w:val="4571BCC6"/>
    <w:rsid w:val="457A2E77"/>
    <w:rsid w:val="45B3842F"/>
    <w:rsid w:val="45F03BB1"/>
    <w:rsid w:val="45F40043"/>
    <w:rsid w:val="45FBE242"/>
    <w:rsid w:val="45FF1636"/>
    <w:rsid w:val="46259409"/>
    <w:rsid w:val="463BA617"/>
    <w:rsid w:val="463E68F0"/>
    <w:rsid w:val="4665D395"/>
    <w:rsid w:val="467BCD1E"/>
    <w:rsid w:val="46A24F4C"/>
    <w:rsid w:val="46BA71A6"/>
    <w:rsid w:val="46BBFEE1"/>
    <w:rsid w:val="46E2DABE"/>
    <w:rsid w:val="46E2E56F"/>
    <w:rsid w:val="470B0900"/>
    <w:rsid w:val="47101B3E"/>
    <w:rsid w:val="4720C949"/>
    <w:rsid w:val="472EA650"/>
    <w:rsid w:val="473405E9"/>
    <w:rsid w:val="473BED42"/>
    <w:rsid w:val="47453092"/>
    <w:rsid w:val="474558A0"/>
    <w:rsid w:val="474B2FE5"/>
    <w:rsid w:val="474D0DBD"/>
    <w:rsid w:val="475D3BE9"/>
    <w:rsid w:val="476D58B4"/>
    <w:rsid w:val="477DB858"/>
    <w:rsid w:val="4781F734"/>
    <w:rsid w:val="478B5D81"/>
    <w:rsid w:val="4797AB08"/>
    <w:rsid w:val="479A8BEE"/>
    <w:rsid w:val="47B0DE70"/>
    <w:rsid w:val="47B241FB"/>
    <w:rsid w:val="47B5AC75"/>
    <w:rsid w:val="47B90345"/>
    <w:rsid w:val="47C1DE0A"/>
    <w:rsid w:val="47C8219B"/>
    <w:rsid w:val="47D0C7E3"/>
    <w:rsid w:val="47DDF2C4"/>
    <w:rsid w:val="47EA02B9"/>
    <w:rsid w:val="48133519"/>
    <w:rsid w:val="48284EB9"/>
    <w:rsid w:val="482ABF45"/>
    <w:rsid w:val="48415C26"/>
    <w:rsid w:val="484ACAA8"/>
    <w:rsid w:val="486C755F"/>
    <w:rsid w:val="488023B8"/>
    <w:rsid w:val="48A62955"/>
    <w:rsid w:val="48B59E0D"/>
    <w:rsid w:val="48C8EFA0"/>
    <w:rsid w:val="48CF968E"/>
    <w:rsid w:val="48D1B5B7"/>
    <w:rsid w:val="48D777E8"/>
    <w:rsid w:val="48F46A61"/>
    <w:rsid w:val="48FAF886"/>
    <w:rsid w:val="48FE06D1"/>
    <w:rsid w:val="4917F4B6"/>
    <w:rsid w:val="491AA414"/>
    <w:rsid w:val="4923A2B0"/>
    <w:rsid w:val="493843A5"/>
    <w:rsid w:val="4952718B"/>
    <w:rsid w:val="49681ACE"/>
    <w:rsid w:val="496A8B3D"/>
    <w:rsid w:val="497B87F3"/>
    <w:rsid w:val="499D5909"/>
    <w:rsid w:val="49BE511F"/>
    <w:rsid w:val="49C7114C"/>
    <w:rsid w:val="49DD87E3"/>
    <w:rsid w:val="49E098E6"/>
    <w:rsid w:val="49E84584"/>
    <w:rsid w:val="49F5D28D"/>
    <w:rsid w:val="4A0DD861"/>
    <w:rsid w:val="4A1918A4"/>
    <w:rsid w:val="4A1D54F8"/>
    <w:rsid w:val="4A33A718"/>
    <w:rsid w:val="4A34B3D1"/>
    <w:rsid w:val="4A527C1A"/>
    <w:rsid w:val="4A6D90B0"/>
    <w:rsid w:val="4A78EA4E"/>
    <w:rsid w:val="4A83C40A"/>
    <w:rsid w:val="4A9A46B6"/>
    <w:rsid w:val="4A9C0879"/>
    <w:rsid w:val="4AA4669D"/>
    <w:rsid w:val="4AA71390"/>
    <w:rsid w:val="4AAA1A74"/>
    <w:rsid w:val="4AB6B59D"/>
    <w:rsid w:val="4AC35322"/>
    <w:rsid w:val="4AC81F28"/>
    <w:rsid w:val="4ACE10DC"/>
    <w:rsid w:val="4AD40CF4"/>
    <w:rsid w:val="4AD59959"/>
    <w:rsid w:val="4AF6A61D"/>
    <w:rsid w:val="4B03C2FC"/>
    <w:rsid w:val="4B1D3969"/>
    <w:rsid w:val="4B231F64"/>
    <w:rsid w:val="4B33D959"/>
    <w:rsid w:val="4B67150E"/>
    <w:rsid w:val="4B7ED357"/>
    <w:rsid w:val="4B94CE27"/>
    <w:rsid w:val="4BAC661D"/>
    <w:rsid w:val="4BB6BE4C"/>
    <w:rsid w:val="4BB79434"/>
    <w:rsid w:val="4BBAD362"/>
    <w:rsid w:val="4BC8603C"/>
    <w:rsid w:val="4BEEBF4A"/>
    <w:rsid w:val="4BF04C66"/>
    <w:rsid w:val="4C0159A8"/>
    <w:rsid w:val="4C382161"/>
    <w:rsid w:val="4C38CDF4"/>
    <w:rsid w:val="4C6491A8"/>
    <w:rsid w:val="4C6742B9"/>
    <w:rsid w:val="4C6A585B"/>
    <w:rsid w:val="4C72D3D1"/>
    <w:rsid w:val="4C7487D4"/>
    <w:rsid w:val="4CAFEABA"/>
    <w:rsid w:val="4CB032FC"/>
    <w:rsid w:val="4CE1E9DA"/>
    <w:rsid w:val="4CEFE9F5"/>
    <w:rsid w:val="4CF04E74"/>
    <w:rsid w:val="4CF79205"/>
    <w:rsid w:val="4D08A00C"/>
    <w:rsid w:val="4D0D9FDB"/>
    <w:rsid w:val="4D1AA8B8"/>
    <w:rsid w:val="4D40A838"/>
    <w:rsid w:val="4D537740"/>
    <w:rsid w:val="4D754A17"/>
    <w:rsid w:val="4D776E0E"/>
    <w:rsid w:val="4D7955FA"/>
    <w:rsid w:val="4D83DFE0"/>
    <w:rsid w:val="4D93C0D2"/>
    <w:rsid w:val="4D9DADC4"/>
    <w:rsid w:val="4DA80EAB"/>
    <w:rsid w:val="4DB14E98"/>
    <w:rsid w:val="4DBAE295"/>
    <w:rsid w:val="4DD60DCE"/>
    <w:rsid w:val="4DD71E20"/>
    <w:rsid w:val="4DFAFBB3"/>
    <w:rsid w:val="4E06F0C7"/>
    <w:rsid w:val="4E106707"/>
    <w:rsid w:val="4E26AC98"/>
    <w:rsid w:val="4E2DAB83"/>
    <w:rsid w:val="4E34B435"/>
    <w:rsid w:val="4E35999E"/>
    <w:rsid w:val="4E3FF973"/>
    <w:rsid w:val="4E48470B"/>
    <w:rsid w:val="4E53C30E"/>
    <w:rsid w:val="4E59AA7C"/>
    <w:rsid w:val="4E7DCCFF"/>
    <w:rsid w:val="4E807DB5"/>
    <w:rsid w:val="4E8D5E15"/>
    <w:rsid w:val="4E9094BC"/>
    <w:rsid w:val="4E92B0B4"/>
    <w:rsid w:val="4E9E5153"/>
    <w:rsid w:val="4EB21CC2"/>
    <w:rsid w:val="4EBB8CFA"/>
    <w:rsid w:val="4EC9F1E7"/>
    <w:rsid w:val="4ED7664B"/>
    <w:rsid w:val="4ED9A3E1"/>
    <w:rsid w:val="4EDE9CC1"/>
    <w:rsid w:val="4EDED734"/>
    <w:rsid w:val="4EE3C4EB"/>
    <w:rsid w:val="4F081BB7"/>
    <w:rsid w:val="4F193B6D"/>
    <w:rsid w:val="4F1FEC11"/>
    <w:rsid w:val="4F290D65"/>
    <w:rsid w:val="4F2BD36A"/>
    <w:rsid w:val="4F2E4629"/>
    <w:rsid w:val="4F40F73B"/>
    <w:rsid w:val="4F449EA7"/>
    <w:rsid w:val="4F69FCE4"/>
    <w:rsid w:val="4F76D8A3"/>
    <w:rsid w:val="4F81363E"/>
    <w:rsid w:val="4FA4D939"/>
    <w:rsid w:val="4FC9A52E"/>
    <w:rsid w:val="4FD10077"/>
    <w:rsid w:val="4FE34F23"/>
    <w:rsid w:val="4FF19B3D"/>
    <w:rsid w:val="5003BB4B"/>
    <w:rsid w:val="50071CE6"/>
    <w:rsid w:val="502A25CD"/>
    <w:rsid w:val="503DDE0D"/>
    <w:rsid w:val="503E649E"/>
    <w:rsid w:val="5049F380"/>
    <w:rsid w:val="5052C13B"/>
    <w:rsid w:val="50533A45"/>
    <w:rsid w:val="506DA063"/>
    <w:rsid w:val="507A3ABD"/>
    <w:rsid w:val="507BF73C"/>
    <w:rsid w:val="507C9517"/>
    <w:rsid w:val="50A506AC"/>
    <w:rsid w:val="50A833CA"/>
    <w:rsid w:val="50AC652A"/>
    <w:rsid w:val="50ADDFC8"/>
    <w:rsid w:val="50AF2C4A"/>
    <w:rsid w:val="50BDB5A0"/>
    <w:rsid w:val="50E6F4AF"/>
    <w:rsid w:val="50E7AF82"/>
    <w:rsid w:val="5100DC74"/>
    <w:rsid w:val="511CFD11"/>
    <w:rsid w:val="512CDFFD"/>
    <w:rsid w:val="513CC6B6"/>
    <w:rsid w:val="5145412E"/>
    <w:rsid w:val="514574D5"/>
    <w:rsid w:val="5197DDE9"/>
    <w:rsid w:val="519E7D23"/>
    <w:rsid w:val="519F15BF"/>
    <w:rsid w:val="51C2CA62"/>
    <w:rsid w:val="51DB5BC3"/>
    <w:rsid w:val="51F0B8E1"/>
    <w:rsid w:val="520858E3"/>
    <w:rsid w:val="520AAD2D"/>
    <w:rsid w:val="522E40CB"/>
    <w:rsid w:val="52311DBC"/>
    <w:rsid w:val="523236E6"/>
    <w:rsid w:val="52456449"/>
    <w:rsid w:val="524AAD3E"/>
    <w:rsid w:val="525F86D1"/>
    <w:rsid w:val="52633108"/>
    <w:rsid w:val="527ED308"/>
    <w:rsid w:val="5288EBFE"/>
    <w:rsid w:val="528F0CAF"/>
    <w:rsid w:val="5297C1F2"/>
    <w:rsid w:val="52A53B89"/>
    <w:rsid w:val="52A797F0"/>
    <w:rsid w:val="52A9247C"/>
    <w:rsid w:val="52A95D9A"/>
    <w:rsid w:val="52B13912"/>
    <w:rsid w:val="52B8811F"/>
    <w:rsid w:val="52BE4D9B"/>
    <w:rsid w:val="52BEAF42"/>
    <w:rsid w:val="52C42BB0"/>
    <w:rsid w:val="52D2536C"/>
    <w:rsid w:val="52DADF10"/>
    <w:rsid w:val="52ED4214"/>
    <w:rsid w:val="52F34074"/>
    <w:rsid w:val="534AEC12"/>
    <w:rsid w:val="535AC2D7"/>
    <w:rsid w:val="5364E1DA"/>
    <w:rsid w:val="536CC07E"/>
    <w:rsid w:val="538264EA"/>
    <w:rsid w:val="53888DB0"/>
    <w:rsid w:val="53A316CC"/>
    <w:rsid w:val="53BF749E"/>
    <w:rsid w:val="53CE0747"/>
    <w:rsid w:val="53DD2904"/>
    <w:rsid w:val="53E24DC3"/>
    <w:rsid w:val="53EA06FE"/>
    <w:rsid w:val="542DBC64"/>
    <w:rsid w:val="54492607"/>
    <w:rsid w:val="54956315"/>
    <w:rsid w:val="549DCC4F"/>
    <w:rsid w:val="54B1F1BF"/>
    <w:rsid w:val="54E65920"/>
    <w:rsid w:val="54E6BC73"/>
    <w:rsid w:val="54F79A0D"/>
    <w:rsid w:val="54F86308"/>
    <w:rsid w:val="54FD0067"/>
    <w:rsid w:val="54FDBD8B"/>
    <w:rsid w:val="5512F02F"/>
    <w:rsid w:val="5515A7AD"/>
    <w:rsid w:val="551B75A7"/>
    <w:rsid w:val="55342BD2"/>
    <w:rsid w:val="5539E851"/>
    <w:rsid w:val="5546EEB5"/>
    <w:rsid w:val="5571A74E"/>
    <w:rsid w:val="5579DE04"/>
    <w:rsid w:val="5581A12B"/>
    <w:rsid w:val="558DEC9A"/>
    <w:rsid w:val="5590BE73"/>
    <w:rsid w:val="55933E08"/>
    <w:rsid w:val="559575CF"/>
    <w:rsid w:val="559580AF"/>
    <w:rsid w:val="55C4D75B"/>
    <w:rsid w:val="55E1AB60"/>
    <w:rsid w:val="55E3C9DA"/>
    <w:rsid w:val="55EABE45"/>
    <w:rsid w:val="55FA207F"/>
    <w:rsid w:val="5621CBF0"/>
    <w:rsid w:val="562654B3"/>
    <w:rsid w:val="5628E503"/>
    <w:rsid w:val="5645CD85"/>
    <w:rsid w:val="564A7AA1"/>
    <w:rsid w:val="56637F7B"/>
    <w:rsid w:val="5664397F"/>
    <w:rsid w:val="566B4F0C"/>
    <w:rsid w:val="56704E25"/>
    <w:rsid w:val="568099C0"/>
    <w:rsid w:val="56B8E6A9"/>
    <w:rsid w:val="56C0B877"/>
    <w:rsid w:val="56D956B7"/>
    <w:rsid w:val="571D8AB5"/>
    <w:rsid w:val="572EA8A6"/>
    <w:rsid w:val="5732534F"/>
    <w:rsid w:val="574A5516"/>
    <w:rsid w:val="57683072"/>
    <w:rsid w:val="5772FC88"/>
    <w:rsid w:val="578B8164"/>
    <w:rsid w:val="578F100B"/>
    <w:rsid w:val="5792DFDD"/>
    <w:rsid w:val="579EAA0F"/>
    <w:rsid w:val="57A3D7EA"/>
    <w:rsid w:val="57AAEFC6"/>
    <w:rsid w:val="57BE37C8"/>
    <w:rsid w:val="57C6673D"/>
    <w:rsid w:val="57CDB35C"/>
    <w:rsid w:val="57D053B2"/>
    <w:rsid w:val="57D0FBA2"/>
    <w:rsid w:val="57D6A65D"/>
    <w:rsid w:val="57E11257"/>
    <w:rsid w:val="57F79C41"/>
    <w:rsid w:val="5806E48A"/>
    <w:rsid w:val="581961C4"/>
    <w:rsid w:val="581C212E"/>
    <w:rsid w:val="587D71DA"/>
    <w:rsid w:val="5897880C"/>
    <w:rsid w:val="58A30ABF"/>
    <w:rsid w:val="58B31ED3"/>
    <w:rsid w:val="58B45093"/>
    <w:rsid w:val="58C37A47"/>
    <w:rsid w:val="58C9CCB0"/>
    <w:rsid w:val="58FA91D5"/>
    <w:rsid w:val="5901C3CF"/>
    <w:rsid w:val="59043B2B"/>
    <w:rsid w:val="590AC9A1"/>
    <w:rsid w:val="5944CD18"/>
    <w:rsid w:val="5960F5CC"/>
    <w:rsid w:val="59639C0C"/>
    <w:rsid w:val="59801034"/>
    <w:rsid w:val="598BE667"/>
    <w:rsid w:val="599627E8"/>
    <w:rsid w:val="59973157"/>
    <w:rsid w:val="59AD0B09"/>
    <w:rsid w:val="59BED055"/>
    <w:rsid w:val="59C6FF39"/>
    <w:rsid w:val="59DBE588"/>
    <w:rsid w:val="59F34C1A"/>
    <w:rsid w:val="59FEBE53"/>
    <w:rsid w:val="5A01E300"/>
    <w:rsid w:val="5A3B8BC5"/>
    <w:rsid w:val="5A404028"/>
    <w:rsid w:val="5A473A14"/>
    <w:rsid w:val="5A488238"/>
    <w:rsid w:val="5A4CEBD8"/>
    <w:rsid w:val="5A55C470"/>
    <w:rsid w:val="5A5AA643"/>
    <w:rsid w:val="5A61F089"/>
    <w:rsid w:val="5A81D22C"/>
    <w:rsid w:val="5A91C2C0"/>
    <w:rsid w:val="5A99A05F"/>
    <w:rsid w:val="5AA6F497"/>
    <w:rsid w:val="5AB0B33E"/>
    <w:rsid w:val="5AB5FDD7"/>
    <w:rsid w:val="5AB797D5"/>
    <w:rsid w:val="5ABA1CA4"/>
    <w:rsid w:val="5AD0C72A"/>
    <w:rsid w:val="5AE00B6F"/>
    <w:rsid w:val="5AE07E8B"/>
    <w:rsid w:val="5AFCFE17"/>
    <w:rsid w:val="5B1CDDFD"/>
    <w:rsid w:val="5B344324"/>
    <w:rsid w:val="5B54D76B"/>
    <w:rsid w:val="5B621EE8"/>
    <w:rsid w:val="5B6A9DA5"/>
    <w:rsid w:val="5B70FBB7"/>
    <w:rsid w:val="5B760B6F"/>
    <w:rsid w:val="5B776CD5"/>
    <w:rsid w:val="5B7B1441"/>
    <w:rsid w:val="5B929E3D"/>
    <w:rsid w:val="5B98CC33"/>
    <w:rsid w:val="5BACBC84"/>
    <w:rsid w:val="5BADD30D"/>
    <w:rsid w:val="5BC21FFE"/>
    <w:rsid w:val="5BCCEA96"/>
    <w:rsid w:val="5C179E85"/>
    <w:rsid w:val="5C26D845"/>
    <w:rsid w:val="5C288C98"/>
    <w:rsid w:val="5C29E881"/>
    <w:rsid w:val="5C38A5DB"/>
    <w:rsid w:val="5C6DBD80"/>
    <w:rsid w:val="5C73D26B"/>
    <w:rsid w:val="5C9F97A6"/>
    <w:rsid w:val="5CA042C0"/>
    <w:rsid w:val="5CB1C161"/>
    <w:rsid w:val="5CB893FA"/>
    <w:rsid w:val="5CBC74D9"/>
    <w:rsid w:val="5CEAB5B0"/>
    <w:rsid w:val="5CF7A982"/>
    <w:rsid w:val="5CFB640D"/>
    <w:rsid w:val="5D084F0D"/>
    <w:rsid w:val="5D205B65"/>
    <w:rsid w:val="5D276B07"/>
    <w:rsid w:val="5D28D825"/>
    <w:rsid w:val="5D2C8FCA"/>
    <w:rsid w:val="5D33B341"/>
    <w:rsid w:val="5D4A084C"/>
    <w:rsid w:val="5D54005D"/>
    <w:rsid w:val="5D55729D"/>
    <w:rsid w:val="5D732C87"/>
    <w:rsid w:val="5D7A9B15"/>
    <w:rsid w:val="5D91BE79"/>
    <w:rsid w:val="5D923B01"/>
    <w:rsid w:val="5DA234A3"/>
    <w:rsid w:val="5DAAAD80"/>
    <w:rsid w:val="5DC78B6A"/>
    <w:rsid w:val="5DD4763C"/>
    <w:rsid w:val="5DF120B2"/>
    <w:rsid w:val="5DF74155"/>
    <w:rsid w:val="5E282215"/>
    <w:rsid w:val="5E2F8FE7"/>
    <w:rsid w:val="5E3555D8"/>
    <w:rsid w:val="5E61E01B"/>
    <w:rsid w:val="5EA8CDE8"/>
    <w:rsid w:val="5EB2B503"/>
    <w:rsid w:val="5EBBF250"/>
    <w:rsid w:val="5EBF6198"/>
    <w:rsid w:val="5ED8A775"/>
    <w:rsid w:val="5EE9743C"/>
    <w:rsid w:val="5F1B7800"/>
    <w:rsid w:val="5F1C2AA0"/>
    <w:rsid w:val="5F258B7E"/>
    <w:rsid w:val="5F2EEC3A"/>
    <w:rsid w:val="5F416B0C"/>
    <w:rsid w:val="5F4F1CCE"/>
    <w:rsid w:val="5F5C4C26"/>
    <w:rsid w:val="5F748F49"/>
    <w:rsid w:val="5F7EC663"/>
    <w:rsid w:val="5F7EECFA"/>
    <w:rsid w:val="5F8BEF6F"/>
    <w:rsid w:val="5FA869E6"/>
    <w:rsid w:val="5FB04EB3"/>
    <w:rsid w:val="5FB58887"/>
    <w:rsid w:val="5FBA93D1"/>
    <w:rsid w:val="5FCB28B2"/>
    <w:rsid w:val="5FCBC303"/>
    <w:rsid w:val="5FCBEDB0"/>
    <w:rsid w:val="5FCCCFD8"/>
    <w:rsid w:val="5FF88C48"/>
    <w:rsid w:val="5FFF5B9D"/>
    <w:rsid w:val="60008DD6"/>
    <w:rsid w:val="600E4A49"/>
    <w:rsid w:val="6032A0A4"/>
    <w:rsid w:val="6036E5F6"/>
    <w:rsid w:val="604F38FC"/>
    <w:rsid w:val="6057090A"/>
    <w:rsid w:val="6062A6DF"/>
    <w:rsid w:val="607A3801"/>
    <w:rsid w:val="6081567C"/>
    <w:rsid w:val="6088EC73"/>
    <w:rsid w:val="608EA5F7"/>
    <w:rsid w:val="6090155B"/>
    <w:rsid w:val="60B4C420"/>
    <w:rsid w:val="60BA9899"/>
    <w:rsid w:val="60C51858"/>
    <w:rsid w:val="60C73743"/>
    <w:rsid w:val="60E1BB27"/>
    <w:rsid w:val="60EACBC4"/>
    <w:rsid w:val="60F9F8FE"/>
    <w:rsid w:val="60FE892D"/>
    <w:rsid w:val="61032A76"/>
    <w:rsid w:val="61058934"/>
    <w:rsid w:val="611A96C4"/>
    <w:rsid w:val="615A7010"/>
    <w:rsid w:val="6176D2A3"/>
    <w:rsid w:val="61B7ECBF"/>
    <w:rsid w:val="61D903A2"/>
    <w:rsid w:val="61F9212B"/>
    <w:rsid w:val="620A04FB"/>
    <w:rsid w:val="620BEB44"/>
    <w:rsid w:val="6219024E"/>
    <w:rsid w:val="62309619"/>
    <w:rsid w:val="6243F238"/>
    <w:rsid w:val="625B9D14"/>
    <w:rsid w:val="625C515D"/>
    <w:rsid w:val="6281BBC6"/>
    <w:rsid w:val="628870CB"/>
    <w:rsid w:val="6298E6F2"/>
    <w:rsid w:val="629936B9"/>
    <w:rsid w:val="62A027A0"/>
    <w:rsid w:val="62C009F8"/>
    <w:rsid w:val="62F0A1FD"/>
    <w:rsid w:val="630ABE4C"/>
    <w:rsid w:val="632FE361"/>
    <w:rsid w:val="634E876A"/>
    <w:rsid w:val="6387E442"/>
    <w:rsid w:val="638F9CE9"/>
    <w:rsid w:val="6392D2BB"/>
    <w:rsid w:val="63A3E63E"/>
    <w:rsid w:val="63B7A0A0"/>
    <w:rsid w:val="63BB4D1A"/>
    <w:rsid w:val="63C95577"/>
    <w:rsid w:val="63EBBFE7"/>
    <w:rsid w:val="6411C7AB"/>
    <w:rsid w:val="643391A7"/>
    <w:rsid w:val="644B8DFA"/>
    <w:rsid w:val="644EC216"/>
    <w:rsid w:val="64546DAD"/>
    <w:rsid w:val="64623B1C"/>
    <w:rsid w:val="6467EE59"/>
    <w:rsid w:val="646EC746"/>
    <w:rsid w:val="647940A2"/>
    <w:rsid w:val="647B3A88"/>
    <w:rsid w:val="648903FB"/>
    <w:rsid w:val="648B3E65"/>
    <w:rsid w:val="649B869A"/>
    <w:rsid w:val="64A88C6D"/>
    <w:rsid w:val="64B3E774"/>
    <w:rsid w:val="64C18702"/>
    <w:rsid w:val="64D469CB"/>
    <w:rsid w:val="64DF7CD1"/>
    <w:rsid w:val="64E5B86E"/>
    <w:rsid w:val="64E8D052"/>
    <w:rsid w:val="64F6C618"/>
    <w:rsid w:val="650887DB"/>
    <w:rsid w:val="6510D7D0"/>
    <w:rsid w:val="6514DA08"/>
    <w:rsid w:val="6518ED7F"/>
    <w:rsid w:val="65287166"/>
    <w:rsid w:val="65289861"/>
    <w:rsid w:val="652E2C67"/>
    <w:rsid w:val="653FC37A"/>
    <w:rsid w:val="65527FEA"/>
    <w:rsid w:val="655A4BF2"/>
    <w:rsid w:val="65816FED"/>
    <w:rsid w:val="65B79D98"/>
    <w:rsid w:val="65C696B4"/>
    <w:rsid w:val="66076A1B"/>
    <w:rsid w:val="661B19B9"/>
    <w:rsid w:val="6626CCFC"/>
    <w:rsid w:val="662C9CA7"/>
    <w:rsid w:val="663180CB"/>
    <w:rsid w:val="663300D5"/>
    <w:rsid w:val="66435957"/>
    <w:rsid w:val="66481918"/>
    <w:rsid w:val="6656D108"/>
    <w:rsid w:val="6664547B"/>
    <w:rsid w:val="6688F54B"/>
    <w:rsid w:val="668C1444"/>
    <w:rsid w:val="668EC042"/>
    <w:rsid w:val="66A53682"/>
    <w:rsid w:val="66A820D4"/>
    <w:rsid w:val="66B1D5E2"/>
    <w:rsid w:val="66B5DD56"/>
    <w:rsid w:val="66B72C16"/>
    <w:rsid w:val="66BCE86A"/>
    <w:rsid w:val="66D96CD3"/>
    <w:rsid w:val="66F3C4F7"/>
    <w:rsid w:val="6715EDDB"/>
    <w:rsid w:val="6718456D"/>
    <w:rsid w:val="6720D3B5"/>
    <w:rsid w:val="672BCE04"/>
    <w:rsid w:val="673CB9A7"/>
    <w:rsid w:val="67822B25"/>
    <w:rsid w:val="6790CF14"/>
    <w:rsid w:val="6797C7BC"/>
    <w:rsid w:val="67BC37EA"/>
    <w:rsid w:val="67BD1BA6"/>
    <w:rsid w:val="67D5BBE5"/>
    <w:rsid w:val="67E3F340"/>
    <w:rsid w:val="67E45DB5"/>
    <w:rsid w:val="67F84668"/>
    <w:rsid w:val="68135B9A"/>
    <w:rsid w:val="68354574"/>
    <w:rsid w:val="683BB29C"/>
    <w:rsid w:val="68630E0C"/>
    <w:rsid w:val="688612CA"/>
    <w:rsid w:val="688C2969"/>
    <w:rsid w:val="68BE1154"/>
    <w:rsid w:val="68CD83F8"/>
    <w:rsid w:val="68E39D85"/>
    <w:rsid w:val="68E5495E"/>
    <w:rsid w:val="68ECCD0C"/>
    <w:rsid w:val="68FD98A1"/>
    <w:rsid w:val="6911D925"/>
    <w:rsid w:val="691371B3"/>
    <w:rsid w:val="691A63EA"/>
    <w:rsid w:val="6936EC50"/>
    <w:rsid w:val="693F6C45"/>
    <w:rsid w:val="696BDDEC"/>
    <w:rsid w:val="696BDEEC"/>
    <w:rsid w:val="696EF639"/>
    <w:rsid w:val="6972B879"/>
    <w:rsid w:val="697BBEF4"/>
    <w:rsid w:val="6997E80A"/>
    <w:rsid w:val="69B72903"/>
    <w:rsid w:val="69FEDE6D"/>
    <w:rsid w:val="6A19D2F4"/>
    <w:rsid w:val="6A3592EE"/>
    <w:rsid w:val="6A401EA4"/>
    <w:rsid w:val="6A612D33"/>
    <w:rsid w:val="6A7E904E"/>
    <w:rsid w:val="6A8119BF"/>
    <w:rsid w:val="6AA416BD"/>
    <w:rsid w:val="6AA93D11"/>
    <w:rsid w:val="6AAFFA5F"/>
    <w:rsid w:val="6ADE3822"/>
    <w:rsid w:val="6AE0E357"/>
    <w:rsid w:val="6AEEB6C0"/>
    <w:rsid w:val="6AFA1B42"/>
    <w:rsid w:val="6B146875"/>
    <w:rsid w:val="6B158A59"/>
    <w:rsid w:val="6B1E11F9"/>
    <w:rsid w:val="6B3EDEF1"/>
    <w:rsid w:val="6B415AE1"/>
    <w:rsid w:val="6B604DE6"/>
    <w:rsid w:val="6B7F54BD"/>
    <w:rsid w:val="6B9F6D86"/>
    <w:rsid w:val="6BBFE494"/>
    <w:rsid w:val="6BD2606A"/>
    <w:rsid w:val="6BE1B19B"/>
    <w:rsid w:val="6BE83237"/>
    <w:rsid w:val="6C076B39"/>
    <w:rsid w:val="6C125506"/>
    <w:rsid w:val="6C13307F"/>
    <w:rsid w:val="6C15BD59"/>
    <w:rsid w:val="6C375E42"/>
    <w:rsid w:val="6C37E68C"/>
    <w:rsid w:val="6C39738B"/>
    <w:rsid w:val="6C544972"/>
    <w:rsid w:val="6C59D348"/>
    <w:rsid w:val="6C5A1E2D"/>
    <w:rsid w:val="6C8E04FD"/>
    <w:rsid w:val="6C9A93AB"/>
    <w:rsid w:val="6CB2DC08"/>
    <w:rsid w:val="6CBE18B6"/>
    <w:rsid w:val="6CC04BBB"/>
    <w:rsid w:val="6CC5A515"/>
    <w:rsid w:val="6CE302E3"/>
    <w:rsid w:val="6CE77294"/>
    <w:rsid w:val="6D11B059"/>
    <w:rsid w:val="6D172D77"/>
    <w:rsid w:val="6D1918FA"/>
    <w:rsid w:val="6D41345D"/>
    <w:rsid w:val="6D42FE61"/>
    <w:rsid w:val="6D4CD5D1"/>
    <w:rsid w:val="6D59E3BE"/>
    <w:rsid w:val="6D7037BD"/>
    <w:rsid w:val="6D88367C"/>
    <w:rsid w:val="6D9AC7B0"/>
    <w:rsid w:val="6DB5B11B"/>
    <w:rsid w:val="6DC222E5"/>
    <w:rsid w:val="6DE67A23"/>
    <w:rsid w:val="6DEDB56C"/>
    <w:rsid w:val="6DF0998E"/>
    <w:rsid w:val="6E098FF9"/>
    <w:rsid w:val="6E2022E8"/>
    <w:rsid w:val="6E2FC1C1"/>
    <w:rsid w:val="6E40C5AA"/>
    <w:rsid w:val="6E5D3F2F"/>
    <w:rsid w:val="6E62623F"/>
    <w:rsid w:val="6E6459FF"/>
    <w:rsid w:val="6E6B687E"/>
    <w:rsid w:val="6E7D3F28"/>
    <w:rsid w:val="6E9937CC"/>
    <w:rsid w:val="6EED6960"/>
    <w:rsid w:val="6EEE3547"/>
    <w:rsid w:val="6F15B574"/>
    <w:rsid w:val="6F240EC5"/>
    <w:rsid w:val="6F28DCF5"/>
    <w:rsid w:val="6F2D8FC5"/>
    <w:rsid w:val="6F3749EB"/>
    <w:rsid w:val="6F584B31"/>
    <w:rsid w:val="6F5D5539"/>
    <w:rsid w:val="6F648AEF"/>
    <w:rsid w:val="6F6C38C6"/>
    <w:rsid w:val="6F6E13C7"/>
    <w:rsid w:val="6F7486C8"/>
    <w:rsid w:val="6F796844"/>
    <w:rsid w:val="6F879D74"/>
    <w:rsid w:val="6FA07082"/>
    <w:rsid w:val="6FBA0D42"/>
    <w:rsid w:val="700D0096"/>
    <w:rsid w:val="700FEED5"/>
    <w:rsid w:val="7015F879"/>
    <w:rsid w:val="70227703"/>
    <w:rsid w:val="7027446A"/>
    <w:rsid w:val="703B6520"/>
    <w:rsid w:val="70424A5E"/>
    <w:rsid w:val="704FD183"/>
    <w:rsid w:val="70528457"/>
    <w:rsid w:val="70621440"/>
    <w:rsid w:val="706627AB"/>
    <w:rsid w:val="7073A195"/>
    <w:rsid w:val="708135B7"/>
    <w:rsid w:val="708AAC17"/>
    <w:rsid w:val="70961F3C"/>
    <w:rsid w:val="70B93730"/>
    <w:rsid w:val="70BE4127"/>
    <w:rsid w:val="70CCA6C3"/>
    <w:rsid w:val="70D20E56"/>
    <w:rsid w:val="70E37D88"/>
    <w:rsid w:val="70F4D295"/>
    <w:rsid w:val="7108D0AB"/>
    <w:rsid w:val="710F6BD1"/>
    <w:rsid w:val="71143E71"/>
    <w:rsid w:val="713D42ED"/>
    <w:rsid w:val="713D92B8"/>
    <w:rsid w:val="714D9112"/>
    <w:rsid w:val="715E61AC"/>
    <w:rsid w:val="719D6CCC"/>
    <w:rsid w:val="71DD1D03"/>
    <w:rsid w:val="71F12442"/>
    <w:rsid w:val="7207C294"/>
    <w:rsid w:val="721DD75F"/>
    <w:rsid w:val="7233E634"/>
    <w:rsid w:val="727C53BD"/>
    <w:rsid w:val="727FFB5B"/>
    <w:rsid w:val="72846EED"/>
    <w:rsid w:val="7289FFFB"/>
    <w:rsid w:val="728C71A3"/>
    <w:rsid w:val="729737F0"/>
    <w:rsid w:val="72C19201"/>
    <w:rsid w:val="72CEA08A"/>
    <w:rsid w:val="72E2F4CB"/>
    <w:rsid w:val="72EB7DD0"/>
    <w:rsid w:val="72F6C9C4"/>
    <w:rsid w:val="72FF512F"/>
    <w:rsid w:val="730AFAD2"/>
    <w:rsid w:val="731464C6"/>
    <w:rsid w:val="732539EF"/>
    <w:rsid w:val="733383B2"/>
    <w:rsid w:val="7347512D"/>
    <w:rsid w:val="73618AB0"/>
    <w:rsid w:val="73741EF3"/>
    <w:rsid w:val="737568C9"/>
    <w:rsid w:val="737B58E6"/>
    <w:rsid w:val="73B5A968"/>
    <w:rsid w:val="73B8B6FC"/>
    <w:rsid w:val="73C34CD7"/>
    <w:rsid w:val="73FE4AEA"/>
    <w:rsid w:val="740251EF"/>
    <w:rsid w:val="740B8A7B"/>
    <w:rsid w:val="74216817"/>
    <w:rsid w:val="74239138"/>
    <w:rsid w:val="745C18A7"/>
    <w:rsid w:val="745C7F4D"/>
    <w:rsid w:val="746AAFDF"/>
    <w:rsid w:val="748D2EAC"/>
    <w:rsid w:val="749335FC"/>
    <w:rsid w:val="74947ACF"/>
    <w:rsid w:val="749A78A8"/>
    <w:rsid w:val="74AE10EB"/>
    <w:rsid w:val="74B7421C"/>
    <w:rsid w:val="74BBBF64"/>
    <w:rsid w:val="74BED0CD"/>
    <w:rsid w:val="74C531AB"/>
    <w:rsid w:val="74E76303"/>
    <w:rsid w:val="74FE956C"/>
    <w:rsid w:val="75024479"/>
    <w:rsid w:val="7511F4BE"/>
    <w:rsid w:val="75147D32"/>
    <w:rsid w:val="7529284A"/>
    <w:rsid w:val="752DA25F"/>
    <w:rsid w:val="7550C749"/>
    <w:rsid w:val="755DFEE6"/>
    <w:rsid w:val="756A481E"/>
    <w:rsid w:val="757075BA"/>
    <w:rsid w:val="75712DE0"/>
    <w:rsid w:val="757E9135"/>
    <w:rsid w:val="75A047D8"/>
    <w:rsid w:val="75AF4176"/>
    <w:rsid w:val="75B80905"/>
    <w:rsid w:val="75CBE1D8"/>
    <w:rsid w:val="75DDE34A"/>
    <w:rsid w:val="7600D1B2"/>
    <w:rsid w:val="760A25A3"/>
    <w:rsid w:val="760C8C39"/>
    <w:rsid w:val="76170599"/>
    <w:rsid w:val="765781BE"/>
    <w:rsid w:val="766BE564"/>
    <w:rsid w:val="767E1D40"/>
    <w:rsid w:val="768FD25F"/>
    <w:rsid w:val="76991B5D"/>
    <w:rsid w:val="76B1243B"/>
    <w:rsid w:val="76BDC7CA"/>
    <w:rsid w:val="76C68A80"/>
    <w:rsid w:val="76DCB41B"/>
    <w:rsid w:val="76F23D5E"/>
    <w:rsid w:val="76F46822"/>
    <w:rsid w:val="76F5F2A0"/>
    <w:rsid w:val="7700A463"/>
    <w:rsid w:val="7714F3CA"/>
    <w:rsid w:val="771BF44F"/>
    <w:rsid w:val="77239F11"/>
    <w:rsid w:val="7729A1D3"/>
    <w:rsid w:val="772BACFE"/>
    <w:rsid w:val="77444E5D"/>
    <w:rsid w:val="77536D1F"/>
    <w:rsid w:val="775ECDA9"/>
    <w:rsid w:val="777E3BFC"/>
    <w:rsid w:val="77AB8B77"/>
    <w:rsid w:val="77B7FE15"/>
    <w:rsid w:val="77BB6DF9"/>
    <w:rsid w:val="77E09E05"/>
    <w:rsid w:val="77E6CD4F"/>
    <w:rsid w:val="77EC0D4C"/>
    <w:rsid w:val="7809A0F4"/>
    <w:rsid w:val="781025D0"/>
    <w:rsid w:val="7815BF58"/>
    <w:rsid w:val="78230973"/>
    <w:rsid w:val="783C728B"/>
    <w:rsid w:val="784008A6"/>
    <w:rsid w:val="784ECD33"/>
    <w:rsid w:val="785FEB5A"/>
    <w:rsid w:val="78652F70"/>
    <w:rsid w:val="788B589A"/>
    <w:rsid w:val="78935E38"/>
    <w:rsid w:val="789AD3FE"/>
    <w:rsid w:val="789ADB9A"/>
    <w:rsid w:val="78A00136"/>
    <w:rsid w:val="78A20D27"/>
    <w:rsid w:val="78C82C95"/>
    <w:rsid w:val="78CF30D9"/>
    <w:rsid w:val="78DC4696"/>
    <w:rsid w:val="78E6E299"/>
    <w:rsid w:val="78E82161"/>
    <w:rsid w:val="78FCFA28"/>
    <w:rsid w:val="790373FB"/>
    <w:rsid w:val="791C0871"/>
    <w:rsid w:val="793851C6"/>
    <w:rsid w:val="793EDBF0"/>
    <w:rsid w:val="79548CE6"/>
    <w:rsid w:val="7967C29F"/>
    <w:rsid w:val="7992C5E4"/>
    <w:rsid w:val="79A94B52"/>
    <w:rsid w:val="79AC85FE"/>
    <w:rsid w:val="79F1FAC7"/>
    <w:rsid w:val="7A0141EC"/>
    <w:rsid w:val="7A4FCEF4"/>
    <w:rsid w:val="7A50A11E"/>
    <w:rsid w:val="7A538062"/>
    <w:rsid w:val="7A6EC620"/>
    <w:rsid w:val="7A90086E"/>
    <w:rsid w:val="7A968B6A"/>
    <w:rsid w:val="7AA7E763"/>
    <w:rsid w:val="7AABBA59"/>
    <w:rsid w:val="7AB3CEE3"/>
    <w:rsid w:val="7AC3ED7F"/>
    <w:rsid w:val="7AD02A11"/>
    <w:rsid w:val="7AE6260A"/>
    <w:rsid w:val="7B0175F2"/>
    <w:rsid w:val="7B047517"/>
    <w:rsid w:val="7B21A45B"/>
    <w:rsid w:val="7B290F16"/>
    <w:rsid w:val="7B2D2288"/>
    <w:rsid w:val="7B30BCB3"/>
    <w:rsid w:val="7B4D9D4C"/>
    <w:rsid w:val="7B542017"/>
    <w:rsid w:val="7B9D29DA"/>
    <w:rsid w:val="7BCA79E1"/>
    <w:rsid w:val="7BEAAD7B"/>
    <w:rsid w:val="7BFA1A36"/>
    <w:rsid w:val="7BFCC759"/>
    <w:rsid w:val="7C18768D"/>
    <w:rsid w:val="7C1F8067"/>
    <w:rsid w:val="7C215B22"/>
    <w:rsid w:val="7C265614"/>
    <w:rsid w:val="7C289F6F"/>
    <w:rsid w:val="7C66FE09"/>
    <w:rsid w:val="7C6C8AF8"/>
    <w:rsid w:val="7C78D18A"/>
    <w:rsid w:val="7C7A8106"/>
    <w:rsid w:val="7C895C3A"/>
    <w:rsid w:val="7C89FE28"/>
    <w:rsid w:val="7CA66763"/>
    <w:rsid w:val="7CA68E9C"/>
    <w:rsid w:val="7CAC874A"/>
    <w:rsid w:val="7CC221AF"/>
    <w:rsid w:val="7CC6A6A5"/>
    <w:rsid w:val="7CC72014"/>
    <w:rsid w:val="7CCF9037"/>
    <w:rsid w:val="7CD730B8"/>
    <w:rsid w:val="7CFF06BD"/>
    <w:rsid w:val="7D38FA3B"/>
    <w:rsid w:val="7D393803"/>
    <w:rsid w:val="7D3B2DC4"/>
    <w:rsid w:val="7D57AA9E"/>
    <w:rsid w:val="7D599429"/>
    <w:rsid w:val="7D5C5D9B"/>
    <w:rsid w:val="7D5CA21C"/>
    <w:rsid w:val="7D82E3A3"/>
    <w:rsid w:val="7D847D11"/>
    <w:rsid w:val="7DB7A3AB"/>
    <w:rsid w:val="7DBE7156"/>
    <w:rsid w:val="7DC4BC93"/>
    <w:rsid w:val="7DC81031"/>
    <w:rsid w:val="7DCDDA03"/>
    <w:rsid w:val="7DF59FED"/>
    <w:rsid w:val="7E0657A8"/>
    <w:rsid w:val="7E138FC3"/>
    <w:rsid w:val="7E1A1F60"/>
    <w:rsid w:val="7E1C8150"/>
    <w:rsid w:val="7E2D4E18"/>
    <w:rsid w:val="7E31A91A"/>
    <w:rsid w:val="7E505E38"/>
    <w:rsid w:val="7E62E8C6"/>
    <w:rsid w:val="7E809A2B"/>
    <w:rsid w:val="7E95D202"/>
    <w:rsid w:val="7E964F13"/>
    <w:rsid w:val="7EB8BDAB"/>
    <w:rsid w:val="7ED13F28"/>
    <w:rsid w:val="7EEC1702"/>
    <w:rsid w:val="7F0688CF"/>
    <w:rsid w:val="7F0DE253"/>
    <w:rsid w:val="7F1A40A5"/>
    <w:rsid w:val="7F2CCA95"/>
    <w:rsid w:val="7F45F53C"/>
    <w:rsid w:val="7F4FC145"/>
    <w:rsid w:val="7F7B5886"/>
    <w:rsid w:val="7F969C83"/>
    <w:rsid w:val="7F9F99B4"/>
    <w:rsid w:val="7FA6243B"/>
    <w:rsid w:val="7FBC03AE"/>
    <w:rsid w:val="7FDA567C"/>
    <w:rsid w:val="7FE237B6"/>
    <w:rsid w:val="7FE4D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CE8C"/>
  <w15:docId w15:val="{DDB97DC3-4C4E-4DEF-8437-003DE4CF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1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214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2A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3103E6"/>
    <w:pPr>
      <w:keepNext/>
      <w:spacing w:before="240" w:after="60"/>
      <w:outlineLvl w:val="2"/>
    </w:pPr>
    <w:rPr>
      <w:rFonts w:ascii="Calibri" w:eastAsia="MS Gothic" w:hAnsi="Calibri"/>
      <w:b/>
      <w:bCs/>
      <w:noProof/>
      <w:sz w:val="26"/>
      <w:szCs w:val="26"/>
      <w:lang w:val="sr-Latn-CS"/>
    </w:rPr>
  </w:style>
  <w:style w:type="paragraph" w:styleId="Heading4">
    <w:name w:val="heading 4"/>
    <w:basedOn w:val="Normal"/>
    <w:next w:val="Normal"/>
    <w:link w:val="Heading4Char"/>
    <w:uiPriority w:val="9"/>
    <w:unhideWhenUsed/>
    <w:qFormat/>
    <w:rsid w:val="004D48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5744B6"/>
    <w:pPr>
      <w:ind w:left="720"/>
      <w:contextualSpacing/>
    </w:pPr>
  </w:style>
  <w:style w:type="table" w:styleId="TableGrid">
    <w:name w:val="Table Grid"/>
    <w:basedOn w:val="TableNormal"/>
    <w:uiPriority w:val="39"/>
    <w:rsid w:val="0088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70A"/>
    <w:pPr>
      <w:tabs>
        <w:tab w:val="center" w:pos="4680"/>
        <w:tab w:val="right" w:pos="9360"/>
      </w:tabs>
    </w:pPr>
  </w:style>
  <w:style w:type="character" w:customStyle="1" w:styleId="HeaderChar">
    <w:name w:val="Header Char"/>
    <w:basedOn w:val="DefaultParagraphFont"/>
    <w:link w:val="Header"/>
    <w:uiPriority w:val="99"/>
    <w:qFormat/>
    <w:rsid w:val="00AC170A"/>
    <w:rPr>
      <w:lang w:val="en-GB"/>
    </w:rPr>
  </w:style>
  <w:style w:type="paragraph" w:styleId="Footer">
    <w:name w:val="footer"/>
    <w:basedOn w:val="Normal"/>
    <w:link w:val="FooterChar"/>
    <w:uiPriority w:val="99"/>
    <w:unhideWhenUsed/>
    <w:rsid w:val="00AC170A"/>
    <w:pPr>
      <w:tabs>
        <w:tab w:val="center" w:pos="4680"/>
        <w:tab w:val="right" w:pos="9360"/>
      </w:tabs>
    </w:pPr>
  </w:style>
  <w:style w:type="character" w:customStyle="1" w:styleId="FooterChar">
    <w:name w:val="Footer Char"/>
    <w:basedOn w:val="DefaultParagraphFont"/>
    <w:link w:val="Footer"/>
    <w:uiPriority w:val="99"/>
    <w:qFormat/>
    <w:rsid w:val="00AC170A"/>
    <w:rPr>
      <w:lang w:val="en-GB"/>
    </w:rPr>
  </w:style>
  <w:style w:type="paragraph" w:styleId="FootnoteText">
    <w:name w:val="footnote text"/>
    <w:aliases w:val="Footnote Text Char Char Char,Footnote Text Char Char,Char,Footnote Text Char2,Footnote Text Char Char Char Char Char,Footnote Text Char Char Char Char Char Char Char,Footnote Text Char Char Char Char Char Char Char Char,single space,ft,fn"/>
    <w:basedOn w:val="Normal"/>
    <w:link w:val="FootnoteTextChar"/>
    <w:uiPriority w:val="99"/>
    <w:unhideWhenUsed/>
    <w:qFormat/>
    <w:rsid w:val="00DE734D"/>
    <w:rPr>
      <w:sz w:val="20"/>
      <w:szCs w:val="20"/>
    </w:rPr>
  </w:style>
  <w:style w:type="character" w:customStyle="1" w:styleId="FootnoteTextChar">
    <w:name w:val="Footnote Text Char"/>
    <w:aliases w:val="Footnote Text Char Char Char Char,Footnote Text Char Char Char1,Char Char,Footnote Text Char2 Char,Footnote Text Char Char Char Char Char Char,Footnote Text Char Char Char Char Char Char Char Char1,single space Char,ft Char,fn Char"/>
    <w:basedOn w:val="DefaultParagraphFont"/>
    <w:link w:val="FootnoteText"/>
    <w:uiPriority w:val="99"/>
    <w:qFormat/>
    <w:rsid w:val="00DE734D"/>
    <w:rPr>
      <w:sz w:val="20"/>
      <w:szCs w:val="20"/>
      <w:lang w:val="en-GB"/>
    </w:rPr>
  </w:style>
  <w:style w:type="character" w:styleId="FootnoteReference">
    <w:name w:val="footnote reference"/>
    <w:aliases w:val="Footnote symbol,Footnote reference number,ftref,BVI fnr,Footnote za GI,16 Point,Superscript 6 Point,Footnote Reference Number,nota pié di pagina,Times 10 Point,Exposant 3 Point,EN Footnote Reference,note TESI,Ref,Footnote,Fussnota,fr"/>
    <w:basedOn w:val="DefaultParagraphFont"/>
    <w:link w:val="Char2"/>
    <w:uiPriority w:val="99"/>
    <w:unhideWhenUsed/>
    <w:qFormat/>
    <w:rsid w:val="00DE734D"/>
    <w:rPr>
      <w:vertAlign w:val="superscript"/>
    </w:rPr>
  </w:style>
  <w:style w:type="paragraph" w:styleId="BalloonText">
    <w:name w:val="Balloon Text"/>
    <w:basedOn w:val="Normal"/>
    <w:link w:val="BalloonTextChar"/>
    <w:uiPriority w:val="99"/>
    <w:semiHidden/>
    <w:unhideWhenUsed/>
    <w:qFormat/>
    <w:rsid w:val="003C0EBC"/>
    <w:rPr>
      <w:sz w:val="18"/>
      <w:szCs w:val="18"/>
    </w:rPr>
  </w:style>
  <w:style w:type="character" w:customStyle="1" w:styleId="BalloonTextChar">
    <w:name w:val="Balloon Text Char"/>
    <w:basedOn w:val="DefaultParagraphFont"/>
    <w:link w:val="BalloonText"/>
    <w:uiPriority w:val="99"/>
    <w:semiHidden/>
    <w:qFormat/>
    <w:rsid w:val="003C0EBC"/>
    <w:rPr>
      <w:rFonts w:ascii="Times New Roman" w:hAnsi="Times New Roman" w:cs="Times New Roman"/>
      <w:sz w:val="18"/>
      <w:szCs w:val="18"/>
      <w:lang w:val="en-GB"/>
    </w:rPr>
  </w:style>
  <w:style w:type="paragraph" w:customStyle="1" w:styleId="paragraph">
    <w:name w:val="paragraph"/>
    <w:basedOn w:val="Normal"/>
    <w:rsid w:val="00D90DB0"/>
    <w:pPr>
      <w:spacing w:before="100" w:beforeAutospacing="1" w:after="100" w:afterAutospacing="1"/>
    </w:pPr>
  </w:style>
  <w:style w:type="character" w:styleId="Hyperlink">
    <w:name w:val="Hyperlink"/>
    <w:basedOn w:val="DefaultParagraphFont"/>
    <w:uiPriority w:val="99"/>
    <w:unhideWhenUsed/>
    <w:rsid w:val="00640238"/>
    <w:rPr>
      <w:color w:val="0563C1" w:themeColor="hyperlink"/>
      <w:u w:val="single"/>
    </w:rPr>
  </w:style>
  <w:style w:type="character" w:customStyle="1" w:styleId="apple-converted-space">
    <w:name w:val="apple-converted-space"/>
    <w:basedOn w:val="DefaultParagraphFont"/>
    <w:rsid w:val="00640238"/>
  </w:style>
  <w:style w:type="paragraph" w:customStyle="1" w:styleId="Char2">
    <w:name w:val="Char2"/>
    <w:basedOn w:val="Normal"/>
    <w:link w:val="FootnoteReference"/>
    <w:uiPriority w:val="99"/>
    <w:rsid w:val="00640238"/>
    <w:pPr>
      <w:spacing w:after="160" w:line="240" w:lineRule="exact"/>
      <w:ind w:firstLine="369"/>
      <w:jc w:val="both"/>
    </w:pPr>
    <w:rPr>
      <w:vertAlign w:val="superscript"/>
    </w:rPr>
  </w:style>
  <w:style w:type="character" w:styleId="Strong">
    <w:name w:val="Strong"/>
    <w:basedOn w:val="DefaultParagraphFont"/>
    <w:qFormat/>
    <w:rsid w:val="00640238"/>
    <w:rPr>
      <w:rFonts w:cs="Times New Roman"/>
      <w:b/>
      <w:bCs/>
    </w:rPr>
  </w:style>
  <w:style w:type="paragraph" w:customStyle="1" w:styleId="Style11">
    <w:name w:val="Style11"/>
    <w:basedOn w:val="Normal"/>
    <w:link w:val="Style11Char"/>
    <w:qFormat/>
    <w:rsid w:val="00640238"/>
    <w:pPr>
      <w:jc w:val="both"/>
    </w:pPr>
    <w:rPr>
      <w:rFonts w:ascii="Calibri" w:hAnsi="Calibri" w:cs="Calibri"/>
      <w:sz w:val="20"/>
      <w:szCs w:val="20"/>
    </w:rPr>
  </w:style>
  <w:style w:type="character" w:customStyle="1" w:styleId="Style11Char">
    <w:name w:val="Style11 Char"/>
    <w:basedOn w:val="DefaultParagraphFont"/>
    <w:link w:val="Style11"/>
    <w:rsid w:val="00640238"/>
    <w:rPr>
      <w:rFonts w:ascii="Calibri" w:hAnsi="Calibri" w:cs="Calibri"/>
      <w:sz w:val="20"/>
      <w:szCs w:val="20"/>
    </w:rPr>
  </w:style>
  <w:style w:type="character" w:customStyle="1" w:styleId="tlid-translation">
    <w:name w:val="tlid-translation"/>
    <w:basedOn w:val="DefaultParagraphFont"/>
    <w:rsid w:val="00640238"/>
  </w:style>
  <w:style w:type="character" w:styleId="CommentReference">
    <w:name w:val="annotation reference"/>
    <w:basedOn w:val="DefaultParagraphFont"/>
    <w:uiPriority w:val="99"/>
    <w:semiHidden/>
    <w:unhideWhenUsed/>
    <w:qFormat/>
    <w:rsid w:val="008F5C0A"/>
    <w:rPr>
      <w:sz w:val="16"/>
      <w:szCs w:val="16"/>
    </w:rPr>
  </w:style>
  <w:style w:type="paragraph" w:customStyle="1" w:styleId="basic-paragraph">
    <w:name w:val="basic-paragraph"/>
    <w:basedOn w:val="Normal"/>
    <w:qFormat/>
    <w:rsid w:val="00B70D11"/>
    <w:pPr>
      <w:spacing w:before="100" w:beforeAutospacing="1" w:after="100" w:afterAutospacing="1"/>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FB0C84"/>
    <w:rPr>
      <w:lang w:val="en-GB"/>
    </w:rPr>
  </w:style>
  <w:style w:type="character" w:styleId="FollowedHyperlink">
    <w:name w:val="FollowedHyperlink"/>
    <w:basedOn w:val="DefaultParagraphFont"/>
    <w:uiPriority w:val="99"/>
    <w:semiHidden/>
    <w:unhideWhenUsed/>
    <w:rsid w:val="003E2047"/>
    <w:rPr>
      <w:color w:val="954F72" w:themeColor="followedHyperlink"/>
      <w:u w:val="single"/>
    </w:rPr>
  </w:style>
  <w:style w:type="paragraph" w:customStyle="1" w:styleId="xmsonormal">
    <w:name w:val="x_msonormal"/>
    <w:basedOn w:val="Normal"/>
    <w:rsid w:val="008368F9"/>
    <w:pPr>
      <w:spacing w:before="100" w:beforeAutospacing="1" w:after="100" w:afterAutospacing="1"/>
    </w:pPr>
  </w:style>
  <w:style w:type="character" w:customStyle="1" w:styleId="Heading3Char">
    <w:name w:val="Heading 3 Char"/>
    <w:basedOn w:val="DefaultParagraphFont"/>
    <w:link w:val="Heading3"/>
    <w:uiPriority w:val="9"/>
    <w:rsid w:val="003103E6"/>
    <w:rPr>
      <w:rFonts w:ascii="Calibri" w:eastAsia="MS Gothic" w:hAnsi="Calibri" w:cs="Times New Roman"/>
      <w:b/>
      <w:bCs/>
      <w:noProof/>
      <w:sz w:val="26"/>
      <w:szCs w:val="26"/>
      <w:lang w:val="sr-Latn-CS"/>
    </w:rPr>
  </w:style>
  <w:style w:type="character" w:customStyle="1" w:styleId="Heading2Char">
    <w:name w:val="Heading 2 Char"/>
    <w:basedOn w:val="DefaultParagraphFont"/>
    <w:link w:val="Heading2"/>
    <w:uiPriority w:val="9"/>
    <w:rsid w:val="004C2AE8"/>
    <w:rPr>
      <w:rFonts w:asciiTheme="majorHAnsi" w:eastAsiaTheme="majorEastAsia" w:hAnsiTheme="majorHAnsi" w:cstheme="majorBidi"/>
      <w:color w:val="2F5496" w:themeColor="accent1" w:themeShade="BF"/>
      <w:sz w:val="26"/>
      <w:szCs w:val="26"/>
      <w:lang w:val="en-GB"/>
    </w:rPr>
  </w:style>
  <w:style w:type="paragraph" w:customStyle="1" w:styleId="Footnotesrefs">
    <w:name w:val="Footnotes refs"/>
    <w:basedOn w:val="Normal"/>
    <w:uiPriority w:val="99"/>
    <w:qFormat/>
    <w:rsid w:val="004C2AE8"/>
    <w:pPr>
      <w:spacing w:after="160" w:line="240" w:lineRule="exact"/>
    </w:pPr>
    <w:rPr>
      <w:sz w:val="22"/>
      <w:szCs w:val="22"/>
      <w:vertAlign w:val="superscript"/>
      <w:lang w:val="sr-Latn-CS"/>
    </w:rPr>
  </w:style>
  <w:style w:type="paragraph" w:styleId="NormalWeb">
    <w:name w:val="Normal (Web)"/>
    <w:basedOn w:val="Normal"/>
    <w:uiPriority w:val="99"/>
    <w:unhideWhenUsed/>
    <w:qFormat/>
    <w:rsid w:val="0091079F"/>
    <w:pPr>
      <w:spacing w:before="100" w:beforeAutospacing="1" w:after="100" w:afterAutospacing="1"/>
    </w:pPr>
  </w:style>
  <w:style w:type="paragraph" w:customStyle="1" w:styleId="v2-clan-left-1">
    <w:name w:val="v2-clan-left-1"/>
    <w:basedOn w:val="Normal"/>
    <w:rsid w:val="003B7434"/>
    <w:pPr>
      <w:spacing w:before="100" w:beforeAutospacing="1" w:after="100" w:afterAutospacing="1"/>
    </w:pPr>
  </w:style>
  <w:style w:type="paragraph" w:customStyle="1" w:styleId="Normal1">
    <w:name w:val="Normal1"/>
    <w:basedOn w:val="Normal"/>
    <w:rsid w:val="00D71086"/>
    <w:pPr>
      <w:spacing w:before="100" w:beforeAutospacing="1" w:after="100" w:afterAutospacing="1"/>
    </w:pPr>
    <w:rPr>
      <w:rFonts w:ascii="Arial" w:hAnsi="Arial" w:cs="Arial"/>
      <w:sz w:val="22"/>
      <w:szCs w:val="22"/>
    </w:rPr>
  </w:style>
  <w:style w:type="character" w:customStyle="1" w:styleId="st1">
    <w:name w:val="st1"/>
    <w:basedOn w:val="DefaultParagraphFont"/>
    <w:rsid w:val="00D71086"/>
  </w:style>
  <w:style w:type="paragraph" w:styleId="HTMLPreformatted">
    <w:name w:val="HTML Preformatted"/>
    <w:basedOn w:val="Normal"/>
    <w:link w:val="HTMLPreformattedChar"/>
    <w:uiPriority w:val="99"/>
    <w:semiHidden/>
    <w:unhideWhenUsed/>
    <w:rsid w:val="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5E63"/>
    <w:rPr>
      <w:rFonts w:ascii="Courier New" w:eastAsia="Times New Roman" w:hAnsi="Courier New" w:cs="Courier New"/>
      <w:sz w:val="20"/>
      <w:szCs w:val="20"/>
      <w:lang w:eastAsia="en-GB"/>
    </w:rPr>
  </w:style>
  <w:style w:type="character" w:customStyle="1" w:styleId="UnresolvedMention1">
    <w:name w:val="Unresolved Mention1"/>
    <w:basedOn w:val="DefaultParagraphFont"/>
    <w:uiPriority w:val="99"/>
    <w:semiHidden/>
    <w:unhideWhenUsed/>
    <w:rsid w:val="00BD7D8E"/>
    <w:rPr>
      <w:color w:val="605E5C"/>
      <w:shd w:val="clear" w:color="auto" w:fill="E1DFDD"/>
    </w:rPr>
  </w:style>
  <w:style w:type="paragraph" w:customStyle="1" w:styleId="Naslov111">
    <w:name w:val="Naslov 1.1.1."/>
    <w:basedOn w:val="Normal"/>
    <w:link w:val="Naslov111Char"/>
    <w:qFormat/>
    <w:rsid w:val="00664295"/>
    <w:pPr>
      <w:tabs>
        <w:tab w:val="left" w:pos="1173"/>
      </w:tabs>
      <w:ind w:left="907" w:hanging="907"/>
      <w:outlineLvl w:val="0"/>
    </w:pPr>
    <w:rPr>
      <w:rFonts w:ascii="Tahoma" w:hAnsi="Tahoma" w:cs="Tahoma"/>
      <w:b/>
      <w:noProof/>
      <w:lang w:eastAsia="de-CH"/>
    </w:rPr>
  </w:style>
  <w:style w:type="character" w:customStyle="1" w:styleId="Naslov111Char">
    <w:name w:val="Naslov 1.1.1. Char"/>
    <w:basedOn w:val="DefaultParagraphFont"/>
    <w:link w:val="Naslov111"/>
    <w:rsid w:val="00664295"/>
    <w:rPr>
      <w:rFonts w:ascii="Tahoma" w:hAnsi="Tahoma" w:cs="Tahoma"/>
      <w:b/>
      <w:noProof/>
      <w:lang w:val="en-GB" w:eastAsia="de-CH"/>
    </w:rPr>
  </w:style>
  <w:style w:type="paragraph" w:styleId="CommentText">
    <w:name w:val="annotation text"/>
    <w:basedOn w:val="Normal"/>
    <w:link w:val="CommentTextChar"/>
    <w:uiPriority w:val="99"/>
    <w:unhideWhenUsed/>
    <w:qFormat/>
    <w:rsid w:val="003B5F18"/>
    <w:rPr>
      <w:sz w:val="20"/>
      <w:szCs w:val="20"/>
    </w:rPr>
  </w:style>
  <w:style w:type="character" w:customStyle="1" w:styleId="CommentTextChar">
    <w:name w:val="Comment Text Char"/>
    <w:basedOn w:val="DefaultParagraphFont"/>
    <w:link w:val="CommentText"/>
    <w:uiPriority w:val="99"/>
    <w:qFormat/>
    <w:rsid w:val="003B5F18"/>
    <w:rPr>
      <w:sz w:val="20"/>
      <w:szCs w:val="20"/>
      <w:lang w:val="en-GB"/>
    </w:rPr>
  </w:style>
  <w:style w:type="paragraph" w:styleId="CommentSubject">
    <w:name w:val="annotation subject"/>
    <w:basedOn w:val="CommentText"/>
    <w:next w:val="CommentText"/>
    <w:link w:val="CommentSubjectChar"/>
    <w:uiPriority w:val="99"/>
    <w:semiHidden/>
    <w:unhideWhenUsed/>
    <w:rsid w:val="003B5F18"/>
    <w:rPr>
      <w:b/>
      <w:bCs/>
    </w:rPr>
  </w:style>
  <w:style w:type="character" w:customStyle="1" w:styleId="CommentSubjectChar">
    <w:name w:val="Comment Subject Char"/>
    <w:basedOn w:val="CommentTextChar"/>
    <w:link w:val="CommentSubject"/>
    <w:uiPriority w:val="99"/>
    <w:semiHidden/>
    <w:rsid w:val="003B5F18"/>
    <w:rPr>
      <w:b/>
      <w:bCs/>
      <w:sz w:val="20"/>
      <w:szCs w:val="20"/>
      <w:lang w:val="en-GB"/>
    </w:rPr>
  </w:style>
  <w:style w:type="paragraph" w:styleId="EndnoteText">
    <w:name w:val="endnote text"/>
    <w:basedOn w:val="Normal"/>
    <w:link w:val="EndnoteTextChar"/>
    <w:uiPriority w:val="99"/>
    <w:semiHidden/>
    <w:unhideWhenUsed/>
    <w:rsid w:val="00FC47B9"/>
    <w:rPr>
      <w:sz w:val="20"/>
      <w:szCs w:val="20"/>
    </w:rPr>
  </w:style>
  <w:style w:type="character" w:customStyle="1" w:styleId="EndnoteTextChar">
    <w:name w:val="Endnote Text Char"/>
    <w:basedOn w:val="DefaultParagraphFont"/>
    <w:link w:val="EndnoteText"/>
    <w:uiPriority w:val="99"/>
    <w:semiHidden/>
    <w:rsid w:val="00FC47B9"/>
    <w:rPr>
      <w:sz w:val="20"/>
      <w:szCs w:val="20"/>
      <w:lang w:val="en-GB"/>
    </w:rPr>
  </w:style>
  <w:style w:type="character" w:styleId="EndnoteReference">
    <w:name w:val="endnote reference"/>
    <w:basedOn w:val="DefaultParagraphFont"/>
    <w:uiPriority w:val="99"/>
    <w:semiHidden/>
    <w:unhideWhenUsed/>
    <w:rsid w:val="00FC47B9"/>
    <w:rPr>
      <w:vertAlign w:val="superscript"/>
    </w:rPr>
  </w:style>
  <w:style w:type="table" w:customStyle="1" w:styleId="PlainTable11">
    <w:name w:val="Plain Table 11"/>
    <w:basedOn w:val="TableNormal"/>
    <w:uiPriority w:val="41"/>
    <w:rsid w:val="008A1568"/>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FB3414"/>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B341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B3414"/>
    <w:rPr>
      <w:rFonts w:ascii="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D2C57"/>
    <w:rPr>
      <w:lang w:val="en-GB"/>
    </w:rPr>
  </w:style>
  <w:style w:type="character" w:styleId="PageNumber">
    <w:name w:val="page number"/>
    <w:basedOn w:val="DefaultParagraphFont"/>
    <w:uiPriority w:val="99"/>
    <w:semiHidden/>
    <w:unhideWhenUsed/>
    <w:rsid w:val="00056F79"/>
  </w:style>
  <w:style w:type="character" w:customStyle="1" w:styleId="UnresolvedMention2">
    <w:name w:val="Unresolved Mention2"/>
    <w:basedOn w:val="DefaultParagraphFont"/>
    <w:uiPriority w:val="99"/>
    <w:semiHidden/>
    <w:unhideWhenUsed/>
    <w:rsid w:val="00D75A16"/>
    <w:rPr>
      <w:color w:val="605E5C"/>
      <w:shd w:val="clear" w:color="auto" w:fill="E1DFDD"/>
    </w:rPr>
  </w:style>
  <w:style w:type="paragraph" w:customStyle="1" w:styleId="odluka-zakon">
    <w:name w:val="odluka-zakon"/>
    <w:basedOn w:val="Normal"/>
    <w:rsid w:val="00B6744C"/>
    <w:pPr>
      <w:spacing w:before="100" w:beforeAutospacing="1" w:after="100" w:afterAutospacing="1"/>
    </w:pPr>
  </w:style>
  <w:style w:type="character" w:customStyle="1" w:styleId="UnresolvedMention3">
    <w:name w:val="Unresolved Mention3"/>
    <w:basedOn w:val="DefaultParagraphFont"/>
    <w:uiPriority w:val="99"/>
    <w:unhideWhenUsed/>
    <w:rsid w:val="00B900D5"/>
    <w:rPr>
      <w:color w:val="605E5C"/>
      <w:shd w:val="clear" w:color="auto" w:fill="E1DFDD"/>
    </w:rPr>
  </w:style>
  <w:style w:type="numbering" w:customStyle="1" w:styleId="NoList1">
    <w:name w:val="No List1"/>
    <w:next w:val="NoList"/>
    <w:uiPriority w:val="99"/>
    <w:semiHidden/>
    <w:unhideWhenUsed/>
    <w:rsid w:val="003E03ED"/>
  </w:style>
  <w:style w:type="character" w:styleId="SubtleEmphasis">
    <w:name w:val="Subtle Emphasis"/>
    <w:basedOn w:val="DefaultParagraphFont"/>
    <w:qFormat/>
    <w:rsid w:val="003E03ED"/>
    <w:rPr>
      <w:i/>
      <w:iCs/>
      <w:color w:val="404040" w:themeColor="text1" w:themeTint="BF"/>
    </w:rPr>
  </w:style>
  <w:style w:type="paragraph" w:customStyle="1" w:styleId="Default">
    <w:name w:val="Default"/>
    <w:rsid w:val="003E03ED"/>
    <w:pPr>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3E03ED"/>
    <w:rPr>
      <w:sz w:val="22"/>
      <w:szCs w:val="22"/>
    </w:rPr>
  </w:style>
  <w:style w:type="character" w:customStyle="1" w:styleId="NoSpacingChar">
    <w:name w:val="No Spacing Char"/>
    <w:link w:val="NoSpacing"/>
    <w:uiPriority w:val="1"/>
    <w:locked/>
    <w:rsid w:val="003E03ED"/>
    <w:rPr>
      <w:sz w:val="22"/>
      <w:szCs w:val="22"/>
    </w:rPr>
  </w:style>
  <w:style w:type="table" w:customStyle="1" w:styleId="TableGrid1">
    <w:name w:val="Table Grid1"/>
    <w:basedOn w:val="TableNormal"/>
    <w:next w:val="TableGrid"/>
    <w:uiPriority w:val="39"/>
    <w:rsid w:val="003E03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3E03ED"/>
    <w:rPr>
      <w:color w:val="2B579A"/>
      <w:shd w:val="clear" w:color="auto" w:fill="E1DFDD"/>
    </w:rPr>
  </w:style>
  <w:style w:type="character" w:customStyle="1" w:styleId="Nerazreenopominjanje1">
    <w:name w:val="Nerazrešeno pominjanje1"/>
    <w:basedOn w:val="DefaultParagraphFont"/>
    <w:uiPriority w:val="99"/>
    <w:semiHidden/>
    <w:unhideWhenUsed/>
    <w:rsid w:val="001D5B3A"/>
    <w:rPr>
      <w:color w:val="605E5C"/>
      <w:shd w:val="clear" w:color="auto" w:fill="E1DFDD"/>
    </w:rPr>
  </w:style>
  <w:style w:type="character" w:customStyle="1" w:styleId="Heading1Char">
    <w:name w:val="Heading 1 Char"/>
    <w:basedOn w:val="DefaultParagraphFont"/>
    <w:link w:val="Heading1"/>
    <w:uiPriority w:val="9"/>
    <w:rsid w:val="00021424"/>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021424"/>
    <w:pPr>
      <w:spacing w:line="259" w:lineRule="auto"/>
      <w:outlineLvl w:val="9"/>
    </w:pPr>
  </w:style>
  <w:style w:type="paragraph" w:styleId="TOC1">
    <w:name w:val="toc 1"/>
    <w:basedOn w:val="Normal"/>
    <w:next w:val="Normal"/>
    <w:autoRedefine/>
    <w:uiPriority w:val="39"/>
    <w:unhideWhenUsed/>
    <w:rsid w:val="00871A02"/>
    <w:pPr>
      <w:tabs>
        <w:tab w:val="right" w:leader="dot" w:pos="9010"/>
      </w:tabs>
      <w:spacing w:after="100"/>
    </w:pPr>
  </w:style>
  <w:style w:type="paragraph" w:styleId="TOC2">
    <w:name w:val="toc 2"/>
    <w:basedOn w:val="Normal"/>
    <w:next w:val="Normal"/>
    <w:autoRedefine/>
    <w:uiPriority w:val="39"/>
    <w:unhideWhenUsed/>
    <w:rsid w:val="00F01D2B"/>
    <w:pPr>
      <w:tabs>
        <w:tab w:val="right" w:leader="dot" w:pos="9010"/>
      </w:tabs>
      <w:spacing w:after="100"/>
    </w:pPr>
  </w:style>
  <w:style w:type="paragraph" w:styleId="TOC3">
    <w:name w:val="toc 3"/>
    <w:basedOn w:val="Normal"/>
    <w:next w:val="Normal"/>
    <w:autoRedefine/>
    <w:uiPriority w:val="39"/>
    <w:unhideWhenUsed/>
    <w:rsid w:val="00021424"/>
    <w:pPr>
      <w:spacing w:after="100"/>
      <w:ind w:left="480"/>
    </w:pPr>
  </w:style>
  <w:style w:type="character" w:customStyle="1" w:styleId="UnresolvedMention4">
    <w:name w:val="Unresolved Mention4"/>
    <w:basedOn w:val="DefaultParagraphFont"/>
    <w:uiPriority w:val="99"/>
    <w:semiHidden/>
    <w:unhideWhenUsed/>
    <w:rsid w:val="00FB6551"/>
    <w:rPr>
      <w:color w:val="605E5C"/>
      <w:shd w:val="clear" w:color="auto" w:fill="E1DFDD"/>
    </w:rPr>
  </w:style>
  <w:style w:type="paragraph" w:customStyle="1" w:styleId="kmnaslov1">
    <w:name w:val="kmnaslov1"/>
    <w:basedOn w:val="Normal"/>
    <w:uiPriority w:val="99"/>
    <w:rsid w:val="00CA4EEB"/>
    <w:pPr>
      <w:spacing w:before="100" w:beforeAutospacing="1" w:after="100" w:afterAutospacing="1"/>
    </w:pPr>
    <w:rPr>
      <w:rFonts w:ascii="Calibri" w:hAnsi="Calibri" w:cs="Calibri"/>
    </w:rPr>
  </w:style>
  <w:style w:type="character" w:customStyle="1" w:styleId="UnresolvedMention5">
    <w:name w:val="Unresolved Mention5"/>
    <w:basedOn w:val="DefaultParagraphFont"/>
    <w:uiPriority w:val="99"/>
    <w:semiHidden/>
    <w:unhideWhenUsed/>
    <w:rsid w:val="003606C2"/>
    <w:rPr>
      <w:color w:val="605E5C"/>
      <w:shd w:val="clear" w:color="auto" w:fill="E1DFDD"/>
    </w:rPr>
  </w:style>
  <w:style w:type="character" w:customStyle="1" w:styleId="UnresolvedMention6">
    <w:name w:val="Unresolved Mention6"/>
    <w:basedOn w:val="DefaultParagraphFont"/>
    <w:uiPriority w:val="99"/>
    <w:semiHidden/>
    <w:unhideWhenUsed/>
    <w:rsid w:val="009D6A97"/>
    <w:rPr>
      <w:color w:val="605E5C"/>
      <w:shd w:val="clear" w:color="auto" w:fill="E1DFDD"/>
    </w:rPr>
  </w:style>
  <w:style w:type="character" w:customStyle="1" w:styleId="pronadjen">
    <w:name w:val="pronadjen"/>
    <w:basedOn w:val="DefaultParagraphFont"/>
    <w:qFormat/>
    <w:rsid w:val="00DE77AF"/>
  </w:style>
  <w:style w:type="character" w:customStyle="1" w:styleId="BodyTextChar">
    <w:name w:val="Body Text Char"/>
    <w:basedOn w:val="DefaultParagraphFont"/>
    <w:link w:val="BodyText"/>
    <w:rsid w:val="00DE77AF"/>
    <w:rPr>
      <w:rFonts w:eastAsia="Times New Roman" w:cs="Calibri"/>
    </w:rPr>
  </w:style>
  <w:style w:type="paragraph" w:styleId="BodyText">
    <w:name w:val="Body Text"/>
    <w:basedOn w:val="Normal"/>
    <w:link w:val="BodyTextChar"/>
    <w:rsid w:val="00DE77AF"/>
    <w:pPr>
      <w:spacing w:after="140" w:line="276" w:lineRule="auto"/>
    </w:pPr>
    <w:rPr>
      <w:rFonts w:cs="Calibri"/>
    </w:rPr>
  </w:style>
  <w:style w:type="character" w:customStyle="1" w:styleId="BodyTextChar1">
    <w:name w:val="Body Text Char1"/>
    <w:basedOn w:val="DefaultParagraphFont"/>
    <w:uiPriority w:val="99"/>
    <w:semiHidden/>
    <w:rsid w:val="00DE77AF"/>
    <w:rPr>
      <w:lang w:val="en-GB"/>
    </w:rPr>
  </w:style>
  <w:style w:type="table" w:styleId="ListTable1Light-Accent1">
    <w:name w:val="List Table 1 Light Accent 1"/>
    <w:basedOn w:val="TableNormal"/>
    <w:uiPriority w:val="46"/>
    <w:rsid w:val="00DE77AF"/>
    <w:rPr>
      <w:sz w:val="22"/>
      <w:szCs w:val="22"/>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rsid w:val="004D4848"/>
    <w:rPr>
      <w:rFonts w:asciiTheme="majorHAnsi" w:eastAsiaTheme="majorEastAsia" w:hAnsiTheme="majorHAnsi" w:cstheme="majorBidi"/>
      <w:i/>
      <w:iCs/>
      <w:color w:val="2F5496" w:themeColor="accent1" w:themeShade="BF"/>
      <w:lang w:eastAsia="en-GB"/>
    </w:rPr>
  </w:style>
  <w:style w:type="character" w:customStyle="1" w:styleId="UnresolvedMention7">
    <w:name w:val="Unresolved Mention7"/>
    <w:basedOn w:val="DefaultParagraphFont"/>
    <w:uiPriority w:val="99"/>
    <w:semiHidden/>
    <w:unhideWhenUsed/>
    <w:rsid w:val="00C10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310">
      <w:bodyDiv w:val="1"/>
      <w:marLeft w:val="0"/>
      <w:marRight w:val="0"/>
      <w:marTop w:val="0"/>
      <w:marBottom w:val="0"/>
      <w:divBdr>
        <w:top w:val="none" w:sz="0" w:space="0" w:color="auto"/>
        <w:left w:val="none" w:sz="0" w:space="0" w:color="auto"/>
        <w:bottom w:val="none" w:sz="0" w:space="0" w:color="auto"/>
        <w:right w:val="none" w:sz="0" w:space="0" w:color="auto"/>
      </w:divBdr>
    </w:div>
    <w:div w:id="32965186">
      <w:bodyDiv w:val="1"/>
      <w:marLeft w:val="0"/>
      <w:marRight w:val="0"/>
      <w:marTop w:val="0"/>
      <w:marBottom w:val="0"/>
      <w:divBdr>
        <w:top w:val="none" w:sz="0" w:space="0" w:color="auto"/>
        <w:left w:val="none" w:sz="0" w:space="0" w:color="auto"/>
        <w:bottom w:val="none" w:sz="0" w:space="0" w:color="auto"/>
        <w:right w:val="none" w:sz="0" w:space="0" w:color="auto"/>
      </w:divBdr>
    </w:div>
    <w:div w:id="469632675">
      <w:bodyDiv w:val="1"/>
      <w:marLeft w:val="0"/>
      <w:marRight w:val="0"/>
      <w:marTop w:val="0"/>
      <w:marBottom w:val="0"/>
      <w:divBdr>
        <w:top w:val="none" w:sz="0" w:space="0" w:color="auto"/>
        <w:left w:val="none" w:sz="0" w:space="0" w:color="auto"/>
        <w:bottom w:val="none" w:sz="0" w:space="0" w:color="auto"/>
        <w:right w:val="none" w:sz="0" w:space="0" w:color="auto"/>
      </w:divBdr>
      <w:divsChild>
        <w:div w:id="518666139">
          <w:marLeft w:val="0"/>
          <w:marRight w:val="0"/>
          <w:marTop w:val="0"/>
          <w:marBottom w:val="0"/>
          <w:divBdr>
            <w:top w:val="none" w:sz="0" w:space="0" w:color="auto"/>
            <w:left w:val="none" w:sz="0" w:space="0" w:color="auto"/>
            <w:bottom w:val="none" w:sz="0" w:space="0" w:color="auto"/>
            <w:right w:val="none" w:sz="0" w:space="0" w:color="auto"/>
          </w:divBdr>
        </w:div>
        <w:div w:id="521624917">
          <w:marLeft w:val="0"/>
          <w:marRight w:val="0"/>
          <w:marTop w:val="0"/>
          <w:marBottom w:val="0"/>
          <w:divBdr>
            <w:top w:val="none" w:sz="0" w:space="0" w:color="auto"/>
            <w:left w:val="none" w:sz="0" w:space="0" w:color="auto"/>
            <w:bottom w:val="none" w:sz="0" w:space="0" w:color="auto"/>
            <w:right w:val="none" w:sz="0" w:space="0" w:color="auto"/>
          </w:divBdr>
        </w:div>
        <w:div w:id="711685866">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95635038">
          <w:marLeft w:val="0"/>
          <w:marRight w:val="0"/>
          <w:marTop w:val="0"/>
          <w:marBottom w:val="0"/>
          <w:divBdr>
            <w:top w:val="none" w:sz="0" w:space="0" w:color="auto"/>
            <w:left w:val="none" w:sz="0" w:space="0" w:color="auto"/>
            <w:bottom w:val="none" w:sz="0" w:space="0" w:color="auto"/>
            <w:right w:val="none" w:sz="0" w:space="0" w:color="auto"/>
          </w:divBdr>
        </w:div>
        <w:div w:id="969165113">
          <w:marLeft w:val="0"/>
          <w:marRight w:val="0"/>
          <w:marTop w:val="0"/>
          <w:marBottom w:val="0"/>
          <w:divBdr>
            <w:top w:val="none" w:sz="0" w:space="0" w:color="auto"/>
            <w:left w:val="none" w:sz="0" w:space="0" w:color="auto"/>
            <w:bottom w:val="none" w:sz="0" w:space="0" w:color="auto"/>
            <w:right w:val="none" w:sz="0" w:space="0" w:color="auto"/>
          </w:divBdr>
        </w:div>
        <w:div w:id="1237281043">
          <w:marLeft w:val="0"/>
          <w:marRight w:val="0"/>
          <w:marTop w:val="0"/>
          <w:marBottom w:val="0"/>
          <w:divBdr>
            <w:top w:val="none" w:sz="0" w:space="0" w:color="auto"/>
            <w:left w:val="none" w:sz="0" w:space="0" w:color="auto"/>
            <w:bottom w:val="none" w:sz="0" w:space="0" w:color="auto"/>
            <w:right w:val="none" w:sz="0" w:space="0" w:color="auto"/>
          </w:divBdr>
        </w:div>
        <w:div w:id="1358700837">
          <w:marLeft w:val="0"/>
          <w:marRight w:val="0"/>
          <w:marTop w:val="0"/>
          <w:marBottom w:val="0"/>
          <w:divBdr>
            <w:top w:val="none" w:sz="0" w:space="0" w:color="auto"/>
            <w:left w:val="none" w:sz="0" w:space="0" w:color="auto"/>
            <w:bottom w:val="none" w:sz="0" w:space="0" w:color="auto"/>
            <w:right w:val="none" w:sz="0" w:space="0" w:color="auto"/>
          </w:divBdr>
        </w:div>
        <w:div w:id="1972710391">
          <w:marLeft w:val="0"/>
          <w:marRight w:val="0"/>
          <w:marTop w:val="0"/>
          <w:marBottom w:val="0"/>
          <w:divBdr>
            <w:top w:val="none" w:sz="0" w:space="0" w:color="auto"/>
            <w:left w:val="none" w:sz="0" w:space="0" w:color="auto"/>
            <w:bottom w:val="none" w:sz="0" w:space="0" w:color="auto"/>
            <w:right w:val="none" w:sz="0" w:space="0" w:color="auto"/>
          </w:divBdr>
        </w:div>
      </w:divsChild>
    </w:div>
    <w:div w:id="639531327">
      <w:bodyDiv w:val="1"/>
      <w:marLeft w:val="0"/>
      <w:marRight w:val="0"/>
      <w:marTop w:val="0"/>
      <w:marBottom w:val="0"/>
      <w:divBdr>
        <w:top w:val="none" w:sz="0" w:space="0" w:color="auto"/>
        <w:left w:val="none" w:sz="0" w:space="0" w:color="auto"/>
        <w:bottom w:val="none" w:sz="0" w:space="0" w:color="auto"/>
        <w:right w:val="none" w:sz="0" w:space="0" w:color="auto"/>
      </w:divBdr>
    </w:div>
    <w:div w:id="707412231">
      <w:bodyDiv w:val="1"/>
      <w:marLeft w:val="0"/>
      <w:marRight w:val="0"/>
      <w:marTop w:val="0"/>
      <w:marBottom w:val="0"/>
      <w:divBdr>
        <w:top w:val="none" w:sz="0" w:space="0" w:color="auto"/>
        <w:left w:val="none" w:sz="0" w:space="0" w:color="auto"/>
        <w:bottom w:val="none" w:sz="0" w:space="0" w:color="auto"/>
        <w:right w:val="none" w:sz="0" w:space="0" w:color="auto"/>
      </w:divBdr>
    </w:div>
    <w:div w:id="728648042">
      <w:bodyDiv w:val="1"/>
      <w:marLeft w:val="0"/>
      <w:marRight w:val="0"/>
      <w:marTop w:val="0"/>
      <w:marBottom w:val="0"/>
      <w:divBdr>
        <w:top w:val="none" w:sz="0" w:space="0" w:color="auto"/>
        <w:left w:val="none" w:sz="0" w:space="0" w:color="auto"/>
        <w:bottom w:val="none" w:sz="0" w:space="0" w:color="auto"/>
        <w:right w:val="none" w:sz="0" w:space="0" w:color="auto"/>
      </w:divBdr>
    </w:div>
    <w:div w:id="763258712">
      <w:bodyDiv w:val="1"/>
      <w:marLeft w:val="0"/>
      <w:marRight w:val="0"/>
      <w:marTop w:val="0"/>
      <w:marBottom w:val="0"/>
      <w:divBdr>
        <w:top w:val="none" w:sz="0" w:space="0" w:color="auto"/>
        <w:left w:val="none" w:sz="0" w:space="0" w:color="auto"/>
        <w:bottom w:val="none" w:sz="0" w:space="0" w:color="auto"/>
        <w:right w:val="none" w:sz="0" w:space="0" w:color="auto"/>
      </w:divBdr>
    </w:div>
    <w:div w:id="791822974">
      <w:bodyDiv w:val="1"/>
      <w:marLeft w:val="0"/>
      <w:marRight w:val="0"/>
      <w:marTop w:val="0"/>
      <w:marBottom w:val="0"/>
      <w:divBdr>
        <w:top w:val="none" w:sz="0" w:space="0" w:color="auto"/>
        <w:left w:val="none" w:sz="0" w:space="0" w:color="auto"/>
        <w:bottom w:val="none" w:sz="0" w:space="0" w:color="auto"/>
        <w:right w:val="none" w:sz="0" w:space="0" w:color="auto"/>
      </w:divBdr>
    </w:div>
    <w:div w:id="798304057">
      <w:bodyDiv w:val="1"/>
      <w:marLeft w:val="0"/>
      <w:marRight w:val="0"/>
      <w:marTop w:val="0"/>
      <w:marBottom w:val="0"/>
      <w:divBdr>
        <w:top w:val="none" w:sz="0" w:space="0" w:color="auto"/>
        <w:left w:val="none" w:sz="0" w:space="0" w:color="auto"/>
        <w:bottom w:val="none" w:sz="0" w:space="0" w:color="auto"/>
        <w:right w:val="none" w:sz="0" w:space="0" w:color="auto"/>
      </w:divBdr>
    </w:div>
    <w:div w:id="812405356">
      <w:bodyDiv w:val="1"/>
      <w:marLeft w:val="0"/>
      <w:marRight w:val="0"/>
      <w:marTop w:val="0"/>
      <w:marBottom w:val="0"/>
      <w:divBdr>
        <w:top w:val="none" w:sz="0" w:space="0" w:color="auto"/>
        <w:left w:val="none" w:sz="0" w:space="0" w:color="auto"/>
        <w:bottom w:val="none" w:sz="0" w:space="0" w:color="auto"/>
        <w:right w:val="none" w:sz="0" w:space="0" w:color="auto"/>
      </w:divBdr>
    </w:div>
    <w:div w:id="821311411">
      <w:bodyDiv w:val="1"/>
      <w:marLeft w:val="0"/>
      <w:marRight w:val="0"/>
      <w:marTop w:val="0"/>
      <w:marBottom w:val="0"/>
      <w:divBdr>
        <w:top w:val="none" w:sz="0" w:space="0" w:color="auto"/>
        <w:left w:val="none" w:sz="0" w:space="0" w:color="auto"/>
        <w:bottom w:val="none" w:sz="0" w:space="0" w:color="auto"/>
        <w:right w:val="none" w:sz="0" w:space="0" w:color="auto"/>
      </w:divBdr>
    </w:div>
    <w:div w:id="839582020">
      <w:bodyDiv w:val="1"/>
      <w:marLeft w:val="0"/>
      <w:marRight w:val="0"/>
      <w:marTop w:val="0"/>
      <w:marBottom w:val="0"/>
      <w:divBdr>
        <w:top w:val="none" w:sz="0" w:space="0" w:color="auto"/>
        <w:left w:val="none" w:sz="0" w:space="0" w:color="auto"/>
        <w:bottom w:val="none" w:sz="0" w:space="0" w:color="auto"/>
        <w:right w:val="none" w:sz="0" w:space="0" w:color="auto"/>
      </w:divBdr>
    </w:div>
    <w:div w:id="913392130">
      <w:bodyDiv w:val="1"/>
      <w:marLeft w:val="0"/>
      <w:marRight w:val="0"/>
      <w:marTop w:val="0"/>
      <w:marBottom w:val="0"/>
      <w:divBdr>
        <w:top w:val="none" w:sz="0" w:space="0" w:color="auto"/>
        <w:left w:val="none" w:sz="0" w:space="0" w:color="auto"/>
        <w:bottom w:val="none" w:sz="0" w:space="0" w:color="auto"/>
        <w:right w:val="none" w:sz="0" w:space="0" w:color="auto"/>
      </w:divBdr>
    </w:div>
    <w:div w:id="956983362">
      <w:bodyDiv w:val="1"/>
      <w:marLeft w:val="0"/>
      <w:marRight w:val="0"/>
      <w:marTop w:val="0"/>
      <w:marBottom w:val="0"/>
      <w:divBdr>
        <w:top w:val="none" w:sz="0" w:space="0" w:color="auto"/>
        <w:left w:val="none" w:sz="0" w:space="0" w:color="auto"/>
        <w:bottom w:val="none" w:sz="0" w:space="0" w:color="auto"/>
        <w:right w:val="none" w:sz="0" w:space="0" w:color="auto"/>
      </w:divBdr>
    </w:div>
    <w:div w:id="1013801132">
      <w:bodyDiv w:val="1"/>
      <w:marLeft w:val="0"/>
      <w:marRight w:val="0"/>
      <w:marTop w:val="0"/>
      <w:marBottom w:val="0"/>
      <w:divBdr>
        <w:top w:val="none" w:sz="0" w:space="0" w:color="auto"/>
        <w:left w:val="none" w:sz="0" w:space="0" w:color="auto"/>
        <w:bottom w:val="none" w:sz="0" w:space="0" w:color="auto"/>
        <w:right w:val="none" w:sz="0" w:space="0" w:color="auto"/>
      </w:divBdr>
    </w:div>
    <w:div w:id="1049719678">
      <w:bodyDiv w:val="1"/>
      <w:marLeft w:val="0"/>
      <w:marRight w:val="0"/>
      <w:marTop w:val="0"/>
      <w:marBottom w:val="0"/>
      <w:divBdr>
        <w:top w:val="none" w:sz="0" w:space="0" w:color="auto"/>
        <w:left w:val="none" w:sz="0" w:space="0" w:color="auto"/>
        <w:bottom w:val="none" w:sz="0" w:space="0" w:color="auto"/>
        <w:right w:val="none" w:sz="0" w:space="0" w:color="auto"/>
      </w:divBdr>
    </w:div>
    <w:div w:id="1095898860">
      <w:bodyDiv w:val="1"/>
      <w:marLeft w:val="0"/>
      <w:marRight w:val="0"/>
      <w:marTop w:val="0"/>
      <w:marBottom w:val="0"/>
      <w:divBdr>
        <w:top w:val="none" w:sz="0" w:space="0" w:color="auto"/>
        <w:left w:val="none" w:sz="0" w:space="0" w:color="auto"/>
        <w:bottom w:val="none" w:sz="0" w:space="0" w:color="auto"/>
        <w:right w:val="none" w:sz="0" w:space="0" w:color="auto"/>
      </w:divBdr>
    </w:div>
    <w:div w:id="1120606983">
      <w:bodyDiv w:val="1"/>
      <w:marLeft w:val="0"/>
      <w:marRight w:val="0"/>
      <w:marTop w:val="0"/>
      <w:marBottom w:val="0"/>
      <w:divBdr>
        <w:top w:val="none" w:sz="0" w:space="0" w:color="auto"/>
        <w:left w:val="none" w:sz="0" w:space="0" w:color="auto"/>
        <w:bottom w:val="none" w:sz="0" w:space="0" w:color="auto"/>
        <w:right w:val="none" w:sz="0" w:space="0" w:color="auto"/>
      </w:divBdr>
    </w:div>
    <w:div w:id="1159805381">
      <w:bodyDiv w:val="1"/>
      <w:marLeft w:val="0"/>
      <w:marRight w:val="0"/>
      <w:marTop w:val="0"/>
      <w:marBottom w:val="0"/>
      <w:divBdr>
        <w:top w:val="none" w:sz="0" w:space="0" w:color="auto"/>
        <w:left w:val="none" w:sz="0" w:space="0" w:color="auto"/>
        <w:bottom w:val="none" w:sz="0" w:space="0" w:color="auto"/>
        <w:right w:val="none" w:sz="0" w:space="0" w:color="auto"/>
      </w:divBdr>
    </w:div>
    <w:div w:id="1206528677">
      <w:bodyDiv w:val="1"/>
      <w:marLeft w:val="0"/>
      <w:marRight w:val="0"/>
      <w:marTop w:val="0"/>
      <w:marBottom w:val="0"/>
      <w:divBdr>
        <w:top w:val="none" w:sz="0" w:space="0" w:color="auto"/>
        <w:left w:val="none" w:sz="0" w:space="0" w:color="auto"/>
        <w:bottom w:val="none" w:sz="0" w:space="0" w:color="auto"/>
        <w:right w:val="none" w:sz="0" w:space="0" w:color="auto"/>
      </w:divBdr>
    </w:div>
    <w:div w:id="1292639095">
      <w:bodyDiv w:val="1"/>
      <w:marLeft w:val="0"/>
      <w:marRight w:val="0"/>
      <w:marTop w:val="0"/>
      <w:marBottom w:val="0"/>
      <w:divBdr>
        <w:top w:val="none" w:sz="0" w:space="0" w:color="auto"/>
        <w:left w:val="none" w:sz="0" w:space="0" w:color="auto"/>
        <w:bottom w:val="none" w:sz="0" w:space="0" w:color="auto"/>
        <w:right w:val="none" w:sz="0" w:space="0" w:color="auto"/>
      </w:divBdr>
    </w:div>
    <w:div w:id="1414814583">
      <w:bodyDiv w:val="1"/>
      <w:marLeft w:val="0"/>
      <w:marRight w:val="0"/>
      <w:marTop w:val="0"/>
      <w:marBottom w:val="0"/>
      <w:divBdr>
        <w:top w:val="none" w:sz="0" w:space="0" w:color="auto"/>
        <w:left w:val="none" w:sz="0" w:space="0" w:color="auto"/>
        <w:bottom w:val="none" w:sz="0" w:space="0" w:color="auto"/>
        <w:right w:val="none" w:sz="0" w:space="0" w:color="auto"/>
      </w:divBdr>
    </w:div>
    <w:div w:id="1425688769">
      <w:bodyDiv w:val="1"/>
      <w:marLeft w:val="0"/>
      <w:marRight w:val="0"/>
      <w:marTop w:val="0"/>
      <w:marBottom w:val="0"/>
      <w:divBdr>
        <w:top w:val="none" w:sz="0" w:space="0" w:color="auto"/>
        <w:left w:val="none" w:sz="0" w:space="0" w:color="auto"/>
        <w:bottom w:val="none" w:sz="0" w:space="0" w:color="auto"/>
        <w:right w:val="none" w:sz="0" w:space="0" w:color="auto"/>
      </w:divBdr>
    </w:div>
    <w:div w:id="1536965322">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620911764">
      <w:bodyDiv w:val="1"/>
      <w:marLeft w:val="0"/>
      <w:marRight w:val="0"/>
      <w:marTop w:val="0"/>
      <w:marBottom w:val="0"/>
      <w:divBdr>
        <w:top w:val="none" w:sz="0" w:space="0" w:color="auto"/>
        <w:left w:val="none" w:sz="0" w:space="0" w:color="auto"/>
        <w:bottom w:val="none" w:sz="0" w:space="0" w:color="auto"/>
        <w:right w:val="none" w:sz="0" w:space="0" w:color="auto"/>
      </w:divBdr>
    </w:div>
    <w:div w:id="1659768009">
      <w:bodyDiv w:val="1"/>
      <w:marLeft w:val="0"/>
      <w:marRight w:val="0"/>
      <w:marTop w:val="0"/>
      <w:marBottom w:val="0"/>
      <w:divBdr>
        <w:top w:val="none" w:sz="0" w:space="0" w:color="auto"/>
        <w:left w:val="none" w:sz="0" w:space="0" w:color="auto"/>
        <w:bottom w:val="none" w:sz="0" w:space="0" w:color="auto"/>
        <w:right w:val="none" w:sz="0" w:space="0" w:color="auto"/>
      </w:divBdr>
    </w:div>
    <w:div w:id="1800101097">
      <w:bodyDiv w:val="1"/>
      <w:marLeft w:val="0"/>
      <w:marRight w:val="0"/>
      <w:marTop w:val="0"/>
      <w:marBottom w:val="0"/>
      <w:divBdr>
        <w:top w:val="none" w:sz="0" w:space="0" w:color="auto"/>
        <w:left w:val="none" w:sz="0" w:space="0" w:color="auto"/>
        <w:bottom w:val="none" w:sz="0" w:space="0" w:color="auto"/>
        <w:right w:val="none" w:sz="0" w:space="0" w:color="auto"/>
      </w:divBdr>
    </w:div>
    <w:div w:id="1804688721">
      <w:bodyDiv w:val="1"/>
      <w:marLeft w:val="0"/>
      <w:marRight w:val="0"/>
      <w:marTop w:val="0"/>
      <w:marBottom w:val="0"/>
      <w:divBdr>
        <w:top w:val="none" w:sz="0" w:space="0" w:color="auto"/>
        <w:left w:val="none" w:sz="0" w:space="0" w:color="auto"/>
        <w:bottom w:val="none" w:sz="0" w:space="0" w:color="auto"/>
        <w:right w:val="none" w:sz="0" w:space="0" w:color="auto"/>
      </w:divBdr>
    </w:div>
    <w:div w:id="1858612592">
      <w:bodyDiv w:val="1"/>
      <w:marLeft w:val="0"/>
      <w:marRight w:val="0"/>
      <w:marTop w:val="0"/>
      <w:marBottom w:val="0"/>
      <w:divBdr>
        <w:top w:val="none" w:sz="0" w:space="0" w:color="auto"/>
        <w:left w:val="none" w:sz="0" w:space="0" w:color="auto"/>
        <w:bottom w:val="none" w:sz="0" w:space="0" w:color="auto"/>
        <w:right w:val="none" w:sz="0" w:space="0" w:color="auto"/>
      </w:divBdr>
    </w:div>
    <w:div w:id="1865054743">
      <w:bodyDiv w:val="1"/>
      <w:marLeft w:val="0"/>
      <w:marRight w:val="0"/>
      <w:marTop w:val="0"/>
      <w:marBottom w:val="0"/>
      <w:divBdr>
        <w:top w:val="none" w:sz="0" w:space="0" w:color="auto"/>
        <w:left w:val="none" w:sz="0" w:space="0" w:color="auto"/>
        <w:bottom w:val="none" w:sz="0" w:space="0" w:color="auto"/>
        <w:right w:val="none" w:sz="0" w:space="0" w:color="auto"/>
      </w:divBdr>
    </w:div>
    <w:div w:id="1918634101">
      <w:bodyDiv w:val="1"/>
      <w:marLeft w:val="0"/>
      <w:marRight w:val="0"/>
      <w:marTop w:val="0"/>
      <w:marBottom w:val="0"/>
      <w:divBdr>
        <w:top w:val="none" w:sz="0" w:space="0" w:color="auto"/>
        <w:left w:val="none" w:sz="0" w:space="0" w:color="auto"/>
        <w:bottom w:val="none" w:sz="0" w:space="0" w:color="auto"/>
        <w:right w:val="none" w:sz="0" w:space="0" w:color="auto"/>
      </w:divBdr>
    </w:div>
    <w:div w:id="1938099035">
      <w:bodyDiv w:val="1"/>
      <w:marLeft w:val="0"/>
      <w:marRight w:val="0"/>
      <w:marTop w:val="0"/>
      <w:marBottom w:val="0"/>
      <w:divBdr>
        <w:top w:val="none" w:sz="0" w:space="0" w:color="auto"/>
        <w:left w:val="none" w:sz="0" w:space="0" w:color="auto"/>
        <w:bottom w:val="none" w:sz="0" w:space="0" w:color="auto"/>
        <w:right w:val="none" w:sz="0" w:space="0" w:color="auto"/>
      </w:divBdr>
    </w:div>
    <w:div w:id="2039743448">
      <w:bodyDiv w:val="1"/>
      <w:marLeft w:val="0"/>
      <w:marRight w:val="0"/>
      <w:marTop w:val="0"/>
      <w:marBottom w:val="0"/>
      <w:divBdr>
        <w:top w:val="none" w:sz="0" w:space="0" w:color="auto"/>
        <w:left w:val="none" w:sz="0" w:space="0" w:color="auto"/>
        <w:bottom w:val="none" w:sz="0" w:space="0" w:color="auto"/>
        <w:right w:val="none" w:sz="0" w:space="0" w:color="auto"/>
      </w:divBdr>
      <w:divsChild>
        <w:div w:id="665473951">
          <w:marLeft w:val="0"/>
          <w:marRight w:val="0"/>
          <w:marTop w:val="0"/>
          <w:marBottom w:val="0"/>
          <w:divBdr>
            <w:top w:val="none" w:sz="0" w:space="0" w:color="auto"/>
            <w:left w:val="none" w:sz="0" w:space="0" w:color="auto"/>
            <w:bottom w:val="none" w:sz="0" w:space="0" w:color="auto"/>
            <w:right w:val="none" w:sz="0" w:space="0" w:color="auto"/>
          </w:divBdr>
        </w:div>
        <w:div w:id="734353320">
          <w:marLeft w:val="0"/>
          <w:marRight w:val="0"/>
          <w:marTop w:val="0"/>
          <w:marBottom w:val="0"/>
          <w:divBdr>
            <w:top w:val="none" w:sz="0" w:space="0" w:color="auto"/>
            <w:left w:val="none" w:sz="0" w:space="0" w:color="auto"/>
            <w:bottom w:val="none" w:sz="0" w:space="0" w:color="auto"/>
            <w:right w:val="none" w:sz="0" w:space="0" w:color="auto"/>
          </w:divBdr>
        </w:div>
      </w:divsChild>
    </w:div>
    <w:div w:id="20533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www.trezor.gov.rs/src/services/" TargetMode="External"/><Relationship Id="rId39" Type="http://schemas.openxmlformats.org/officeDocument/2006/relationships/hyperlink" Target="mailto:marko.tomasevic@skgo.or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marko.tomasevic@skgo.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www.mfin.gov.rs/vrsta-aktivnosti/bilten-javnih-finansija/" TargetMode="External"/><Relationship Id="rId33" Type="http://schemas.openxmlformats.org/officeDocument/2006/relationships/hyperlink" Target="mailto:marko.tomasevic@skgo.org" TargetMode="External"/><Relationship Id="rId38" Type="http://schemas.openxmlformats.org/officeDocument/2006/relationships/hyperlink" Target="mailto:milena.radomirovic@skgo.org"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mailto:marko.tomasevic@skgo.org" TargetMode="External"/><Relationship Id="rId41" Type="http://schemas.openxmlformats.org/officeDocument/2006/relationships/hyperlink" Target="mailto:milena.radomirovic@skg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mailto:dusanka.jovanovic@mduls.gov.rs" TargetMode="External"/><Relationship Id="rId32" Type="http://schemas.openxmlformats.org/officeDocument/2006/relationships/hyperlink" Target="mailto:dusanka.jovanovic@mduls.gov.rs" TargetMode="External"/><Relationship Id="rId37" Type="http://schemas.openxmlformats.org/officeDocument/2006/relationships/hyperlink" Target="https://rsjp.gov.rs/jls-baza/" TargetMode="External"/><Relationship Id="rId40" Type="http://schemas.openxmlformats.org/officeDocument/2006/relationships/hyperlink" Target="mailto:dusanka.jovanovic@mduls.gov.rs"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28" Type="http://schemas.openxmlformats.org/officeDocument/2006/relationships/hyperlink" Target="mailto:milena.radomirovic@skgo.org" TargetMode="External"/><Relationship Id="rId36" Type="http://schemas.openxmlformats.org/officeDocument/2006/relationships/hyperlink" Target="mailto:milena.radomirovic@skgo.org"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hyperlink" Target="https://rsjp.gov.rs/jls-baza/" TargetMode="External"/><Relationship Id="rId30" Type="http://schemas.openxmlformats.org/officeDocument/2006/relationships/hyperlink" Target="mailto:dusanka.jovanovic@mduls.gov.rs" TargetMode="External"/><Relationship Id="rId35" Type="http://schemas.openxmlformats.org/officeDocument/2006/relationships/hyperlink" Target="https://rsjp.gov.rs/jls-baza/"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ng-wofi.org/data/" TargetMode="External"/><Relationship Id="rId18" Type="http://schemas.openxmlformats.org/officeDocument/2006/relationships/hyperlink" Target="https://www.paragraf.rs/propisi/uredba-o-upravljanju-kapitalnim-projektima.html" TargetMode="External"/><Relationship Id="rId26" Type="http://schemas.openxmlformats.org/officeDocument/2006/relationships/hyperlink" Target="https://bit.ly/3mXb9S5" TargetMode="External"/><Relationship Id="rId39" Type="http://schemas.openxmlformats.org/officeDocument/2006/relationships/hyperlink" Target="https://euprava.gov.rs/vrtic" TargetMode="External"/><Relationship Id="rId21" Type="http://schemas.openxmlformats.org/officeDocument/2006/relationships/hyperlink" Target="https://www.transparentnost.org.rs/images/dokumenti_uz_vesti/LTI_2020izvestaj.pdf" TargetMode="External"/><Relationship Id="rId34" Type="http://schemas.openxmlformats.org/officeDocument/2006/relationships/hyperlink" Target="http://www.pravno-informacioni-sistem.rs/SlGlasnikPortal/eli/rep/sgrs/vlada/uredba/2018/104/1/reg" TargetMode="External"/><Relationship Id="rId42" Type="http://schemas.openxmlformats.org/officeDocument/2006/relationships/hyperlink" Target="http://www.data.gov.rs" TargetMode="External"/><Relationship Id="rId47" Type="http://schemas.openxmlformats.org/officeDocument/2006/relationships/hyperlink" Target="https://www.undp.org/content/undp/en/home/news-centre/news/2020/covid-19--cities-in-the-frontline-of-response-and-recovery--call.html" TargetMode="External"/><Relationship Id="rId50" Type="http://schemas.openxmlformats.org/officeDocument/2006/relationships/hyperlink" Target="http://www.mei.gov.rs/upload/documents/nacionalna_dokumenta/npaa/npaa_2018_2021.pdf" TargetMode="External"/><Relationship Id="rId55" Type="http://schemas.openxmlformats.org/officeDocument/2006/relationships/hyperlink" Target="http://www.pravno-informacioni-sistem.rs/SlGlasnikPortal/eli/rep/sgrs/ministarstva%20/poslovnik/2006/61/1/reg" TargetMode="External"/><Relationship Id="rId7" Type="http://schemas.openxmlformats.org/officeDocument/2006/relationships/hyperlink" Target="http://www.skgo.org/storage/app/uploads/public/155/179/186/1551791863_Priruccnik%20LER%202019%2018022019%20web.pdf" TargetMode="External"/><Relationship Id="rId12" Type="http://schemas.openxmlformats.org/officeDocument/2006/relationships/hyperlink" Target="http://www.sng-wofi.org/reports/SNGWOFI_2019_report_country_profiles_DEC2019_UPDATES.pdf" TargetMode="External"/><Relationship Id="rId17" Type="http://schemas.openxmlformats.org/officeDocument/2006/relationships/hyperlink" Target="https://www.transparentnost.org.rs/images/dokumenti_uz_vesti/LTI_2020izvestaj.pdf" TargetMode="External"/><Relationship Id="rId25" Type="http://schemas.openxmlformats.org/officeDocument/2006/relationships/hyperlink" Target="https://bit.ly/35in46u" TargetMode="External"/><Relationship Id="rId33" Type="http://schemas.openxmlformats.org/officeDocument/2006/relationships/hyperlink" Target="https://www.pravno-informacioni-sistem.rs/SlGlasnikPortal/eli/rep/sgrs/vlada/drugiakt/2020/85/1/reg" TargetMode="External"/><Relationship Id="rId38" Type="http://schemas.openxmlformats.org/officeDocument/2006/relationships/hyperlink" Target="http://www.pravno-informacioni-sistem.rs/SlGlasnikPortal/eli/rep/sgrs/vlada/uredba/2018/104/5/reg" TargetMode="External"/><Relationship Id="rId46" Type="http://schemas.openxmlformats.org/officeDocument/2006/relationships/hyperlink" Target="https://rm.coe.int/survey-report-serbia/16809e831b" TargetMode="External"/><Relationship Id="rId2" Type="http://schemas.openxmlformats.org/officeDocument/2006/relationships/hyperlink" Target="http://www.nalas.eu/Publications/Books/FDReport_18" TargetMode="External"/><Relationship Id="rId16" Type="http://schemas.openxmlformats.org/officeDocument/2006/relationships/hyperlink" Target="https://www.pempal.org/sites/pempal/files/event/attachments/oesdsbo_d2-am-session-7-k.klaas-oecd-sigma-implementing-pfm-reforma-ganeda-bcs.pdf" TargetMode="External"/><Relationship Id="rId20" Type="http://schemas.openxmlformats.org/officeDocument/2006/relationships/hyperlink" Target="http://www.fiskalnisavet.rs/doc/analize-stavovi-predlozi/Lokalne%20javne%20finansije_%20Problemi,%20rizici%20i%20preporuke%20(2017).pdf" TargetMode="External"/><Relationship Id="rId29" Type="http://schemas.openxmlformats.org/officeDocument/2006/relationships/hyperlink" Target="https://www.transparentnost.org.rs/images/dokumenti_uz_vesti/LTI_2020_-_PPT_za_KZN.pdf" TargetMode="External"/><Relationship Id="rId41" Type="http://schemas.openxmlformats.org/officeDocument/2006/relationships/hyperlink" Target="https://www.ite.gov.rs/tekst/1836/kontakt-centar-za-javnu-upravu-g2g.php" TargetMode="External"/><Relationship Id="rId54" Type="http://schemas.openxmlformats.org/officeDocument/2006/relationships/hyperlink" Target="http://www.pravno-informacioni-sistem.rs/SlGlasnikPortal/eli/rep/sgrs/vlada/odluka/2016/81/1/reg" TargetMode="External"/><Relationship Id="rId1" Type="http://schemas.openxmlformats.org/officeDocument/2006/relationships/hyperlink" Target="https://www.congress-monitoring.eu/en/45-pays.html" TargetMode="External"/><Relationship Id="rId6" Type="http://schemas.openxmlformats.org/officeDocument/2006/relationships/hyperlink" Target="http://www.pravno-informacioni-sistem.rs/SlGlasnikPortal/eli/rep/sgrs/vlada/strategija/2011/80/1/reg" TargetMode="External"/><Relationship Id="rId11" Type="http://schemas.openxmlformats.org/officeDocument/2006/relationships/hyperlink" Target="http://www.oecd.org/regional/EU-Local-government-key-data.pdf" TargetMode="External"/><Relationship Id="rId24" Type="http://schemas.openxmlformats.org/officeDocument/2006/relationships/hyperlink" Target="https://rsjp.gov.rs/wp-content/uploads/Prirucnik-za-lokalnu-samoupravu-web_final.pdf" TargetMode="External"/><Relationship Id="rId32" Type="http://schemas.openxmlformats.org/officeDocument/2006/relationships/hyperlink" Target="http://www.pravno-informacioni-sistem.rs/SlGlasnikPortal/eli/rep/sgrs/vlada/uredba/2017/73/2/reg" TargetMode="External"/><Relationship Id="rId37" Type="http://schemas.openxmlformats.org/officeDocument/2006/relationships/hyperlink" Target="https://www.swisspro.org.rs/uploads/files/148-676-sp_rezime_procena_statusa_euprave_u_jls_final.pdf" TargetMode="External"/><Relationship Id="rId40" Type="http://schemas.openxmlformats.org/officeDocument/2006/relationships/hyperlink" Target="https://lpa.gov.rs/jisportal/homepage" TargetMode="External"/><Relationship Id="rId45" Type="http://schemas.openxmlformats.org/officeDocument/2006/relationships/hyperlink" Target="https://cor.europa.eu/en/our-work/EURegionalBarometerDocs/4370-Barometer%20optimized.pdf" TargetMode="External"/><Relationship Id="rId53" Type="http://schemas.openxmlformats.org/officeDocument/2006/relationships/hyperlink" Target="https://www.uclg.org/sites/default/files/global_observatory_on_local_finance_0.pdf" TargetMode="External"/><Relationship Id="rId5" Type="http://schemas.openxmlformats.org/officeDocument/2006/relationships/hyperlink" Target="http://www.fiskalnisavet.rs/doc/analize-stavovi-predlozi/FS-Rezime-Investicije-u-zastitu-zivotne-sredine.pdf" TargetMode="External"/><Relationship Id="rId15" Type="http://schemas.openxmlformats.org/officeDocument/2006/relationships/hyperlink" Target="http://www.sng-wofi.org/data/" TargetMode="External"/><Relationship Id="rId23" Type="http://schemas.openxmlformats.org/officeDocument/2006/relationships/hyperlink" Target="https://www.paragraf.rs/propisi/uredba_o_budzetskom_racunovodstvu.html" TargetMode="External"/><Relationship Id="rId28" Type="http://schemas.openxmlformats.org/officeDocument/2006/relationships/hyperlink" Target="https://www.transparentnost.org.rs/index.php/sr/istraivanja-o-korupciji/lti" TargetMode="External"/><Relationship Id="rId36" Type="http://schemas.openxmlformats.org/officeDocument/2006/relationships/hyperlink" Target="http://mduls.gov.rs/wp-content/uploads/Analiza-stanja-eUprave-u-Rs-rezultati-konsultativnog-procesa.pdf?script=lat" TargetMode="External"/><Relationship Id="rId49" Type="http://schemas.openxmlformats.org/officeDocument/2006/relationships/hyperlink" Target="http://www.mei.gov.rs/srl/dokumenta/nacionalna-dokumenta/strategija-komunikacije-o-pristupanju-rs-eu" TargetMode="External"/><Relationship Id="rId10" Type="http://schemas.openxmlformats.org/officeDocument/2006/relationships/hyperlink" Target="http://www.oecd.org/regional/EU-Local-government-key-data.pdf" TargetMode="External"/><Relationship Id="rId19" Type="http://schemas.openxmlformats.org/officeDocument/2006/relationships/hyperlink" Target="https://www.congress-monitoring.eu/en/45-pays.html" TargetMode="External"/><Relationship Id="rId31" Type="http://schemas.openxmlformats.org/officeDocument/2006/relationships/hyperlink" Target="https://www.ite.gov.rs/extfile/sr/2084/Uredba%20o%20Kancelariji%20za%20IT%20i%20EU.pdf" TargetMode="External"/><Relationship Id="rId44" Type="http://schemas.openxmlformats.org/officeDocument/2006/relationships/hyperlink" Target="https://www.swisspro.org.rs/uploads/files/148-676-sp_rezime_procena_statusa_euprave_u_jls_final.pdf" TargetMode="External"/><Relationship Id="rId52" Type="http://schemas.openxmlformats.org/officeDocument/2006/relationships/hyperlink" Target="http://www.mei.gov.rs/upload/documents/nacionalna_dokumenta/pregovori_sa_eu/zakljucak_rad_organa_za_pregovracake_pozicije_februar_17.pdf" TargetMode="External"/><Relationship Id="rId4" Type="http://schemas.openxmlformats.org/officeDocument/2006/relationships/hyperlink" Target="https://rsjp.gov.rs/wp-content/uploads/Prirucnik-za-lokalnu-samoupravu-web_final.pdf" TargetMode="External"/><Relationship Id="rId9" Type="http://schemas.openxmlformats.org/officeDocument/2006/relationships/hyperlink" Target="http://www.sng-wofi.org/reports/SNGWOFI_2019_report_country_profiles_DEC2019_UPDATES.pdf" TargetMode="External"/><Relationship Id="rId14" Type="http://schemas.openxmlformats.org/officeDocument/2006/relationships/hyperlink" Target="http://www.oecd.org/regional/EU-Local-government-key-data.pdf" TargetMode="External"/><Relationship Id="rId22" Type="http://schemas.openxmlformats.org/officeDocument/2006/relationships/hyperlink" Target="https://www.mfin.gov.rs/UserFiles/File/CJH/2019/kgi/Konsolidovani%20godisnji%20izvestaj%20o%20IFKJ%20za%202018_%20godinu.pdf" TargetMode="External"/><Relationship Id="rId27" Type="http://schemas.openxmlformats.org/officeDocument/2006/relationships/hyperlink" Target="https://bit.ly/30iHfxN" TargetMode="External"/><Relationship Id="rId30" Type="http://schemas.openxmlformats.org/officeDocument/2006/relationships/hyperlink" Target="http://www.pravno-informacioni-sistem.rs/SlGlasnikPortal/eli/rep/sgrs/vlada/strategija/2015/107/1/reg" TargetMode="External"/><Relationship Id="rId35" Type="http://schemas.openxmlformats.org/officeDocument/2006/relationships/hyperlink" Target="http://mduls.gov.rs/wp-content/uploads/Analiza-stanja-eUprave-u-Rs-rezultati-konsultativnog-procesa.pdf?script=lat" TargetMode="External"/><Relationship Id="rId43" Type="http://schemas.openxmlformats.org/officeDocument/2006/relationships/hyperlink" Target="http://www.budzeti.data.gov.rs" TargetMode="External"/><Relationship Id="rId48" Type="http://schemas.openxmlformats.org/officeDocument/2006/relationships/hyperlink" Target="https://cor.europa.eu/en/our-work/Documents/Our-work/lisbon-treaty.pdf" TargetMode="External"/><Relationship Id="rId8" Type="http://schemas.openxmlformats.org/officeDocument/2006/relationships/hyperlink" Target="http://bfc-see.org/" TargetMode="External"/><Relationship Id="rId51" Type="http://schemas.openxmlformats.org/officeDocument/2006/relationships/hyperlink" Target="http://www.mei.gov.rs/upload/documents/nacionalna_dokumenta/pregovori_sa_eu/zakljucak_rad_organa_za_pregovracake_pozicije_februar_17.pdf" TargetMode="External"/><Relationship Id="rId3" Type="http://schemas.openxmlformats.org/officeDocument/2006/relationships/hyperlink" Target="http://mduls.gov.rs/obavestenja/jedinstveni-popis-poslova-na-loklanom-nivou-vlast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avle.tmusic\Desktop\GRAFICI.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avle.tmusic\Desktop\&#1043;&#1056;&#1040;&#1060;&#1048;&#105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var\folders\yg\vqlfq_js4vb01bwwbfwzspfr0000gn\T\com.microsoft.Outlook\Outlook%20Temp\Copy%20of%20KJP%20i%20KJR.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Book3"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avle.tmusic\Desktop\tabele%20i%20grafici\GRAFICI.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sr-Cyrl-RS" sz="1200" b="1">
                <a:latin typeface="Arial" panose="020B0604020202020204" pitchFamily="34" charset="0"/>
                <a:cs typeface="Arial" panose="020B0604020202020204" pitchFamily="34" charset="0"/>
              </a:rPr>
              <a:t>ЈЛС по</a:t>
            </a:r>
            <a:r>
              <a:rPr lang="sr-Cyrl-RS" sz="1200" b="1" baseline="0">
                <a:latin typeface="Arial" panose="020B0604020202020204" pitchFamily="34" charset="0"/>
                <a:cs typeface="Arial" panose="020B0604020202020204" pitchFamily="34" charset="0"/>
              </a:rPr>
              <a:t> </a:t>
            </a:r>
            <a:r>
              <a:rPr lang="sr-Cyrl-RS" sz="1200" b="1">
                <a:latin typeface="Arial" panose="020B0604020202020204" pitchFamily="34" charset="0"/>
                <a:cs typeface="Arial" panose="020B0604020202020204" pitchFamily="34" charset="0"/>
              </a:rPr>
              <a:t>број становника</a:t>
            </a:r>
            <a:endParaRPr lang="en-GB" sz="12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E307-FD41-A621-9BF165A6E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Sheet1!$C$5:$C$10</c:f>
              <c:strCache>
                <c:ptCount val="6"/>
                <c:pt idx="0">
                  <c:v>Преко 100.000</c:v>
                </c:pt>
                <c:pt idx="1">
                  <c:v>50.000-100.000</c:v>
                </c:pt>
                <c:pt idx="2">
                  <c:v>30.000-50.000</c:v>
                </c:pt>
                <c:pt idx="3">
                  <c:v>20.000-30.000</c:v>
                </c:pt>
                <c:pt idx="4">
                  <c:v>10.000-20.000</c:v>
                </c:pt>
                <c:pt idx="5">
                  <c:v>Испод 10.000</c:v>
                </c:pt>
              </c:strCache>
            </c:strRef>
          </c:cat>
          <c:val>
            <c:numRef>
              <c:f>Sheet1!$D$5:$D$10</c:f>
              <c:numCache>
                <c:formatCode>General</c:formatCode>
                <c:ptCount val="6"/>
                <c:pt idx="0">
                  <c:v>14</c:v>
                </c:pt>
                <c:pt idx="1">
                  <c:v>14</c:v>
                </c:pt>
                <c:pt idx="2">
                  <c:v>22</c:v>
                </c:pt>
                <c:pt idx="3">
                  <c:v>25</c:v>
                </c:pt>
                <c:pt idx="4">
                  <c:v>51</c:v>
                </c:pt>
                <c:pt idx="5">
                  <c:v>19</c:v>
                </c:pt>
              </c:numCache>
            </c:numRef>
          </c:val>
          <c:extLst>
            <c:ext xmlns:c16="http://schemas.microsoft.com/office/drawing/2014/chart" uri="{C3380CC4-5D6E-409C-BE32-E72D297353CC}">
              <c16:uniqueId val="{00000000-30B0-8349-8DA4-206B5270AFF5}"/>
            </c:ext>
          </c:extLst>
        </c:ser>
        <c:dLbls>
          <c:showLegendKey val="0"/>
          <c:showVal val="1"/>
          <c:showCatName val="0"/>
          <c:showSerName val="0"/>
          <c:showPercent val="0"/>
          <c:showBubbleSize val="0"/>
        </c:dLbls>
        <c:gapWidth val="100"/>
        <c:overlap val="-24"/>
        <c:axId val="139112832"/>
        <c:axId val="139115136"/>
      </c:barChart>
      <c:catAx>
        <c:axId val="1391128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9115136"/>
        <c:crosses val="autoZero"/>
        <c:auto val="1"/>
        <c:lblAlgn val="ctr"/>
        <c:lblOffset val="100"/>
        <c:noMultiLvlLbl val="0"/>
      </c:catAx>
      <c:valAx>
        <c:axId val="1391151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91128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sr-Cyrl-RS"/>
              <a:t>Поступак утврђивања радних циљева</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Sheet6!$A$1:$A$4</c:f>
              <c:strCache>
                <c:ptCount val="4"/>
                <c:pt idx="0">
                  <c:v>До 15. јануара текуће календарске године су утврђене листе са до пет радних циљева</c:v>
                </c:pt>
                <c:pt idx="1">
                  <c:v>Након 15. јануара текуће календарске године су утврђене листе са до пет радних циљева</c:v>
                </c:pt>
                <c:pt idx="2">
                  <c:v>Поступак утврђивања радних циљева је у току</c:v>
                </c:pt>
                <c:pt idx="3">
                  <c:v>Није започео поступак утврђивања радних циљева</c:v>
                </c:pt>
              </c:strCache>
            </c:strRef>
          </c:cat>
          <c:val>
            <c:numRef>
              <c:f>Sheet6!$B$1:$B$4</c:f>
              <c:numCache>
                <c:formatCode>0%</c:formatCode>
                <c:ptCount val="4"/>
                <c:pt idx="0">
                  <c:v>0.52</c:v>
                </c:pt>
                <c:pt idx="1">
                  <c:v>0.16</c:v>
                </c:pt>
                <c:pt idx="2">
                  <c:v>0.29000000000000031</c:v>
                </c:pt>
                <c:pt idx="3">
                  <c:v>3.0000000000000002E-2</c:v>
                </c:pt>
              </c:numCache>
            </c:numRef>
          </c:val>
          <c:extLst>
            <c:ext xmlns:c16="http://schemas.microsoft.com/office/drawing/2014/chart" uri="{C3380CC4-5D6E-409C-BE32-E72D297353CC}">
              <c16:uniqueId val="{00000000-6C79-45FD-86B4-2A7992E270CC}"/>
            </c:ext>
          </c:extLst>
        </c:ser>
        <c:dLbls>
          <c:showLegendKey val="0"/>
          <c:showVal val="1"/>
          <c:showCatName val="0"/>
          <c:showSerName val="0"/>
          <c:showPercent val="0"/>
          <c:showBubbleSize val="0"/>
        </c:dLbls>
        <c:gapWidth val="219"/>
        <c:overlap val="-27"/>
        <c:axId val="88307968"/>
        <c:axId val="88309760"/>
      </c:barChart>
      <c:catAx>
        <c:axId val="8830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8309760"/>
        <c:crosses val="autoZero"/>
        <c:auto val="1"/>
        <c:lblAlgn val="ctr"/>
        <c:lblOffset val="100"/>
        <c:noMultiLvlLbl val="0"/>
      </c:catAx>
      <c:valAx>
        <c:axId val="8830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83079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accent1"/>
      </a:solidFill>
      <a:round/>
    </a:ln>
    <a:effectLst/>
  </c:spPr>
  <c:txPr>
    <a:bodyPr/>
    <a:lstStyle/>
    <a:p>
      <a:pPr>
        <a:defRPr>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sr-Cyrl-RS"/>
              <a:t>Динамика оцењивања</a:t>
            </a:r>
            <a:r>
              <a:rPr lang="sr-Latn-RS"/>
              <a:t> </a:t>
            </a:r>
            <a:r>
              <a:rPr lang="sr-Cyrl-RS"/>
              <a:t>запослених и став оцењивача</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Sheet8!$A$1:$A$3</c:f>
              <c:strCache>
                <c:ptCount val="3"/>
                <c:pt idx="0">
                  <c:v>Јасно утврђена динамика оцењивања рада и учинка, учинак  запослених се надгледа  перманентно, по утврђеној процедури</c:v>
                </c:pt>
                <c:pt idx="1">
                  <c:v>Оцењивач ad hoc надгледа рад запосленог, у складу са законским оквиром и интерним актима, али не постоји детаљно утврђена процедура</c:v>
                </c:pt>
                <c:pt idx="2">
                  <c:v>Оцењивање рада и мерење учинка запослених се не спроводи ни на који начин.</c:v>
                </c:pt>
              </c:strCache>
            </c:strRef>
          </c:cat>
          <c:val>
            <c:numRef>
              <c:f>Sheet8!$B$1:$B$3</c:f>
              <c:numCache>
                <c:formatCode>0%</c:formatCode>
                <c:ptCount val="3"/>
                <c:pt idx="0">
                  <c:v>0.44</c:v>
                </c:pt>
                <c:pt idx="1">
                  <c:v>0.49</c:v>
                </c:pt>
                <c:pt idx="2">
                  <c:v>7.0000000000000007E-2</c:v>
                </c:pt>
              </c:numCache>
            </c:numRef>
          </c:val>
          <c:extLst>
            <c:ext xmlns:c16="http://schemas.microsoft.com/office/drawing/2014/chart" uri="{C3380CC4-5D6E-409C-BE32-E72D297353CC}">
              <c16:uniqueId val="{00000000-E5F2-4365-AB56-3CE3EB67D868}"/>
            </c:ext>
          </c:extLst>
        </c:ser>
        <c:dLbls>
          <c:showLegendKey val="0"/>
          <c:showVal val="1"/>
          <c:showCatName val="0"/>
          <c:showSerName val="0"/>
          <c:showPercent val="0"/>
          <c:showBubbleSize val="0"/>
        </c:dLbls>
        <c:gapWidth val="219"/>
        <c:overlap val="-27"/>
        <c:axId val="105661568"/>
        <c:axId val="105663104"/>
      </c:barChart>
      <c:catAx>
        <c:axId val="10566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5663104"/>
        <c:crosses val="autoZero"/>
        <c:auto val="1"/>
        <c:lblAlgn val="ctr"/>
        <c:lblOffset val="100"/>
        <c:noMultiLvlLbl val="0"/>
      </c:catAx>
      <c:valAx>
        <c:axId val="105663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56615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sr-Cyrl-RS"/>
              <a:t>Утврђивање потреба за стручним усавршавањем за 2020. годину</a:t>
            </a:r>
            <a:endParaRPr lang="en-US"/>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Sheet4!$A$1:$A$3</c:f>
              <c:strCache>
                <c:ptCount val="3"/>
                <c:pt idx="0">
                  <c:v>Утврђене потребе за обукама за 2020. годину</c:v>
                </c:pt>
                <c:pt idx="1">
                  <c:v>Делимично утрђене потребе за обукама за 2020. годину</c:v>
                </c:pt>
                <c:pt idx="2">
                  <c:v>Потребе за обукама за 2020. годину се уопште нису утврђивале</c:v>
                </c:pt>
              </c:strCache>
            </c:strRef>
          </c:cat>
          <c:val>
            <c:numRef>
              <c:f>Sheet4!$B$1:$B$3</c:f>
              <c:numCache>
                <c:formatCode>0%</c:formatCode>
                <c:ptCount val="3"/>
                <c:pt idx="0">
                  <c:v>0.04</c:v>
                </c:pt>
                <c:pt idx="1">
                  <c:v>0.62</c:v>
                </c:pt>
                <c:pt idx="2">
                  <c:v>0.34</c:v>
                </c:pt>
              </c:numCache>
            </c:numRef>
          </c:val>
          <c:extLst>
            <c:ext xmlns:c16="http://schemas.microsoft.com/office/drawing/2014/chart" uri="{C3380CC4-5D6E-409C-BE32-E72D297353CC}">
              <c16:uniqueId val="{00000000-5465-477F-BA16-25DE1F284BD6}"/>
            </c:ext>
          </c:extLst>
        </c:ser>
        <c:dLbls>
          <c:showLegendKey val="0"/>
          <c:showVal val="1"/>
          <c:showCatName val="0"/>
          <c:showSerName val="0"/>
          <c:showPercent val="0"/>
          <c:showBubbleSize val="0"/>
        </c:dLbls>
        <c:gapWidth val="219"/>
        <c:axId val="109600768"/>
        <c:axId val="109602304"/>
      </c:barChart>
      <c:catAx>
        <c:axId val="109600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9602304"/>
        <c:crosses val="autoZero"/>
        <c:auto val="1"/>
        <c:lblAlgn val="ctr"/>
        <c:lblOffset val="100"/>
        <c:noMultiLvlLbl val="0"/>
      </c:catAx>
      <c:valAx>
        <c:axId val="109602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96007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r>
              <a:rPr lang="sr-Cyrl-RS">
                <a:ln>
                  <a:noFill/>
                </a:ln>
              </a:rPr>
              <a:t>Издвајање за стручно усавршавање у 2020. години</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Sheet5!$A$1:$A$5</c:f>
              <c:strCache>
                <c:ptCount val="5"/>
                <c:pt idx="0">
                  <c:v>Преко 1,5% планираног буџета за плате запослених </c:v>
                </c:pt>
                <c:pt idx="1">
                  <c:v>1– 1,5%  планираног буџета за плате запослених </c:v>
                </c:pt>
                <c:pt idx="2">
                  <c:v>0,5– 1% планираног буџета за плате запослених </c:v>
                </c:pt>
                <c:pt idx="3">
                  <c:v>0,2– 0,5%  планираног буџета за плате запослених </c:v>
                </c:pt>
                <c:pt idx="4">
                  <c:v>Мање од 0,2%  планираног буџета за плате запослених </c:v>
                </c:pt>
              </c:strCache>
            </c:strRef>
          </c:cat>
          <c:val>
            <c:numRef>
              <c:f>Sheet5!$B$1:$B$5</c:f>
              <c:numCache>
                <c:formatCode>0%</c:formatCode>
                <c:ptCount val="5"/>
                <c:pt idx="0">
                  <c:v>0.11</c:v>
                </c:pt>
                <c:pt idx="1">
                  <c:v>0.08</c:v>
                </c:pt>
                <c:pt idx="2">
                  <c:v>0.18</c:v>
                </c:pt>
                <c:pt idx="3">
                  <c:v>0.21</c:v>
                </c:pt>
                <c:pt idx="4">
                  <c:v>0.42</c:v>
                </c:pt>
              </c:numCache>
            </c:numRef>
          </c:val>
          <c:extLst>
            <c:ext xmlns:c16="http://schemas.microsoft.com/office/drawing/2014/chart" uri="{C3380CC4-5D6E-409C-BE32-E72D297353CC}">
              <c16:uniqueId val="{00000000-B944-471E-AC02-3A6617814316}"/>
            </c:ext>
          </c:extLst>
        </c:ser>
        <c:dLbls>
          <c:showLegendKey val="0"/>
          <c:showVal val="1"/>
          <c:showCatName val="0"/>
          <c:showSerName val="0"/>
          <c:showPercent val="0"/>
          <c:showBubbleSize val="0"/>
        </c:dLbls>
        <c:gapWidth val="219"/>
        <c:overlap val="-27"/>
        <c:axId val="106048128"/>
        <c:axId val="109699456"/>
      </c:barChart>
      <c:catAx>
        <c:axId val="10604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9699456"/>
        <c:crosses val="autoZero"/>
        <c:auto val="1"/>
        <c:lblAlgn val="ctr"/>
        <c:lblOffset val="100"/>
        <c:noMultiLvlLbl val="0"/>
      </c:catAx>
      <c:valAx>
        <c:axId val="109699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60481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приходи!$C$28</c:f>
              <c:strCache>
                <c:ptCount val="1"/>
                <c:pt idx="0">
                  <c:v>Приходи и примања ЈЛС</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приходи!$B$29:$B$35</c:f>
              <c:numCache>
                <c:formatCode>General</c:formatCode>
                <c:ptCount val="7"/>
                <c:pt idx="0">
                  <c:v>2013</c:v>
                </c:pt>
                <c:pt idx="1">
                  <c:v>2014</c:v>
                </c:pt>
                <c:pt idx="2">
                  <c:v>2015</c:v>
                </c:pt>
                <c:pt idx="3">
                  <c:v>2016</c:v>
                </c:pt>
                <c:pt idx="4">
                  <c:v>2017</c:v>
                </c:pt>
                <c:pt idx="5">
                  <c:v>2018</c:v>
                </c:pt>
                <c:pt idx="6">
                  <c:v>2019</c:v>
                </c:pt>
              </c:numCache>
            </c:numRef>
          </c:cat>
          <c:val>
            <c:numRef>
              <c:f>приходи!$C$29:$C$35</c:f>
              <c:numCache>
                <c:formatCode>#,##0.0</c:formatCode>
                <c:ptCount val="7"/>
                <c:pt idx="0">
                  <c:v>241.82580000000004</c:v>
                </c:pt>
                <c:pt idx="1">
                  <c:v>234.19200000000001</c:v>
                </c:pt>
                <c:pt idx="2">
                  <c:v>247.86710000000016</c:v>
                </c:pt>
                <c:pt idx="3">
                  <c:v>276.10919999999999</c:v>
                </c:pt>
                <c:pt idx="4">
                  <c:v>287.60399999999993</c:v>
                </c:pt>
                <c:pt idx="5">
                  <c:v>307.25200000000001</c:v>
                </c:pt>
                <c:pt idx="6">
                  <c:v>335.9</c:v>
                </c:pt>
              </c:numCache>
            </c:numRef>
          </c:val>
          <c:extLst>
            <c:ext xmlns:c16="http://schemas.microsoft.com/office/drawing/2014/chart" uri="{C3380CC4-5D6E-409C-BE32-E72D297353CC}">
              <c16:uniqueId val="{00000000-E675-46C8-8BD1-5C7A304C13BD}"/>
            </c:ext>
          </c:extLst>
        </c:ser>
        <c:dLbls>
          <c:showLegendKey val="0"/>
          <c:showVal val="1"/>
          <c:showCatName val="0"/>
          <c:showSerName val="0"/>
          <c:showPercent val="0"/>
          <c:showBubbleSize val="0"/>
        </c:dLbls>
        <c:gapWidth val="75"/>
        <c:axId val="139503872"/>
        <c:axId val="82928000"/>
      </c:barChart>
      <c:lineChart>
        <c:grouping val="standard"/>
        <c:varyColors val="0"/>
        <c:ser>
          <c:idx val="1"/>
          <c:order val="1"/>
          <c:tx>
            <c:strRef>
              <c:f>приходи!$D$28</c:f>
              <c:strCache>
                <c:ptCount val="1"/>
                <c:pt idx="0">
                  <c:v>Порез на доходак</c:v>
                </c:pt>
              </c:strCache>
            </c:strRef>
          </c:tx>
          <c:spPr>
            <a:ln w="28575" cap="rnd">
              <a:solidFill>
                <a:schemeClr val="accent2"/>
              </a:solidFill>
              <a:round/>
            </a:ln>
            <a:effectLst/>
          </c:spPr>
          <c:marker>
            <c:symbol val="none"/>
          </c:marker>
          <c:dLbls>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приходи!$B$29:$B$35</c:f>
              <c:numCache>
                <c:formatCode>General</c:formatCode>
                <c:ptCount val="7"/>
                <c:pt idx="0">
                  <c:v>2013</c:v>
                </c:pt>
                <c:pt idx="1">
                  <c:v>2014</c:v>
                </c:pt>
                <c:pt idx="2">
                  <c:v>2015</c:v>
                </c:pt>
                <c:pt idx="3">
                  <c:v>2016</c:v>
                </c:pt>
                <c:pt idx="4">
                  <c:v>2017</c:v>
                </c:pt>
                <c:pt idx="5">
                  <c:v>2018</c:v>
                </c:pt>
                <c:pt idx="6">
                  <c:v>2019</c:v>
                </c:pt>
              </c:numCache>
            </c:numRef>
          </c:cat>
          <c:val>
            <c:numRef>
              <c:f>приходи!$D$29:$D$35</c:f>
              <c:numCache>
                <c:formatCode>0.0%</c:formatCode>
                <c:ptCount val="7"/>
                <c:pt idx="0">
                  <c:v>0.44476850691696257</c:v>
                </c:pt>
                <c:pt idx="1">
                  <c:v>0.41368791419006662</c:v>
                </c:pt>
                <c:pt idx="2">
                  <c:v>0.39191445738462366</c:v>
                </c:pt>
                <c:pt idx="3">
                  <c:v>0.37079822041424226</c:v>
                </c:pt>
                <c:pt idx="4">
                  <c:v>0.37144650283028097</c:v>
                </c:pt>
                <c:pt idx="5">
                  <c:v>0.37215933500839699</c:v>
                </c:pt>
                <c:pt idx="6">
                  <c:v>0.38124441798154257</c:v>
                </c:pt>
              </c:numCache>
            </c:numRef>
          </c:val>
          <c:smooth val="1"/>
          <c:extLst>
            <c:ext xmlns:c16="http://schemas.microsoft.com/office/drawing/2014/chart" uri="{C3380CC4-5D6E-409C-BE32-E72D297353CC}">
              <c16:uniqueId val="{00000001-E675-46C8-8BD1-5C7A304C13BD}"/>
            </c:ext>
          </c:extLst>
        </c:ser>
        <c:ser>
          <c:idx val="2"/>
          <c:order val="2"/>
          <c:tx>
            <c:strRef>
              <c:f>приходи!$E$28</c:f>
              <c:strCache>
                <c:ptCount val="1"/>
                <c:pt idx="0">
                  <c:v>Порези на имовину</c:v>
                </c:pt>
              </c:strCache>
            </c:strRef>
          </c:tx>
          <c:spPr>
            <a:ln w="28575" cap="rnd">
              <a:solidFill>
                <a:srgbClr val="C00000"/>
              </a:solidFill>
              <a:round/>
            </a:ln>
            <a:effectLst/>
          </c:spPr>
          <c:marker>
            <c:symbol val="none"/>
          </c:marker>
          <c:dLbls>
            <c:spPr>
              <a:solidFill>
                <a:srgbClr val="C0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приходи!$B$29:$B$35</c:f>
              <c:numCache>
                <c:formatCode>General</c:formatCode>
                <c:ptCount val="7"/>
                <c:pt idx="0">
                  <c:v>2013</c:v>
                </c:pt>
                <c:pt idx="1">
                  <c:v>2014</c:v>
                </c:pt>
                <c:pt idx="2">
                  <c:v>2015</c:v>
                </c:pt>
                <c:pt idx="3">
                  <c:v>2016</c:v>
                </c:pt>
                <c:pt idx="4">
                  <c:v>2017</c:v>
                </c:pt>
                <c:pt idx="5">
                  <c:v>2018</c:v>
                </c:pt>
                <c:pt idx="6">
                  <c:v>2019</c:v>
                </c:pt>
              </c:numCache>
            </c:numRef>
          </c:cat>
          <c:val>
            <c:numRef>
              <c:f>приходи!$E$29:$E$35</c:f>
              <c:numCache>
                <c:formatCode>0.0%</c:formatCode>
                <c:ptCount val="7"/>
                <c:pt idx="0">
                  <c:v>9.7349414330480832E-2</c:v>
                </c:pt>
                <c:pt idx="1">
                  <c:v>0.15232245337159273</c:v>
                </c:pt>
                <c:pt idx="2">
                  <c:v>0.16447967479346795</c:v>
                </c:pt>
                <c:pt idx="3">
                  <c:v>0.15348673640718993</c:v>
                </c:pt>
                <c:pt idx="4">
                  <c:v>0.15873110248814362</c:v>
                </c:pt>
                <c:pt idx="5">
                  <c:v>0.16120122895863967</c:v>
                </c:pt>
                <c:pt idx="6">
                  <c:v>0.15814230425721959</c:v>
                </c:pt>
              </c:numCache>
            </c:numRef>
          </c:val>
          <c:smooth val="1"/>
          <c:extLst>
            <c:ext xmlns:c16="http://schemas.microsoft.com/office/drawing/2014/chart" uri="{C3380CC4-5D6E-409C-BE32-E72D297353CC}">
              <c16:uniqueId val="{00000002-E675-46C8-8BD1-5C7A304C13BD}"/>
            </c:ext>
          </c:extLst>
        </c:ser>
        <c:ser>
          <c:idx val="3"/>
          <c:order val="3"/>
          <c:tx>
            <c:strRef>
              <c:f>приходи!$F$28</c:f>
              <c:strCache>
                <c:ptCount val="1"/>
                <c:pt idx="0">
                  <c:v>Трансфери и донације</c:v>
                </c:pt>
              </c:strCache>
            </c:strRef>
          </c:tx>
          <c:spPr>
            <a:ln w="28575" cap="rnd">
              <a:solidFill>
                <a:srgbClr val="92D050"/>
              </a:solidFill>
              <a:round/>
            </a:ln>
            <a:effectLst/>
          </c:spPr>
          <c:marker>
            <c:symbol val="none"/>
          </c:marker>
          <c:dLbls>
            <c:spPr>
              <a:solidFill>
                <a:srgbClr val="92D05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приходи!$B$29:$B$35</c:f>
              <c:numCache>
                <c:formatCode>General</c:formatCode>
                <c:ptCount val="7"/>
                <c:pt idx="0">
                  <c:v>2013</c:v>
                </c:pt>
                <c:pt idx="1">
                  <c:v>2014</c:v>
                </c:pt>
                <c:pt idx="2">
                  <c:v>2015</c:v>
                </c:pt>
                <c:pt idx="3">
                  <c:v>2016</c:v>
                </c:pt>
                <c:pt idx="4">
                  <c:v>2017</c:v>
                </c:pt>
                <c:pt idx="5">
                  <c:v>2018</c:v>
                </c:pt>
                <c:pt idx="6">
                  <c:v>2019</c:v>
                </c:pt>
              </c:numCache>
            </c:numRef>
          </c:cat>
          <c:val>
            <c:numRef>
              <c:f>приходи!$F$29:$F$35</c:f>
              <c:numCache>
                <c:formatCode>0.0%</c:formatCode>
                <c:ptCount val="7"/>
                <c:pt idx="0">
                  <c:v>0.17477580969441642</c:v>
                </c:pt>
                <c:pt idx="1">
                  <c:v>0.18359892737582853</c:v>
                </c:pt>
                <c:pt idx="2">
                  <c:v>0.17215959681619725</c:v>
                </c:pt>
                <c:pt idx="3">
                  <c:v>0.16758224644452271</c:v>
                </c:pt>
                <c:pt idx="4">
                  <c:v>0.18575471829320875</c:v>
                </c:pt>
                <c:pt idx="5">
                  <c:v>0.19929048468358221</c:v>
                </c:pt>
                <c:pt idx="6">
                  <c:v>0.18389401607621336</c:v>
                </c:pt>
              </c:numCache>
            </c:numRef>
          </c:val>
          <c:smooth val="1"/>
          <c:extLst>
            <c:ext xmlns:c16="http://schemas.microsoft.com/office/drawing/2014/chart" uri="{C3380CC4-5D6E-409C-BE32-E72D297353CC}">
              <c16:uniqueId val="{00000003-E675-46C8-8BD1-5C7A304C13BD}"/>
            </c:ext>
          </c:extLst>
        </c:ser>
        <c:ser>
          <c:idx val="4"/>
          <c:order val="4"/>
          <c:tx>
            <c:strRef>
              <c:f>приходи!$G$28</c:f>
              <c:strCache>
                <c:ptCount val="1"/>
                <c:pt idx="0">
                  <c:v>Остали приходи и примања</c:v>
                </c:pt>
              </c:strCache>
            </c:strRef>
          </c:tx>
          <c:spPr>
            <a:ln w="28575" cap="rnd">
              <a:solidFill>
                <a:srgbClr val="00B0F0"/>
              </a:solidFill>
              <a:round/>
            </a:ln>
            <a:effectLst/>
          </c:spPr>
          <c:marker>
            <c:symbol val="none"/>
          </c:marker>
          <c:dLbls>
            <c:spPr>
              <a:solidFill>
                <a:srgbClr val="00B0F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приходи!$B$29:$B$35</c:f>
              <c:numCache>
                <c:formatCode>General</c:formatCode>
                <c:ptCount val="7"/>
                <c:pt idx="0">
                  <c:v>2013</c:v>
                </c:pt>
                <c:pt idx="1">
                  <c:v>2014</c:v>
                </c:pt>
                <c:pt idx="2">
                  <c:v>2015</c:v>
                </c:pt>
                <c:pt idx="3">
                  <c:v>2016</c:v>
                </c:pt>
                <c:pt idx="4">
                  <c:v>2017</c:v>
                </c:pt>
                <c:pt idx="5">
                  <c:v>2018</c:v>
                </c:pt>
                <c:pt idx="6">
                  <c:v>2019</c:v>
                </c:pt>
              </c:numCache>
            </c:numRef>
          </c:cat>
          <c:val>
            <c:numRef>
              <c:f>приходи!$G$29:$G$35</c:f>
              <c:numCache>
                <c:formatCode>0.0%</c:formatCode>
                <c:ptCount val="7"/>
                <c:pt idx="0">
                  <c:v>0.28310626905814057</c:v>
                </c:pt>
                <c:pt idx="1">
                  <c:v>0.25039070506251326</c:v>
                </c:pt>
                <c:pt idx="2">
                  <c:v>0.27144627100571267</c:v>
                </c:pt>
                <c:pt idx="3">
                  <c:v>0.30813279673404614</c:v>
                </c:pt>
                <c:pt idx="4">
                  <c:v>0.28406767638836738</c:v>
                </c:pt>
                <c:pt idx="5">
                  <c:v>0.26734895134938141</c:v>
                </c:pt>
                <c:pt idx="6">
                  <c:v>0.27671926168502531</c:v>
                </c:pt>
              </c:numCache>
            </c:numRef>
          </c:val>
          <c:smooth val="1"/>
          <c:extLst>
            <c:ext xmlns:c16="http://schemas.microsoft.com/office/drawing/2014/chart" uri="{C3380CC4-5D6E-409C-BE32-E72D297353CC}">
              <c16:uniqueId val="{00000004-E675-46C8-8BD1-5C7A304C13BD}"/>
            </c:ext>
          </c:extLst>
        </c:ser>
        <c:dLbls>
          <c:showLegendKey val="0"/>
          <c:showVal val="1"/>
          <c:showCatName val="0"/>
          <c:showSerName val="0"/>
          <c:showPercent val="0"/>
          <c:showBubbleSize val="0"/>
        </c:dLbls>
        <c:marker val="1"/>
        <c:smooth val="0"/>
        <c:axId val="82931072"/>
        <c:axId val="82929536"/>
      </c:lineChart>
      <c:catAx>
        <c:axId val="13950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928000"/>
        <c:crosses val="autoZero"/>
        <c:auto val="1"/>
        <c:lblAlgn val="ctr"/>
        <c:lblOffset val="100"/>
        <c:noMultiLvlLbl val="0"/>
      </c:catAx>
      <c:valAx>
        <c:axId val="8292800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9503872"/>
        <c:crosses val="autoZero"/>
        <c:crossBetween val="between"/>
      </c:valAx>
      <c:valAx>
        <c:axId val="82929536"/>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931072"/>
        <c:crosses val="max"/>
        <c:crossBetween val="between"/>
      </c:valAx>
      <c:catAx>
        <c:axId val="82931072"/>
        <c:scaling>
          <c:orientation val="minMax"/>
        </c:scaling>
        <c:delete val="1"/>
        <c:axPos val="b"/>
        <c:numFmt formatCode="General" sourceLinked="1"/>
        <c:majorTickMark val="none"/>
        <c:minorTickMark val="none"/>
        <c:tickLblPos val="none"/>
        <c:crossAx val="829295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'приходи рс, апв и јлс'!$B$23</c:f>
              <c:strCache>
                <c:ptCount val="1"/>
                <c:pt idx="0">
                  <c:v>КЈП РС</c:v>
                </c:pt>
              </c:strCache>
            </c:strRef>
          </c:tx>
          <c:spPr>
            <a:ln w="28575" cap="rnd">
              <a:solidFill>
                <a:srgbClr val="002060"/>
              </a:solidFill>
              <a:round/>
            </a:ln>
            <a:effectLst/>
          </c:spPr>
          <c:marker>
            <c:symbol val="none"/>
          </c:marker>
          <c:dLbls>
            <c:dLbl>
              <c:idx val="2"/>
              <c:layout>
                <c:manualLayout>
                  <c:x val="-5.4701443569553802E-2"/>
                  <c:y val="3.9726885482560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B3-444A-930A-DBBBD7E535BB}"/>
                </c:ext>
              </c:extLst>
            </c:dLbl>
            <c:dLbl>
              <c:idx val="4"/>
              <c:layout>
                <c:manualLayout>
                  <c:x val="-5.4701443569553802E-2"/>
                  <c:y val="-3.47610247972404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B3-444A-930A-DBBBD7E535BB}"/>
                </c:ext>
              </c:extLst>
            </c:dLbl>
            <c:dLbl>
              <c:idx val="5"/>
              <c:layout>
                <c:manualLayout>
                  <c:x val="-5.7479221347331695E-2"/>
                  <c:y val="3.4761024797240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B3-444A-930A-DBBBD7E535BB}"/>
                </c:ext>
              </c:extLst>
            </c:dLbl>
            <c:dLbl>
              <c:idx val="6"/>
              <c:layout>
                <c:manualLayout>
                  <c:x val="-5.4701443569553802E-2"/>
                  <c:y val="4.4692746167880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B3-444A-930A-DBBBD7E535BB}"/>
                </c:ext>
              </c:extLst>
            </c:dLbl>
            <c:spPr>
              <a:solidFill>
                <a:srgbClr val="00206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 рс, апв и јлс'!$A$24:$A$32</c:f>
              <c:numCache>
                <c:formatCode>General</c:formatCode>
                <c:ptCount val="7"/>
                <c:pt idx="0">
                  <c:v>2013</c:v>
                </c:pt>
                <c:pt idx="1">
                  <c:v>2014</c:v>
                </c:pt>
                <c:pt idx="2">
                  <c:v>2015</c:v>
                </c:pt>
                <c:pt idx="3">
                  <c:v>2016</c:v>
                </c:pt>
                <c:pt idx="4">
                  <c:v>2017</c:v>
                </c:pt>
                <c:pt idx="5">
                  <c:v>2018</c:v>
                </c:pt>
                <c:pt idx="6">
                  <c:v>2019</c:v>
                </c:pt>
              </c:numCache>
            </c:numRef>
          </c:cat>
          <c:val>
            <c:numRef>
              <c:f>'приходи рс, апв и јлс'!$B$24:$B$32</c:f>
              <c:numCache>
                <c:formatCode>0.00%</c:formatCode>
                <c:ptCount val="7"/>
                <c:pt idx="0">
                  <c:v>4.4789657772085704E-2</c:v>
                </c:pt>
                <c:pt idx="1">
                  <c:v>5.3768116414214084E-2</c:v>
                </c:pt>
                <c:pt idx="2">
                  <c:v>4.5706580970971675E-2</c:v>
                </c:pt>
                <c:pt idx="3">
                  <c:v>8.7218528765820064E-2</c:v>
                </c:pt>
                <c:pt idx="4">
                  <c:v>7.0957983719572182E-2</c:v>
                </c:pt>
                <c:pt idx="5">
                  <c:v>6.6820734425894673E-2</c:v>
                </c:pt>
                <c:pt idx="6">
                  <c:v>8.2480335917677144E-2</c:v>
                </c:pt>
              </c:numCache>
            </c:numRef>
          </c:val>
          <c:smooth val="1"/>
          <c:extLst>
            <c:ext xmlns:c16="http://schemas.microsoft.com/office/drawing/2014/chart" uri="{C3380CC4-5D6E-409C-BE32-E72D297353CC}">
              <c16:uniqueId val="{00000004-69B3-444A-930A-DBBBD7E535BB}"/>
            </c:ext>
          </c:extLst>
        </c:ser>
        <c:ser>
          <c:idx val="1"/>
          <c:order val="1"/>
          <c:tx>
            <c:strRef>
              <c:f>'приходи рс, апв и јлс'!$C$23</c:f>
              <c:strCache>
                <c:ptCount val="1"/>
                <c:pt idx="0">
                  <c:v>Приходи и примања ЈЛС</c:v>
                </c:pt>
              </c:strCache>
            </c:strRef>
          </c:tx>
          <c:spPr>
            <a:ln w="28575" cap="rnd">
              <a:solidFill>
                <a:srgbClr val="C00000"/>
              </a:solidFill>
              <a:round/>
            </a:ln>
            <a:effectLst/>
          </c:spPr>
          <c:marker>
            <c:symbol val="none"/>
          </c:marker>
          <c:dLbls>
            <c:dLbl>
              <c:idx val="5"/>
              <c:layout>
                <c:manualLayout>
                  <c:x val="-5.4701443569553802E-2"/>
                  <c:y val="-2.9795164111920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B3-444A-930A-DBBBD7E535BB}"/>
                </c:ext>
              </c:extLst>
            </c:dLbl>
            <c:spPr>
              <a:solidFill>
                <a:srgbClr val="C0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 рс, апв и јлс'!$A$24:$A$32</c:f>
              <c:numCache>
                <c:formatCode>General</c:formatCode>
                <c:ptCount val="7"/>
                <c:pt idx="0">
                  <c:v>2013</c:v>
                </c:pt>
                <c:pt idx="1">
                  <c:v>2014</c:v>
                </c:pt>
                <c:pt idx="2">
                  <c:v>2015</c:v>
                </c:pt>
                <c:pt idx="3">
                  <c:v>2016</c:v>
                </c:pt>
                <c:pt idx="4">
                  <c:v>2017</c:v>
                </c:pt>
                <c:pt idx="5">
                  <c:v>2018</c:v>
                </c:pt>
                <c:pt idx="6">
                  <c:v>2019</c:v>
                </c:pt>
              </c:numCache>
            </c:numRef>
          </c:cat>
          <c:val>
            <c:numRef>
              <c:f>'приходи рс, апв и јлс'!$C$24:$C$32</c:f>
              <c:numCache>
                <c:formatCode>0.00%</c:formatCode>
                <c:ptCount val="7"/>
                <c:pt idx="0">
                  <c:v>-3.0719467714136941E-2</c:v>
                </c:pt>
                <c:pt idx="1">
                  <c:v>-3.1567351374419031E-2</c:v>
                </c:pt>
                <c:pt idx="2">
                  <c:v>5.8392686342829812E-2</c:v>
                </c:pt>
                <c:pt idx="3">
                  <c:v>0.11394049472479384</c:v>
                </c:pt>
                <c:pt idx="4">
                  <c:v>4.1631354551025387E-2</c:v>
                </c:pt>
                <c:pt idx="5">
                  <c:v>6.8316156938012296E-2</c:v>
                </c:pt>
                <c:pt idx="6">
                  <c:v>9.3239425618059521E-2</c:v>
                </c:pt>
              </c:numCache>
            </c:numRef>
          </c:val>
          <c:smooth val="1"/>
          <c:extLst>
            <c:ext xmlns:c16="http://schemas.microsoft.com/office/drawing/2014/chart" uri="{C3380CC4-5D6E-409C-BE32-E72D297353CC}">
              <c16:uniqueId val="{00000006-69B3-444A-930A-DBBBD7E535BB}"/>
            </c:ext>
          </c:extLst>
        </c:ser>
        <c:ser>
          <c:idx val="2"/>
          <c:order val="2"/>
          <c:tx>
            <c:strRef>
              <c:f>'приходи рс, апв и јлс'!$D$23</c:f>
              <c:strCache>
                <c:ptCount val="1"/>
                <c:pt idx="0">
                  <c:v>Удео прихода и примања ЈЛС у КЈП РС</c:v>
                </c:pt>
              </c:strCache>
            </c:strRef>
          </c:tx>
          <c:spPr>
            <a:ln w="28575" cap="rnd">
              <a:solidFill>
                <a:schemeClr val="accent3"/>
              </a:solidFill>
              <a:round/>
            </a:ln>
            <a:effectLst/>
          </c:spPr>
          <c:marker>
            <c:symbol val="none"/>
          </c:marker>
          <c:dLbls>
            <c:spPr>
              <a:solidFill>
                <a:schemeClr val="bg1">
                  <a:lumMod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'приходи рс, апв и јлс'!$A$24:$A$32</c:f>
              <c:numCache>
                <c:formatCode>General</c:formatCode>
                <c:ptCount val="7"/>
                <c:pt idx="0">
                  <c:v>2013</c:v>
                </c:pt>
                <c:pt idx="1">
                  <c:v>2014</c:v>
                </c:pt>
                <c:pt idx="2">
                  <c:v>2015</c:v>
                </c:pt>
                <c:pt idx="3">
                  <c:v>2016</c:v>
                </c:pt>
                <c:pt idx="4">
                  <c:v>2017</c:v>
                </c:pt>
                <c:pt idx="5">
                  <c:v>2018</c:v>
                </c:pt>
                <c:pt idx="6">
                  <c:v>2019</c:v>
                </c:pt>
              </c:numCache>
            </c:numRef>
          </c:cat>
          <c:val>
            <c:numRef>
              <c:f>'приходи рс, апв и јлс'!$D$24:$D$32</c:f>
              <c:numCache>
                <c:formatCode>0.00%</c:formatCode>
                <c:ptCount val="7"/>
                <c:pt idx="0">
                  <c:v>0.15722843658362257</c:v>
                </c:pt>
                <c:pt idx="1">
                  <c:v>0.14449587998360369</c:v>
                </c:pt>
                <c:pt idx="2">
                  <c:v>0.14624884777842206</c:v>
                </c:pt>
                <c:pt idx="3">
                  <c:v>0.14984339351920375</c:v>
                </c:pt>
                <c:pt idx="4">
                  <c:v>0.14574014978611902</c:v>
                </c:pt>
                <c:pt idx="5">
                  <c:v>0.14594444193556513</c:v>
                </c:pt>
                <c:pt idx="6">
                  <c:v>0.14739502656971973</c:v>
                </c:pt>
              </c:numCache>
            </c:numRef>
          </c:val>
          <c:smooth val="1"/>
          <c:extLst>
            <c:ext xmlns:c16="http://schemas.microsoft.com/office/drawing/2014/chart" uri="{C3380CC4-5D6E-409C-BE32-E72D297353CC}">
              <c16:uniqueId val="{00000007-69B3-444A-930A-DBBBD7E535BB}"/>
            </c:ext>
          </c:extLst>
        </c:ser>
        <c:dLbls>
          <c:showLegendKey val="0"/>
          <c:showVal val="1"/>
          <c:showCatName val="0"/>
          <c:showSerName val="0"/>
          <c:showPercent val="0"/>
          <c:showBubbleSize val="0"/>
        </c:dLbls>
        <c:smooth val="0"/>
        <c:axId val="82961920"/>
        <c:axId val="82963456"/>
      </c:lineChart>
      <c:catAx>
        <c:axId val="8296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963456"/>
        <c:crosses val="autoZero"/>
        <c:auto val="1"/>
        <c:lblAlgn val="ctr"/>
        <c:lblOffset val="100"/>
        <c:noMultiLvlLbl val="0"/>
      </c:catAx>
      <c:valAx>
        <c:axId val="8296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296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'[1]расходи рс, апв и јлс'!$B$23</c:f>
              <c:strCache>
                <c:ptCount val="1"/>
                <c:pt idx="0">
                  <c:v>КЈР РС</c:v>
                </c:pt>
              </c:strCache>
            </c:strRef>
          </c:tx>
          <c:spPr>
            <a:ln w="28575" cap="rnd">
              <a:solidFill>
                <a:srgbClr val="002060"/>
              </a:solidFill>
              <a:round/>
            </a:ln>
            <a:effectLst/>
          </c:spPr>
          <c:marker>
            <c:symbol val="none"/>
          </c:marker>
          <c:dLbls>
            <c:dLbl>
              <c:idx val="0"/>
              <c:layout>
                <c:manualLayout>
                  <c:x val="-1.8130093935626486E-2"/>
                  <c:y val="-1.4422968386674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73-4ED7-8B3E-CDBDA0DF8811}"/>
                </c:ext>
              </c:extLst>
            </c:dLbl>
            <c:dLbl>
              <c:idx val="2"/>
              <c:layout>
                <c:manualLayout>
                  <c:x val="-5.4287367039646497E-2"/>
                  <c:y val="3.98208001284299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73-4ED7-8B3E-CDBDA0DF8811}"/>
                </c:ext>
              </c:extLst>
            </c:dLbl>
            <c:dLbl>
              <c:idx val="3"/>
              <c:layout>
                <c:manualLayout>
                  <c:x val="-4.8368110236220584E-2"/>
                  <c:y val="1.4423076923076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73-4ED7-8B3E-CDBDA0DF8811}"/>
                </c:ext>
              </c:extLst>
            </c:dLbl>
            <c:dLbl>
              <c:idx val="4"/>
              <c:layout>
                <c:manualLayout>
                  <c:x val="-5.3799039922641408E-2"/>
                  <c:y val="1.0974549805473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73-4ED7-8B3E-CDBDA0DF8811}"/>
                </c:ext>
              </c:extLst>
            </c:dLbl>
            <c:dLbl>
              <c:idx val="6"/>
              <c:layout>
                <c:manualLayout>
                  <c:x val="-4.8263572316618319E-2"/>
                  <c:y val="-1.19462400385290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73-4ED7-8B3E-CDBDA0DF8811}"/>
                </c:ext>
              </c:extLst>
            </c:dLbl>
            <c:numFmt formatCode="0.00%" sourceLinked="0"/>
            <c:spPr>
              <a:solidFill>
                <a:srgbClr val="002060"/>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'[1]расходи рс, апв и јлс'!$A$24:$A$32</c:f>
              <c:numCache>
                <c:formatCode>General</c:formatCode>
                <c:ptCount val="7"/>
                <c:pt idx="0">
                  <c:v>2013</c:v>
                </c:pt>
                <c:pt idx="1">
                  <c:v>2014</c:v>
                </c:pt>
                <c:pt idx="2">
                  <c:v>2015</c:v>
                </c:pt>
                <c:pt idx="3">
                  <c:v>2016</c:v>
                </c:pt>
                <c:pt idx="4">
                  <c:v>2017</c:v>
                </c:pt>
                <c:pt idx="5">
                  <c:v>2018</c:v>
                </c:pt>
                <c:pt idx="6">
                  <c:v>2019</c:v>
                </c:pt>
              </c:numCache>
              <c:extLst/>
            </c:numRef>
          </c:cat>
          <c:val>
            <c:numRef>
              <c:f>'[1]расходи рс, апв и јлс'!$B$24:$B$32</c:f>
              <c:numCache>
                <c:formatCode>General</c:formatCode>
                <c:ptCount val="7"/>
                <c:pt idx="0">
                  <c:v>1.9125431219984928E-2</c:v>
                </c:pt>
                <c:pt idx="1">
                  <c:v>7.3552566847241804E-2</c:v>
                </c:pt>
                <c:pt idx="2">
                  <c:v>-1.8581854178210483E-2</c:v>
                </c:pt>
                <c:pt idx="3">
                  <c:v>2.8576377666317303E-2</c:v>
                </c:pt>
                <c:pt idx="4">
                  <c:v>1.288623371364106E-2</c:v>
                </c:pt>
                <c:pt idx="5">
                  <c:v>7.909096390424733E-2</c:v>
                </c:pt>
                <c:pt idx="6">
                  <c:v>0.10467142709545052</c:v>
                </c:pt>
              </c:numCache>
              <c:extLst/>
            </c:numRef>
          </c:val>
          <c:smooth val="1"/>
          <c:extLst>
            <c:ext xmlns:c16="http://schemas.microsoft.com/office/drawing/2014/chart" uri="{C3380CC4-5D6E-409C-BE32-E72D297353CC}">
              <c16:uniqueId val="{00000005-6A73-4ED7-8B3E-CDBDA0DF8811}"/>
            </c:ext>
          </c:extLst>
        </c:ser>
        <c:ser>
          <c:idx val="1"/>
          <c:order val="1"/>
          <c:tx>
            <c:strRef>
              <c:f>'[1]расходи рс, апв и јлс'!$C$23</c:f>
              <c:strCache>
                <c:ptCount val="1"/>
                <c:pt idx="0">
                  <c:v>Расходи ЈЛС</c:v>
                </c:pt>
              </c:strCache>
            </c:strRef>
          </c:tx>
          <c:spPr>
            <a:ln w="28575" cap="rnd">
              <a:solidFill>
                <a:srgbClr val="A60E0E"/>
              </a:solidFill>
              <a:round/>
            </a:ln>
            <a:effectLst/>
          </c:spPr>
          <c:marker>
            <c:symbol val="none"/>
          </c:marker>
          <c:dLbls>
            <c:dLbl>
              <c:idx val="2"/>
              <c:layout>
                <c:manualLayout>
                  <c:x val="-4.8368041165906893E-2"/>
                  <c:y val="-4.953770245898153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73-4ED7-8B3E-CDBDA0DF8811}"/>
                </c:ext>
              </c:extLst>
            </c:dLbl>
            <c:dLbl>
              <c:idx val="3"/>
              <c:layout>
                <c:manualLayout>
                  <c:x val="-4.6617454068241526E-2"/>
                  <c:y val="2.3892480077057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73-4ED7-8B3E-CDBDA0DF8811}"/>
                </c:ext>
              </c:extLst>
            </c:dLbl>
            <c:dLbl>
              <c:idx val="4"/>
              <c:layout>
                <c:manualLayout>
                  <c:x val="-4.8368041165906893E-2"/>
                  <c:y val="-1.89387098311598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73-4ED7-8B3E-CDBDA0DF8811}"/>
                </c:ext>
              </c:extLst>
            </c:dLbl>
            <c:dLbl>
              <c:idx val="6"/>
              <c:layout>
                <c:manualLayout>
                  <c:x val="-4.6617454068241714E-2"/>
                  <c:y val="2.3892480077057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A73-4ED7-8B3E-CDBDA0DF8811}"/>
                </c:ext>
              </c:extLst>
            </c:dLbl>
            <c:numFmt formatCode="0.00%" sourceLinked="0"/>
            <c:spPr>
              <a:solidFill>
                <a:srgbClr val="C00000"/>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'[1]расходи рс, апв и јлс'!$A$24:$A$32</c:f>
              <c:numCache>
                <c:formatCode>General</c:formatCode>
                <c:ptCount val="7"/>
                <c:pt idx="0">
                  <c:v>2013</c:v>
                </c:pt>
                <c:pt idx="1">
                  <c:v>2014</c:v>
                </c:pt>
                <c:pt idx="2">
                  <c:v>2015</c:v>
                </c:pt>
                <c:pt idx="3">
                  <c:v>2016</c:v>
                </c:pt>
                <c:pt idx="4">
                  <c:v>2017</c:v>
                </c:pt>
                <c:pt idx="5">
                  <c:v>2018</c:v>
                </c:pt>
                <c:pt idx="6">
                  <c:v>2019</c:v>
                </c:pt>
              </c:numCache>
              <c:extLst/>
            </c:numRef>
          </c:cat>
          <c:val>
            <c:numRef>
              <c:f>'[1]расходи рс, апв и јлс'!$C$24:$C$32</c:f>
              <c:numCache>
                <c:formatCode>General</c:formatCode>
                <c:ptCount val="7"/>
                <c:pt idx="0">
                  <c:v>-3.7071111105662809E-2</c:v>
                </c:pt>
                <c:pt idx="1">
                  <c:v>-4.2123485530494817E-2</c:v>
                </c:pt>
                <c:pt idx="2">
                  <c:v>9.7325424745480588E-2</c:v>
                </c:pt>
                <c:pt idx="3">
                  <c:v>9.5523792029423127E-2</c:v>
                </c:pt>
                <c:pt idx="4">
                  <c:v>3.142435351467214E-2</c:v>
                </c:pt>
                <c:pt idx="5">
                  <c:v>0.10159639482948292</c:v>
                </c:pt>
                <c:pt idx="6">
                  <c:v>9.5638850761410904E-2</c:v>
                </c:pt>
              </c:numCache>
              <c:extLst/>
            </c:numRef>
          </c:val>
          <c:smooth val="1"/>
          <c:extLst>
            <c:ext xmlns:c16="http://schemas.microsoft.com/office/drawing/2014/chart" uri="{C3380CC4-5D6E-409C-BE32-E72D297353CC}">
              <c16:uniqueId val="{0000000A-6A73-4ED7-8B3E-CDBDA0DF8811}"/>
            </c:ext>
          </c:extLst>
        </c:ser>
        <c:ser>
          <c:idx val="2"/>
          <c:order val="2"/>
          <c:tx>
            <c:strRef>
              <c:f>'[1]расходи рс, апв и јлс'!$D$23</c:f>
              <c:strCache>
                <c:ptCount val="1"/>
                <c:pt idx="0">
                  <c:v>Удео расхода ЈЛС у КЈР РС</c:v>
                </c:pt>
              </c:strCache>
            </c:strRef>
          </c:tx>
          <c:spPr>
            <a:ln w="28575" cap="rnd">
              <a:solidFill>
                <a:schemeClr val="accent3"/>
              </a:solidFill>
              <a:round/>
            </a:ln>
            <a:effectLst/>
          </c:spPr>
          <c:marker>
            <c:symbol val="none"/>
          </c:marker>
          <c:dLbls>
            <c:numFmt formatCode="0.00%" sourceLinked="0"/>
            <c:spPr>
              <a:solidFill>
                <a:schemeClr val="bg1">
                  <a:lumMod val="65000"/>
                </a:schemeClr>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'[1]расходи рс, апв и јлс'!$A$24:$A$32</c:f>
              <c:numCache>
                <c:formatCode>General</c:formatCode>
                <c:ptCount val="7"/>
                <c:pt idx="0">
                  <c:v>2013</c:v>
                </c:pt>
                <c:pt idx="1">
                  <c:v>2014</c:v>
                </c:pt>
                <c:pt idx="2">
                  <c:v>2015</c:v>
                </c:pt>
                <c:pt idx="3">
                  <c:v>2016</c:v>
                </c:pt>
                <c:pt idx="4">
                  <c:v>2017</c:v>
                </c:pt>
                <c:pt idx="5">
                  <c:v>2018</c:v>
                </c:pt>
                <c:pt idx="6">
                  <c:v>2019</c:v>
                </c:pt>
              </c:numCache>
              <c:extLst/>
            </c:numRef>
          </c:cat>
          <c:val>
            <c:numRef>
              <c:f>'[1]расходи рс, апв и јлс'!$D$24:$D$32</c:f>
              <c:numCache>
                <c:formatCode>General</c:formatCode>
                <c:ptCount val="7"/>
                <c:pt idx="0">
                  <c:v>0.13464896748550795</c:v>
                </c:pt>
                <c:pt idx="1">
                  <c:v>0.12014044550301804</c:v>
                </c:pt>
                <c:pt idx="2">
                  <c:v>0.13432925196254655</c:v>
                </c:pt>
                <c:pt idx="3">
                  <c:v>0.14307240053905421</c:v>
                </c:pt>
                <c:pt idx="4">
                  <c:v>0.14569095059248907</c:v>
                </c:pt>
                <c:pt idx="5">
                  <c:v>0.14872946887747981</c:v>
                </c:pt>
                <c:pt idx="6">
                  <c:v>0.14751335135347593</c:v>
                </c:pt>
              </c:numCache>
              <c:extLst/>
            </c:numRef>
          </c:val>
          <c:smooth val="1"/>
          <c:extLst>
            <c:ext xmlns:c16="http://schemas.microsoft.com/office/drawing/2014/chart" uri="{C3380CC4-5D6E-409C-BE32-E72D297353CC}">
              <c16:uniqueId val="{0000000B-6A73-4ED7-8B3E-CDBDA0DF8811}"/>
            </c:ext>
          </c:extLst>
        </c:ser>
        <c:dLbls>
          <c:showLegendKey val="0"/>
          <c:showVal val="1"/>
          <c:showCatName val="0"/>
          <c:showSerName val="0"/>
          <c:showPercent val="0"/>
          <c:showBubbleSize val="0"/>
        </c:dLbls>
        <c:smooth val="0"/>
        <c:axId val="83995264"/>
        <c:axId val="84021632"/>
      </c:lineChart>
      <c:catAx>
        <c:axId val="8399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021632"/>
        <c:crosses val="autoZero"/>
        <c:auto val="1"/>
        <c:lblAlgn val="ctr"/>
        <c:lblOffset val="100"/>
        <c:noMultiLvlLbl val="0"/>
      </c:catAx>
      <c:valAx>
        <c:axId val="84021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399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Sheet5!$C$4</c:f>
              <c:strCache>
                <c:ptCount val="1"/>
                <c:pt idx="0">
                  <c:v>Расходи ЈЛС</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Sheet5!$B$5:$B$11</c:f>
              <c:numCache>
                <c:formatCode>General</c:formatCode>
                <c:ptCount val="7"/>
                <c:pt idx="0">
                  <c:v>2013</c:v>
                </c:pt>
                <c:pt idx="1">
                  <c:v>2014</c:v>
                </c:pt>
                <c:pt idx="2">
                  <c:v>2015</c:v>
                </c:pt>
                <c:pt idx="3">
                  <c:v>2016</c:v>
                </c:pt>
                <c:pt idx="4">
                  <c:v>2017</c:v>
                </c:pt>
                <c:pt idx="5">
                  <c:v>2018</c:v>
                </c:pt>
                <c:pt idx="6">
                  <c:v>2019</c:v>
                </c:pt>
              </c:numCache>
            </c:numRef>
          </c:cat>
          <c:val>
            <c:numRef>
              <c:f>Sheet5!$C$5:$C$11</c:f>
              <c:numCache>
                <c:formatCode>#,##0.0</c:formatCode>
                <c:ptCount val="7"/>
                <c:pt idx="0">
                  <c:v>235.65595000000002</c:v>
                </c:pt>
                <c:pt idx="1">
                  <c:v>225.72929999999999</c:v>
                </c:pt>
                <c:pt idx="2">
                  <c:v>247.6985</c:v>
                </c:pt>
                <c:pt idx="3">
                  <c:v>271.3596000000004</c:v>
                </c:pt>
                <c:pt idx="4">
                  <c:v>279.88690000000003</c:v>
                </c:pt>
                <c:pt idx="5">
                  <c:v>308.32240000000002</c:v>
                </c:pt>
                <c:pt idx="6">
                  <c:v>337.81</c:v>
                </c:pt>
              </c:numCache>
            </c:numRef>
          </c:val>
          <c:extLst>
            <c:ext xmlns:c16="http://schemas.microsoft.com/office/drawing/2014/chart" uri="{C3380CC4-5D6E-409C-BE32-E72D297353CC}">
              <c16:uniqueId val="{00000000-2906-40B9-BFF3-74A353B25B8A}"/>
            </c:ext>
          </c:extLst>
        </c:ser>
        <c:dLbls>
          <c:showLegendKey val="0"/>
          <c:showVal val="1"/>
          <c:showCatName val="0"/>
          <c:showSerName val="0"/>
          <c:showPercent val="0"/>
          <c:showBubbleSize val="0"/>
        </c:dLbls>
        <c:gapWidth val="75"/>
        <c:axId val="84221952"/>
        <c:axId val="84223488"/>
      </c:barChart>
      <c:lineChart>
        <c:grouping val="standard"/>
        <c:varyColors val="0"/>
        <c:ser>
          <c:idx val="1"/>
          <c:order val="1"/>
          <c:tx>
            <c:strRef>
              <c:f>Sheet5!$D$4</c:f>
              <c:strCache>
                <c:ptCount val="1"/>
                <c:pt idx="0">
                  <c:v>Расходи за запослене</c:v>
                </c:pt>
              </c:strCache>
            </c:strRef>
          </c:tx>
          <c:spPr>
            <a:ln w="28575" cap="rnd">
              <a:solidFill>
                <a:schemeClr val="accent2"/>
              </a:solidFill>
              <a:round/>
            </a:ln>
            <a:effectLst/>
          </c:spPr>
          <c:marker>
            <c:symbol val="none"/>
          </c:marker>
          <c:dLbls>
            <c:dLbl>
              <c:idx val="3"/>
              <c:layout>
                <c:manualLayout>
                  <c:x val="-4.7508647511776324E-2"/>
                  <c:y val="4.56914716646329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06-40B9-BFF3-74A353B25B8A}"/>
                </c:ext>
              </c:extLst>
            </c:dLbl>
            <c:dLbl>
              <c:idx val="4"/>
              <c:layout>
                <c:manualLayout>
                  <c:x val="-4.3663937703151433E-2"/>
                  <c:y val="1.0692604789986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06-40B9-BFF3-74A353B25B8A}"/>
                </c:ext>
              </c:extLst>
            </c:dLbl>
            <c:dLbl>
              <c:idx val="5"/>
              <c:layout>
                <c:manualLayout>
                  <c:x val="-4.1456432184387562E-2"/>
                  <c:y val="-1.554792638060532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06-40B9-BFF3-74A353B25B8A}"/>
                </c:ext>
              </c:extLst>
            </c:dLbl>
            <c:dLbl>
              <c:idx val="6"/>
              <c:layout>
                <c:manualLayout>
                  <c:x val="-4.5871443221915144E-2"/>
                  <c:y val="-1.553828276058266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06-40B9-BFF3-74A353B25B8A}"/>
                </c:ext>
              </c:extLst>
            </c:dLbl>
            <c:spPr>
              <a:solidFill>
                <a:schemeClr val="accent2"/>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Sheet5!$B$5:$B$11</c:f>
              <c:numCache>
                <c:formatCode>General</c:formatCode>
                <c:ptCount val="7"/>
                <c:pt idx="0">
                  <c:v>2013</c:v>
                </c:pt>
                <c:pt idx="1">
                  <c:v>2014</c:v>
                </c:pt>
                <c:pt idx="2">
                  <c:v>2015</c:v>
                </c:pt>
                <c:pt idx="3">
                  <c:v>2016</c:v>
                </c:pt>
                <c:pt idx="4">
                  <c:v>2017</c:v>
                </c:pt>
                <c:pt idx="5">
                  <c:v>2018</c:v>
                </c:pt>
                <c:pt idx="6">
                  <c:v>2019</c:v>
                </c:pt>
              </c:numCache>
            </c:numRef>
          </c:cat>
          <c:val>
            <c:numRef>
              <c:f>Sheet5!$D$5:$D$11</c:f>
              <c:numCache>
                <c:formatCode>0.0%</c:formatCode>
                <c:ptCount val="7"/>
                <c:pt idx="0">
                  <c:v>0.24119908705890941</c:v>
                </c:pt>
                <c:pt idx="1">
                  <c:v>0.24693294135940738</c:v>
                </c:pt>
                <c:pt idx="2">
                  <c:v>0.21001338320579283</c:v>
                </c:pt>
                <c:pt idx="3">
                  <c:v>0.19000617630627403</c:v>
                </c:pt>
                <c:pt idx="4">
                  <c:v>0.18160907137847471</c:v>
                </c:pt>
                <c:pt idx="5">
                  <c:v>0.18062262099672288</c:v>
                </c:pt>
                <c:pt idx="6">
                  <c:v>0.18066368668778321</c:v>
                </c:pt>
              </c:numCache>
            </c:numRef>
          </c:val>
          <c:smooth val="1"/>
          <c:extLst>
            <c:ext xmlns:c16="http://schemas.microsoft.com/office/drawing/2014/chart" uri="{C3380CC4-5D6E-409C-BE32-E72D297353CC}">
              <c16:uniqueId val="{00000005-2906-40B9-BFF3-74A353B25B8A}"/>
            </c:ext>
          </c:extLst>
        </c:ser>
        <c:ser>
          <c:idx val="2"/>
          <c:order val="2"/>
          <c:tx>
            <c:strRef>
              <c:f>Sheet5!$E$4</c:f>
              <c:strCache>
                <c:ptCount val="1"/>
                <c:pt idx="0">
                  <c:v>Коришћење роба и услуга</c:v>
                </c:pt>
              </c:strCache>
            </c:strRef>
          </c:tx>
          <c:spPr>
            <a:ln w="28575" cap="rnd">
              <a:solidFill>
                <a:schemeClr val="accent3"/>
              </a:solidFill>
              <a:round/>
            </a:ln>
            <a:effectLst/>
          </c:spPr>
          <c:marker>
            <c:symbol val="none"/>
          </c:marker>
          <c:dLbls>
            <c:dLbl>
              <c:idx val="0"/>
              <c:layout>
                <c:manualLayout>
                  <c:x val="-5.0093862439380507E-2"/>
                  <c:y val="-7.631719794976655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06-40B9-BFF3-74A353B25B8A}"/>
                </c:ext>
              </c:extLst>
            </c:dLbl>
            <c:dLbl>
              <c:idx val="3"/>
              <c:layout>
                <c:manualLayout>
                  <c:x val="-4.3471345883089103E-2"/>
                  <c:y val="-4.569870437965031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06-40B9-BFF3-74A353B25B8A}"/>
                </c:ext>
              </c:extLst>
            </c:dLbl>
            <c:dLbl>
              <c:idx val="4"/>
              <c:layout>
                <c:manualLayout>
                  <c:x val="-4.3471345883089041E-2"/>
                  <c:y val="-4.56987043796500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06-40B9-BFF3-74A353B25B8A}"/>
                </c:ext>
              </c:extLst>
            </c:dLbl>
            <c:dLbl>
              <c:idx val="5"/>
              <c:layout>
                <c:manualLayout>
                  <c:x val="-4.3471345883089103E-2"/>
                  <c:y val="-1.0693569151988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06-40B9-BFF3-74A353B25B8A}"/>
                </c:ext>
              </c:extLst>
            </c:dLbl>
            <c:dLbl>
              <c:idx val="6"/>
              <c:layout>
                <c:manualLayout>
                  <c:x val="-4.3471345883089041E-2"/>
                  <c:y val="-1.98791172230231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06-40B9-BFF3-74A353B25B8A}"/>
                </c:ext>
              </c:extLst>
            </c:dLbl>
            <c:spPr>
              <a:solidFill>
                <a:schemeClr val="accent3"/>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Sheet5!$B$5:$B$11</c:f>
              <c:numCache>
                <c:formatCode>General</c:formatCode>
                <c:ptCount val="7"/>
                <c:pt idx="0">
                  <c:v>2013</c:v>
                </c:pt>
                <c:pt idx="1">
                  <c:v>2014</c:v>
                </c:pt>
                <c:pt idx="2">
                  <c:v>2015</c:v>
                </c:pt>
                <c:pt idx="3">
                  <c:v>2016</c:v>
                </c:pt>
                <c:pt idx="4">
                  <c:v>2017</c:v>
                </c:pt>
                <c:pt idx="5">
                  <c:v>2018</c:v>
                </c:pt>
                <c:pt idx="6">
                  <c:v>2019</c:v>
                </c:pt>
              </c:numCache>
            </c:numRef>
          </c:cat>
          <c:val>
            <c:numRef>
              <c:f>Sheet5!$E$5:$E$11</c:f>
              <c:numCache>
                <c:formatCode>0.0%</c:formatCode>
                <c:ptCount val="7"/>
                <c:pt idx="0">
                  <c:v>0.24871003681426285</c:v>
                </c:pt>
                <c:pt idx="1">
                  <c:v>0.25978018803939057</c:v>
                </c:pt>
                <c:pt idx="2">
                  <c:v>0.26786597415809948</c:v>
                </c:pt>
                <c:pt idx="3">
                  <c:v>0.29307973626140382</c:v>
                </c:pt>
                <c:pt idx="4">
                  <c:v>0.30762425822716277</c:v>
                </c:pt>
                <c:pt idx="5">
                  <c:v>0.32226007581674304</c:v>
                </c:pt>
                <c:pt idx="6">
                  <c:v>0.34590450253100852</c:v>
                </c:pt>
              </c:numCache>
            </c:numRef>
          </c:val>
          <c:smooth val="1"/>
          <c:extLst>
            <c:ext xmlns:c16="http://schemas.microsoft.com/office/drawing/2014/chart" uri="{C3380CC4-5D6E-409C-BE32-E72D297353CC}">
              <c16:uniqueId val="{0000000B-2906-40B9-BFF3-74A353B25B8A}"/>
            </c:ext>
          </c:extLst>
        </c:ser>
        <c:ser>
          <c:idx val="3"/>
          <c:order val="3"/>
          <c:tx>
            <c:strRef>
              <c:f>Sheet5!$F$4</c:f>
              <c:strCache>
                <c:ptCount val="1"/>
                <c:pt idx="0">
                  <c:v>Капитални издаци</c:v>
                </c:pt>
              </c:strCache>
            </c:strRef>
          </c:tx>
          <c:spPr>
            <a:ln w="28575" cap="rnd">
              <a:solidFill>
                <a:srgbClr val="C00000"/>
              </a:solidFill>
              <a:round/>
            </a:ln>
            <a:effectLst/>
          </c:spPr>
          <c:marker>
            <c:symbol val="none"/>
          </c:marker>
          <c:dLbls>
            <c:dLbl>
              <c:idx val="4"/>
              <c:layout>
                <c:manualLayout>
                  <c:x val="-4.3663937703151433E-2"/>
                  <c:y val="2.14341509515840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906-40B9-BFF3-74A353B25B8A}"/>
                </c:ext>
              </c:extLst>
            </c:dLbl>
            <c:spPr>
              <a:solidFill>
                <a:srgbClr val="C00000"/>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Sheet5!$B$5:$B$11</c:f>
              <c:numCache>
                <c:formatCode>General</c:formatCode>
                <c:ptCount val="7"/>
                <c:pt idx="0">
                  <c:v>2013</c:v>
                </c:pt>
                <c:pt idx="1">
                  <c:v>2014</c:v>
                </c:pt>
                <c:pt idx="2">
                  <c:v>2015</c:v>
                </c:pt>
                <c:pt idx="3">
                  <c:v>2016</c:v>
                </c:pt>
                <c:pt idx="4">
                  <c:v>2017</c:v>
                </c:pt>
                <c:pt idx="5">
                  <c:v>2018</c:v>
                </c:pt>
                <c:pt idx="6">
                  <c:v>2019</c:v>
                </c:pt>
              </c:numCache>
            </c:numRef>
          </c:cat>
          <c:val>
            <c:numRef>
              <c:f>Sheet5!$F$5:$F$11</c:f>
              <c:numCache>
                <c:formatCode>0.0%</c:formatCode>
                <c:ptCount val="7"/>
                <c:pt idx="0">
                  <c:v>0.14058630813268241</c:v>
                </c:pt>
                <c:pt idx="1">
                  <c:v>0.12900407700728261</c:v>
                </c:pt>
                <c:pt idx="2">
                  <c:v>0.13346871297161672</c:v>
                </c:pt>
                <c:pt idx="3">
                  <c:v>0.14453146304755754</c:v>
                </c:pt>
                <c:pt idx="4">
                  <c:v>0.12919504271189541</c:v>
                </c:pt>
                <c:pt idx="5">
                  <c:v>0.14491324665350294</c:v>
                </c:pt>
                <c:pt idx="6">
                  <c:v>0.15541280601521587</c:v>
                </c:pt>
              </c:numCache>
            </c:numRef>
          </c:val>
          <c:smooth val="1"/>
          <c:extLst>
            <c:ext xmlns:c16="http://schemas.microsoft.com/office/drawing/2014/chart" uri="{C3380CC4-5D6E-409C-BE32-E72D297353CC}">
              <c16:uniqueId val="{0000000D-2906-40B9-BFF3-74A353B25B8A}"/>
            </c:ext>
          </c:extLst>
        </c:ser>
        <c:ser>
          <c:idx val="4"/>
          <c:order val="4"/>
          <c:tx>
            <c:strRef>
              <c:f>Sheet5!$G$4</c:f>
              <c:strCache>
                <c:ptCount val="1"/>
                <c:pt idx="0">
                  <c:v>Трансфери</c:v>
                </c:pt>
              </c:strCache>
            </c:strRef>
          </c:tx>
          <c:spPr>
            <a:ln w="28575" cap="rnd">
              <a:solidFill>
                <a:srgbClr val="92D050"/>
              </a:solidFill>
              <a:round/>
            </a:ln>
            <a:effectLst/>
          </c:spPr>
          <c:marker>
            <c:symbol val="none"/>
          </c:marker>
          <c:dLbls>
            <c:dLbl>
              <c:idx val="4"/>
              <c:layout>
                <c:manualLayout>
                  <c:x val="-4.7886356920616886E-2"/>
                  <c:y val="-1.99249244181282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906-40B9-BFF3-74A353B25B8A}"/>
                </c:ext>
              </c:extLst>
            </c:dLbl>
            <c:dLbl>
              <c:idx val="6"/>
              <c:layout>
                <c:manualLayout>
                  <c:x val="-4.3471345883089041E-2"/>
                  <c:y val="2.2940966580034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06-40B9-BFF3-74A353B25B8A}"/>
                </c:ext>
              </c:extLst>
            </c:dLbl>
            <c:spPr>
              <a:solidFill>
                <a:srgbClr val="92D050"/>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Sheet5!$B$5:$B$11</c:f>
              <c:numCache>
                <c:formatCode>General</c:formatCode>
                <c:ptCount val="7"/>
                <c:pt idx="0">
                  <c:v>2013</c:v>
                </c:pt>
                <c:pt idx="1">
                  <c:v>2014</c:v>
                </c:pt>
                <c:pt idx="2">
                  <c:v>2015</c:v>
                </c:pt>
                <c:pt idx="3">
                  <c:v>2016</c:v>
                </c:pt>
                <c:pt idx="4">
                  <c:v>2017</c:v>
                </c:pt>
                <c:pt idx="5">
                  <c:v>2018</c:v>
                </c:pt>
                <c:pt idx="6">
                  <c:v>2019</c:v>
                </c:pt>
              </c:numCache>
            </c:numRef>
          </c:cat>
          <c:val>
            <c:numRef>
              <c:f>Sheet5!$G$5:$G$11</c:f>
              <c:numCache>
                <c:formatCode>0.0%</c:formatCode>
                <c:ptCount val="7"/>
                <c:pt idx="0">
                  <c:v>0.10129852439541627</c:v>
                </c:pt>
                <c:pt idx="1">
                  <c:v>0.10862347067926065</c:v>
                </c:pt>
                <c:pt idx="2">
                  <c:v>0.126420224587553</c:v>
                </c:pt>
                <c:pt idx="3">
                  <c:v>0.12470758359018809</c:v>
                </c:pt>
                <c:pt idx="4">
                  <c:v>0.13278434967838793</c:v>
                </c:pt>
                <c:pt idx="5">
                  <c:v>0.12105413035186542</c:v>
                </c:pt>
                <c:pt idx="6">
                  <c:v>0.10909150113969399</c:v>
                </c:pt>
              </c:numCache>
            </c:numRef>
          </c:val>
          <c:smooth val="1"/>
          <c:extLst>
            <c:ext xmlns:c16="http://schemas.microsoft.com/office/drawing/2014/chart" uri="{C3380CC4-5D6E-409C-BE32-E72D297353CC}">
              <c16:uniqueId val="{00000010-2906-40B9-BFF3-74A353B25B8A}"/>
            </c:ext>
          </c:extLst>
        </c:ser>
        <c:ser>
          <c:idx val="5"/>
          <c:order val="5"/>
          <c:tx>
            <c:strRef>
              <c:f>Sheet5!$H$4</c:f>
              <c:strCache>
                <c:ptCount val="1"/>
                <c:pt idx="0">
                  <c:v>Остали расходи</c:v>
                </c:pt>
              </c:strCache>
            </c:strRef>
          </c:tx>
          <c:spPr>
            <a:ln w="28575" cap="rnd">
              <a:solidFill>
                <a:srgbClr val="00B0F0"/>
              </a:solidFill>
              <a:round/>
            </a:ln>
            <a:effectLst/>
          </c:spPr>
          <c:marker>
            <c:symbol val="none"/>
          </c:marker>
          <c:dLbls>
            <c:dLbl>
              <c:idx val="0"/>
              <c:layout>
                <c:manualLayout>
                  <c:x val="-5.0286454259442816E-2"/>
                  <c:y val="-2.14360796755886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906-40B9-BFF3-74A353B25B8A}"/>
                </c:ext>
              </c:extLst>
            </c:dLbl>
            <c:dLbl>
              <c:idx val="1"/>
              <c:layout>
                <c:manualLayout>
                  <c:x val="-5.4701443569553802E-2"/>
                  <c:y val="6.123229265757317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906-40B9-BFF3-74A353B25B8A}"/>
                </c:ext>
              </c:extLst>
            </c:dLbl>
            <c:spPr>
              <a:solidFill>
                <a:srgbClr val="00B0F0"/>
              </a:solid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Sheet5!$B$5:$B$11</c:f>
              <c:numCache>
                <c:formatCode>General</c:formatCode>
                <c:ptCount val="7"/>
                <c:pt idx="0">
                  <c:v>2013</c:v>
                </c:pt>
                <c:pt idx="1">
                  <c:v>2014</c:v>
                </c:pt>
                <c:pt idx="2">
                  <c:v>2015</c:v>
                </c:pt>
                <c:pt idx="3">
                  <c:v>2016</c:v>
                </c:pt>
                <c:pt idx="4">
                  <c:v>2017</c:v>
                </c:pt>
                <c:pt idx="5">
                  <c:v>2018</c:v>
                </c:pt>
                <c:pt idx="6">
                  <c:v>2019</c:v>
                </c:pt>
              </c:numCache>
            </c:numRef>
          </c:cat>
          <c:val>
            <c:numRef>
              <c:f>Sheet5!$H$5:$H$11</c:f>
              <c:numCache>
                <c:formatCode>0.0%</c:formatCode>
                <c:ptCount val="7"/>
                <c:pt idx="0">
                  <c:v>0.26820604359872929</c:v>
                </c:pt>
                <c:pt idx="1">
                  <c:v>0.25565932291465931</c:v>
                </c:pt>
                <c:pt idx="2">
                  <c:v>0.26223170507693794</c:v>
                </c:pt>
                <c:pt idx="3">
                  <c:v>0.2476750407945767</c:v>
                </c:pt>
                <c:pt idx="4">
                  <c:v>0.24878727800407971</c:v>
                </c:pt>
                <c:pt idx="5">
                  <c:v>0.23114992618116637</c:v>
                </c:pt>
                <c:pt idx="6">
                  <c:v>0.20892750362629892</c:v>
                </c:pt>
              </c:numCache>
            </c:numRef>
          </c:val>
          <c:smooth val="1"/>
          <c:extLst>
            <c:ext xmlns:c16="http://schemas.microsoft.com/office/drawing/2014/chart" uri="{C3380CC4-5D6E-409C-BE32-E72D297353CC}">
              <c16:uniqueId val="{00000013-2906-40B9-BFF3-74A353B25B8A}"/>
            </c:ext>
          </c:extLst>
        </c:ser>
        <c:dLbls>
          <c:showLegendKey val="0"/>
          <c:showVal val="1"/>
          <c:showCatName val="0"/>
          <c:showSerName val="0"/>
          <c:showPercent val="0"/>
          <c:showBubbleSize val="0"/>
        </c:dLbls>
        <c:marker val="1"/>
        <c:smooth val="0"/>
        <c:axId val="84243200"/>
        <c:axId val="84225024"/>
      </c:lineChart>
      <c:catAx>
        <c:axId val="8422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223488"/>
        <c:crosses val="autoZero"/>
        <c:auto val="1"/>
        <c:lblAlgn val="ctr"/>
        <c:lblOffset val="100"/>
        <c:noMultiLvlLbl val="0"/>
      </c:catAx>
      <c:valAx>
        <c:axId val="8422348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221952"/>
        <c:crosses val="autoZero"/>
        <c:crossBetween val="between"/>
      </c:valAx>
      <c:valAx>
        <c:axId val="84225024"/>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4243200"/>
        <c:crosses val="max"/>
        <c:crossBetween val="between"/>
      </c:valAx>
      <c:catAx>
        <c:axId val="84243200"/>
        <c:scaling>
          <c:orientation val="minMax"/>
        </c:scaling>
        <c:delete val="1"/>
        <c:axPos val="b"/>
        <c:numFmt formatCode="General" sourceLinked="1"/>
        <c:majorTickMark val="none"/>
        <c:minorTickMark val="none"/>
        <c:tickLblPos val="none"/>
        <c:crossAx val="842250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Sheet4!$D$5</c:f>
              <c:strCache>
                <c:ptCount val="1"/>
                <c:pt idx="0">
                  <c:v>Расходи ЈЛС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Sheet4!$D$6:$D$13</c:f>
            </c:numRef>
          </c:val>
          <c:extLst>
            <c:ext xmlns:c16="http://schemas.microsoft.com/office/drawing/2014/chart" uri="{C3380CC4-5D6E-409C-BE32-E72D297353CC}">
              <c16:uniqueId val="{00000000-1D05-4330-A73A-E2B5A93F2688}"/>
            </c:ext>
          </c:extLst>
        </c:ser>
        <c:ser>
          <c:idx val="1"/>
          <c:order val="1"/>
          <c:tx>
            <c:strRef>
              <c:f>Sheet4!$E$5</c:f>
              <c:strCache>
                <c:ptCount val="1"/>
                <c:pt idx="0">
                  <c:v>Капитални расходи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Sheet4!$E$6:$E$13</c:f>
            </c:numRef>
          </c:val>
          <c:extLst>
            <c:ext xmlns:c16="http://schemas.microsoft.com/office/drawing/2014/chart" uri="{C3380CC4-5D6E-409C-BE32-E72D297353CC}">
              <c16:uniqueId val="{00000001-1D05-4330-A73A-E2B5A93F2688}"/>
            </c:ext>
          </c:extLst>
        </c:ser>
        <c:ser>
          <c:idx val="2"/>
          <c:order val="2"/>
          <c:tx>
            <c:strRef>
              <c:f>Sheet4!$F$5</c:f>
              <c:strCache>
                <c:ptCount val="1"/>
                <c:pt idx="0">
                  <c:v>Капитални издаци ЈЛС</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Sheet4!$F$6:$F$13</c:f>
              <c:numCache>
                <c:formatCode>#,##0.0</c:formatCode>
                <c:ptCount val="8"/>
                <c:pt idx="0">
                  <c:v>46.6</c:v>
                </c:pt>
                <c:pt idx="1">
                  <c:v>33.1</c:v>
                </c:pt>
                <c:pt idx="2">
                  <c:v>29.116599999999988</c:v>
                </c:pt>
                <c:pt idx="3">
                  <c:v>33.055200000000006</c:v>
                </c:pt>
                <c:pt idx="4">
                  <c:v>39.222400000000043</c:v>
                </c:pt>
                <c:pt idx="5">
                  <c:v>36.163100000000043</c:v>
                </c:pt>
                <c:pt idx="6">
                  <c:v>44.682100000000013</c:v>
                </c:pt>
                <c:pt idx="7">
                  <c:v>52.502200000000009</c:v>
                </c:pt>
              </c:numCache>
            </c:numRef>
          </c:val>
          <c:extLst>
            <c:ext xmlns:c16="http://schemas.microsoft.com/office/drawing/2014/chart" uri="{C3380CC4-5D6E-409C-BE32-E72D297353CC}">
              <c16:uniqueId val="{00000002-1D05-4330-A73A-E2B5A93F2688}"/>
            </c:ext>
          </c:extLst>
        </c:ser>
        <c:ser>
          <c:idx val="3"/>
          <c:order val="3"/>
          <c:tx>
            <c:strRef>
              <c:f>Sheet4!$G$5</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Sheet4!$G$6:$G$13</c:f>
            </c:numRef>
          </c:val>
          <c:extLst>
            <c:ext xmlns:c16="http://schemas.microsoft.com/office/drawing/2014/chart" uri="{C3380CC4-5D6E-409C-BE32-E72D297353CC}">
              <c16:uniqueId val="{00000003-1D05-4330-A73A-E2B5A93F2688}"/>
            </c:ext>
          </c:extLst>
        </c:ser>
        <c:ser>
          <c:idx val="4"/>
          <c:order val="4"/>
          <c:tx>
            <c:strRef>
              <c:f>Sheet4!$H$5</c:f>
              <c:strCache>
                <c:ptCount val="1"/>
                <c:pt idx="0">
                  <c:v>Капитални расходи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Sheet4!$H$6:$H$13</c:f>
            </c:numRef>
          </c:val>
          <c:extLst>
            <c:ext xmlns:c16="http://schemas.microsoft.com/office/drawing/2014/chart" uri="{C3380CC4-5D6E-409C-BE32-E72D297353CC}">
              <c16:uniqueId val="{00000004-1D05-4330-A73A-E2B5A93F2688}"/>
            </c:ext>
          </c:extLst>
        </c:ser>
        <c:ser>
          <c:idx val="5"/>
          <c:order val="5"/>
          <c:tx>
            <c:strRef>
              <c:f>Sheet4!$I$5</c:f>
              <c:strCache>
                <c:ptCount val="1"/>
                <c:pt idx="0">
                  <c:v>Капитални расходи - централни ниво државе</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Sheet4!$I$6:$I$13</c:f>
            </c:numRef>
          </c:val>
          <c:extLst>
            <c:ext xmlns:c16="http://schemas.microsoft.com/office/drawing/2014/chart" uri="{C3380CC4-5D6E-409C-BE32-E72D297353CC}">
              <c16:uniqueId val="{00000005-1D05-4330-A73A-E2B5A93F2688}"/>
            </c:ext>
          </c:extLst>
        </c:ser>
        <c:dLbls>
          <c:showLegendKey val="0"/>
          <c:showVal val="1"/>
          <c:showCatName val="0"/>
          <c:showSerName val="0"/>
          <c:showPercent val="0"/>
          <c:showBubbleSize val="0"/>
        </c:dLbls>
        <c:gapWidth val="75"/>
        <c:axId val="87804160"/>
        <c:axId val="87814144"/>
      </c:barChart>
      <c:lineChart>
        <c:grouping val="standard"/>
        <c:varyColors val="0"/>
        <c:ser>
          <c:idx val="6"/>
          <c:order val="6"/>
          <c:tx>
            <c:strRef>
              <c:f>Sheet4!$J$5</c:f>
              <c:strCache>
                <c:ptCount val="1"/>
                <c:pt idx="0">
                  <c:v>Капитални издаци ЈЛС као % укупних КИ</c:v>
                </c:pt>
              </c:strCache>
            </c:strRef>
          </c:tx>
          <c:spPr>
            <a:ln w="28575" cap="rnd">
              <a:solidFill>
                <a:srgbClr val="92D050"/>
              </a:solidFill>
              <a:round/>
            </a:ln>
            <a:effectLst/>
          </c:spPr>
          <c:marker>
            <c:symbol val="none"/>
          </c:marker>
          <c:dLbls>
            <c:dLbl>
              <c:idx val="7"/>
              <c:layout>
                <c:manualLayout>
                  <c:x val="-5.4701443569553906E-2"/>
                  <c:y val="-1.3888888888888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05-4330-A73A-E2B5A93F2688}"/>
                </c:ext>
              </c:extLst>
            </c:dLbl>
            <c:spPr>
              <a:solidFill>
                <a:srgbClr val="92D05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Sheet4!$J$6:$J$13</c:f>
              <c:numCache>
                <c:formatCode>0.0%</c:formatCode>
                <c:ptCount val="8"/>
                <c:pt idx="0">
                  <c:v>0.36888013216357735</c:v>
                </c:pt>
                <c:pt idx="1">
                  <c:v>0.39393694152595288</c:v>
                </c:pt>
                <c:pt idx="2">
                  <c:v>0.3012260462671853</c:v>
                </c:pt>
                <c:pt idx="3">
                  <c:v>0.28862288729412183</c:v>
                </c:pt>
                <c:pt idx="4">
                  <c:v>0.28151549711862656</c:v>
                </c:pt>
                <c:pt idx="5">
                  <c:v>0.27015128968253965</c:v>
                </c:pt>
                <c:pt idx="6">
                  <c:v>0.22423670012159819</c:v>
                </c:pt>
                <c:pt idx="7">
                  <c:v>0.19718825092712167</c:v>
                </c:pt>
              </c:numCache>
            </c:numRef>
          </c:val>
          <c:smooth val="1"/>
          <c:extLst>
            <c:ext xmlns:c16="http://schemas.microsoft.com/office/drawing/2014/chart" uri="{C3380CC4-5D6E-409C-BE32-E72D297353CC}">
              <c16:uniqueId val="{00000007-1D05-4330-A73A-E2B5A93F2688}"/>
            </c:ext>
          </c:extLst>
        </c:ser>
        <c:ser>
          <c:idx val="7"/>
          <c:order val="7"/>
          <c:tx>
            <c:strRef>
              <c:f>Sheet4!$K$5</c:f>
              <c:strCache>
                <c:ptCount val="1"/>
                <c:pt idx="0">
                  <c:v>Капитални издаци као % укупних расхода ЈЛС</c:v>
                </c:pt>
              </c:strCache>
            </c:strRef>
          </c:tx>
          <c:spPr>
            <a:ln w="28575" cap="rnd">
              <a:solidFill>
                <a:srgbClr val="C00000"/>
              </a:solidFill>
              <a:round/>
            </a:ln>
            <a:effectLst/>
          </c:spPr>
          <c:marker>
            <c:symbol val="none"/>
          </c:marker>
          <c:dLbls>
            <c:spPr>
              <a:solidFill>
                <a:srgbClr val="C0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Sheet4!$C$6:$C$13</c:f>
              <c:numCache>
                <c:formatCode>General</c:formatCode>
                <c:ptCount val="8"/>
                <c:pt idx="0">
                  <c:v>2012</c:v>
                </c:pt>
                <c:pt idx="1">
                  <c:v>2013</c:v>
                </c:pt>
                <c:pt idx="2">
                  <c:v>2014</c:v>
                </c:pt>
                <c:pt idx="3">
                  <c:v>2015</c:v>
                </c:pt>
                <c:pt idx="4">
                  <c:v>2016</c:v>
                </c:pt>
                <c:pt idx="5">
                  <c:v>2017</c:v>
                </c:pt>
                <c:pt idx="6">
                  <c:v>2018</c:v>
                </c:pt>
                <c:pt idx="7">
                  <c:v>2019</c:v>
                </c:pt>
              </c:numCache>
            </c:numRef>
          </c:cat>
          <c:val>
            <c:numRef>
              <c:f>Sheet4!$K$6:$K$13</c:f>
              <c:numCache>
                <c:formatCode>0.0%</c:formatCode>
                <c:ptCount val="8"/>
                <c:pt idx="0">
                  <c:v>0.19076829283740415</c:v>
                </c:pt>
                <c:pt idx="1">
                  <c:v>0.14057357770936818</c:v>
                </c:pt>
                <c:pt idx="2">
                  <c:v>0.12898901471807159</c:v>
                </c:pt>
                <c:pt idx="3">
                  <c:v>0.13344933457408942</c:v>
                </c:pt>
                <c:pt idx="4">
                  <c:v>0.14454030740021748</c:v>
                </c:pt>
                <c:pt idx="5">
                  <c:v>0.12920611861434028</c:v>
                </c:pt>
                <c:pt idx="6">
                  <c:v>0.14492005770583016</c:v>
                </c:pt>
                <c:pt idx="7">
                  <c:v>0.15541280601521587</c:v>
                </c:pt>
              </c:numCache>
            </c:numRef>
          </c:val>
          <c:smooth val="1"/>
          <c:extLst>
            <c:ext xmlns:c16="http://schemas.microsoft.com/office/drawing/2014/chart" uri="{C3380CC4-5D6E-409C-BE32-E72D297353CC}">
              <c16:uniqueId val="{00000008-1D05-4330-A73A-E2B5A93F2688}"/>
            </c:ext>
          </c:extLst>
        </c:ser>
        <c:dLbls>
          <c:showLegendKey val="0"/>
          <c:showVal val="1"/>
          <c:showCatName val="0"/>
          <c:showSerName val="0"/>
          <c:showPercent val="0"/>
          <c:showBubbleSize val="0"/>
        </c:dLbls>
        <c:marker val="1"/>
        <c:smooth val="0"/>
        <c:axId val="87817216"/>
        <c:axId val="87815680"/>
      </c:lineChart>
      <c:catAx>
        <c:axId val="8780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14144"/>
        <c:crosses val="autoZero"/>
        <c:auto val="1"/>
        <c:lblAlgn val="ctr"/>
        <c:lblOffset val="100"/>
        <c:noMultiLvlLbl val="0"/>
      </c:catAx>
      <c:valAx>
        <c:axId val="8781414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04160"/>
        <c:crosses val="autoZero"/>
        <c:crossBetween val="between"/>
      </c:valAx>
      <c:valAx>
        <c:axId val="87815680"/>
        <c:scaling>
          <c:orientation val="minMax"/>
          <c:max val="0.5"/>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17216"/>
        <c:crosses val="max"/>
        <c:crossBetween val="between"/>
        <c:majorUnit val="0.1"/>
      </c:valAx>
      <c:catAx>
        <c:axId val="87817216"/>
        <c:scaling>
          <c:orientation val="minMax"/>
        </c:scaling>
        <c:delete val="1"/>
        <c:axPos val="b"/>
        <c:numFmt formatCode="General" sourceLinked="1"/>
        <c:majorTickMark val="none"/>
        <c:minorTickMark val="none"/>
        <c:tickLblPos val="none"/>
        <c:crossAx val="878156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1"/>
          <c:order val="1"/>
          <c:dPt>
            <c:idx val="0"/>
            <c:bubble3D val="0"/>
            <c:spPr>
              <a:solidFill>
                <a:srgbClr val="0070C0"/>
              </a:solidFill>
              <a:ln w="19050">
                <a:solidFill>
                  <a:schemeClr val="lt1"/>
                </a:solidFill>
              </a:ln>
              <a:effectLst/>
            </c:spPr>
            <c:extLst>
              <c:ext xmlns:c16="http://schemas.microsoft.com/office/drawing/2014/chart" uri="{C3380CC4-5D6E-409C-BE32-E72D297353CC}">
                <c16:uniqueId val="{00000001-0066-4DCC-9C17-83D73F708D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66-4DCC-9C17-83D73F708DC0}"/>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0066-4DCC-9C17-83D73F708DC0}"/>
              </c:ext>
            </c:extLst>
          </c:dPt>
          <c:dPt>
            <c:idx val="3"/>
            <c:bubble3D val="0"/>
            <c:spPr>
              <a:solidFill>
                <a:srgbClr val="7030A0"/>
              </a:solidFill>
              <a:ln w="19050">
                <a:solidFill>
                  <a:schemeClr val="lt1"/>
                </a:solidFill>
              </a:ln>
              <a:effectLst/>
            </c:spPr>
            <c:extLst>
              <c:ext xmlns:c16="http://schemas.microsoft.com/office/drawing/2014/chart" uri="{C3380CC4-5D6E-409C-BE32-E72D297353CC}">
                <c16:uniqueId val="{00000007-0066-4DCC-9C17-83D73F708D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066-4DCC-9C17-83D73F708DC0}"/>
              </c:ext>
            </c:extLst>
          </c:dPt>
          <c:dPt>
            <c:idx val="5"/>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B-0066-4DCC-9C17-83D73F708DC0}"/>
              </c:ext>
            </c:extLst>
          </c:dPt>
          <c:dPt>
            <c:idx val="6"/>
            <c:bubble3D val="0"/>
            <c:spPr>
              <a:solidFill>
                <a:srgbClr val="002060"/>
              </a:solidFill>
              <a:ln w="19050">
                <a:solidFill>
                  <a:schemeClr val="lt1"/>
                </a:solidFill>
              </a:ln>
              <a:effectLst/>
            </c:spPr>
            <c:extLst>
              <c:ext xmlns:c16="http://schemas.microsoft.com/office/drawing/2014/chart" uri="{C3380CC4-5D6E-409C-BE32-E72D297353CC}">
                <c16:uniqueId val="{0000000D-0066-4DCC-9C17-83D73F708DC0}"/>
              </c:ext>
            </c:extLst>
          </c:dPt>
          <c:dPt>
            <c:idx val="7"/>
            <c:bubble3D val="0"/>
            <c:spPr>
              <a:solidFill>
                <a:srgbClr val="C00000"/>
              </a:solidFill>
              <a:ln w="19050">
                <a:solidFill>
                  <a:schemeClr val="lt1"/>
                </a:solidFill>
              </a:ln>
              <a:effectLst/>
            </c:spPr>
            <c:extLst>
              <c:ext xmlns:c16="http://schemas.microsoft.com/office/drawing/2014/chart" uri="{C3380CC4-5D6E-409C-BE32-E72D297353CC}">
                <c16:uniqueId val="{0000000F-0066-4DCC-9C17-83D73F708DC0}"/>
              </c:ext>
            </c:extLst>
          </c:dPt>
          <c:dPt>
            <c:idx val="8"/>
            <c:bubble3D val="0"/>
            <c:spPr>
              <a:solidFill>
                <a:srgbClr val="FFFF00"/>
              </a:solidFill>
              <a:ln w="19050">
                <a:solidFill>
                  <a:schemeClr val="lt1"/>
                </a:solidFill>
              </a:ln>
              <a:effectLst/>
            </c:spPr>
            <c:extLst>
              <c:ext xmlns:c16="http://schemas.microsoft.com/office/drawing/2014/chart" uri="{C3380CC4-5D6E-409C-BE32-E72D297353CC}">
                <c16:uniqueId val="{00000011-0066-4DCC-9C17-83D73F708DC0}"/>
              </c:ext>
            </c:extLst>
          </c:dPt>
          <c:dLbls>
            <c:dLbl>
              <c:idx val="2"/>
              <c:layout>
                <c:manualLayout>
                  <c:x val="2.1018822400082942E-2"/>
                  <c:y val="4.371108674706802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066-4DCC-9C17-83D73F708DC0}"/>
                </c:ext>
              </c:extLst>
            </c:dLbl>
            <c:dLbl>
              <c:idx val="5"/>
              <c:layout>
                <c:manualLayout>
                  <c:x val="-9.1743104538498502E-2"/>
                  <c:y val="-3.8816102753253712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066-4DCC-9C17-83D73F708DC0}"/>
                </c:ext>
              </c:extLst>
            </c:dLbl>
            <c:dLbl>
              <c:idx val="8"/>
              <c:layout>
                <c:manualLayout>
                  <c:x val="4.0774713128221606E-3"/>
                  <c:y val="-0.1397379699117132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066-4DCC-9C17-83D73F708DC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Sheet1!$B$4:$B$12</c:f>
              <c:strCache>
                <c:ptCount val="9"/>
                <c:pt idx="0">
                  <c:v>Опште јавне услуге</c:v>
                </c:pt>
                <c:pt idx="1">
                  <c:v>Развој заједнице и становање</c:v>
                </c:pt>
                <c:pt idx="2">
                  <c:v>Заштита животне средине</c:v>
                </c:pt>
                <c:pt idx="3">
                  <c:v>Економски послови и транспорт</c:v>
                </c:pt>
                <c:pt idx="4">
                  <c:v>Рекреација, спорт и култура</c:v>
                </c:pt>
                <c:pt idx="5">
                  <c:v>Здравство</c:v>
                </c:pt>
                <c:pt idx="6">
                  <c:v>Образовање</c:v>
                </c:pt>
                <c:pt idx="7">
                  <c:v>Социјална заштита</c:v>
                </c:pt>
                <c:pt idx="8">
                  <c:v>Јавни ред, безбедност и одбрана</c:v>
                </c:pt>
              </c:strCache>
            </c:strRef>
          </c:cat>
          <c:val>
            <c:numRef>
              <c:f>Sheet1!$D$4:$D$12</c:f>
              <c:numCache>
                <c:formatCode>0.00%</c:formatCode>
                <c:ptCount val="9"/>
                <c:pt idx="0">
                  <c:v>0.20200000000000001</c:v>
                </c:pt>
                <c:pt idx="1">
                  <c:v>0.18500000000000016</c:v>
                </c:pt>
                <c:pt idx="2">
                  <c:v>3.4000000000000002E-2</c:v>
                </c:pt>
                <c:pt idx="3">
                  <c:v>0.21200000000000016</c:v>
                </c:pt>
                <c:pt idx="4">
                  <c:v>0.10800000000000008</c:v>
                </c:pt>
                <c:pt idx="5">
                  <c:v>9.0000000000000028E-3</c:v>
                </c:pt>
                <c:pt idx="6">
                  <c:v>0.18800000000000017</c:v>
                </c:pt>
                <c:pt idx="7" formatCode="0%">
                  <c:v>6.0000000000000032E-2</c:v>
                </c:pt>
                <c:pt idx="8">
                  <c:v>2.0000000000000026E-3</c:v>
                </c:pt>
              </c:numCache>
            </c:numRef>
          </c:val>
          <c:extLst>
            <c:ext xmlns:c16="http://schemas.microsoft.com/office/drawing/2014/chart" uri="{C3380CC4-5D6E-409C-BE32-E72D297353CC}">
              <c16:uniqueId val="{00000012-0066-4DCC-9C17-83D73F708DC0}"/>
            </c:ext>
          </c:extLst>
        </c:ser>
        <c:dLbls>
          <c:showLegendKey val="0"/>
          <c:showVal val="0"/>
          <c:showCatName val="0"/>
          <c:showSerName val="0"/>
          <c:showPercent val="1"/>
          <c:showBubbleSize val="0"/>
          <c:showLeaderLines val="0"/>
        </c:dLbls>
        <c:firstSliceAng val="0"/>
        <c:holeSize val="50"/>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14-0066-4DCC-9C17-83D73F708D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6-0066-4DCC-9C17-83D73F708D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8-0066-4DCC-9C17-83D73F708DC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A-0066-4DCC-9C17-83D73F708DC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C-0066-4DCC-9C17-83D73F708DC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E-0066-4DCC-9C17-83D73F708DC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0-0066-4DCC-9C17-83D73F708DC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2-0066-4DCC-9C17-83D73F708DC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4-0066-4DCC-9C17-83D73F708D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Sheet1!$B$4:$B$12</c15:sqref>
                        </c15:formulaRef>
                      </c:ext>
                    </c:extLst>
                    <c:strCache>
                      <c:ptCount val="9"/>
                      <c:pt idx="0">
                        <c:v>Опште јавне услуге</c:v>
                      </c:pt>
                      <c:pt idx="1">
                        <c:v>Развој заједнице и становање</c:v>
                      </c:pt>
                      <c:pt idx="2">
                        <c:v>Заштита животне средине</c:v>
                      </c:pt>
                      <c:pt idx="3">
                        <c:v>Економски послови и транспорт</c:v>
                      </c:pt>
                      <c:pt idx="4">
                        <c:v>Рекреација, спорт и култура</c:v>
                      </c:pt>
                      <c:pt idx="5">
                        <c:v>Здравство</c:v>
                      </c:pt>
                      <c:pt idx="6">
                        <c:v>Образовање</c:v>
                      </c:pt>
                      <c:pt idx="7">
                        <c:v>Социјална заштита</c:v>
                      </c:pt>
                      <c:pt idx="8">
                        <c:v>Јавни ред, безбедност и одбрана</c:v>
                      </c:pt>
                    </c:strCache>
                  </c:strRef>
                </c:cat>
                <c:val>
                  <c:numRef>
                    <c:extLst>
                      <c:ext uri="{02D57815-91ED-43cb-92C2-25804820EDAC}">
                        <c15:formulaRef>
                          <c15:sqref>Sheet1!$C$4:$C$12</c15:sqref>
                        </c15:formulaRef>
                      </c:ext>
                    </c:extLst>
                    <c:numCache>
                      <c:formatCode>General</c:formatCode>
                      <c:ptCount val="9"/>
                    </c:numCache>
                  </c:numRef>
                </c:val>
                <c:extLst>
                  <c:ext xmlns:c16="http://schemas.microsoft.com/office/drawing/2014/chart" uri="{C3380CC4-5D6E-409C-BE32-E72D297353CC}">
                    <c16:uniqueId val="{00000025-0066-4DCC-9C17-83D73F708DC0}"/>
                  </c:ext>
                </c:extLst>
              </c15:ser>
            </c15:filteredPieSeries>
          </c:ext>
        </c:extLst>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accent1"/>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sr-Cyrl-RS"/>
              <a:t>Припрема и усвајање кадровског плана</a:t>
            </a:r>
            <a:endParaRPr lang="en-US"/>
          </a:p>
        </c:rich>
      </c:tx>
      <c:overlay val="0"/>
      <c:spPr>
        <a:noFill/>
        <a:ln>
          <a:noFill/>
        </a:ln>
        <a:effectLst/>
      </c:spPr>
    </c:title>
    <c:autoTitleDeleted val="0"/>
    <c:plotArea>
      <c:layout>
        <c:manualLayout>
          <c:layoutTarget val="inner"/>
          <c:xMode val="edge"/>
          <c:yMode val="edge"/>
          <c:x val="7.1849608045114088E-2"/>
          <c:y val="0.19068292682926832"/>
          <c:w val="0.90819473785289029"/>
          <c:h val="0.3843986940656808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Sheet8!$A$1:$A$3</c:f>
              <c:strCache>
                <c:ptCount val="3"/>
                <c:pt idx="0">
                  <c:v>Кадровски план се припрема благовремено, на основу свеобухватне анализе стања и потреба за кадровима, систематизације радних места и планираног буџета за наредну годину</c:v>
                </c:pt>
                <c:pt idx="1">
                  <c:v>Кадровски план се припрема без свеобухватне анализе стања и потреба, само на основу доступних података и усклађивања са буџетом</c:v>
                </c:pt>
                <c:pt idx="2">
                  <c:v>Кадровски план се не припрема или његова припрема касни у односу на буџетски календар</c:v>
                </c:pt>
              </c:strCache>
            </c:strRef>
          </c:cat>
          <c:val>
            <c:numRef>
              <c:f>Sheet8!$B$1:$B$3</c:f>
              <c:numCache>
                <c:formatCode>0%</c:formatCode>
                <c:ptCount val="3"/>
                <c:pt idx="0">
                  <c:v>0.39</c:v>
                </c:pt>
                <c:pt idx="1">
                  <c:v>0.59</c:v>
                </c:pt>
                <c:pt idx="2">
                  <c:v>0.02</c:v>
                </c:pt>
              </c:numCache>
            </c:numRef>
          </c:val>
          <c:extLst>
            <c:ext xmlns:c16="http://schemas.microsoft.com/office/drawing/2014/chart" uri="{C3380CC4-5D6E-409C-BE32-E72D297353CC}">
              <c16:uniqueId val="{00000000-B6EF-5148-9E13-91D5F4315A35}"/>
            </c:ext>
          </c:extLst>
        </c:ser>
        <c:dLbls>
          <c:showLegendKey val="0"/>
          <c:showVal val="1"/>
          <c:showCatName val="0"/>
          <c:showSerName val="0"/>
          <c:showPercent val="0"/>
          <c:showBubbleSize val="0"/>
        </c:dLbls>
        <c:gapWidth val="219"/>
        <c:overlap val="-27"/>
        <c:axId val="87900928"/>
        <c:axId val="87902464"/>
      </c:barChart>
      <c:catAx>
        <c:axId val="8790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902464"/>
        <c:crosses val="autoZero"/>
        <c:auto val="1"/>
        <c:lblAlgn val="ctr"/>
        <c:lblOffset val="100"/>
        <c:noMultiLvlLbl val="0"/>
      </c:catAx>
      <c:valAx>
        <c:axId val="87902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79009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sr-Cyrl-RS"/>
              <a:t>Електронска евиденција података о запосленима</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Sheet3!$A$1:$A$4</c:f>
              <c:strCache>
                <c:ptCount val="4"/>
                <c:pt idx="0">
                  <c:v>Постоји електронска база података која садржи све податке у складу са законом</c:v>
                </c:pt>
                <c:pt idx="1">
                  <c:v>Постоји електронска база података али не садржи све податке у складу са законом</c:v>
                </c:pt>
                <c:pt idx="2">
                  <c:v>Не постоји електронска база података али персонални досијеи садрже све податке у складу са законом</c:v>
                </c:pt>
                <c:pt idx="3">
                  <c:v>Не постоји кадровска евиденција у складу са законом</c:v>
                </c:pt>
              </c:strCache>
            </c:strRef>
          </c:cat>
          <c:val>
            <c:numRef>
              <c:f>Sheet3!$B$1:$B$4</c:f>
              <c:numCache>
                <c:formatCode>0%</c:formatCode>
                <c:ptCount val="4"/>
                <c:pt idx="0">
                  <c:v>0.14000000000000001</c:v>
                </c:pt>
                <c:pt idx="1">
                  <c:v>0.41000000000000031</c:v>
                </c:pt>
                <c:pt idx="2">
                  <c:v>0.4</c:v>
                </c:pt>
                <c:pt idx="3">
                  <c:v>0.05</c:v>
                </c:pt>
              </c:numCache>
            </c:numRef>
          </c:val>
          <c:extLst>
            <c:ext xmlns:c16="http://schemas.microsoft.com/office/drawing/2014/chart" uri="{C3380CC4-5D6E-409C-BE32-E72D297353CC}">
              <c16:uniqueId val="{00000000-6DE5-4E46-A006-013CADEA24A6}"/>
            </c:ext>
          </c:extLst>
        </c:ser>
        <c:dLbls>
          <c:showLegendKey val="0"/>
          <c:showVal val="1"/>
          <c:showCatName val="0"/>
          <c:showSerName val="0"/>
          <c:showPercent val="0"/>
          <c:showBubbleSize val="0"/>
        </c:dLbls>
        <c:gapWidth val="219"/>
        <c:axId val="88104320"/>
        <c:axId val="88159360"/>
      </c:barChart>
      <c:catAx>
        <c:axId val="8810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8159360"/>
        <c:crosses val="autoZero"/>
        <c:auto val="1"/>
        <c:lblAlgn val="ctr"/>
        <c:lblOffset val="100"/>
        <c:noMultiLvlLbl val="0"/>
      </c:catAx>
      <c:valAx>
        <c:axId val="88159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81043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solidFill>
            <a:schemeClr val="tx1"/>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4497-5EB8-4B14-A0EA-02A9F506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133</Pages>
  <Words>69021</Words>
  <Characters>393425</Characters>
  <Application>Microsoft Office Word</Application>
  <DocSecurity>0</DocSecurity>
  <Lines>3278</Lines>
  <Paragraphs>923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Tarbuk</dc:creator>
  <cp:keywords/>
  <dc:description/>
  <cp:lastModifiedBy>Јелена Томашевић</cp:lastModifiedBy>
  <cp:revision>67</cp:revision>
  <cp:lastPrinted>2021-02-03T15:33:00Z</cp:lastPrinted>
  <dcterms:created xsi:type="dcterms:W3CDTF">2021-02-07T15:25:00Z</dcterms:created>
  <dcterms:modified xsi:type="dcterms:W3CDTF">2021-03-01T09:36:00Z</dcterms:modified>
</cp:coreProperties>
</file>