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275C" w14:textId="77777777" w:rsidR="00F47C7A" w:rsidRPr="00387DA1" w:rsidRDefault="00F47C7A" w:rsidP="00387DA1">
      <w:pPr>
        <w:pStyle w:val="bold"/>
        <w:spacing w:before="0" w:beforeAutospacing="0" w:after="120" w:afterAutospacing="0"/>
        <w:jc w:val="center"/>
        <w:rPr>
          <w:b/>
          <w:bCs/>
          <w:color w:val="000000"/>
          <w:lang w:val="sr-Cyrl-RS"/>
        </w:rPr>
      </w:pPr>
      <w:r w:rsidRPr="00387DA1">
        <w:rPr>
          <w:rStyle w:val="bold1"/>
          <w:b/>
          <w:bCs/>
          <w:color w:val="000000"/>
          <w:lang w:val="sr-Cyrl-RS"/>
        </w:rPr>
        <w:t>ПРОГРАМ ДРЖАВНОГ СТРУЧНОГ ИСПИТА</w:t>
      </w:r>
    </w:p>
    <w:p w14:paraId="5644DF58" w14:textId="77777777" w:rsidR="00F47C7A" w:rsidRPr="00387DA1" w:rsidRDefault="00F47C7A" w:rsidP="00387DA1">
      <w:pPr>
        <w:pStyle w:val="clan"/>
        <w:spacing w:before="0" w:beforeAutospacing="0" w:after="120" w:afterAutospacing="0"/>
        <w:jc w:val="center"/>
        <w:rPr>
          <w:color w:val="000000"/>
          <w:lang w:val="sr-Cyrl-RS"/>
        </w:rPr>
      </w:pPr>
      <w:r w:rsidRPr="00387DA1">
        <w:rPr>
          <w:color w:val="000000"/>
          <w:lang w:val="sr-Cyrl-RS"/>
        </w:rPr>
        <w:t>ЗА КАНДИДАТЕ СА ВИСОКИМ ОБРАЗОВАЊЕМ</w:t>
      </w:r>
    </w:p>
    <w:p w14:paraId="2B391487" w14:textId="77777777" w:rsidR="00F47C7A" w:rsidRPr="00387DA1" w:rsidRDefault="00F47C7A" w:rsidP="00387DA1">
      <w:pPr>
        <w:pStyle w:val="bold"/>
        <w:spacing w:before="0" w:beforeAutospacing="0" w:after="120" w:afterAutospacing="0"/>
        <w:jc w:val="center"/>
        <w:rPr>
          <w:b/>
          <w:bCs/>
          <w:color w:val="000000"/>
          <w:lang w:val="sr-Cyrl-RS"/>
        </w:rPr>
      </w:pPr>
      <w:r w:rsidRPr="00387DA1">
        <w:rPr>
          <w:rStyle w:val="bold1"/>
          <w:b/>
          <w:bCs/>
          <w:color w:val="000000"/>
          <w:lang w:val="sr-Cyrl-RS"/>
        </w:rPr>
        <w:t>Уставно уређење</w:t>
      </w:r>
    </w:p>
    <w:p w14:paraId="47D5458D"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Појам и материја Устава. Почеци и развој уставности у Србији до 1918. године. Уставност у првој југословенској држави. Уставност у другој југословенској држави. Уставност у трећој југословенској држави.</w:t>
      </w:r>
    </w:p>
    <w:p w14:paraId="5BDA0923"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Уставна преамбула. Начела Устава. Република Србија. Носиоци суверености. Владавина права. Подела власти. Политичке странке. Забрана сукоба интереса. Грб, застава и химна. Територија и граница. Главни град. Језик и писмо. Световност државе. Покрајинска аутономија и локална самоуправа. Заштита држављана и Срба у иностранству. Заштита националних мањина. Равноправност полова. Међународни односи. Положај странаца.</w:t>
      </w:r>
    </w:p>
    <w:p w14:paraId="569D7887"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Људска и мањинска права и слободе – основна начела, непосредна примена зајемчених права, сврха уставних јемстава, ограничења људских и мањинских права, забрана дискриминације и заштита људских и мањинских права и слобода. Право на достојанство и слободан развој личности. Право на живот. Право на неповредивост физичког и психичког интегритета. Забрана ропства, положаја сличног ропству и принудног рада. Право на слободу и безбедност. Уставни режим лишења слободе – поступање са лицима лишеним слободе и допунска права у случају лишења слободе без одлуке суда. Уставни режим притвора. Право на правично суђење. Посебна права окривљеног. Правна сигурност у оквиру казненог права. Право на рехабилитацију и накнаду штете. Право на једнаку заштиту права и на правно средство. Право на правну личност. Право на држављанство. Слобода кретања. Неповредивост стана. Тајност писама и других средстава општења. Заштита података о личности. Слобода мисли, савести и вероисповести. Положај цркава и верских заједница. Приговор савести. Слобода мишљења и изражавања. Слобода изражавања националне припадности. Подстицање уважавања разлика. Забрана изазивања расне, националне и верске мржње. Слобода медија. Право на обавештеност. Изборно право. Право на учешће у управљању јавним пословима. Слобода окупљања. Слобода удруживања. Право на петицију. Право на уточиште. Право на имовину. Право наслеђивања. Уставни режим права на рад и права на штрајк. Уставни режим породично-правне заштите – право на закључење брака и равноправност супружника, слобода одлучивања о рађању, права детета, права и дужности родитеља, правна заштита породице, мајке, самохраног родитеља и детета. Право на правну помоћ. Уставни режим здравствене и социјалне заштите – здравствена заштита, социјална заштита, пензијско осигурање. Право на образовање, аутономија универзитета и слобода научног и уметничког стварања. Право на здраву животну средину. Посебна права припадника националних мањина.</w:t>
      </w:r>
    </w:p>
    <w:p w14:paraId="7225B3B3"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 xml:space="preserve">Економско уређење и јавне финансије. Надлежност Републике Србије. Положај и надлежности Народне скупштине. Састав Народне скупштине – избор народних посланика и конституисање Народне скупштине, положај народних посланика. Имунитет народног посланика. Начин рада и одлучивања у Народној скупштини. Заседања Народне скупштине. Право предлагања закона. Референдум. Распуштање Народне скупштине. Положај и надлежности председника Републике. Проглашење закона. Избор, мандат, замењивање председника Републике и престанак мандата председника Републике. Положај, надлежност, одговорност и састав Владе. Избор и трајање мандата Владе. Интерпелација. Гласање о неповерењу Влади или члану Владе. Гласање о поверењу Влади. Оставка председника </w:t>
      </w:r>
      <w:r w:rsidRPr="00387DA1">
        <w:rPr>
          <w:color w:val="000000"/>
          <w:lang w:val="sr-Cyrl-RS"/>
        </w:rPr>
        <w:lastRenderedPageBreak/>
        <w:t>Владе и разрешење и оставка члана Владе. Уставни положај државне управе. Уставни положај Заштитника грађана. Војска Србије. Судови – начела судства. Врсте судова – судски систем. Избор судија и престанак судијске функције. Високи савет судства. Јавно тужилаштво – положај, надлежност, оснивање и организација. Врховни јавни тужилац. Главни јавни тужиоци и јавни тужиоци. Систем одговорности у јавном тужилаштву. Високи савет тужилаштва. Уставни суд – положај и надлежности. Поступак оцене уставности и законитости и уставна жалба. Састав Уставног суда, избор и именовање судија Уставног суда и престанак дужности судије Уставног суда.</w:t>
      </w:r>
    </w:p>
    <w:p w14:paraId="2B6BC002"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Уставне основе територијалне организације Републике Србије. Аутономне покрајине – појам, оснивање и територија аутономне покрајине. Положај и надлежности аутономних покрајина. Финансијска аутономија и правни акти аутономне покрајине. Локална самоуправа – појам, оснивање, надлежности, органи, правни акти и надзор над радом. Месна самоуправа. Сарадња и удруживање локалне самоуправе. Заштита локалне самоуправе. Финансирање локалне самоуправе.</w:t>
      </w:r>
    </w:p>
    <w:p w14:paraId="5FB1C871"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Хијерархија правних аката. Објављивање закона и других општих аката и забрана њиховог повратног дејства. Законитост управе. Језик поступка. Ванредно стање. Ратно стање. Промена Устава.</w:t>
      </w:r>
    </w:p>
    <w:p w14:paraId="42638E56" w14:textId="77777777" w:rsidR="00F47C7A" w:rsidRPr="00387DA1" w:rsidRDefault="00F47C7A" w:rsidP="00387DA1">
      <w:pPr>
        <w:pStyle w:val="bold"/>
        <w:spacing w:before="120" w:beforeAutospacing="0" w:after="120" w:afterAutospacing="0"/>
        <w:jc w:val="center"/>
        <w:rPr>
          <w:b/>
          <w:bCs/>
          <w:color w:val="000000"/>
          <w:lang w:val="sr-Cyrl-RS"/>
        </w:rPr>
      </w:pPr>
      <w:r w:rsidRPr="00387DA1">
        <w:rPr>
          <w:rStyle w:val="bold1"/>
          <w:b/>
          <w:bCs/>
          <w:color w:val="000000"/>
          <w:lang w:val="sr-Cyrl-RS"/>
        </w:rPr>
        <w:t>Систем државне управе</w:t>
      </w:r>
    </w:p>
    <w:p w14:paraId="005859AE"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Извршна власт у Републици Србији. Положај Владе. Састав Владе и положај чланова Владе. Избор Владе – почетак и престанак мандата Владе. Уређење Владе – Кабинет председника Владе и кабинет потпредседника Владе, савети председника Владе, Генерални секретаријат Владе, Службе Владе, радна тела Владе. Акти Владе. Однос Владе са народном скупштином и председником Републике. Положај државне управе. Послови државне управе. Начела деловања органа државне управе. Уређење органа државне управе – врсте органа државне управе, образовање органа државне управе и руковођење у органима државне управе. Унутрашње уређење органа државне управе. Прописи које доносе органи државне управе. Управни окрузи. Унутрашњи надзор. Управна инспекција. Инспекцијски надзор. Поверавање послова државне управе. Сукоб надлежности, решавање о жалби, изузеће. Однос органа државне управе са другим органима. Јавност рада и односи са грађанима. Службена употреба језика и писама. Електронска управа. Начела електронске управе. Портал еУправа.</w:t>
      </w:r>
    </w:p>
    <w:p w14:paraId="587512EB"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Плански систем Републике Србије. Јавне агенције. Заштитник грађана. Принципи добре управе. Повереник за информације од јавног значаја и заштиту података о личности. Слободан приступ информацијама од јавног значаја. Заштита података о личности. Повереник за заштиту равноправности. Општа забрана дискриминације. Облици дискриминације. Посебни случајеви дискриминације. Политика једнаких могућности заснованих на полу. Агенција за спречавање корупције – правни положај, надлежност и органи Агенције, сукоб интереса, неспојивост послова са вршењем јавне функције, кумулација јавних функција, поклони, пријављивање имовине и прихода, јачање интегритета. Државна ревизорска институција – оснивање, правни положај, надлежност, организација и начин рада.</w:t>
      </w:r>
    </w:p>
    <w:p w14:paraId="1E63AFBF" w14:textId="77777777" w:rsidR="00F47C7A" w:rsidRPr="00387DA1" w:rsidRDefault="00F47C7A" w:rsidP="00387DA1">
      <w:pPr>
        <w:pStyle w:val="bold"/>
        <w:spacing w:before="120" w:beforeAutospacing="0" w:after="120" w:afterAutospacing="0"/>
        <w:jc w:val="center"/>
        <w:rPr>
          <w:b/>
          <w:bCs/>
          <w:color w:val="000000"/>
          <w:lang w:val="sr-Cyrl-RS"/>
        </w:rPr>
      </w:pPr>
      <w:r w:rsidRPr="00387DA1">
        <w:rPr>
          <w:rStyle w:val="bold1"/>
          <w:b/>
          <w:bCs/>
          <w:color w:val="000000"/>
          <w:lang w:val="sr-Cyrl-RS"/>
        </w:rPr>
        <w:t>Управни поступак и управни спор</w:t>
      </w:r>
    </w:p>
    <w:p w14:paraId="7159E33D"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 xml:space="preserve">Појам управног поступка. Појам управне ствари. Врсте управног поступка. Основна начела управног поступка. Управно поступање. Управни акт. Гарантни акт. Управни уговор. Управне радње. Пружање јавних услуга. Основна правила поступка. Учесници у </w:t>
      </w:r>
      <w:r w:rsidRPr="00387DA1">
        <w:rPr>
          <w:color w:val="000000"/>
          <w:lang w:val="sr-Cyrl-RS"/>
        </w:rPr>
        <w:lastRenderedPageBreak/>
        <w:t>управном поступку. Надлежност органа. Овлашћено службено лице и одговорност овлашћеног службеног лица. Сарадња и службена помоћ. Странка у управном поступку и њено заступање. Општење органа и странака. Начин општења. Поднесци. Записници. Разгледање списа и обавештавање о току поступка. Обавештавање. Поступци обавештавања. Рокови. Трошкови поступка. Првостепени поступак – покретање поступка и захтеви странака, начин покретања поступка, тренутак покретања поступка, одбацивање захтева странке, захтев да се призна својство странке, покретање поступка и јавно саопштење и спајање управних ствари у један поступак, измена захтева, одустанак од захтева и последице одустанка, поравнање. Прекид поступка. Обустављање поступка. Ток поступка до доношења решења – начин утврђивања чињеница у поступку, дужност органа да прибави податке по службеној дужности,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непосредно одлучивање, привремене мере, испитни поступак, претходно питање, усмена расправа. Доказивање – доказивање чињеница, извођење доказа пред замољеним органом, исправе, сведоци, вештачење, тумачи, увиђај, изјаве странке, обезбеђење доказа. Решење и закључак. Појам решења. Решење колегијалног органа. Заједничко решење. Делимично, допунско и привремено решење. Облици и делови решења. Исправљање грешака у решењу. Рок за издавање решења. Закључак. Правна средства. Приговор. Жалба. Поступање првостепеног органа по жалби. Поступање другостепеног органа по жалби. Посебни случајеви укидања и мењања решења. Понављање поступка. Поништавање коначног решења. Укидање решења. Поништавање, укидање и мењање правноснажног решења на препоруку Заштитника грађана. Правне последице поништавања и укидања решења. Извршење. Вођење евиденција о решавању у управним стварима. Електронско управно поступање – успостављање електронског управног поступања органа, пријем електронског поднеска, електронско достављање, потврда о електронској достави.</w:t>
      </w:r>
    </w:p>
    <w:p w14:paraId="206F857C"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Појам и предмет управног спора. Надлежност и састав суда. Странке у управном спору. Предмет управног спора. Покретање спора. Претходни поступак. Утврђивање чињеница. Судске одлуке. Ванредна правна средства. Извршење пресуде.</w:t>
      </w:r>
    </w:p>
    <w:p w14:paraId="7160B64B" w14:textId="77777777" w:rsidR="00F47C7A" w:rsidRPr="00387DA1" w:rsidRDefault="00F47C7A" w:rsidP="00387DA1">
      <w:pPr>
        <w:pStyle w:val="bold"/>
        <w:spacing w:before="120" w:beforeAutospacing="0" w:after="120" w:afterAutospacing="0"/>
        <w:jc w:val="center"/>
        <w:rPr>
          <w:b/>
          <w:bCs/>
          <w:color w:val="000000"/>
          <w:lang w:val="sr-Cyrl-RS"/>
        </w:rPr>
      </w:pPr>
      <w:r w:rsidRPr="00387DA1">
        <w:rPr>
          <w:rStyle w:val="bold1"/>
          <w:b/>
          <w:bCs/>
          <w:color w:val="000000"/>
          <w:lang w:val="sr-Cyrl-RS"/>
        </w:rPr>
        <w:t>Канцеларијско пословање</w:t>
      </w:r>
    </w:p>
    <w:p w14:paraId="263E49B1"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Општа и основна питања канцеларијског пословања: појам канцеларијског пословања, значај и улога канцеларијског пословања, прописи којима је регулисано канцеларијско пословање органа државне управе. Обухват канцеларијског пословања. Основни појмови канцеларијског пословања.</w:t>
      </w:r>
    </w:p>
    <w:p w14:paraId="3E9DDB40"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Писарница и Систем за управљање документима. Послови администратора органа. Шифарник категорија документарног материјала. Класификација предмета. Класификација предмета по материји. Каталог поступака.</w:t>
      </w:r>
    </w:p>
    <w:p w14:paraId="48F0F8D2"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 xml:space="preserve">Подношење, предаја и пријем поднеска. Пријем документарног материјала. Пријем документарног материјала електронским путем. Непосредан пријем документарног материјала. Пријем документарног материјала преко поштанског оператора. Потврда о пријему поднеска. Вођење евиденције предмета. Евидентирање предмета. Дигитализација поднеска. Одлагање документарног материјала примљеног у папирном облику. Здруживање документарног материјала. Достављање предмета у рад – достављање предмета у рад у оквиру писарнице, рад на предмету. Начин достављања документарног материјала. Чување документарног материјала – архивирање и чување предмета, издвајање </w:t>
      </w:r>
      <w:r w:rsidRPr="00387DA1">
        <w:rPr>
          <w:color w:val="000000"/>
          <w:lang w:val="sr-Cyrl-RS"/>
        </w:rPr>
        <w:lastRenderedPageBreak/>
        <w:t>безвредног документарног материјала ради уништавања, архивирање документарног материјала у папирном облику.</w:t>
      </w:r>
    </w:p>
    <w:p w14:paraId="5F867092"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Размена документарног материјала између органа.</w:t>
      </w:r>
    </w:p>
    <w:p w14:paraId="43997A8A"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Послови у непосредној вези са канцеларијским пословањем: облик и садржина поднеска, неуредна поднесак, телефонске изјаве странке и забелешка у спису, акт, надзор над применом прописа о канцеларијском пословању, поступак са актима и предметима који садрже тајне податке и ознаку степена тајности, поступак са актима који подлежу таксирању.</w:t>
      </w:r>
    </w:p>
    <w:p w14:paraId="71FED061"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Канцеларијско пословање у судовима. Канцеларијско пословање у јавном тужилаштву. Канцеларијско пословање у органима за вођење прекршајног поступка. Канцеларијско пословање у установама за извршење кривичних санкција.</w:t>
      </w:r>
    </w:p>
    <w:p w14:paraId="578D07AE" w14:textId="77777777" w:rsidR="00F47C7A" w:rsidRPr="00387DA1" w:rsidRDefault="00F47C7A" w:rsidP="00387DA1">
      <w:pPr>
        <w:pStyle w:val="bold"/>
        <w:spacing w:before="120" w:beforeAutospacing="0" w:after="120" w:afterAutospacing="0"/>
        <w:jc w:val="center"/>
        <w:rPr>
          <w:b/>
          <w:bCs/>
          <w:color w:val="000000"/>
          <w:lang w:val="sr-Cyrl-RS"/>
        </w:rPr>
      </w:pPr>
      <w:r w:rsidRPr="00387DA1">
        <w:rPr>
          <w:rStyle w:val="bold1"/>
          <w:b/>
          <w:bCs/>
          <w:color w:val="000000"/>
          <w:lang w:val="sr-Cyrl-RS"/>
        </w:rPr>
        <w:t>Радно законодавство</w:t>
      </w:r>
    </w:p>
    <w:p w14:paraId="586C9486"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Извори радног права. Међународни извори радног права. Унутрашњи извори радног права. Међусобни однос закона, колективног уговора, правилника о раду и уговора о раду.</w:t>
      </w:r>
    </w:p>
    <w:p w14:paraId="588AAB40"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Радни односи у државним органима. Појам државних службеника и намештеника. Послодавац државних службеника и намештеника. Примена општих прописа о раду и посебног колективног уговора. Начела деловања државних службеника. Права и дужности државних службеника. Спречавање сукоба интереса. Врсте радних места државних службеника. Попуњавање слободних радних места. Престанак рада на положају. Вредновање радне успешности. Напредовање државних службеника. Премештај државних службеника због потребе рада. Стручно усавршавање и оспособљавање. Одговорност државних службеника. Престанак радног односа. Права државних службеника при промени уређења државних органа. Одлучивање о правима и дужностима државних службеника. Уређење кадровског система. Служба за управљање кадровима. Кадровске евиденције. Високи службенички савет. Кодекс понашања државних службеника. Посебна правила о намештеницима. Надлежност управне инспекције над спровођењем прописа о државним службеницима. Плате државних службеника и намештеника.</w:t>
      </w:r>
    </w:p>
    <w:p w14:paraId="5AD89688"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Радни односи у органима аутономних покрајина и јединицама локалне самоуправе. Појам запослених. Послодавац запослених. Начела деловања службеника. Права и дужности службеника. Врсте радних места службеника. Трајање радног односа. Попуњавање радних места. Премештај службеника. Стручно усавршавање и оспособљавање. Оцењивање службеника и кретање у служби. Дисциплинска одговорност службеника. Одговорност службеника за штету. Престанак радног односа. Престанак потреба за радом службеника. Заштита права службеника. Кодекс понашања службеника и намештеника. Посебна правила о намештеницима. Управљање људским ресурсима у локалној самоуправи. Посебне надлежности и овлашћења органа, служби и организација Аутономне покрајине Војводине. Надлежност управне инспекције над спровођењем прописа о запосленима у аутономним покрајинама и јединицама локалне самоуправе.</w:t>
      </w:r>
    </w:p>
    <w:p w14:paraId="4213C8E8"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Општи прописи о раду (Закон о раду) – основна права и обавезе и забрана дискриминације. Заснивање радног односа Уговор о правима и обавезама директора. Образовање, стручно оспособљавање и усавршавање. Радно време. Одмори и одсуства. Заштита запослених. Зарада, накнада зараде и друга примања. Права запослених код промене послодавца. Удаљење запосленог са рада. Престанак радног односа. Рад ван радног односа. Организације запослених и послодаваца. Колективни уговори. Надлежност инспекције рада над спровођењем општих прописа о раду.</w:t>
      </w:r>
    </w:p>
    <w:p w14:paraId="0C0F3C88"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lastRenderedPageBreak/>
        <w:t>Једнаке могућности запошљавања по основу пола (једнака доступност послова и положаја по основу пола, заснивање радног односа и радно ангажовање по основу пола, распоређивање и напредовање по основу пола, једнака зарада за исти рад или рад једнаке вредности по основу пола, узнемиравање, сексуално узнемиравање и сексуално уцењивање, престанак радног односа и радног ангажовања по основу пола).</w:t>
      </w:r>
    </w:p>
    <w:p w14:paraId="3F91F57D"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Социјално осигурање. Пензијско и инвалидско осигурање. Осигурање за случај незапослености. Здравствено осигурање.</w:t>
      </w:r>
    </w:p>
    <w:p w14:paraId="5D838C35" w14:textId="77777777" w:rsidR="00F47C7A" w:rsidRPr="00387DA1" w:rsidRDefault="00F47C7A" w:rsidP="00387DA1">
      <w:pPr>
        <w:pStyle w:val="bold"/>
        <w:spacing w:before="120" w:beforeAutospacing="0" w:after="120" w:afterAutospacing="0"/>
        <w:jc w:val="center"/>
        <w:rPr>
          <w:b/>
          <w:bCs/>
          <w:color w:val="000000"/>
          <w:lang w:val="sr-Cyrl-RS"/>
        </w:rPr>
      </w:pPr>
      <w:r w:rsidRPr="00387DA1">
        <w:rPr>
          <w:rStyle w:val="bold1"/>
          <w:b/>
          <w:bCs/>
          <w:color w:val="000000"/>
          <w:lang w:val="sr-Cyrl-RS"/>
        </w:rPr>
        <w:t>Основи система Европске уније</w:t>
      </w:r>
    </w:p>
    <w:p w14:paraId="1AA6B841"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Специфичности Европске уније (ЕУ) као субјекта у међународним односима. Државе чланице и државе кандидати за пријем у чланство ЕУ. Ваневропске земље и територије које су придружене ЕУ.</w:t>
      </w:r>
    </w:p>
    <w:p w14:paraId="08F757C7"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Историјат развоја европских интеграционих процеса – настанак европских заједница. Оснивачки акти ЕУ. Реформски уговор ЕУ (Лисабонски уговор). Оснивачки уговори ЕУ који су на снази. Поступак у вези са изменама и допунама уговора на којима се заснива ЕУ. Органи ЕУ. Делокруг Европског савета. Делокруг Европског парламента. Делокруг Савета ЕУ (Савет министара). Делокруг Европске комисије. Делокруг Европске централне банке. Делокруг Европске инвестиционе банке. Делокруг Ревизорског суда. Надлежност Европског суда правде. Заједничке додирне тачке ЕУ и Савета Европе као регионалних европских организација. Поступак припреме прописа ЕУ. Улога Комитета сталних представника у фази припреме прописа. Улога Економског и социјалног комитета и Регионалног комитета у поступку припремања одлука. Улога специјализованих комитета у поступку припремања одлука. Процедуре за доношење прописа ЕУ. Улога система посебних тела у поступку извршења прописа (комитологија). Право ЕУ. Примарни извори права ЕУ. Секундарни извори права ЕУ. Прописи и други акти које доносе органи ЕУ. Примена права ЕУ и улога Европског суда правде. Правне тековине Заједнице. Структура ЕУ (области и питања о којима се одлучује, односно утврђују заједничке политике у ЕУ). Садржина тзв. Првог стуба ЕУ. Садржина тзв. Другог стуба ЕУ. Садржина тзв. Трећег стуба ЕУ. Стицање статуса придружене чланице (споразум о стабилизацији и придруживању и привремени – прелазни споразум). Критеријуми за пријем у чланство ЕУ. Поступак за стицање статуса чланице ЕУ.</w:t>
      </w:r>
    </w:p>
    <w:p w14:paraId="13EF2FAF" w14:textId="77777777" w:rsidR="00F47C7A" w:rsidRPr="00387DA1" w:rsidRDefault="00F47C7A" w:rsidP="00387DA1">
      <w:pPr>
        <w:pStyle w:val="basic-paragraph"/>
        <w:spacing w:before="0" w:beforeAutospacing="0" w:after="0" w:afterAutospacing="0"/>
        <w:ind w:firstLine="475"/>
        <w:jc w:val="both"/>
        <w:rPr>
          <w:color w:val="000000"/>
          <w:lang w:val="sr-Cyrl-RS"/>
        </w:rPr>
      </w:pPr>
      <w:r w:rsidRPr="00387DA1">
        <w:rPr>
          <w:color w:val="000000"/>
          <w:lang w:val="sr-Cyrl-RS"/>
        </w:rPr>
        <w:t>Национална документа којима се уређује процес приступања Републике Србије Европској унији. Фазе у процесу приступања. Коришћење међународне помоћи.</w:t>
      </w:r>
    </w:p>
    <w:sectPr w:rsidR="00F47C7A" w:rsidRPr="00387D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29F3" w14:textId="77777777" w:rsidR="00B43F1E" w:rsidRDefault="00B43F1E" w:rsidP="007E4284">
      <w:pPr>
        <w:spacing w:after="0" w:line="240" w:lineRule="auto"/>
      </w:pPr>
      <w:r>
        <w:separator/>
      </w:r>
    </w:p>
  </w:endnote>
  <w:endnote w:type="continuationSeparator" w:id="0">
    <w:p w14:paraId="77469F66" w14:textId="77777777" w:rsidR="00B43F1E" w:rsidRDefault="00B43F1E" w:rsidP="007E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F2EF" w14:textId="77777777" w:rsidR="007E4284" w:rsidRDefault="007E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54406242"/>
      <w:docPartObj>
        <w:docPartGallery w:val="Page Numbers (Bottom of Page)"/>
        <w:docPartUnique/>
      </w:docPartObj>
    </w:sdtPr>
    <w:sdtEndPr>
      <w:rPr>
        <w:noProof/>
      </w:rPr>
    </w:sdtEndPr>
    <w:sdtContent>
      <w:p w14:paraId="030DB409" w14:textId="52CF36C9" w:rsidR="007E4284" w:rsidRPr="007E4284" w:rsidRDefault="007E4284">
        <w:pPr>
          <w:pStyle w:val="Footer"/>
          <w:jc w:val="right"/>
          <w:rPr>
            <w:rFonts w:ascii="Times New Roman" w:hAnsi="Times New Roman" w:cs="Times New Roman"/>
          </w:rPr>
        </w:pPr>
        <w:r w:rsidRPr="007E4284">
          <w:rPr>
            <w:rFonts w:ascii="Times New Roman" w:hAnsi="Times New Roman" w:cs="Times New Roman"/>
          </w:rPr>
          <w:fldChar w:fldCharType="begin"/>
        </w:r>
        <w:r w:rsidRPr="007E4284">
          <w:rPr>
            <w:rFonts w:ascii="Times New Roman" w:hAnsi="Times New Roman" w:cs="Times New Roman"/>
          </w:rPr>
          <w:instrText xml:space="preserve"> PAGE   \* MERGEFORMAT </w:instrText>
        </w:r>
        <w:r w:rsidRPr="007E4284">
          <w:rPr>
            <w:rFonts w:ascii="Times New Roman" w:hAnsi="Times New Roman" w:cs="Times New Roman"/>
          </w:rPr>
          <w:fldChar w:fldCharType="separate"/>
        </w:r>
        <w:r w:rsidRPr="007E4284">
          <w:rPr>
            <w:rFonts w:ascii="Times New Roman" w:hAnsi="Times New Roman" w:cs="Times New Roman"/>
            <w:noProof/>
          </w:rPr>
          <w:t>2</w:t>
        </w:r>
        <w:r w:rsidRPr="007E4284">
          <w:rPr>
            <w:rFonts w:ascii="Times New Roman" w:hAnsi="Times New Roman" w:cs="Times New Roman"/>
            <w:noProof/>
          </w:rPr>
          <w:fldChar w:fldCharType="end"/>
        </w:r>
      </w:p>
    </w:sdtContent>
  </w:sdt>
  <w:p w14:paraId="4C0290D0" w14:textId="77777777" w:rsidR="007E4284" w:rsidRPr="007E4284" w:rsidRDefault="007E4284">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90DC" w14:textId="77777777" w:rsidR="007E4284" w:rsidRDefault="007E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43F0" w14:textId="77777777" w:rsidR="00B43F1E" w:rsidRDefault="00B43F1E" w:rsidP="007E4284">
      <w:pPr>
        <w:spacing w:after="0" w:line="240" w:lineRule="auto"/>
      </w:pPr>
      <w:r>
        <w:separator/>
      </w:r>
    </w:p>
  </w:footnote>
  <w:footnote w:type="continuationSeparator" w:id="0">
    <w:p w14:paraId="776F04AD" w14:textId="77777777" w:rsidR="00B43F1E" w:rsidRDefault="00B43F1E" w:rsidP="007E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9C87" w14:textId="77777777" w:rsidR="007E4284" w:rsidRDefault="007E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DF6" w14:textId="77777777" w:rsidR="007E4284" w:rsidRDefault="007E4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D674" w14:textId="77777777" w:rsidR="007E4284" w:rsidRDefault="007E4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7A"/>
    <w:rsid w:val="00387DA1"/>
    <w:rsid w:val="007E4284"/>
    <w:rsid w:val="00820858"/>
    <w:rsid w:val="00B43F1E"/>
    <w:rsid w:val="00D07E31"/>
    <w:rsid w:val="00F4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08CC"/>
  <w15:chartTrackingRefBased/>
  <w15:docId w15:val="{17AE4592-5A9C-4156-AF25-1FE61A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F47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F47C7A"/>
  </w:style>
  <w:style w:type="paragraph" w:customStyle="1" w:styleId="clan">
    <w:name w:val="clan"/>
    <w:basedOn w:val="Normal"/>
    <w:rsid w:val="00F47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F47C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84"/>
  </w:style>
  <w:style w:type="paragraph" w:styleId="Footer">
    <w:name w:val="footer"/>
    <w:basedOn w:val="Normal"/>
    <w:link w:val="FooterChar"/>
    <w:uiPriority w:val="99"/>
    <w:unhideWhenUsed/>
    <w:rsid w:val="007E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Rakić</dc:creator>
  <cp:keywords/>
  <dc:description/>
  <cp:lastModifiedBy>Jasmina Benmansur</cp:lastModifiedBy>
  <cp:revision>4</cp:revision>
  <dcterms:created xsi:type="dcterms:W3CDTF">2023-06-22T13:28:00Z</dcterms:created>
  <dcterms:modified xsi:type="dcterms:W3CDTF">2023-07-06T12:13:00Z</dcterms:modified>
</cp:coreProperties>
</file>