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A" w:rsidRPr="005514DA" w:rsidRDefault="005514DA" w:rsidP="005514DA">
      <w:pPr>
        <w:pBdr>
          <w:bottom w:val="single" w:sz="4" w:space="4" w:color="4F81BD"/>
        </w:pBdr>
        <w:spacing w:before="200" w:after="28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65F91"/>
          <w:sz w:val="26"/>
          <w:szCs w:val="26"/>
          <w:lang w:val="sr-Cyrl-RS"/>
        </w:rPr>
      </w:pPr>
      <w:bookmarkStart w:id="0" w:name="_GoBack"/>
      <w:bookmarkEnd w:id="0"/>
      <w:r w:rsidRPr="005514DA">
        <w:rPr>
          <w:rFonts w:ascii="Times New Roman" w:eastAsia="Calibri" w:hAnsi="Times New Roman" w:cs="Times New Roman"/>
          <w:b/>
          <w:bCs/>
          <w:iCs/>
          <w:color w:val="365F91"/>
          <w:sz w:val="26"/>
          <w:szCs w:val="26"/>
          <w:lang w:val="sr-Cyrl-RS"/>
        </w:rPr>
        <w:t xml:space="preserve">Стручни скуп ''Здравство за будућност - реформе у служби пружања јавних услуга по мери грађана'' </w:t>
      </w:r>
    </w:p>
    <w:p w:rsidR="005514DA" w:rsidRPr="005514DA" w:rsidRDefault="005514DA" w:rsidP="005514DA">
      <w:pPr>
        <w:pBdr>
          <w:bottom w:val="single" w:sz="4" w:space="4" w:color="4F81BD"/>
        </w:pBdr>
        <w:spacing w:before="200" w:after="28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val="sr-Cyrl-RS"/>
        </w:rPr>
        <w:t>- закључци и препоруке -</w:t>
      </w:r>
    </w:p>
    <w:p w:rsidR="005514DA" w:rsidRPr="005514DA" w:rsidRDefault="005514DA" w:rsidP="005514DA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Министарство државне управе и локалне самоуправе и Министарство здравља, у сарадњи са Центром за примењене европске студије, а уз подршку Фондације за отворено друштво, организовало су 24. марта 2016. године стручни скуп „Здравство за будућност - реформе у служби пружања јавних услуга по мери грађана“ у Палати Србија. Циљ скупа је био да се са кључним заинтересованим странама утврде најважнији проблеми са којима се суочава сектор здравства у свом функционисању и пружању услуга грађанима, као и да се предложе стратешка решења и приоритетне активности за наредни период. </w:t>
      </w:r>
      <w:r w:rsidR="00D77E5F">
        <w:rPr>
          <w:rFonts w:ascii="Times New Roman" w:eastAsia="Calibri" w:hAnsi="Times New Roman" w:cs="Times New Roman"/>
          <w:sz w:val="24"/>
          <w:szCs w:val="24"/>
          <w:lang w:val="sr-Cyrl-RS"/>
        </w:rPr>
        <w:t>Учешће на скупу је узело преко 7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0 заинтересованих страна из државног и приватног сектора, академске заједнице и цивилног друштва. У овом документу су представљени закључци и препоруке до којих се дошло на скупу, као и теме о којима је потребно даље дискутовати.</w:t>
      </w:r>
    </w:p>
    <w:p w:rsidR="005514DA" w:rsidRPr="005514DA" w:rsidRDefault="005514DA" w:rsidP="005514DA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Скуп је отворен презентацијом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''Ефикаснија и ефективнија употреба средстава која се издвајају за здравство у РС''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коју су одржали експерти Светске банке Тимоти Џонсон и Фернандо Монтенегро Торес. Они су представили прелиминарне резултате функционалне анализе здравства, као и одређене податке везане за перформансе здравственог система у Србији: значајан раст незаразних болести у последњих 25 година које се притом не контролишу довољно (приказан је пример хипертензије); јачање превентиве и двоструко већи број превентивних испитивања у </w:t>
      </w:r>
      <w:r w:rsidRPr="005514D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периоду 2006-2013; идентификација ризичних група пацијената и стопе скрининга знатно испод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просека ЕУ. Показано је и да су укупна издвајања за здравство у Србији (приказана као % БДП-а) убедљиво највиша у односу на просек ЕУ28, просек земаља Западног Балкана или просек свих земаља са вишим средњим дохотком у које Светска банка убраја и Србију. При томе, скоро трећину тих издвајања чине плаћања из џепа грађана која су се у последњих 20 година више него двоструко повећала. Што се тиче функционалне анализе, експерти Светске банке су дали прелиминарне резултате досадашњих анализа: плате запослених представљају највећи удео у буџету свих здравствених инситуција; 85% трошкова су текући трошкови; немедицинско особље чини око 25% укупног особља у домовима здравља и општим болницама, док у развијеним земљама овај удео износи 13% - смањење за 10% у уделу немедицинског особља би довело до 3,4% уштеда у расходима за зараде; постоје велике варијације у ефикасности међу различитим институцијама, што значи да постоји значајан простор за унапређење код неких. </w:t>
      </w:r>
    </w:p>
    <w:p w:rsidR="005514DA" w:rsidRPr="005514DA" w:rsidRDefault="005514DA" w:rsidP="005514DA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Другу уводну презентацију -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''Интегрисани информациони здравствени систем у Македонији''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одржала је колегиница из Македоније Маријана Несковска. Она је приказала позитивне ефекте које је увођење интегрисаног информационог здравственог система имало, као што су – једноставније заказивање термина у здравственим инсистуцијама, лакше прописивање рецепата, боља доступност здравственог система за пацијенте; успешније планирање кадровских капацитета и финансијсих средстава; боља основа за анализе и унапређење ефикасности система. </w:t>
      </w:r>
    </w:p>
    <w:p w:rsidR="005514DA" w:rsidRPr="005514DA" w:rsidRDefault="005514DA" w:rsidP="005514DA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Након уводних презентација, уследила је дискусија учесника о различитим темама из тематског оквира за дискусију. У наставку је кратак преглед најважнијих </w:t>
      </w: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исечака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дискусије, а потом </w:t>
      </w: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 xml:space="preserve">препоруке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које су сачињене на основу онога што се могло чути како у дискусионом, тако и у презентационом делу. </w:t>
      </w:r>
    </w:p>
    <w:p w:rsidR="005514DA" w:rsidRPr="00A228CA" w:rsidRDefault="00A228CA" w:rsidP="005514D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RS"/>
        </w:rPr>
        <w:t>Рекли су</w:t>
      </w:r>
      <w:r w:rsidR="005514DA" w:rsidRPr="005514D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RS"/>
        </w:rPr>
        <w:t>:</w:t>
      </w:r>
    </w:p>
    <w:p w:rsidR="005514DA" w:rsidRPr="005514DA" w:rsidRDefault="005514DA" w:rsidP="00A228C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реформи здравственог система: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Нема реформе здравства без реформе економског система. 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Реформа мора бити дефинисана одговорношћу учесника.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Реформа не сме да престаје, то је један контиинуиран процес. Чак и када би постојао идеални модел, он би такође морао да се ремоделира и стално прилагођава.</w:t>
      </w:r>
    </w:p>
    <w:p w:rsidR="00AB5B7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5B7A">
        <w:rPr>
          <w:rFonts w:ascii="Times New Roman" w:eastAsia="Calibri" w:hAnsi="Times New Roman" w:cs="Times New Roman"/>
          <w:sz w:val="24"/>
          <w:szCs w:val="24"/>
          <w:lang w:val="sr-Cyrl-RS"/>
        </w:rPr>
        <w:t>„Реформе“ код грађана имају негативну конотацију (фрустрација, неповерење, и сл.).</w:t>
      </w:r>
    </w:p>
    <w:p w:rsidR="005514DA" w:rsidRPr="00AB5B7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5B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Развој здравства треба да буде једна од приоритетних тема државне политке. У том циљу је важно израдити дугорочну  стратегију  здравства  чија ће имплементација бити континуирана и деполитизована.  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Потребна је реформа примарне здравствене заштите у функцији растерећења  секундарне  и терцијарне здравствене заштите.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Када планирамо реформу, морамо имати на уму депопулацију и старење становништва, као и однос броја запослених према броју пензионера. 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Стоматолошка струка и наука мора бити више укључена у промишљања о реформи.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координацији и сарадњи унутар и ван здравственог система: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Веома је важно јачати сарадњу између различитих инситуција и успостављати мреже.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Одговорност за здравље треба поделити и на остатак друштва, јер она не треба да буде само на здравственом систему.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Здравље мора бити у свим политикама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(по узору на ЕУ).  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укључивању приватног сектора: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Укључивање приватног сектора је потребно и пожељно, али оно мора бити планирано и контролисано. Пример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лоше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праксе: Мађарска.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Мора се опрезно израчунати колико би коштала интеграција приватне праксе.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Један од начина да се приватне здравствене установе уведу у систем јесте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допунско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осигурање.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Тренутно се ради лична карта приватног сектора по моделу који је похваљен од ЕУ.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Формира се радна група за питање потпуне приватизације апотека и рехабилитационих центара.</w:t>
      </w:r>
    </w:p>
    <w:p w:rsidR="00467E36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Одређене услуге се већ пружају од стране приватног сектора – вештачка оплодња и катаракта. Тренутно се прати које су још услуге дефицитарне у државном систему.</w:t>
      </w:r>
      <w:r w:rsidR="00467E36" w:rsidRPr="00467E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514DA" w:rsidRPr="00467E36" w:rsidRDefault="00467E36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E36">
        <w:rPr>
          <w:rFonts w:ascii="Times New Roman" w:eastAsia="Calibri" w:hAnsi="Times New Roman" w:cs="Times New Roman"/>
          <w:sz w:val="24"/>
          <w:szCs w:val="24"/>
          <w:lang w:val="sr-Cyrl-RS"/>
        </w:rPr>
        <w:t>Уговарањем са приватним сектором скратиће се листе чекања.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Пребацивање одређених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немедицинских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услуга приватном сектору - треба и почело је.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Потребно укључити приватну праксу у процес измена законодавног оквира.</w:t>
      </w:r>
    </w:p>
    <w:p w:rsidR="005514DA" w:rsidRPr="005514DA" w:rsidRDefault="005514DA" w:rsidP="00A228C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Ради се на и томе како укључити приватну стоматологију у систем.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Поставити исте услове за државне и приватне апотеке. Приватне апотеке су пре неколико година самостално ушле у уговарање са РФЗО и постале нелојална конкуренција државним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апотекама које су већ имале своје стратегије, систем менаџмента, политику квалитета, безбедности и заштите на раду, као и јасну стратегију социјалне и друштвене одговорности. Овај пример треба искористити за анализу разлога за и против увођења приватног сектора у друге делове система.</w:t>
      </w:r>
    </w:p>
    <w:p w:rsidR="005514DA" w:rsidRPr="005514DA" w:rsidRDefault="005514DA" w:rsidP="005514DA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управљању: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Осмислити и усвојити механизме за професионализацију у управљању здравственим системом,  пружити аутономију, извршити  деполитизацију и смањити флуктуације.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питању централизација-децентрализација, важно је не бити исхитрен. Само зато што негде на пример није добро прошла децентрализација, не значи да због тога треба да се иде у супртоном смеру. Али, да ли смо потпуно спремни за децентрализацију? 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Тренутни систем је хибридни – није ни централизован ни децентрализован. Примарном здравственом заштитом управља локал, а финансира је република. Влада неодговорно понашање и дугови се константно нагомилавају (нарочито према веледрогеријама). 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Увођење информационих система неопходно је како би се обезбедиле информације за управљање системом, раздвојио рад од нерада, евидентирали трошкови и направила адекватнија подела посла, а самим тим и повецао квалитет услуга.  Ускоро почиње да ради интегрисани информациони здравствени систем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mojdoktor.gov.rs, а за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хроничне болеснике ће се увести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e-рецепт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и.  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Потребно је спустити одговорност на нижи ниво (на домове здравља) и увести редовно извештавање ка Министарству здравља.</w:t>
      </w:r>
    </w:p>
    <w:p w:rsidR="005514DA" w:rsidRPr="005514DA" w:rsidRDefault="005514DA" w:rsidP="005514DA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финансирању: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Реформа здравства не може без реформе здравственог осигурања. 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Неопходно је мапирање и скрининг финансирања здравства за почетак.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Треба размишљати о фондовима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допунског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осигурања, јер је одрживост система рада РФЗО као јединог фонда под знаком питања у будућности. Допунско осигурање би био начин да се прошири пакет услуга које систем пружа и начин да се приватне здравствене установе уведу у систем.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Ненаменско трошење средстава је корен проблема финансирања, а он потиче из лошег система управљања.  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Увести индивидуалну одговорност када се због нестручности или зле намере средства потроше за погрешне сврхе.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Национални здравствени рачун (метод Светске банке) је из неког разлога потискиван од свог увођења до данас, а помогао би да имамо увид у финансије и функционисање система. Фискални рачуни су такође престали да се користе. Зашто се не користе?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Када је увођена капитација у примарној здравственој заштити, капитациона формула није препозната у дијалогу са синдикатима, те је направљена ''фризирана капитација''.</w:t>
      </w:r>
    </w:p>
    <w:p w:rsidR="005514DA" w:rsidRPr="005514DA" w:rsidRDefault="005514DA" w:rsidP="00A228CA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12F64">
        <w:rPr>
          <w:rFonts w:ascii="Times New Roman" w:eastAsia="Calibri" w:hAnsi="Times New Roman" w:cs="Times New Roman"/>
          <w:sz w:val="24"/>
          <w:szCs w:val="24"/>
          <w:lang w:val="sr-Cyrl-RS"/>
        </w:rPr>
        <w:t>Биће отпора код увођења ДРГ метода</w:t>
      </w:r>
      <w:r w:rsidR="0041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(финансирање</w:t>
      </w:r>
      <w:r w:rsidR="00412F64" w:rsidRPr="0041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дијагностички сродним групама)</w:t>
      </w:r>
      <w:r w:rsidRPr="0041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секундарној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здравственој заштити, али то ће се урадити – његова имплементација је веома важна.</w:t>
      </w:r>
    </w:p>
    <w:p w:rsid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228CA" w:rsidRDefault="00A228C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228CA" w:rsidRPr="005514DA" w:rsidRDefault="00A228C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lastRenderedPageBreak/>
        <w:t>О капацитетима: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Морају се јачати институције у здравственом систему. Пројекти који долазе споља не успевају да се импламентирају у сам систем, управо због недостатка капацитета у систему да их трајно интегрише, те они остају недовршени или бивају потпуно заборављени.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Треба и детектовати капацитете који имају потенцијал, а који се не користе довољно. На пример - Здравствени савет Србије. Да ли он има улогу какву заслужује? Какви су његови услови за рад?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Иако постоје одређени капацитети у МЗ</w:t>
      </w:r>
      <w:r w:rsidR="00D4670D">
        <w:rPr>
          <w:rFonts w:ascii="Times New Roman" w:eastAsia="Calibri" w:hAnsi="Times New Roman" w:cs="Times New Roman"/>
          <w:sz w:val="24"/>
          <w:szCs w:val="24"/>
        </w:rPr>
        <w:t>,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потребно је јачати остале капацитете. Посебно  је озбиљан проблем капацитета на локалу, где је потребно радити на њиховом разумевањуњу своје улоге у здравственој заштити и преузмању одговорности за исту. </w:t>
      </w:r>
    </w:p>
    <w:p w:rsidR="005514DA" w:rsidRPr="005514DA" w:rsidRDefault="005514DA" w:rsidP="005514DA">
      <w:pPr>
        <w:ind w:left="720" w:hanging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запосленима: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Укупно имамо више запослених у здравству него упоредиве земље, али мање када се гледа медицински кадар. Потребно појачати капацитете у одређеним специјализацијама. Постоје начини да држава акутно помогне – релаксирање критеријума за запошљавање медицинског кадра, лакше запошљавање нових при одласку у пензију старих лекара, као и финсирање специјализације (ово је већ почело прошле године).</w:t>
      </w:r>
    </w:p>
    <w:p w:rsidR="005514DA" w:rsidRPr="00ED22A2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Потребно подмладити медицински кадар. То је делом урађено недавним скра</w:t>
      </w:r>
      <w:r w:rsidR="0041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ћивањем стажа и специјализације, које је било првенствено подстакнуто потребом за попуњавањем упражњених места сепцијалиста који су отишли из земље. </w:t>
      </w:r>
      <w:r w:rsidR="00B519D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Побољшати статус лекара и средњемедицинског кадра. У претходном периоду су урушени услови рада, лични дохоци и заштита лекара на радном месту.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Неопходно смањити немедицински кадар, тј. ''вратити здравство здравственим радницима''. Тренутно немедицински кадар чини 23,5% запослености у сектору. Радити на његовом смањивању, како модернизацијом процеса, тако и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outsource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-ингом што ширег спектра немедицинских послова, уз дефинисање транспарентних критеријума за отпуштање (отпуштање је већ почело и критеријуми се поштују).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Најбољи одлазе - потребна стратегија за задржавање најбољих.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Неки лекари усмеравају пацијенте на приватни сектор. У опасности смо да имамо два система - систем за богате и систем за сиромашне.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Усагласити Закон о раду, Закон о здравственој заштити и Закон о здравственом осигурању, заједно са подзаконским актима. Неусаглашеност ових аката често прави проблеме.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Ускладити кадровску политику са Министарством просвете. Покренута инцијатива од стране Стоматолошке коморе да се формира радна група за креирање уписне политике.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платном систему направити јасну дистинкцију између занимања у зависности од места тј. садржаја рада (нпр. медицинска сестра у дому здравља и у ургентном центру ). Разлика треба да постоји и у плати и у стимулацији. 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Лекарима уредити плате тако да имају фиксни и варијабилни део, како би се разграничио рад и нерад.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 w:hanging="45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корисницима услуга – пацијентима:</w:t>
      </w:r>
    </w:p>
    <w:p w:rsidR="005514DA" w:rsidRPr="00412F64" w:rsidRDefault="005514DA" w:rsidP="00A228C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412F64">
        <w:rPr>
          <w:rFonts w:ascii="Times New Roman" w:eastAsia="Calibri" w:hAnsi="Times New Roman" w:cs="Times New Roman"/>
          <w:sz w:val="24"/>
          <w:szCs w:val="24"/>
          <w:lang w:val="sr-Cyrl-RS"/>
        </w:rPr>
        <w:t>Док се не скрате листе чекања и не промени однос лекар-пацијент, пацијенти неће осетити никакву реформу.</w:t>
      </w:r>
      <w:r w:rsidR="00414AE5" w:rsidRPr="00412F64">
        <w:rPr>
          <w:rFonts w:ascii="Times New Roman" w:eastAsia="Calibri" w:hAnsi="Times New Roman" w:cs="Times New Roman"/>
          <w:bCs/>
          <w:iCs/>
          <w:color w:val="FF0000"/>
          <w:sz w:val="26"/>
          <w:szCs w:val="26"/>
          <w:lang w:val="sr-Cyrl-RS"/>
        </w:rPr>
        <w:t xml:space="preserve"> </w:t>
      </w:r>
    </w:p>
    <w:p w:rsidR="005514DA" w:rsidRPr="005514DA" w:rsidRDefault="005514DA" w:rsidP="00A228C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Грађани имају перцепцију да су доприноси за здравствено осигурање високи, а нису свесни колико тај износ заправо не може да покрије све трошкове здравствене заштите, нарочито имајући у виду да има оних који не плаћају здравствено осигурање, а користе здравствене услуге. Важно је подићи свест и обавештеност у овом аспекту. </w:t>
      </w:r>
    </w:p>
    <w:p w:rsidR="00826171" w:rsidRDefault="005514DA" w:rsidP="00A228C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61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јавности је слика здравства у Србији представљена горе него што у стварности јесте, јер медији извештавају само о негативним стварима. </w:t>
      </w:r>
    </w:p>
    <w:p w:rsidR="005514DA" w:rsidRPr="00826171" w:rsidRDefault="005514DA" w:rsidP="00A228C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6171">
        <w:rPr>
          <w:rFonts w:ascii="Times New Roman" w:eastAsia="Calibri" w:hAnsi="Times New Roman" w:cs="Times New Roman"/>
          <w:sz w:val="24"/>
          <w:szCs w:val="24"/>
          <w:lang w:val="sr-Cyrl-RS"/>
        </w:rPr>
        <w:t>Пацијенти морају постати свесни чињенице да је одговорност за здравље подељена између здравственг система и њих самих, а не да је цела на здравственом систему.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услугама:</w:t>
      </w:r>
    </w:p>
    <w:p w:rsidR="005514DA" w:rsidRPr="005514DA" w:rsidRDefault="005514DA" w:rsidP="00A228CA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Програм превенције и скрининга морају постати приоритет. У Србији се више пажње посвећује куративи, уместо да се фокус стави на превентиву и изгради систем за промоцију здравља. Потребно обезбедити изворе финансирања за јачање превентиве и скрининга и планирати време ангажовања медицинског особља из ових области. </w:t>
      </w:r>
    </w:p>
    <w:p w:rsidR="005514DA" w:rsidRPr="005514DA" w:rsidRDefault="005514DA" w:rsidP="00A228CA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Дијагностика је скупа и увек се говори о њеним високим трошковима, али, на том пољу има пуно простора за смањивање трошкова, а уз повећање квалитета услуга. </w:t>
      </w:r>
    </w:p>
    <w:p w:rsidR="005514DA" w:rsidRPr="005514DA" w:rsidRDefault="005514DA" w:rsidP="00A228CA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Обим права на здравствене услуге дефинисан законом је превелик за буџетом опредељена средства. Било би добро дефинисати пакет обавезног здравствених услуга, уз могућност проширења пакета допунским осигурањем.</w:t>
      </w:r>
    </w:p>
    <w:p w:rsidR="005514DA" w:rsidRPr="005514DA" w:rsidRDefault="005514DA" w:rsidP="00A228CA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Како решити питање стоматологије? Шта треба да чини пакет стоматолошких услуга? Парадокс је да они који највише уплаћују у фонд (запослени) немају право да користе средства фонда у стоматолошком лечењу.</w:t>
      </w:r>
    </w:p>
    <w:p w:rsidR="005514DA" w:rsidRPr="005514DA" w:rsidRDefault="005514DA" w:rsidP="00A228CA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Програм превенције оралних болести деце, омладине и жена у трудноћи усвојен  2008. године се још увек не спроводи. Требало је да га спроводи ''Батут'', са годишњим извештавањем ка Минситарству здравља и Медицинском факултету, али извештаја нема. Апел да овај програм почне да се спроводи. 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лековима: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Потребна јасна дистинкција између лека као прозивода за здравље и лека као обичне робе. Фармацеути су маргинализовани губитком те дистинкције и свођењем на „трговину“ лековима као обичном робом.</w:t>
      </w:r>
    </w:p>
    <w:p w:rsidR="005514DA" w:rsidRPr="005514DA" w:rsidRDefault="005514DA" w:rsidP="00A228C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Тренутно се ради на поновном увођењу иновативних лекова на тржиште.</w:t>
      </w:r>
    </w:p>
    <w:p w:rsidR="005514DA" w:rsidRPr="005514DA" w:rsidRDefault="005514DA" w:rsidP="005514DA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A228C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О апотекама и фармацеутима: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Потребна промена законског оквира – Апотекарска комора управо подноси инцијативу за доношење „закона о апотекарству“, који постоји у свим другим здравственим системима. 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Фармацеути су недовољно искоришћени ресурси у систему. Имамо укупно 6.027 дипломираних фармацеута који желе да дају свој допринос и поделе одговорност за здравље становништва са осталим деловима система, али их систем не препознаје довољно.</w:t>
      </w:r>
    </w:p>
    <w:p w:rsidR="005514DA" w:rsidRPr="005514DA" w:rsidRDefault="005514DA" w:rsidP="00A228C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Апотеке су најпосећеније здравствене установе у које иду и пацијенти који су већ посетили лекара и они који из неког разлога не оду код лекара. У апотекама нема листи чекања, што значи да су апотекари најдоступнији здравствени радници. Не зна се колико тачно има апотека у Србији (негде око 2.500), те је потребно прво направити регистар апотека.</w:t>
      </w:r>
    </w:p>
    <w:p w:rsidR="005514DA" w:rsidRPr="005514DA" w:rsidRDefault="005514DA" w:rsidP="005514DA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A228CA" w:rsidRDefault="00A228CA" w:rsidP="005514DA">
      <w:pPr>
        <w:spacing w:before="200" w:after="28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5514DA" w:rsidRPr="005514DA" w:rsidRDefault="005514DA" w:rsidP="005514DA">
      <w:pPr>
        <w:spacing w:before="200" w:after="28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На основу дискусија учесника и уводних презентација, изведене су следеће најважније</w:t>
      </w:r>
    </w:p>
    <w:p w:rsidR="005514DA" w:rsidRPr="005514DA" w:rsidRDefault="005514DA" w:rsidP="005514DA">
      <w:pPr>
        <w:jc w:val="center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val="sr-Cyrl-RS"/>
        </w:rPr>
      </w:pPr>
    </w:p>
    <w:p w:rsidR="005514DA" w:rsidRDefault="005514DA" w:rsidP="005514D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RS"/>
        </w:rPr>
      </w:pPr>
      <w:r w:rsidRPr="005514D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RS"/>
        </w:rPr>
        <w:t>П Р Е П О Р У КЕ</w:t>
      </w:r>
    </w:p>
    <w:p w:rsidR="00C6470B" w:rsidRPr="00C6470B" w:rsidRDefault="00C6470B" w:rsidP="005514DA">
      <w:pPr>
        <w:jc w:val="center"/>
        <w:rPr>
          <w:rFonts w:ascii="Times New Roman" w:eastAsia="Calibri" w:hAnsi="Times New Roman" w:cs="Times New Roman"/>
          <w:b/>
          <w:i/>
          <w:sz w:val="8"/>
          <w:szCs w:val="8"/>
          <w:u w:val="single"/>
          <w:lang w:val="sr-Cyrl-RS"/>
        </w:rPr>
      </w:pPr>
    </w:p>
    <w:p w:rsidR="00D77E5F" w:rsidRPr="00C6470B" w:rsidRDefault="00C6470B" w:rsidP="00D77E5F">
      <w:pPr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C6470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СТРАТЕШКО ПЛАНИРАЊЕ: КАПАЦИТЕТИ, ПРИОРИТЕТИ И РАЗВОЈНИ ЦИЉЕВИ </w:t>
      </w:r>
    </w:p>
    <w:p w:rsidR="00BC28F3" w:rsidRPr="005514DA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Подићи свест грађана о важности очувања здравља, превенцији и раном откривању болести. Јасно послати поруку да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одговорност за здравље делимо сви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 здравље треба да буде у свим политикама. Такође, повећати обавештеност грађана о здравственим услугама које систем нуди и резултатима које постиже.</w:t>
      </w:r>
    </w:p>
    <w:p w:rsidR="005514DA" w:rsidRPr="005514DA" w:rsidRDefault="005514DA" w:rsidP="005514D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tabs>
          <w:tab w:val="left" w:pos="540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Израдити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дугорочну стратегију здравства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чија ће имплементација бити континуирана и деполитизована. У стратегију укључити и стоматол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огију, која се често изоставља.</w:t>
      </w:r>
    </w:p>
    <w:p w:rsidR="00BC28F3" w:rsidRPr="00BC28F3" w:rsidRDefault="00BC28F3" w:rsidP="00BC28F3">
      <w:pPr>
        <w:tabs>
          <w:tab w:val="left" w:pos="5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B2252" w:rsidRPr="009B2252" w:rsidRDefault="00BC28F3" w:rsidP="009B2252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Усагласити Закон о раду, Закон о здравственој заштити и Закон о здравственом осигурању.</w:t>
      </w:r>
    </w:p>
    <w:p w:rsidR="009B2252" w:rsidRDefault="009B2252" w:rsidP="009B2252">
      <w:pPr>
        <w:pStyle w:val="ListParagraph"/>
        <w:tabs>
          <w:tab w:val="left" w:pos="540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B2252" w:rsidRPr="009B2252" w:rsidRDefault="009B2252" w:rsidP="009B2252">
      <w:pPr>
        <w:pStyle w:val="ListParagraph"/>
        <w:numPr>
          <w:ilvl w:val="0"/>
          <w:numId w:val="28"/>
        </w:numPr>
        <w:tabs>
          <w:tab w:val="left" w:pos="540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647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Укључити </w:t>
      </w:r>
      <w:r w:rsidRPr="00C647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приватну праксу у процес измена законодавног оквира.</w:t>
      </w:r>
    </w:p>
    <w:p w:rsidR="00BC28F3" w:rsidRPr="009737AD" w:rsidRDefault="00BC28F3" w:rsidP="00BC28F3">
      <w:pPr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tabs>
          <w:tab w:val="left" w:pos="540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Акценат ставити на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реформу примарне здравствене заштите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, како би се растеретиле секундарна и терцијарна здравствена заштита.</w:t>
      </w:r>
    </w:p>
    <w:p w:rsidR="00BC28F3" w:rsidRDefault="00BC28F3" w:rsidP="00BC28F3">
      <w:pPr>
        <w:tabs>
          <w:tab w:val="left" w:pos="5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Јачати програме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превентиве и скрининга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, као и програме промоције здравља.</w:t>
      </w:r>
    </w:p>
    <w:p w:rsidR="00C6470B" w:rsidRPr="005514DA" w:rsidRDefault="00C6470B" w:rsidP="00C6470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6470B" w:rsidRPr="005514DA" w:rsidRDefault="00C6470B" w:rsidP="00C6470B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Донети одлуку о централизацији-децентрализацији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. Тренутно имамо хибридни модел који не фунцкионише добро. Постоји тенденција да се систем рецентрализује, али, сагледати могућност остављања децентрализованог модела тамо где он функционише?</w:t>
      </w:r>
    </w:p>
    <w:p w:rsidR="00BC28F3" w:rsidRDefault="00BC28F3" w:rsidP="00BC28F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Осмислити механизме за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професионализацију у управљање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здравственим системом.</w:t>
      </w:r>
    </w:p>
    <w:p w:rsidR="00C6470B" w:rsidRPr="005514DA" w:rsidRDefault="00C6470B" w:rsidP="00C6470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6470B" w:rsidRPr="00C6470B" w:rsidRDefault="00C6470B" w:rsidP="00C6470B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Спустити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одговорност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нижи ниво (на локал и домове здравља) и увести индивидуалну одговорност запослених.</w:t>
      </w:r>
    </w:p>
    <w:p w:rsidR="00D77E5F" w:rsidRDefault="00D77E5F" w:rsidP="00D77E5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7E5F" w:rsidRPr="005514DA" w:rsidRDefault="00D77E5F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Имплементирати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интегрисани информациони здравствени систем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mojdoktor.gov.rs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пуном капацитету (тренутно почиње да ради у неким деловима Србије). </w:t>
      </w:r>
    </w:p>
    <w:p w:rsidR="00BC28F3" w:rsidRPr="005514DA" w:rsidRDefault="00BC28F3" w:rsidP="00BC28F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Јачати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капацитете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здравствених институција (нарочито на локалу) и детектовати капацитете који имају потенцијал који није искоришћен.</w:t>
      </w:r>
    </w:p>
    <w:p w:rsidR="00BC28F3" w:rsidRPr="005514DA" w:rsidRDefault="00BC28F3" w:rsidP="00BC28F3">
      <w:pPr>
        <w:tabs>
          <w:tab w:val="left" w:pos="5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5514DA" w:rsidRDefault="005514DA" w:rsidP="005514DA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Укључити приватни сектор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систем пружања здравствених установа, али водити рачуна да ово укључивање буде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промишљено и постепено, тј. контролисано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При планирању узети у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обзир научене лекције из интеграције приватних апотека у систем. Увођење приватног сектора планирати на три колосека:</w:t>
      </w:r>
    </w:p>
    <w:p w:rsidR="005514DA" w:rsidRPr="005514DA" w:rsidRDefault="005514DA" w:rsidP="005514DA">
      <w:pPr>
        <w:numPr>
          <w:ilvl w:val="0"/>
          <w:numId w:val="4"/>
        </w:numPr>
        <w:spacing w:after="160" w:line="259" w:lineRule="auto"/>
        <w:ind w:left="810"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потпуна приватизација одређених делова здравственог система</w:t>
      </w:r>
    </w:p>
    <w:p w:rsidR="005514DA" w:rsidRPr="005514DA" w:rsidRDefault="005514DA" w:rsidP="005514DA">
      <w:pPr>
        <w:numPr>
          <w:ilvl w:val="0"/>
          <w:numId w:val="4"/>
        </w:numPr>
        <w:spacing w:after="160" w:line="259" w:lineRule="auto"/>
        <w:ind w:left="810"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пружање одређених здравствених услуга од стране приватног сектора, уз плаћање из државног осигурања</w:t>
      </w:r>
    </w:p>
    <w:p w:rsidR="00D77E5F" w:rsidRPr="00414495" w:rsidRDefault="005514DA" w:rsidP="00D77E5F">
      <w:pPr>
        <w:numPr>
          <w:ilvl w:val="0"/>
          <w:numId w:val="4"/>
        </w:numPr>
        <w:spacing w:after="160" w:line="259" w:lineRule="auto"/>
        <w:ind w:left="810"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пребацивање одређених немедицинских послова приватном сектору</w:t>
      </w:r>
    </w:p>
    <w:p w:rsidR="00D77E5F" w:rsidRPr="00C6470B" w:rsidRDefault="00D77E5F" w:rsidP="005514DA">
      <w:pPr>
        <w:tabs>
          <w:tab w:val="left" w:pos="540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Pr="00C6470B" w:rsidRDefault="00D77E5F" w:rsidP="00BC28F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C6470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ФИНАНСИРАЊЕ И СИСТЕМ ОСИГУРАЊА</w:t>
      </w:r>
    </w:p>
    <w:p w:rsidR="00D77E5F" w:rsidRPr="00D77E5F" w:rsidRDefault="00D77E5F" w:rsidP="00BC28F3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BC28F3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Спровести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мапирање и скрининг финансирања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здравственог система, па размотрити увођење 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допунског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здравственог</w:t>
      </w:r>
      <w:r w:rsidRPr="005514D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осигурања.</w:t>
      </w:r>
    </w:p>
    <w:p w:rsidR="005514DA" w:rsidRPr="005514DA" w:rsidRDefault="005514DA" w:rsidP="00BC28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28F3" w:rsidRPr="005514DA" w:rsidRDefault="00BC28F3" w:rsidP="00BC28F3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Уредити систем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капитације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примарној здравственој заштити и завршити увођење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ДРГ метода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секундарној здравственој заштити.</w:t>
      </w:r>
    </w:p>
    <w:p w:rsidR="00C6470B" w:rsidRDefault="00C6470B" w:rsidP="00C6470B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414495" w:rsidRDefault="005514DA" w:rsidP="00414495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Направити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пакет обавезних услуга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које су покривене обавезним здравственим осигурањем. Размотрити могућност проширивања пакета уз увођење </w:t>
      </w:r>
      <w:r w:rsidRPr="005514DA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>допунског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осигурања.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514DA" w:rsidRPr="00C6470B" w:rsidRDefault="005514DA" w:rsidP="00BC28F3">
      <w:pPr>
        <w:contextualSpacing/>
        <w:jc w:val="both"/>
        <w:rPr>
          <w:rFonts w:ascii="Times New Roman" w:eastAsia="Calibri" w:hAnsi="Times New Roman" w:cs="Times New Roman"/>
          <w:sz w:val="8"/>
          <w:szCs w:val="8"/>
          <w:lang w:val="sr-Cyrl-RS"/>
        </w:rPr>
      </w:pPr>
    </w:p>
    <w:p w:rsidR="00D77E5F" w:rsidRDefault="00D77E5F" w:rsidP="00D77E5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D77E5F" w:rsidRPr="00C6470B" w:rsidRDefault="00C6470B" w:rsidP="00D77E5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C6470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ЗАПОСЛЕНИ</w:t>
      </w:r>
    </w:p>
    <w:p w:rsidR="00D77E5F" w:rsidRPr="00D77E5F" w:rsidRDefault="00D77E5F" w:rsidP="00D77E5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4DA" w:rsidRDefault="005514DA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Медицинско особље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подмладити кадар, повећати број запослених и број специјализација у дефицитарним струкама, релаксирати критеријуме за запошљавање, и олакшати попуњавање радних места која су упражњена услед пензионисања. </w:t>
      </w:r>
    </w:p>
    <w:p w:rsidR="00D77E5F" w:rsidRPr="00D77E5F" w:rsidRDefault="00D77E5F" w:rsidP="00D77E5F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7E5F" w:rsidRPr="00D77E5F" w:rsidRDefault="005514DA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Ускладити кадровску политику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са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уписном политиком, у сарадњи са Минисарством просвете.</w:t>
      </w:r>
    </w:p>
    <w:p w:rsidR="00C6470B" w:rsidRDefault="00C6470B" w:rsidP="00C6470B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Pr="00D77E5F" w:rsidRDefault="00D77E5F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7E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Креирати </w:t>
      </w:r>
      <w:r w:rsidRPr="00D77E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стратегију задржавања најбољих кадрова</w:t>
      </w:r>
      <w:r w:rsidRPr="00D77E5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7E5F" w:rsidRPr="005514DA" w:rsidRDefault="00D77E5F" w:rsidP="00D77E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Default="005514DA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Размотрити увођење фиксног и варијабилног дела плате лекара.</w:t>
      </w:r>
    </w:p>
    <w:p w:rsidR="005514DA" w:rsidRPr="005514DA" w:rsidRDefault="005514DA" w:rsidP="00D77E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14DA" w:rsidRDefault="005514DA" w:rsidP="005514DA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Размотрити начине за </w:t>
      </w: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боље искоришћење капацитета апотека и фармацеута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>. Најпре, направити регистар апотека и донети „закона о апотекарству“.</w:t>
      </w:r>
    </w:p>
    <w:p w:rsidR="00D77E5F" w:rsidRPr="005514DA" w:rsidRDefault="00D77E5F" w:rsidP="00D77E5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7E5F" w:rsidRPr="005514DA" w:rsidRDefault="00D77E5F" w:rsidP="00D77E5F">
      <w:pPr>
        <w:numPr>
          <w:ilvl w:val="0"/>
          <w:numId w:val="2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14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Немедицинско особље:</w:t>
      </w:r>
      <w:r w:rsidRPr="00551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наставити смањивање немедицинског особља и анализирати могућности outsource-инга одређених немедицинских послова, као и модернизације процеса, што такође смањује потребу за немедицинским особљем. </w:t>
      </w:r>
    </w:p>
    <w:p w:rsidR="005514DA" w:rsidRPr="005514DA" w:rsidRDefault="005514DA" w:rsidP="005514DA">
      <w:pPr>
        <w:spacing w:after="160" w:line="259" w:lineRule="auto"/>
        <w:rPr>
          <w:rFonts w:ascii="Calibri" w:eastAsia="Calibri" w:hAnsi="Calibri" w:cs="Times New Roman"/>
          <w:noProof w:val="0"/>
          <w:lang w:val="sr-Cyrl-RS"/>
        </w:rPr>
      </w:pPr>
    </w:p>
    <w:p w:rsidR="0018522B" w:rsidRDefault="00A228CA" w:rsidP="0041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28CA">
        <w:rPr>
          <w:rFonts w:ascii="Times New Roman" w:hAnsi="Times New Roman" w:cs="Times New Roman"/>
          <w:i/>
          <w:sz w:val="24"/>
          <w:szCs w:val="24"/>
          <w:lang w:val="sr-Cyrl-RS"/>
        </w:rPr>
        <w:t>Закључак:</w:t>
      </w:r>
    </w:p>
    <w:p w:rsidR="00A228CA" w:rsidRDefault="00632E63" w:rsidP="0041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495">
        <w:rPr>
          <w:rFonts w:ascii="Times New Roman" w:hAnsi="Times New Roman" w:cs="Times New Roman"/>
          <w:sz w:val="24"/>
          <w:szCs w:val="24"/>
          <w:lang w:val="sr-Cyrl-RS"/>
        </w:rPr>
        <w:t>Реформа здравственог система је неопходна</w:t>
      </w:r>
      <w:r w:rsidR="00414495" w:rsidRPr="00414495">
        <w:rPr>
          <w:rFonts w:ascii="Times New Roman" w:hAnsi="Times New Roman" w:cs="Times New Roman"/>
          <w:sz w:val="24"/>
          <w:szCs w:val="24"/>
          <w:lang w:val="sr-Cyrl-RS"/>
        </w:rPr>
        <w:t xml:space="preserve"> и првенствено треба да се огледа у реформи примарне здравствене заштите и </w:t>
      </w:r>
      <w:r w:rsidR="00414495">
        <w:rPr>
          <w:rFonts w:ascii="Times New Roman" w:hAnsi="Times New Roman" w:cs="Times New Roman"/>
          <w:sz w:val="24"/>
          <w:szCs w:val="24"/>
          <w:lang w:val="sr-Cyrl-RS"/>
        </w:rPr>
        <w:t xml:space="preserve">реформи система </w:t>
      </w:r>
      <w:r w:rsidR="00414495" w:rsidRPr="00414495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финансирања, а </w:t>
      </w:r>
      <w:r w:rsidR="00414495">
        <w:rPr>
          <w:rFonts w:ascii="Times New Roman" w:hAnsi="Times New Roman" w:cs="Times New Roman"/>
          <w:sz w:val="24"/>
          <w:szCs w:val="24"/>
          <w:lang w:val="sr-Cyrl-RS"/>
        </w:rPr>
        <w:t xml:space="preserve">да се базира </w:t>
      </w:r>
      <w:r w:rsidR="00414495" w:rsidRPr="0041449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414495">
        <w:rPr>
          <w:rFonts w:ascii="Times New Roman" w:hAnsi="Times New Roman" w:cs="Times New Roman"/>
          <w:sz w:val="24"/>
          <w:szCs w:val="24"/>
          <w:lang w:val="sr-Cyrl-RS"/>
        </w:rPr>
        <w:t>јачању превентиве и скрининга, постепеном и контролисаном укључивању</w:t>
      </w:r>
      <w:r w:rsidR="00414495" w:rsidRPr="00414495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приватног сектора,  јачању капацитета и повећању броја дефицитарних специјализација, и коначно, смањењу немедицинског особља.</w:t>
      </w:r>
    </w:p>
    <w:p w:rsidR="00F40A74" w:rsidRPr="00412F64" w:rsidRDefault="00412F64" w:rsidP="00F4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412F64">
        <w:rPr>
          <w:rFonts w:ascii="Times New Roman" w:hAnsi="Times New Roman" w:cs="Times New Roman"/>
          <w:noProof w:val="0"/>
          <w:sz w:val="24"/>
          <w:szCs w:val="24"/>
          <w:lang w:val="sr-Latn-CS"/>
        </w:rPr>
        <w:lastRenderedPageBreak/>
        <w:t>Како су скраћивање листа чекања и побољшање односа лекар-пацијент приоритетни захтеви грађана као корисника здравствених услуга, то је неопходно што пре увести информационе технологије у здравствени систем и  радити на његовој модернизацији. Све док се листе чекања не скр</w:t>
      </w:r>
      <w:r w:rsidRPr="00412F64">
        <w:rPr>
          <w:rFonts w:ascii="Times New Roman" w:eastAsia="Calibri" w:hAnsi="Times New Roman" w:cs="Times New Roman"/>
          <w:sz w:val="24"/>
          <w:szCs w:val="24"/>
          <w:lang w:val="sr-Cyrl-RS"/>
        </w:rPr>
        <w:t>ате и не промени однос лекара према пацијентима, пацијенти неће осетити никакву реформу.</w:t>
      </w:r>
    </w:p>
    <w:p w:rsidR="00412F64" w:rsidRDefault="0041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 организовати посебне стручне скупове на тему централизације-децентрализације, начина укључивања приватног сектора и могућности увођења</w:t>
      </w:r>
      <w:r w:rsidRPr="0041449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допунског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осигурања.</w:t>
      </w:r>
    </w:p>
    <w:p w:rsidR="00412F64" w:rsidRPr="00412F64" w:rsidRDefault="00412F64" w:rsidP="00412F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F64" w:rsidRDefault="00412F64" w:rsidP="00412F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2B6" w:rsidRPr="00412F64" w:rsidRDefault="00F032B6" w:rsidP="00412F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F64" w:rsidRPr="007D678B" w:rsidRDefault="00412F64" w:rsidP="00412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</w:t>
      </w:r>
    </w:p>
    <w:p w:rsidR="00412F64" w:rsidRPr="007D678B" w:rsidRDefault="00412F64" w:rsidP="00412F6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8B">
        <w:rPr>
          <w:rFonts w:ascii="Times New Roman" w:hAnsi="Times New Roman" w:cs="Times New Roman"/>
          <w:b/>
          <w:sz w:val="24"/>
          <w:szCs w:val="24"/>
        </w:rPr>
        <w:t>Коментари учесника пристигли након одржаног скупа:</w:t>
      </w:r>
    </w:p>
    <w:p w:rsidR="00412F64" w:rsidRPr="00412F64" w:rsidRDefault="00412F64" w:rsidP="00412F64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12F64" w:rsidRPr="00412F64" w:rsidRDefault="00412F64" w:rsidP="00412F64">
      <w:pPr>
        <w:pStyle w:val="ListParagraph"/>
        <w:numPr>
          <w:ilvl w:val="0"/>
          <w:numId w:val="34"/>
        </w:numPr>
        <w:spacing w:after="160" w:line="259" w:lineRule="auto"/>
        <w:ind w:left="36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12F64">
        <w:rPr>
          <w:rFonts w:ascii="Times New Roman" w:hAnsi="Times New Roman"/>
          <w:sz w:val="24"/>
          <w:szCs w:val="24"/>
          <w:u w:val="single"/>
          <w:lang w:val="sr-Cyrl-RS"/>
        </w:rPr>
        <w:t>Синдикат лекара и фармацеута Србије (СЛФС):</w:t>
      </w:r>
    </w:p>
    <w:p w:rsidR="00412F64" w:rsidRPr="00805F27" w:rsidRDefault="00412F64" w:rsidP="00412F64">
      <w:pPr>
        <w:spacing w:after="160" w:line="259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12F64" w:rsidRPr="00A64C6E" w:rsidRDefault="00412F64" w:rsidP="00412F64">
      <w:pPr>
        <w:spacing w:after="160" w:line="259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412F64" w:rsidRPr="00C6470B" w:rsidRDefault="00412F64" w:rsidP="00412F64">
      <w:pPr>
        <w:ind w:left="360"/>
        <w:rPr>
          <w:rFonts w:ascii="Times New Roman" w:hAnsi="Times New Roman"/>
          <w:i/>
          <w:sz w:val="24"/>
          <w:szCs w:val="24"/>
          <w:lang w:val="sr-Cyrl-RS"/>
        </w:rPr>
      </w:pPr>
      <w:r w:rsidRPr="00C6470B">
        <w:rPr>
          <w:rFonts w:ascii="Times New Roman" w:hAnsi="Times New Roman"/>
          <w:i/>
          <w:sz w:val="24"/>
          <w:szCs w:val="24"/>
          <w:lang w:val="sr-Cyrl-RS"/>
        </w:rPr>
        <w:t xml:space="preserve">СТРАТЕШКО ПЛАНИРАЊЕ: КАПАЦИТЕТИ, ПРИОРИТЕТИ И РАЗВОЈНИ ЦИЉЕВИ </w:t>
      </w:r>
    </w:p>
    <w:p w:rsidR="00412F64" w:rsidRPr="00A721A6" w:rsidRDefault="00412F64" w:rsidP="00412F64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>У радне групе за реформу здравственог система ОБАВЕЗНО укључити извршиоце посла (лекаре и медицинске сестре)</w:t>
      </w:r>
      <w:r>
        <w:rPr>
          <w:rFonts w:ascii="Times New Roman" w:hAnsi="Times New Roman"/>
          <w:noProof w:val="0"/>
          <w:sz w:val="24"/>
          <w:szCs w:val="24"/>
          <w:lang w:val="sr-Latn-CS"/>
        </w:rPr>
        <w:t>,</w:t>
      </w: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 xml:space="preserve"> с обзиром да они најбоље могу указати</w:t>
      </w:r>
      <w:r w:rsidRPr="00A721A6">
        <w:rPr>
          <w:rFonts w:ascii="Times New Roman" w:hAnsi="Times New Roman"/>
          <w:noProof w:val="0"/>
          <w:sz w:val="24"/>
          <w:szCs w:val="24"/>
          <w:lang w:val="sr-Cyrl-RS"/>
        </w:rPr>
        <w:t xml:space="preserve"> како</w:t>
      </w: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 xml:space="preserve"> на постојеће стање у здравству</w:t>
      </w:r>
      <w:r w:rsidRPr="00A721A6">
        <w:rPr>
          <w:rFonts w:ascii="Times New Roman" w:hAnsi="Times New Roman"/>
          <w:noProof w:val="0"/>
          <w:sz w:val="24"/>
          <w:szCs w:val="24"/>
          <w:lang w:val="sr-Cyrl-RS"/>
        </w:rPr>
        <w:t>, тако и на простор за унапређење</w:t>
      </w: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 xml:space="preserve">. Док је до сада </w:t>
      </w:r>
      <w:r w:rsidRPr="00A721A6">
        <w:rPr>
          <w:rFonts w:ascii="Times New Roman" w:hAnsi="Times New Roman"/>
          <w:noProof w:val="0"/>
          <w:sz w:val="24"/>
          <w:szCs w:val="24"/>
          <w:lang w:val="sr-Cyrl-RS"/>
        </w:rPr>
        <w:t xml:space="preserve">била </w:t>
      </w: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>пракса</w:t>
      </w:r>
      <w:r w:rsidRPr="00A721A6">
        <w:rPr>
          <w:rFonts w:ascii="Times New Roman" w:hAnsi="Times New Roman"/>
          <w:noProof w:val="0"/>
          <w:sz w:val="24"/>
          <w:szCs w:val="24"/>
          <w:lang w:val="sr-Cyrl-RS"/>
        </w:rPr>
        <w:t xml:space="preserve"> да у радним групама буду ангажовани они који ни не раде у здравственим установама. </w:t>
      </w:r>
      <w:r w:rsidRPr="00A721A6">
        <w:rPr>
          <w:rFonts w:ascii="Times New Roman" w:hAnsi="Times New Roman"/>
          <w:noProof w:val="0"/>
          <w:sz w:val="24"/>
          <w:szCs w:val="24"/>
          <w:lang w:val="sr-Latn-CS"/>
        </w:rPr>
        <w:t xml:space="preserve"> </w:t>
      </w:r>
    </w:p>
    <w:p w:rsidR="00412F64" w:rsidRPr="00A721A6" w:rsidRDefault="00412F64" w:rsidP="00412F64">
      <w:pPr>
        <w:pStyle w:val="ListParagraph"/>
        <w:spacing w:after="160" w:line="259" w:lineRule="auto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412F64" w:rsidRPr="00A721A6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A721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Синдикат лекара и фармацеута је спреман да из својих редова за сарадњу и рад у радним групама понуди лекаре који су упознати са стањем у здравственим установама. </w:t>
      </w:r>
    </w:p>
    <w:p w:rsidR="00412F64" w:rsidRPr="00A721A6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D92CC7" w:rsidRDefault="00412F64" w:rsidP="00D92CC7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A721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Ве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ћа сарадња, боља и одговорнија комуникација Министарства </w:t>
      </w:r>
      <w:r w:rsidRPr="00A721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здравља са свим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релевантним партнерима.</w:t>
      </w:r>
      <w:r w:rsidRPr="00A721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P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До сада, СЛФС је у више десетина дописа Министарству здравља указивао на проблеме у здравственом систему и нудио предлоге за решење. Нажалост, ни на један од ових дописа нам није одговорено, нити су наши  предлози за унапређење здравственог система, засновани на непосредном искуству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</w:t>
      </w:r>
      <w:r w:rsidRP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разматрани.  </w:t>
      </w:r>
    </w:p>
    <w:p w:rsidR="00412F64" w:rsidRPr="00B835CD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Default="00412F64" w:rsidP="00412F64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Неопходна је хитна реформа примарне здравствене заштите, јер је доказано да на доброј примарној здравственој заштити почива и добар здравствени систем. У том циљу, конкретно, најпре је неопходно: одредити максима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лан број осигураника по лекару и 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увести временске нормативе ради побољшања квалитета здравствених услуга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.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 </w:t>
      </w:r>
    </w:p>
    <w:p w:rsidR="00412F64" w:rsidRPr="00B835CD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B835CD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Када је у питању децентрализација, недопустиво је оставити у надлежност локалне самоуправе да самостално, без сагласности Министарства здравља отвара секторске 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амбуланте и здравствене станице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са пар стотина картона, док централни домови здравља остају са смањеним бројем лекара, и са недовољно кадра за пружање великог броја услуга. </w:t>
      </w:r>
    </w:p>
    <w:p w:rsidR="00412F64" w:rsidRDefault="00412F64" w:rsidP="00412F6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805F27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СЛФС  предлаже, а и раније је путем дописа предлагао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Министарству здравља да усвоји Правилник о начину отварања секторских амбуланти са тачно дефинисаним бројем осигураника 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који би према њима гравитирао, ш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то би поред боље услуге пацијентима, допринело и равномерној расподели послова између самих лекара. Тренутно, у унутрашњости Србије имамо по један централни дом здравља где се лечи 80% становника тог места. Док истовремено, имамо и  више десетина секторских амбуланти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које додатно коштају, а да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нису адекватно опремљене, многе чак немају ни рачунар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 па пацијенти опет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морају да одлазе по рецепт у централне установе.   </w:t>
      </w:r>
    </w:p>
    <w:p w:rsidR="00412F64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805F27" w:rsidRDefault="00412F64" w:rsidP="00412F64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Слажемо се са потребом стављања акцента  на превентивне услуге, с тим што је здравствену заштиту потребно организовати тако да се лекарима остави довољно времена да се баве превентивним р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адом. У овом тренутку 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и овако организованом здравственом систему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лекари су затрпани куративним прегледима и немају времена за превентивне прегледе. </w:t>
      </w:r>
    </w:p>
    <w:p w:rsidR="00412F64" w:rsidRPr="00B835CD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Default="00412F64" w:rsidP="00412F64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Скрининг прегледе је потребно посебно организовати, и у њих укључити локалну самоуправу, издвојити одређена средства и плаћати по услузи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- како се то већ ради у неким земљама.  </w:t>
      </w:r>
    </w:p>
    <w:p w:rsidR="00412F64" w:rsidRPr="00B835CD" w:rsidRDefault="00412F64" w:rsidP="00412F64">
      <w:pPr>
        <w:pStyle w:val="ListParagraph"/>
        <w:spacing w:after="24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Default="00412F64" w:rsidP="00412F64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Када је у питању приватна пракса, неопходно је дефинисати  услове под којима неко може радити и у државној и у приватној пракси. Тренутно је то недефинисано, па је уобичајно  да лекар ради и у државној и у приватној пракси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без обзира има ли изврше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ње у државној установи. Дешава се да 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осигураници који на прегед у здравственој установи чији је оснивач држава морају чекати месецима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на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преглед тог лекара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 док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у приватној пракси, за додатни новац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преглед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мог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 обавити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за пар дана.</w:t>
      </w:r>
    </w:p>
    <w:p w:rsidR="00412F64" w:rsidRPr="00B835CD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 </w:t>
      </w:r>
    </w:p>
    <w:p w:rsidR="00412F64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Latn-CS" w:eastAsia="sr-Latn-CS"/>
        </w:rPr>
        <w:t>Интегрисани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информациони здравствени систем ће извесно довести до унапређења здравственог система, али предуслови за то су пре свега: јединствена база подата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ка, умреженост,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добра техничка опскрбљеност и оспособљеност.</w:t>
      </w:r>
    </w:p>
    <w:p w:rsidR="00412F64" w:rsidRPr="00BE3D21" w:rsidRDefault="00412F64" w:rsidP="00412F64">
      <w:pPr>
        <w:pStyle w:val="ListParagraph"/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B835CD" w:rsidRDefault="00412F64" w:rsidP="00412F6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На основу података које добијамо са терена, где је већ започета примена интегрисаног информационог сиситема, добијамо информације да ти предуслови нису испуњени, да је систем спор, да логовање и заказивање прегледа траје и до двадесет минута, што и пацијентима и лекарима ствара додатне проблеме.  </w:t>
      </w:r>
    </w:p>
    <w:p w:rsidR="00412F64" w:rsidRDefault="00412F64" w:rsidP="00412F6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2918B7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СЛФС већ одавно предлаже увођење електронског рецепта ради смањења оптерећења изабраних лекара на примар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ном нивоу здравствене заштите. (Док смо раније </w:t>
      </w:r>
      <w:r w:rsidRPr="002918B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предлагали обновљив рецепт за хроничне болеснике, и даље сматрамо да би и то смањило гужве на примарном нивоу здравствене заштите.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)</w:t>
      </w:r>
    </w:p>
    <w:p w:rsidR="00412F64" w:rsidRDefault="00412F64" w:rsidP="00412F6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Лекар не сме бити оптерећен административним пословима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Latn-CS" w:eastAsia="sr-Latn-CS"/>
        </w:rPr>
        <w:t>,</w:t>
      </w:r>
      <w:r w:rsidRPr="00B835CD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и ти послови морају бити поједностављени  како би лекарима остало више времена за рад са пацијентима.</w:t>
      </w:r>
    </w:p>
    <w:p w:rsidR="00412F64" w:rsidRPr="002568A1" w:rsidRDefault="00412F64" w:rsidP="00412F64">
      <w:pPr>
        <w:pStyle w:val="ListParagraph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B835CD" w:rsidRDefault="00412F64" w:rsidP="00412F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Неопходно је радити на едукацији корисника здравствених услуга, свакако, упутити их на њихова права, али указати и на обавезе, радити на стварању односа пуног поверења и међусобног уважавања између лекара и пацијената.</w:t>
      </w:r>
    </w:p>
    <w:p w:rsidR="00412F64" w:rsidRPr="002568A1" w:rsidRDefault="00412F64" w:rsidP="00412F64">
      <w:pPr>
        <w:contextualSpacing/>
        <w:jc w:val="both"/>
        <w:rPr>
          <w:rFonts w:ascii="Times New Roman" w:hAnsi="Times New Roman"/>
          <w:i/>
          <w:sz w:val="24"/>
          <w:szCs w:val="24"/>
          <w:lang w:val="sr-Cyrl-RS"/>
        </w:rPr>
      </w:pPr>
    </w:p>
    <w:p w:rsidR="00412F64" w:rsidRPr="00805F27" w:rsidRDefault="00412F64" w:rsidP="00412F64">
      <w:pPr>
        <w:ind w:left="360"/>
        <w:contextualSpacing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6470B">
        <w:rPr>
          <w:rFonts w:ascii="Times New Roman" w:hAnsi="Times New Roman"/>
          <w:i/>
          <w:sz w:val="24"/>
          <w:szCs w:val="24"/>
          <w:lang w:val="sr-Cyrl-RS"/>
        </w:rPr>
        <w:lastRenderedPageBreak/>
        <w:t>ФИНАНСИРАЊЕ И СИСТЕМ ОСИГУРАЊА</w:t>
      </w:r>
    </w:p>
    <w:p w:rsidR="00412F64" w:rsidRDefault="00412F64" w:rsidP="00412F64">
      <w:pPr>
        <w:pStyle w:val="ListParagraph"/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2568A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СЛФС од самог почетка увођења капитације одговорно тврди да је то неправилан начин мерења радног учинка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,</w:t>
      </w:r>
      <w:r w:rsidRPr="002568A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пре свега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, </w:t>
      </w:r>
      <w:r w:rsidRPr="002568A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јер се упоређују извршиоци посла у једној установи, а не на нивоу Републике. Док се комисија која је била задужена да се бави праћењем Уредбе о корективном коефицијенту за радни учинак састала само једном, и то сада давне 2013.</w:t>
      </w:r>
      <w:r w:rsidR="00D92CC7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Pr="002568A1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године.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412F64" w:rsidRPr="00805F27" w:rsidRDefault="00412F64" w:rsidP="00412F64">
      <w:pPr>
        <w:pStyle w:val="ListParagraph"/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Default="00412F64" w:rsidP="00412F64">
      <w:pPr>
        <w:pStyle w:val="ListParagraph"/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Правилник о ближим условима за обављање здравствене делатности у здравственим установама и другим облицима здравствене службе дефинисао да се у здравственој заштити одраслог становништва запошљава један лекар на 1.600 одраслих становника, док у општинама са густином насељености до 25 становника по квадратном километру, запошљава један лекар на 1.200 одраслих становника.  </w:t>
      </w:r>
    </w:p>
    <w:p w:rsidR="00412F64" w:rsidRPr="002568A1" w:rsidRDefault="00412F64" w:rsidP="00412F64">
      <w:pPr>
        <w:pStyle w:val="ListParagrap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</w:p>
    <w:p w:rsidR="00412F64" w:rsidRPr="00805F27" w:rsidRDefault="00412F64" w:rsidP="00412F64">
      <w:pPr>
        <w:pStyle w:val="ListParagraph"/>
        <w:numPr>
          <w:ilvl w:val="0"/>
          <w:numId w:val="32"/>
        </w:numPr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Увођењем капитације- где изабрани лекар који ради у примарној здравственој заштити добија део плате на основу радног учинка, изабрани лекари су доведени у ситуацију да не могу да ограниче број пацијената. </w:t>
      </w:r>
    </w:p>
    <w:p w:rsidR="00412F64" w:rsidRPr="00C6470B" w:rsidRDefault="00412F64" w:rsidP="00412F64">
      <w:pPr>
        <w:tabs>
          <w:tab w:val="left" w:pos="90"/>
        </w:tabs>
        <w:spacing w:after="160" w:line="259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6470B">
        <w:rPr>
          <w:rFonts w:ascii="Times New Roman" w:hAnsi="Times New Roman"/>
          <w:i/>
          <w:sz w:val="24"/>
          <w:szCs w:val="24"/>
          <w:lang w:val="sr-Cyrl-RS"/>
        </w:rPr>
        <w:t>ЗАПОСЛЕНИ</w:t>
      </w:r>
    </w:p>
    <w:p w:rsidR="00412F64" w:rsidRPr="004F0C3A" w:rsidRDefault="00412F64" w:rsidP="00412F64">
      <w:pPr>
        <w:pStyle w:val="NoSpacing"/>
        <w:numPr>
          <w:ilvl w:val="0"/>
          <w:numId w:val="33"/>
        </w:numPr>
        <w:jc w:val="both"/>
        <w:rPr>
          <w:lang w:val="sr-Latn-CS"/>
        </w:rPr>
      </w:pPr>
      <w:r w:rsidRPr="004F0C3A">
        <w:rPr>
          <w:lang w:val="sr-Cyrl-RS"/>
        </w:rPr>
        <w:t>Неопходно је обе</w:t>
      </w:r>
      <w:r>
        <w:rPr>
          <w:lang w:val="sr-Cyrl-RS"/>
        </w:rPr>
        <w:t>збедити оптималне услове рада,</w:t>
      </w:r>
      <w:r w:rsidRPr="004F0C3A">
        <w:rPr>
          <w:lang w:val="sr-Cyrl-RS"/>
        </w:rPr>
        <w:t xml:space="preserve"> неопходан кадар, уз плате које би биле</w:t>
      </w:r>
      <w:r>
        <w:rPr>
          <w:lang w:val="sr-Cyrl-RS"/>
        </w:rPr>
        <w:t xml:space="preserve"> оговарајуће, </w:t>
      </w:r>
      <w:r w:rsidRPr="004F0C3A">
        <w:rPr>
          <w:lang w:val="sr-Cyrl-RS"/>
        </w:rPr>
        <w:t>имајући у виду сложеност, релевантност посла који обављају као и захтеваном нивоу образовања и других компетенција.</w:t>
      </w:r>
    </w:p>
    <w:p w:rsidR="00412F64" w:rsidRPr="004F0C3A" w:rsidRDefault="00412F64" w:rsidP="00412F64">
      <w:pPr>
        <w:pStyle w:val="NoSpacing"/>
        <w:ind w:left="720"/>
        <w:jc w:val="both"/>
        <w:rPr>
          <w:lang w:val="sr-Latn-CS"/>
        </w:rPr>
      </w:pPr>
    </w:p>
    <w:p w:rsidR="00412F64" w:rsidRPr="00805F27" w:rsidRDefault="00412F64" w:rsidP="00412F64">
      <w:pPr>
        <w:pStyle w:val="NoSpacing"/>
        <w:numPr>
          <w:ilvl w:val="0"/>
          <w:numId w:val="33"/>
        </w:numPr>
        <w:jc w:val="both"/>
        <w:rPr>
          <w:lang w:val="sr-Latn-CS"/>
        </w:rPr>
      </w:pPr>
      <w:r>
        <w:rPr>
          <w:lang w:val="sr-Cyrl-RS"/>
        </w:rPr>
        <w:t>Број немедицинских радника мора бити смањен, док се број медицинских радника мора повећати, и ускладити са европским нормативима према броју становника.</w:t>
      </w:r>
    </w:p>
    <w:p w:rsidR="00412F64" w:rsidRPr="00805F27" w:rsidRDefault="00412F64" w:rsidP="00412F64">
      <w:pPr>
        <w:pStyle w:val="NoSpacing"/>
        <w:ind w:left="720"/>
        <w:jc w:val="both"/>
        <w:rPr>
          <w:lang w:val="sr-Latn-CS"/>
        </w:rPr>
      </w:pPr>
    </w:p>
    <w:p w:rsidR="00412F64" w:rsidRPr="00805F27" w:rsidRDefault="00412F64" w:rsidP="00412F64">
      <w:pPr>
        <w:pStyle w:val="NoSpacing"/>
        <w:numPr>
          <w:ilvl w:val="0"/>
          <w:numId w:val="33"/>
        </w:numPr>
        <w:jc w:val="both"/>
        <w:rPr>
          <w:lang w:val="sr-Latn-CS"/>
        </w:rPr>
      </w:pPr>
      <w:r>
        <w:rPr>
          <w:lang w:val="sr-Cyrl-RS"/>
        </w:rPr>
        <w:t xml:space="preserve">У овом тренутку имамо изабране лекаре који имају преко 2.200 пацијената, а самим тим и недопустиво велики број услуга које неминовно доводе до пада квалитета, и општег незадовољства  запослених и  пацијената. </w:t>
      </w:r>
    </w:p>
    <w:p w:rsidR="00414495" w:rsidRPr="00412F64" w:rsidRDefault="00414495" w:rsidP="00412F64">
      <w:pPr>
        <w:tabs>
          <w:tab w:val="left" w:pos="8911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14495" w:rsidRPr="00412F64" w:rsidSect="00B277D0">
      <w:pgSz w:w="12240" w:h="15840"/>
      <w:pgMar w:top="1170" w:right="108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31" w:rsidRDefault="00416831" w:rsidP="00B277D0">
      <w:pPr>
        <w:spacing w:after="0" w:line="240" w:lineRule="auto"/>
      </w:pPr>
      <w:r>
        <w:separator/>
      </w:r>
    </w:p>
  </w:endnote>
  <w:endnote w:type="continuationSeparator" w:id="0">
    <w:p w:rsidR="00416831" w:rsidRDefault="00416831" w:rsidP="00B2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31" w:rsidRDefault="00416831" w:rsidP="00B277D0">
      <w:pPr>
        <w:spacing w:after="0" w:line="240" w:lineRule="auto"/>
      </w:pPr>
      <w:r>
        <w:separator/>
      </w:r>
    </w:p>
  </w:footnote>
  <w:footnote w:type="continuationSeparator" w:id="0">
    <w:p w:rsidR="00416831" w:rsidRDefault="00416831" w:rsidP="00B2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4E4"/>
    <w:multiLevelType w:val="hybridMultilevel"/>
    <w:tmpl w:val="4C26D5B6"/>
    <w:lvl w:ilvl="0" w:tplc="6270C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4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E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6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C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6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0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0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082343"/>
    <w:multiLevelType w:val="hybridMultilevel"/>
    <w:tmpl w:val="D39E011C"/>
    <w:lvl w:ilvl="0" w:tplc="0FCED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25AF"/>
    <w:multiLevelType w:val="hybridMultilevel"/>
    <w:tmpl w:val="D9CE5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B717E"/>
    <w:multiLevelType w:val="hybridMultilevel"/>
    <w:tmpl w:val="5B4E1CB2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5A0"/>
    <w:multiLevelType w:val="hybridMultilevel"/>
    <w:tmpl w:val="57968A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34BE"/>
    <w:multiLevelType w:val="hybridMultilevel"/>
    <w:tmpl w:val="2FB4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AA3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DC5"/>
    <w:multiLevelType w:val="hybridMultilevel"/>
    <w:tmpl w:val="E9DEA13C"/>
    <w:lvl w:ilvl="0" w:tplc="682AA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B2D5F"/>
    <w:multiLevelType w:val="hybridMultilevel"/>
    <w:tmpl w:val="A8DA327E"/>
    <w:lvl w:ilvl="0" w:tplc="77B28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864B1"/>
    <w:multiLevelType w:val="hybridMultilevel"/>
    <w:tmpl w:val="51E63F56"/>
    <w:lvl w:ilvl="0" w:tplc="682AA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C5ED2"/>
    <w:multiLevelType w:val="hybridMultilevel"/>
    <w:tmpl w:val="AFF2868A"/>
    <w:lvl w:ilvl="0" w:tplc="682AA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376C9"/>
    <w:multiLevelType w:val="hybridMultilevel"/>
    <w:tmpl w:val="1EA873FE"/>
    <w:lvl w:ilvl="0" w:tplc="2506D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078B6"/>
    <w:multiLevelType w:val="hybridMultilevel"/>
    <w:tmpl w:val="60A64BF4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71225"/>
    <w:multiLevelType w:val="hybridMultilevel"/>
    <w:tmpl w:val="37A411C6"/>
    <w:lvl w:ilvl="0" w:tplc="56DCB5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C31A28"/>
    <w:multiLevelType w:val="hybridMultilevel"/>
    <w:tmpl w:val="06B00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B4CB7"/>
    <w:multiLevelType w:val="hybridMultilevel"/>
    <w:tmpl w:val="BBD8F832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666E8"/>
    <w:multiLevelType w:val="hybridMultilevel"/>
    <w:tmpl w:val="75BC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61E1F"/>
    <w:multiLevelType w:val="hybridMultilevel"/>
    <w:tmpl w:val="F38A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59A1"/>
    <w:multiLevelType w:val="hybridMultilevel"/>
    <w:tmpl w:val="FE663F6C"/>
    <w:lvl w:ilvl="0" w:tplc="EFC61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77269"/>
    <w:multiLevelType w:val="hybridMultilevel"/>
    <w:tmpl w:val="F9FE4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F506D"/>
    <w:multiLevelType w:val="hybridMultilevel"/>
    <w:tmpl w:val="4510CD1C"/>
    <w:lvl w:ilvl="0" w:tplc="682AA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134C7"/>
    <w:multiLevelType w:val="hybridMultilevel"/>
    <w:tmpl w:val="DFCE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AA3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77E07"/>
    <w:multiLevelType w:val="hybridMultilevel"/>
    <w:tmpl w:val="202A3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D29A0"/>
    <w:multiLevelType w:val="hybridMultilevel"/>
    <w:tmpl w:val="59B04E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5988E32">
      <w:numFmt w:val="bullet"/>
      <w:lvlText w:val="•"/>
      <w:lvlJc w:val="left"/>
      <w:pPr>
        <w:ind w:left="1710" w:hanging="7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53913A32"/>
    <w:multiLevelType w:val="hybridMultilevel"/>
    <w:tmpl w:val="5EE0537A"/>
    <w:lvl w:ilvl="0" w:tplc="7676EEB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D6620"/>
    <w:multiLevelType w:val="hybridMultilevel"/>
    <w:tmpl w:val="3C6C8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E5898"/>
    <w:multiLevelType w:val="hybridMultilevel"/>
    <w:tmpl w:val="F202D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26586"/>
    <w:multiLevelType w:val="hybridMultilevel"/>
    <w:tmpl w:val="1DA6C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93740"/>
    <w:multiLevelType w:val="hybridMultilevel"/>
    <w:tmpl w:val="9A040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D65DD"/>
    <w:multiLevelType w:val="hybridMultilevel"/>
    <w:tmpl w:val="DF08E4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30BF5"/>
    <w:multiLevelType w:val="hybridMultilevel"/>
    <w:tmpl w:val="A70A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6A63"/>
    <w:multiLevelType w:val="hybridMultilevel"/>
    <w:tmpl w:val="397E2074"/>
    <w:lvl w:ilvl="0" w:tplc="0409000B">
      <w:start w:val="1"/>
      <w:numFmt w:val="bullet"/>
      <w:lvlText w:val=""/>
      <w:lvlJc w:val="left"/>
      <w:pPr>
        <w:ind w:left="5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1">
    <w:nsid w:val="77542F2F"/>
    <w:multiLevelType w:val="hybridMultilevel"/>
    <w:tmpl w:val="B4EC6076"/>
    <w:lvl w:ilvl="0" w:tplc="682AA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82AA3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242EF"/>
    <w:multiLevelType w:val="hybridMultilevel"/>
    <w:tmpl w:val="16A6456E"/>
    <w:lvl w:ilvl="0" w:tplc="E1340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F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4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C3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AF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0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02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C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6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9626A39"/>
    <w:multiLevelType w:val="hybridMultilevel"/>
    <w:tmpl w:val="BF6ABAD6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22"/>
  </w:num>
  <w:num w:numId="5">
    <w:abstractNumId w:val="16"/>
  </w:num>
  <w:num w:numId="6">
    <w:abstractNumId w:val="17"/>
  </w:num>
  <w:num w:numId="7">
    <w:abstractNumId w:val="30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5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6"/>
  </w:num>
  <w:num w:numId="20">
    <w:abstractNumId w:val="31"/>
  </w:num>
  <w:num w:numId="21">
    <w:abstractNumId w:val="18"/>
  </w:num>
  <w:num w:numId="22">
    <w:abstractNumId w:val="25"/>
  </w:num>
  <w:num w:numId="23">
    <w:abstractNumId w:val="26"/>
  </w:num>
  <w:num w:numId="24">
    <w:abstractNumId w:val="27"/>
  </w:num>
  <w:num w:numId="25">
    <w:abstractNumId w:val="0"/>
  </w:num>
  <w:num w:numId="26">
    <w:abstractNumId w:val="32"/>
  </w:num>
  <w:num w:numId="27">
    <w:abstractNumId w:val="24"/>
  </w:num>
  <w:num w:numId="28">
    <w:abstractNumId w:val="28"/>
  </w:num>
  <w:num w:numId="29">
    <w:abstractNumId w:val="2"/>
  </w:num>
  <w:num w:numId="30">
    <w:abstractNumId w:val="4"/>
  </w:num>
  <w:num w:numId="31">
    <w:abstractNumId w:val="33"/>
  </w:num>
  <w:num w:numId="32">
    <w:abstractNumId w:val="3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93"/>
    <w:rsid w:val="0001648D"/>
    <w:rsid w:val="00091CC9"/>
    <w:rsid w:val="00094B1E"/>
    <w:rsid w:val="000B0260"/>
    <w:rsid w:val="000C1EA4"/>
    <w:rsid w:val="001044E7"/>
    <w:rsid w:val="00136D5B"/>
    <w:rsid w:val="001826EF"/>
    <w:rsid w:val="0018522B"/>
    <w:rsid w:val="001B033F"/>
    <w:rsid w:val="001F34CC"/>
    <w:rsid w:val="0020451C"/>
    <w:rsid w:val="0022747F"/>
    <w:rsid w:val="00231D11"/>
    <w:rsid w:val="002368DB"/>
    <w:rsid w:val="002673BF"/>
    <w:rsid w:val="00295062"/>
    <w:rsid w:val="002A3584"/>
    <w:rsid w:val="002A6EBD"/>
    <w:rsid w:val="00303540"/>
    <w:rsid w:val="00322C8F"/>
    <w:rsid w:val="003348BE"/>
    <w:rsid w:val="00364A86"/>
    <w:rsid w:val="003B4202"/>
    <w:rsid w:val="003D4D0B"/>
    <w:rsid w:val="003E3649"/>
    <w:rsid w:val="003F1B22"/>
    <w:rsid w:val="00407260"/>
    <w:rsid w:val="00412F64"/>
    <w:rsid w:val="00414495"/>
    <w:rsid w:val="00414AE5"/>
    <w:rsid w:val="00416831"/>
    <w:rsid w:val="00417E5D"/>
    <w:rsid w:val="00422078"/>
    <w:rsid w:val="00467E36"/>
    <w:rsid w:val="00470F8C"/>
    <w:rsid w:val="004C51DB"/>
    <w:rsid w:val="004D7D4F"/>
    <w:rsid w:val="004E4B1C"/>
    <w:rsid w:val="005514DA"/>
    <w:rsid w:val="00581456"/>
    <w:rsid w:val="005A31DD"/>
    <w:rsid w:val="005C1B48"/>
    <w:rsid w:val="005D334E"/>
    <w:rsid w:val="005F036A"/>
    <w:rsid w:val="005F44CA"/>
    <w:rsid w:val="00612596"/>
    <w:rsid w:val="00626010"/>
    <w:rsid w:val="00632E63"/>
    <w:rsid w:val="00683869"/>
    <w:rsid w:val="00706E8C"/>
    <w:rsid w:val="007411EB"/>
    <w:rsid w:val="00754A10"/>
    <w:rsid w:val="0075750F"/>
    <w:rsid w:val="007B4E88"/>
    <w:rsid w:val="007B7A6C"/>
    <w:rsid w:val="007C26E9"/>
    <w:rsid w:val="007F5BD6"/>
    <w:rsid w:val="008204F3"/>
    <w:rsid w:val="00826171"/>
    <w:rsid w:val="00832A36"/>
    <w:rsid w:val="00896109"/>
    <w:rsid w:val="008C03E2"/>
    <w:rsid w:val="008E1DAD"/>
    <w:rsid w:val="008E2300"/>
    <w:rsid w:val="009737AD"/>
    <w:rsid w:val="009B2252"/>
    <w:rsid w:val="009C5C12"/>
    <w:rsid w:val="009D76EF"/>
    <w:rsid w:val="00A228CA"/>
    <w:rsid w:val="00A44AB0"/>
    <w:rsid w:val="00A93CF0"/>
    <w:rsid w:val="00AB5B7A"/>
    <w:rsid w:val="00AC5D59"/>
    <w:rsid w:val="00AC6C59"/>
    <w:rsid w:val="00AD0F34"/>
    <w:rsid w:val="00B277D0"/>
    <w:rsid w:val="00B519D8"/>
    <w:rsid w:val="00BB53ED"/>
    <w:rsid w:val="00BC28F3"/>
    <w:rsid w:val="00BC4265"/>
    <w:rsid w:val="00C10A1C"/>
    <w:rsid w:val="00C31041"/>
    <w:rsid w:val="00C6470B"/>
    <w:rsid w:val="00C8750F"/>
    <w:rsid w:val="00CA3378"/>
    <w:rsid w:val="00CD20DC"/>
    <w:rsid w:val="00D07B9B"/>
    <w:rsid w:val="00D1506C"/>
    <w:rsid w:val="00D4670D"/>
    <w:rsid w:val="00D47B88"/>
    <w:rsid w:val="00D47E7C"/>
    <w:rsid w:val="00D60E54"/>
    <w:rsid w:val="00D77E5F"/>
    <w:rsid w:val="00D80002"/>
    <w:rsid w:val="00D92CC7"/>
    <w:rsid w:val="00D96993"/>
    <w:rsid w:val="00DA4E69"/>
    <w:rsid w:val="00DB7B1A"/>
    <w:rsid w:val="00DE4081"/>
    <w:rsid w:val="00E005B6"/>
    <w:rsid w:val="00E46750"/>
    <w:rsid w:val="00E51429"/>
    <w:rsid w:val="00E60D8E"/>
    <w:rsid w:val="00E65C43"/>
    <w:rsid w:val="00E96D8D"/>
    <w:rsid w:val="00EA4739"/>
    <w:rsid w:val="00ED22A2"/>
    <w:rsid w:val="00EF2853"/>
    <w:rsid w:val="00F032B6"/>
    <w:rsid w:val="00F3254D"/>
    <w:rsid w:val="00F33129"/>
    <w:rsid w:val="00F40A74"/>
    <w:rsid w:val="00F74E68"/>
    <w:rsid w:val="00F90EA7"/>
    <w:rsid w:val="00FD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A6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A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A6C"/>
    <w:rPr>
      <w:b/>
      <w:bCs/>
      <w:i/>
      <w:iCs/>
      <w:noProof/>
      <w:color w:val="4F81BD" w:themeColor="accent1"/>
      <w:lang w:val="sr-Latn-RS"/>
    </w:rPr>
  </w:style>
  <w:style w:type="character" w:styleId="IntenseEmphasis">
    <w:name w:val="Intense Emphasis"/>
    <w:basedOn w:val="DefaultParagraphFont"/>
    <w:uiPriority w:val="21"/>
    <w:qFormat/>
    <w:rsid w:val="007B7A6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B7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D0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2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D0"/>
    <w:rPr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A"/>
    <w:rPr>
      <w:rFonts w:ascii="Tahoma" w:hAnsi="Tahoma" w:cs="Tahoma"/>
      <w:noProof/>
      <w:sz w:val="16"/>
      <w:szCs w:val="16"/>
      <w:lang w:val="sr-Latn-RS"/>
    </w:rPr>
  </w:style>
  <w:style w:type="paragraph" w:styleId="NoSpacing">
    <w:name w:val="No Spacing"/>
    <w:uiPriority w:val="1"/>
    <w:qFormat/>
    <w:rsid w:val="0041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A6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A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A6C"/>
    <w:rPr>
      <w:b/>
      <w:bCs/>
      <w:i/>
      <w:iCs/>
      <w:noProof/>
      <w:color w:val="4F81BD" w:themeColor="accent1"/>
      <w:lang w:val="sr-Latn-RS"/>
    </w:rPr>
  </w:style>
  <w:style w:type="character" w:styleId="IntenseEmphasis">
    <w:name w:val="Intense Emphasis"/>
    <w:basedOn w:val="DefaultParagraphFont"/>
    <w:uiPriority w:val="21"/>
    <w:qFormat/>
    <w:rsid w:val="007B7A6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B7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D0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2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D0"/>
    <w:rPr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CA"/>
    <w:rPr>
      <w:rFonts w:ascii="Tahoma" w:hAnsi="Tahoma" w:cs="Tahoma"/>
      <w:noProof/>
      <w:sz w:val="16"/>
      <w:szCs w:val="16"/>
      <w:lang w:val="sr-Latn-RS"/>
    </w:rPr>
  </w:style>
  <w:style w:type="paragraph" w:styleId="NoSpacing">
    <w:name w:val="No Spacing"/>
    <w:uiPriority w:val="1"/>
    <w:qFormat/>
    <w:rsid w:val="0041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48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8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5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Čolić</dc:creator>
  <cp:lastModifiedBy>Valentina Čolić</cp:lastModifiedBy>
  <cp:revision>2</cp:revision>
  <cp:lastPrinted>2016-04-20T09:41:00Z</cp:lastPrinted>
  <dcterms:created xsi:type="dcterms:W3CDTF">2016-05-16T15:45:00Z</dcterms:created>
  <dcterms:modified xsi:type="dcterms:W3CDTF">2016-05-16T15:45:00Z</dcterms:modified>
</cp:coreProperties>
</file>