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e489" w14:textId="14ce489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43. став 8. Закона о инспекцијском надзору („Службени гласник РС”, број 36/15) и члана 42. став 1. Закона о Влади („Службени гласник РС”, бр. 55/05, 71/05 − испрaвка, 101/07, 65/08, 16/11, 68/12 − УС, 72/12, 7/14 −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изгледу обрасца и начину вођења евиденције о инспекцијском надзору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81 од 24. септембра 2015.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прописује се изглед обрасца и начин вођења евиденције о инспекцијском надзору (у даљем тексту: евиденција).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инспекцијском надзору, за потребе праћења стања у одређеној области и потребе праћења рада, сваки инспектор води евиденцију.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инспекцијском надзору води се у електронској форми у оквиру функционалног јединственог информационог система за инспекције на начин прописан овом уредбом, након његовог успостављања.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 преласка на јединствени информациони систем за инспекције, инспекције воде евиденцију у писаној форми или у електронској форми у оквиру сопствених софтверских решења.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по начелима уредности и тачности, а по хронолошком реду.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Евиденција, поред података утврђених Законом о инспекцијском надзору,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податке о вршењу заједничког надзора и разлозима за заједнички надзор;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податак да ли је надзор вршен над регистрованим или нерегистрованим субјектом, односно субјектом из члана 33. став 2. Закона о инспекцијском надзору;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податке везане за покретање поступка инспекцијског надзора;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податке о подносиоцу представке;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податак о процењеном ризику код надзираног субјекта;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податке о жалби и поступку по жалби;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податке о извршењу решења;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податке о притужбама на рад инспектора;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датум уноса података и промене података у евиденцији;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податке о инспектору, односно другом лицу које је унело податке у евиденцију.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обрасцу, који је одштампан уз ову уредбу и чини њен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члана 3. ове уредбе уносе се обележавањем изабране опције или више опција истовремено, односно уношењем текста у за то предвиђена поља.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евиденцију уноси инспектор и службеник овлашћен за вршење инспекцијског надзора, односно друго овлашћено лице по налогу инспектора или службеника овлашћеног за вршење инспекцијског надзора, односно руководиоца инспекције.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Инспектор, односно друго овлашћено лице је дужно да податке о спроведеном надзору унесе у евиденцију у року од три дана од дана сачињавања записника, предузете радње и пријема акта, односно сазнања за чињеницу која се уноси у евиденцију.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Србије”, а примењује се од 30. априла 2016.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110-9963/2015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19. септембра 2015.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Образац - 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Евиденција података о инспекцијском надзору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p1.html&amp;x-filename=true&amp;regactid=422108&amp;doctype=reg" Type="http://schemas.openxmlformats.org/officeDocument/2006/relationships/hyperlink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